
<file path=[Content_Types].xml><?xml version="1.0" encoding="utf-8"?>
<Types xmlns="http://schemas.openxmlformats.org/package/2006/content-types">
  <Default Extension="png" ContentType="image/png"/>
  <Default Extension="xls" ContentType="application/vnd.ms-excel"/>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theme/themeOverride2.xml" ContentType="application/vnd.openxmlformats-officedocument.themeOverride+xml"/>
  <Override PartName="/word/charts/chart3.xml" ContentType="application/vnd.openxmlformats-officedocument.drawingml.chart+xml"/>
  <Override PartName="/word/theme/themeOverride3.xml" ContentType="application/vnd.openxmlformats-officedocument.themeOverride+xml"/>
  <Override PartName="/word/charts/chart4.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4.xml" ContentType="application/vnd.openxmlformats-officedocument.themeOverride+xml"/>
  <Override PartName="/word/charts/chart5.xml" ContentType="application/vnd.openxmlformats-officedocument.drawingml.chart+xml"/>
  <Override PartName="/word/charts/style3.xml" ContentType="application/vnd.ms-office.chartstyle+xml"/>
  <Override PartName="/word/charts/colors3.xml" ContentType="application/vnd.ms-office.chartcolorstyle+xml"/>
  <Override PartName="/word/theme/themeOverride5.xml" ContentType="application/vnd.openxmlformats-officedocument.themeOverride+xml"/>
  <Override PartName="/word/charts/chart6.xml" ContentType="application/vnd.openxmlformats-officedocument.drawingml.chart+xml"/>
  <Override PartName="/word/theme/themeOverride6.xml" ContentType="application/vnd.openxmlformats-officedocument.themeOverride+xml"/>
  <Override PartName="/word/charts/chart7.xml" ContentType="application/vnd.openxmlformats-officedocument.drawingml.chart+xml"/>
  <Override PartName="/word/theme/themeOverride7.xml" ContentType="application/vnd.openxmlformats-officedocument.themeOverride+xml"/>
  <Override PartName="/word/charts/chart8.xml" ContentType="application/vnd.openxmlformats-officedocument.drawingml.chart+xml"/>
  <Override PartName="/word/theme/themeOverride8.xml" ContentType="application/vnd.openxmlformats-officedocument.themeOverride+xml"/>
  <Override PartName="/word/charts/chart9.xml" ContentType="application/vnd.openxmlformats-officedocument.drawingml.chart+xml"/>
  <Override PartName="/word/charts/style4.xml" ContentType="application/vnd.ms-office.chartstyle+xml"/>
  <Override PartName="/word/charts/colors4.xml" ContentType="application/vnd.ms-office.chartcolorstyle+xml"/>
  <Override PartName="/word/theme/themeOverride9.xml" ContentType="application/vnd.openxmlformats-officedocument.themeOverride+xml"/>
  <Override PartName="/word/charts/chart10.xml" ContentType="application/vnd.openxmlformats-officedocument.drawingml.chart+xml"/>
  <Override PartName="/word/theme/themeOverride10.xml" ContentType="application/vnd.openxmlformats-officedocument.themeOverride+xml"/>
  <Override PartName="/word/charts/chart11.xml" ContentType="application/vnd.openxmlformats-officedocument.drawingml.chart+xml"/>
  <Override PartName="/word/theme/themeOverride11.xml" ContentType="application/vnd.openxmlformats-officedocument.themeOverride+xml"/>
  <Override PartName="/word/charts/chart12.xml" ContentType="application/vnd.openxmlformats-officedocument.drawingml.chart+xml"/>
  <Override PartName="/word/charts/style5.xml" ContentType="application/vnd.ms-office.chartstyle+xml"/>
  <Override PartName="/word/charts/colors5.xml" ContentType="application/vnd.ms-office.chartcolorstyle+xml"/>
  <Override PartName="/word/theme/themeOverride12.xml" ContentType="application/vnd.openxmlformats-officedocument.themeOverride+xml"/>
  <Override PartName="/word/charts/chart13.xml" ContentType="application/vnd.openxmlformats-officedocument.drawingml.chart+xml"/>
  <Override PartName="/word/theme/themeOverride13.xml" ContentType="application/vnd.openxmlformats-officedocument.themeOverride+xml"/>
  <Override PartName="/word/charts/chart14.xml" ContentType="application/vnd.openxmlformats-officedocument.drawingml.chart+xml"/>
  <Override PartName="/word/charts/style6.xml" ContentType="application/vnd.ms-office.chartstyle+xml"/>
  <Override PartName="/word/charts/colors6.xml" ContentType="application/vnd.ms-office.chartcolorstyle+xml"/>
  <Override PartName="/word/theme/themeOverride14.xml" ContentType="application/vnd.openxmlformats-officedocument.themeOverride+xml"/>
  <Override PartName="/word/charts/chart15.xml" ContentType="application/vnd.openxmlformats-officedocument.drawingml.chart+xml"/>
  <Override PartName="/word/charts/style7.xml" ContentType="application/vnd.ms-office.chartstyle+xml"/>
  <Override PartName="/word/charts/colors7.xml" ContentType="application/vnd.ms-office.chartcolorstyle+xml"/>
  <Override PartName="/word/theme/themeOverride15.xml" ContentType="application/vnd.openxmlformats-officedocument.themeOverride+xml"/>
  <Override PartName="/word/charts/chart16.xml" ContentType="application/vnd.openxmlformats-officedocument.drawingml.chart+xml"/>
  <Override PartName="/word/charts/style8.xml" ContentType="application/vnd.ms-office.chartstyle+xml"/>
  <Override PartName="/word/charts/colors8.xml" ContentType="application/vnd.ms-office.chartcolorstyle+xml"/>
  <Override PartName="/word/theme/themeOverride16.xml" ContentType="application/vnd.openxmlformats-officedocument.themeOverride+xml"/>
  <Override PartName="/word/charts/chart17.xml" ContentType="application/vnd.openxmlformats-officedocument.drawingml.chart+xml"/>
  <Override PartName="/word/charts/style9.xml" ContentType="application/vnd.ms-office.chartstyle+xml"/>
  <Override PartName="/word/charts/colors9.xml" ContentType="application/vnd.ms-office.chartcolorstyle+xml"/>
  <Override PartName="/word/theme/themeOverride17.xml" ContentType="application/vnd.openxmlformats-officedocument.themeOverride+xml"/>
  <Override PartName="/word/charts/chart18.xml" ContentType="application/vnd.openxmlformats-officedocument.drawingml.chart+xml"/>
  <Override PartName="/word/theme/themeOverride18.xml" ContentType="application/vnd.openxmlformats-officedocument.themeOverrid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A0EB3" w:rsidRDefault="009A0EB3" w:rsidP="00816E4C">
      <w:pPr>
        <w:pStyle w:val="Heading4"/>
      </w:pPr>
      <w:bookmarkStart w:id="0" w:name="_GoBack"/>
      <w:bookmarkEnd w:id="0"/>
    </w:p>
    <w:p w:rsidR="003E1929" w:rsidRDefault="003E1929" w:rsidP="003E1929">
      <w:pPr>
        <w:rPr>
          <w:lang w:val="en-IN" w:eastAsia="en-IN"/>
        </w:rPr>
      </w:pPr>
    </w:p>
    <w:p w:rsidR="003E1929" w:rsidRDefault="003E1929" w:rsidP="003E1929">
      <w:pPr>
        <w:rPr>
          <w:lang w:val="en-IN" w:eastAsia="en-IN"/>
        </w:rPr>
      </w:pPr>
    </w:p>
    <w:p w:rsidR="003E1929" w:rsidRDefault="003E1929" w:rsidP="003E1929">
      <w:pPr>
        <w:rPr>
          <w:lang w:val="en-IN" w:eastAsia="en-IN"/>
        </w:rPr>
      </w:pPr>
    </w:p>
    <w:p w:rsidR="003E1929" w:rsidRPr="003E1929" w:rsidRDefault="003E1929" w:rsidP="003E1929">
      <w:pPr>
        <w:rPr>
          <w:lang w:val="en-IN" w:eastAsia="en-IN"/>
        </w:rPr>
      </w:pPr>
    </w:p>
    <w:p w:rsidR="009A0EB3" w:rsidRPr="002726A8" w:rsidRDefault="009A0EB3" w:rsidP="009A0EB3">
      <w:pPr>
        <w:spacing w:line="20" w:lineRule="atLeast"/>
        <w:jc w:val="center"/>
        <w:outlineLvl w:val="0"/>
        <w:rPr>
          <w:rFonts w:ascii="Garamond" w:hAnsi="Garamond"/>
          <w:b/>
          <w:color w:val="000080"/>
          <w:sz w:val="144"/>
          <w:szCs w:val="144"/>
        </w:rPr>
      </w:pPr>
      <w:r w:rsidRPr="002726A8">
        <w:rPr>
          <w:rFonts w:ascii="Garamond" w:hAnsi="Garamond"/>
          <w:b/>
          <w:color w:val="000080"/>
          <w:sz w:val="144"/>
          <w:szCs w:val="144"/>
        </w:rPr>
        <w:t>SEBI</w:t>
      </w:r>
    </w:p>
    <w:p w:rsidR="009A0EB3" w:rsidRPr="002726A8" w:rsidRDefault="009A0EB3" w:rsidP="009A0EB3">
      <w:pPr>
        <w:spacing w:line="20" w:lineRule="atLeast"/>
        <w:jc w:val="center"/>
        <w:outlineLvl w:val="0"/>
        <w:rPr>
          <w:rFonts w:ascii="Garamond" w:hAnsi="Garamond"/>
          <w:b/>
          <w:color w:val="000080"/>
          <w:sz w:val="56"/>
          <w:szCs w:val="56"/>
        </w:rPr>
      </w:pPr>
      <w:r w:rsidRPr="002726A8">
        <w:rPr>
          <w:rFonts w:ascii="Garamond" w:hAnsi="Garamond"/>
          <w:b/>
          <w:color w:val="000080"/>
          <w:sz w:val="56"/>
          <w:szCs w:val="56"/>
        </w:rPr>
        <w:t>BULLETIN</w:t>
      </w: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1B5B2F" w:rsidP="002C3645">
      <w:pPr>
        <w:spacing w:line="20" w:lineRule="atLeast"/>
        <w:jc w:val="center"/>
        <w:rPr>
          <w:rFonts w:ascii="Palatino Linotype" w:hAnsi="Palatino Linotype"/>
          <w:b/>
          <w:color w:val="FF0000"/>
          <w:sz w:val="22"/>
          <w:szCs w:val="22"/>
        </w:rPr>
      </w:pPr>
      <w:r>
        <w:rPr>
          <w:rFonts w:ascii="Palatino Linotype" w:hAnsi="Palatino Linotype"/>
          <w:b/>
          <w:color w:val="000080"/>
          <w:sz w:val="22"/>
          <w:szCs w:val="22"/>
        </w:rPr>
        <w:t xml:space="preserve">OCTOBER </w:t>
      </w:r>
      <w:r w:rsidR="00074803">
        <w:rPr>
          <w:rFonts w:ascii="Palatino Linotype" w:hAnsi="Palatino Linotype"/>
          <w:b/>
          <w:color w:val="000080"/>
          <w:sz w:val="22"/>
          <w:szCs w:val="22"/>
        </w:rPr>
        <w:t>2</w:t>
      </w:r>
      <w:r w:rsidR="009B7E61">
        <w:rPr>
          <w:rFonts w:ascii="Palatino Linotype" w:hAnsi="Palatino Linotype"/>
          <w:b/>
          <w:color w:val="000080"/>
          <w:sz w:val="22"/>
          <w:szCs w:val="22"/>
        </w:rPr>
        <w:t>020</w:t>
      </w:r>
      <w:r w:rsidR="008E4467">
        <w:rPr>
          <w:rFonts w:ascii="Palatino Linotype" w:hAnsi="Palatino Linotype"/>
          <w:b/>
          <w:color w:val="000080"/>
          <w:sz w:val="22"/>
          <w:szCs w:val="22"/>
        </w:rPr>
        <w:t xml:space="preserve">   VOL. 1</w:t>
      </w:r>
      <w:r w:rsidR="00FE7EFC">
        <w:rPr>
          <w:rFonts w:ascii="Palatino Linotype" w:hAnsi="Palatino Linotype"/>
          <w:b/>
          <w:color w:val="000080"/>
          <w:sz w:val="22"/>
          <w:szCs w:val="22"/>
        </w:rPr>
        <w:t>8</w:t>
      </w:r>
      <w:r w:rsidR="008E4467">
        <w:rPr>
          <w:rFonts w:ascii="Palatino Linotype" w:hAnsi="Palatino Linotype"/>
          <w:b/>
          <w:color w:val="000080"/>
          <w:sz w:val="22"/>
          <w:szCs w:val="22"/>
        </w:rPr>
        <w:t xml:space="preserve">              </w:t>
      </w:r>
      <w:r w:rsidR="002C3645" w:rsidRPr="009A0EB3">
        <w:rPr>
          <w:rFonts w:ascii="Palatino Linotype" w:hAnsi="Palatino Linotype"/>
          <w:b/>
          <w:color w:val="000080"/>
          <w:sz w:val="22"/>
          <w:szCs w:val="22"/>
        </w:rPr>
        <w:t xml:space="preserve"> </w:t>
      </w:r>
      <w:r w:rsidR="00B20597">
        <w:rPr>
          <w:rFonts w:ascii="Palatino Linotype" w:hAnsi="Palatino Linotype"/>
          <w:b/>
          <w:color w:val="FF0000"/>
          <w:sz w:val="22"/>
          <w:szCs w:val="22"/>
        </w:rPr>
        <w:t xml:space="preserve">NUMBER </w:t>
      </w:r>
      <w:r>
        <w:rPr>
          <w:rFonts w:ascii="Palatino Linotype" w:hAnsi="Palatino Linotype"/>
          <w:b/>
          <w:color w:val="FF0000"/>
          <w:sz w:val="22"/>
          <w:szCs w:val="22"/>
        </w:rPr>
        <w:t>10</w:t>
      </w: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r w:rsidRPr="009A0EB3">
        <w:rPr>
          <w:rFonts w:ascii="Palatino Linotype" w:hAnsi="Palatino Linotype"/>
          <w:b/>
          <w:color w:val="000080"/>
          <w:sz w:val="22"/>
          <w:szCs w:val="22"/>
        </w:rPr>
        <w:t>(LOGO)</w:t>
      </w:r>
    </w:p>
    <w:p w:rsidR="0018049A" w:rsidRPr="009A0EB3" w:rsidRDefault="0018049A"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Default="002C3645" w:rsidP="00B25DA6">
      <w:pPr>
        <w:jc w:val="center"/>
        <w:outlineLvl w:val="0"/>
        <w:rPr>
          <w:rFonts w:ascii="Palatino Linotype" w:hAnsi="Palatino Linotype" w:cs="Helvetica"/>
          <w:b/>
          <w:color w:val="000099"/>
          <w:sz w:val="22"/>
          <w:szCs w:val="22"/>
        </w:rPr>
      </w:pPr>
    </w:p>
    <w:p w:rsidR="002E18B1" w:rsidRDefault="002E18B1" w:rsidP="00B25DA6">
      <w:pPr>
        <w:jc w:val="center"/>
        <w:outlineLvl w:val="0"/>
        <w:rPr>
          <w:rFonts w:ascii="Palatino Linotype" w:hAnsi="Palatino Linotype" w:cs="Helvetica"/>
          <w:b/>
          <w:color w:val="000099"/>
          <w:sz w:val="22"/>
          <w:szCs w:val="22"/>
        </w:rPr>
      </w:pPr>
    </w:p>
    <w:p w:rsidR="002E18B1" w:rsidRDefault="002E18B1" w:rsidP="00B25DA6">
      <w:pPr>
        <w:jc w:val="center"/>
        <w:outlineLvl w:val="0"/>
        <w:rPr>
          <w:rFonts w:ascii="Palatino Linotype" w:hAnsi="Palatino Linotype" w:cs="Helvetica"/>
          <w:b/>
          <w:color w:val="000099"/>
          <w:sz w:val="22"/>
          <w:szCs w:val="22"/>
        </w:rPr>
      </w:pPr>
    </w:p>
    <w:p w:rsidR="002E18B1" w:rsidRPr="009A0EB3" w:rsidRDefault="002E18B1" w:rsidP="00B25DA6">
      <w:pPr>
        <w:jc w:val="center"/>
        <w:outlineLvl w:val="0"/>
        <w:rPr>
          <w:rFonts w:ascii="Palatino Linotype" w:hAnsi="Palatino Linotype" w:cs="Helvetica"/>
          <w:b/>
          <w:color w:val="000099"/>
          <w:sz w:val="22"/>
          <w:szCs w:val="22"/>
        </w:rPr>
      </w:pPr>
    </w:p>
    <w:p w:rsidR="002C3645" w:rsidRDefault="002C3645" w:rsidP="00B25DA6">
      <w:pPr>
        <w:jc w:val="center"/>
        <w:outlineLvl w:val="0"/>
        <w:rPr>
          <w:rFonts w:ascii="Palatino Linotype" w:hAnsi="Palatino Linotype" w:cs="Helvetica"/>
          <w:b/>
          <w:color w:val="000099"/>
          <w:sz w:val="22"/>
          <w:szCs w:val="22"/>
        </w:rPr>
      </w:pPr>
    </w:p>
    <w:p w:rsidR="00434487" w:rsidRPr="009A0EB3" w:rsidRDefault="00434487"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Default="002C3645" w:rsidP="00B25DA6">
      <w:pPr>
        <w:jc w:val="center"/>
        <w:outlineLvl w:val="0"/>
        <w:rPr>
          <w:rFonts w:ascii="Palatino Linotype" w:hAnsi="Palatino Linotype" w:cs="Helvetica"/>
          <w:b/>
          <w:color w:val="000099"/>
          <w:sz w:val="22"/>
          <w:szCs w:val="22"/>
        </w:rPr>
      </w:pPr>
    </w:p>
    <w:p w:rsidR="008E4467" w:rsidRPr="009A0EB3" w:rsidRDefault="008E4467"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r w:rsidRPr="009A0EB3">
        <w:rPr>
          <w:rFonts w:ascii="Palatino Linotype" w:hAnsi="Palatino Linotype"/>
          <w:b/>
          <w:color w:val="000080"/>
          <w:sz w:val="22"/>
          <w:szCs w:val="22"/>
        </w:rPr>
        <w:t>SECURITIES AND EXCHANGE BOARD OF INDIA</w:t>
      </w:r>
    </w:p>
    <w:p w:rsidR="002C3645" w:rsidRPr="009A0EB3" w:rsidRDefault="002C3645" w:rsidP="002C3645">
      <w:pPr>
        <w:spacing w:line="20" w:lineRule="atLeast"/>
        <w:jc w:val="both"/>
        <w:rPr>
          <w:rFonts w:ascii="Palatino Linotype" w:hAnsi="Palatino Linotype"/>
          <w:color w:val="FF0000"/>
          <w:sz w:val="22"/>
          <w:szCs w:val="22"/>
        </w:rPr>
      </w:pPr>
    </w:p>
    <w:p w:rsidR="009A0EB3" w:rsidRPr="009A0EB3" w:rsidRDefault="009A0EB3" w:rsidP="002C3645">
      <w:pPr>
        <w:spacing w:line="20" w:lineRule="atLeast"/>
        <w:rPr>
          <w:rFonts w:ascii="Palatino Linotype" w:hAnsi="Palatino Linotype"/>
          <w:b/>
          <w:sz w:val="22"/>
          <w:szCs w:val="22"/>
        </w:rPr>
      </w:pPr>
    </w:p>
    <w:p w:rsidR="002C3645" w:rsidRPr="009A0EB3" w:rsidRDefault="002C3645" w:rsidP="002C3645">
      <w:pPr>
        <w:spacing w:line="20" w:lineRule="atLeast"/>
        <w:rPr>
          <w:rFonts w:ascii="Palatino Linotype" w:hAnsi="Palatino Linotype"/>
          <w:b/>
          <w:sz w:val="22"/>
          <w:szCs w:val="22"/>
        </w:rPr>
      </w:pPr>
      <w:r w:rsidRPr="009A0EB3">
        <w:rPr>
          <w:rFonts w:ascii="Palatino Linotype" w:hAnsi="Palatino Linotype"/>
          <w:b/>
          <w:sz w:val="22"/>
          <w:szCs w:val="22"/>
        </w:rPr>
        <w:t xml:space="preserve">EDITORIAL COMMITTEE </w:t>
      </w:r>
      <w:r w:rsidR="009A0EB3" w:rsidRPr="009A0EB3">
        <w:rPr>
          <w:rFonts w:ascii="Palatino Linotype" w:hAnsi="Palatino Linotype"/>
          <w:b/>
          <w:sz w:val="22"/>
          <w:szCs w:val="22"/>
        </w:rPr>
        <w:br/>
      </w:r>
    </w:p>
    <w:p w:rsidR="00E4439E" w:rsidRDefault="00E4439E" w:rsidP="002C3645">
      <w:pPr>
        <w:spacing w:line="20" w:lineRule="atLeast"/>
        <w:jc w:val="both"/>
        <w:outlineLvl w:val="0"/>
        <w:rPr>
          <w:rFonts w:ascii="Palatino Linotype" w:hAnsi="Palatino Linotype"/>
          <w:b/>
          <w:sz w:val="22"/>
          <w:szCs w:val="22"/>
        </w:rPr>
      </w:pPr>
      <w:r w:rsidRPr="009E322F">
        <w:rPr>
          <w:rFonts w:ascii="Palatino Linotype" w:eastAsia="Times New Roman" w:hAnsi="Palatino Linotype"/>
          <w:b/>
          <w:sz w:val="22"/>
          <w:szCs w:val="22"/>
        </w:rPr>
        <w:t xml:space="preserve">Shri </w:t>
      </w:r>
      <w:r w:rsidRPr="00FE77E0">
        <w:rPr>
          <w:rFonts w:ascii="Palatino Linotype" w:eastAsia="Times New Roman" w:hAnsi="Palatino Linotype"/>
          <w:b/>
          <w:sz w:val="22"/>
          <w:szCs w:val="22"/>
        </w:rPr>
        <w:t>Amarjeet Singh</w:t>
      </w:r>
      <w:r w:rsidRPr="009A0EB3">
        <w:rPr>
          <w:rFonts w:ascii="Palatino Linotype" w:hAnsi="Palatino Linotype"/>
          <w:b/>
          <w:sz w:val="22"/>
          <w:szCs w:val="22"/>
        </w:rPr>
        <w:t xml:space="preserve"> </w:t>
      </w:r>
    </w:p>
    <w:p w:rsidR="002C3645" w:rsidRDefault="002C3645" w:rsidP="002C3645">
      <w:pPr>
        <w:spacing w:line="20" w:lineRule="atLeast"/>
        <w:jc w:val="both"/>
        <w:outlineLvl w:val="0"/>
        <w:rPr>
          <w:rFonts w:ascii="Palatino Linotype" w:hAnsi="Palatino Linotype"/>
          <w:b/>
          <w:sz w:val="22"/>
          <w:szCs w:val="22"/>
        </w:rPr>
      </w:pPr>
      <w:r w:rsidRPr="009A0EB3">
        <w:rPr>
          <w:rFonts w:ascii="Palatino Linotype" w:hAnsi="Palatino Linotype"/>
          <w:b/>
          <w:sz w:val="22"/>
          <w:szCs w:val="22"/>
        </w:rPr>
        <w:t xml:space="preserve">Dr. </w:t>
      </w:r>
      <w:r w:rsidR="004A4D62">
        <w:rPr>
          <w:rFonts w:ascii="Palatino Linotype" w:hAnsi="Palatino Linotype"/>
          <w:b/>
          <w:sz w:val="22"/>
          <w:szCs w:val="22"/>
        </w:rPr>
        <w:t xml:space="preserve"> </w:t>
      </w:r>
      <w:r w:rsidRPr="009A0EB3">
        <w:rPr>
          <w:rFonts w:ascii="Palatino Linotype" w:hAnsi="Palatino Linotype"/>
          <w:b/>
          <w:sz w:val="22"/>
          <w:szCs w:val="22"/>
        </w:rPr>
        <w:t>Prabhakar R. Patil</w:t>
      </w:r>
    </w:p>
    <w:p w:rsidR="00E71481" w:rsidRPr="009A0EB3" w:rsidRDefault="00E71481" w:rsidP="002C3645">
      <w:pPr>
        <w:spacing w:line="20" w:lineRule="atLeast"/>
        <w:jc w:val="both"/>
        <w:outlineLvl w:val="0"/>
        <w:rPr>
          <w:rFonts w:ascii="Palatino Linotype" w:hAnsi="Palatino Linotype"/>
          <w:b/>
          <w:sz w:val="22"/>
          <w:szCs w:val="22"/>
        </w:rPr>
      </w:pPr>
      <w:r>
        <w:rPr>
          <w:rFonts w:ascii="Palatino Linotype" w:hAnsi="Palatino Linotype"/>
          <w:b/>
          <w:sz w:val="22"/>
          <w:szCs w:val="22"/>
        </w:rPr>
        <w:t>Shri Prabhas Rath</w:t>
      </w:r>
    </w:p>
    <w:p w:rsidR="002C3645" w:rsidRPr="009A0EB3" w:rsidRDefault="00FD1851" w:rsidP="002C3645">
      <w:pPr>
        <w:spacing w:line="20" w:lineRule="atLeast"/>
        <w:jc w:val="both"/>
        <w:outlineLvl w:val="0"/>
        <w:rPr>
          <w:rFonts w:ascii="Palatino Linotype" w:hAnsi="Palatino Linotype"/>
          <w:b/>
          <w:sz w:val="22"/>
          <w:szCs w:val="22"/>
        </w:rPr>
      </w:pPr>
      <w:r>
        <w:rPr>
          <w:rFonts w:ascii="Palatino Linotype" w:hAnsi="Palatino Linotype"/>
          <w:b/>
          <w:sz w:val="22"/>
          <w:szCs w:val="22"/>
        </w:rPr>
        <w:t>Ms. Deepthi L.S.</w:t>
      </w:r>
    </w:p>
    <w:p w:rsidR="002C3645" w:rsidRPr="009A0EB3" w:rsidRDefault="00FD1851" w:rsidP="002C3645">
      <w:pPr>
        <w:spacing w:line="20" w:lineRule="atLeast"/>
        <w:jc w:val="both"/>
        <w:outlineLvl w:val="0"/>
        <w:rPr>
          <w:rFonts w:ascii="Palatino Linotype" w:hAnsi="Palatino Linotype"/>
          <w:b/>
          <w:sz w:val="22"/>
          <w:szCs w:val="22"/>
        </w:rPr>
      </w:pPr>
      <w:r>
        <w:rPr>
          <w:rFonts w:ascii="Palatino Linotype" w:hAnsi="Palatino Linotype"/>
          <w:b/>
          <w:sz w:val="22"/>
          <w:szCs w:val="22"/>
        </w:rPr>
        <w:t>Dr.</w:t>
      </w:r>
      <w:r w:rsidR="002C3645" w:rsidRPr="009A0EB3">
        <w:rPr>
          <w:rFonts w:ascii="Palatino Linotype" w:hAnsi="Palatino Linotype"/>
          <w:b/>
          <w:sz w:val="22"/>
          <w:szCs w:val="22"/>
        </w:rPr>
        <w:t xml:space="preserve"> </w:t>
      </w:r>
      <w:r>
        <w:rPr>
          <w:rFonts w:ascii="Palatino Linotype" w:hAnsi="Palatino Linotype"/>
          <w:b/>
          <w:sz w:val="22"/>
          <w:szCs w:val="22"/>
        </w:rPr>
        <w:t xml:space="preserve"> Deepali Dixit</w:t>
      </w:r>
    </w:p>
    <w:p w:rsidR="002C3645" w:rsidRPr="009A0EB3" w:rsidRDefault="00E71481" w:rsidP="002C3645">
      <w:pPr>
        <w:spacing w:line="20" w:lineRule="atLeast"/>
        <w:jc w:val="both"/>
        <w:outlineLvl w:val="0"/>
        <w:rPr>
          <w:rFonts w:ascii="Palatino Linotype" w:hAnsi="Palatino Linotype"/>
          <w:b/>
          <w:sz w:val="22"/>
          <w:szCs w:val="22"/>
        </w:rPr>
      </w:pPr>
      <w:r>
        <w:rPr>
          <w:rFonts w:ascii="Palatino Linotype" w:hAnsi="Palatino Linotype"/>
          <w:b/>
          <w:sz w:val="22"/>
          <w:szCs w:val="22"/>
        </w:rPr>
        <w:t>Shri</w:t>
      </w:r>
      <w:r w:rsidR="002C3645" w:rsidRPr="009A0EB3">
        <w:rPr>
          <w:rFonts w:ascii="Palatino Linotype" w:hAnsi="Palatino Linotype"/>
          <w:b/>
          <w:sz w:val="22"/>
          <w:szCs w:val="22"/>
        </w:rPr>
        <w:t xml:space="preserve"> </w:t>
      </w:r>
      <w:r w:rsidR="00FD1851">
        <w:rPr>
          <w:rFonts w:ascii="Palatino Linotype" w:hAnsi="Palatino Linotype"/>
          <w:b/>
          <w:sz w:val="22"/>
          <w:szCs w:val="22"/>
        </w:rPr>
        <w:t>Jitendra Kumar</w:t>
      </w:r>
    </w:p>
    <w:p w:rsidR="002C3645" w:rsidRPr="009A0EB3" w:rsidRDefault="002C3645" w:rsidP="002C3645">
      <w:pPr>
        <w:spacing w:line="20" w:lineRule="atLeast"/>
        <w:jc w:val="both"/>
        <w:outlineLvl w:val="0"/>
        <w:rPr>
          <w:rFonts w:ascii="Palatino Linotype" w:hAnsi="Palatino Linotype"/>
          <w:b/>
          <w:sz w:val="22"/>
          <w:szCs w:val="22"/>
        </w:rPr>
      </w:pPr>
    </w:p>
    <w:p w:rsidR="002C3645" w:rsidRPr="009A0EB3" w:rsidRDefault="002C3645" w:rsidP="002C3645">
      <w:pPr>
        <w:spacing w:line="20" w:lineRule="atLeast"/>
        <w:jc w:val="both"/>
        <w:rPr>
          <w:rFonts w:ascii="Palatino Linotype" w:hAnsi="Palatino Linotype"/>
          <w:sz w:val="22"/>
          <w:szCs w:val="22"/>
        </w:rPr>
      </w:pPr>
    </w:p>
    <w:p w:rsidR="002C3645" w:rsidRPr="009A0EB3" w:rsidRDefault="002C3645" w:rsidP="002C3645">
      <w:pPr>
        <w:spacing w:line="20" w:lineRule="atLeast"/>
        <w:jc w:val="both"/>
        <w:rPr>
          <w:rFonts w:ascii="Palatino Linotype" w:hAnsi="Palatino Linotype"/>
          <w:sz w:val="22"/>
          <w:szCs w:val="22"/>
        </w:rPr>
      </w:pPr>
      <w:r w:rsidRPr="009A0EB3">
        <w:rPr>
          <w:rFonts w:ascii="Palatino Linotype" w:hAnsi="Palatino Linotype"/>
          <w:sz w:val="22"/>
          <w:szCs w:val="22"/>
        </w:rPr>
        <w:t xml:space="preserve">The Securities and Exchange Board of India Bulletin is issued by the Department of Economic and Policy Analysis, Securities and Exchange Board of India under the direction of an Editorial Committee. SEBI is not responsible for accuracy of data/information/interpretations and opinions expressed in the case of signed articles/speeches as authors are responsible for their personal views. SEBI has no objection to the material published herein being reproduced, provided an acknowledgement of the same is made. </w:t>
      </w:r>
      <w:r w:rsidRPr="009A0EB3">
        <w:rPr>
          <w:rFonts w:ascii="Palatino Linotype" w:hAnsi="Palatino Linotype"/>
          <w:bCs/>
          <w:sz w:val="22"/>
          <w:szCs w:val="22"/>
        </w:rPr>
        <w:t xml:space="preserve">A readable version of SEBI Bulletin is available at </w:t>
      </w:r>
      <w:hyperlink r:id="rId10" w:history="1">
        <w:r w:rsidRPr="009A0EB3">
          <w:rPr>
            <w:rFonts w:ascii="Palatino Linotype" w:hAnsi="Palatino Linotype"/>
            <w:bCs/>
            <w:sz w:val="22"/>
            <w:szCs w:val="22"/>
          </w:rPr>
          <w:t>http://www.sebi.gov.in</w:t>
        </w:r>
      </w:hyperlink>
      <w:r w:rsidRPr="009A0EB3">
        <w:rPr>
          <w:rFonts w:ascii="Palatino Linotype" w:hAnsi="Palatino Linotype"/>
          <w:bCs/>
          <w:sz w:val="22"/>
          <w:szCs w:val="22"/>
        </w:rPr>
        <w:t xml:space="preserve">. </w:t>
      </w:r>
      <w:r w:rsidR="00E71481">
        <w:rPr>
          <w:rFonts w:ascii="Palatino Linotype" w:hAnsi="Palatino Linotype"/>
          <w:bCs/>
          <w:sz w:val="22"/>
          <w:szCs w:val="22"/>
        </w:rPr>
        <w:t xml:space="preserve"> </w:t>
      </w:r>
      <w:r w:rsidR="00E71481" w:rsidRPr="00E71481">
        <w:rPr>
          <w:rFonts w:ascii="Palatino Linotype" w:hAnsi="Palatino Linotype"/>
          <w:bCs/>
          <w:sz w:val="22"/>
          <w:szCs w:val="22"/>
        </w:rPr>
        <w:t xml:space="preserve">Further,  soft copy of SEBI Bulletin is available free of cost to the subscribers/readers, who register at bulletin@sebi.gov.in along with their complete address. </w:t>
      </w:r>
      <w:r w:rsidRPr="009A0EB3">
        <w:rPr>
          <w:rFonts w:ascii="Palatino Linotype" w:hAnsi="Palatino Linotype"/>
          <w:bCs/>
          <w:sz w:val="22"/>
          <w:szCs w:val="22"/>
        </w:rPr>
        <w:t xml:space="preserve">Any comments and suggestions on any of the features/sections may be sent to </w:t>
      </w:r>
      <w:hyperlink r:id="rId11" w:history="1">
        <w:r w:rsidRPr="009A0EB3">
          <w:rPr>
            <w:rFonts w:ascii="Palatino Linotype" w:hAnsi="Palatino Linotype"/>
            <w:bCs/>
            <w:sz w:val="22"/>
            <w:szCs w:val="22"/>
          </w:rPr>
          <w:t>bulletin@sebi.gov.in</w:t>
        </w:r>
      </w:hyperlink>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Default="002C3645" w:rsidP="00B25DA6">
      <w:pPr>
        <w:jc w:val="center"/>
        <w:outlineLvl w:val="0"/>
        <w:rPr>
          <w:rFonts w:ascii="Palatino Linotype" w:hAnsi="Palatino Linotype" w:cs="Helvetica"/>
          <w:b/>
          <w:color w:val="000099"/>
          <w:sz w:val="22"/>
          <w:szCs w:val="22"/>
        </w:rPr>
      </w:pPr>
    </w:p>
    <w:p w:rsidR="000254CD" w:rsidRDefault="000254CD" w:rsidP="00B25DA6">
      <w:pPr>
        <w:jc w:val="center"/>
        <w:outlineLvl w:val="0"/>
        <w:rPr>
          <w:rFonts w:ascii="Palatino Linotype" w:hAnsi="Palatino Linotype" w:cs="Helvetica"/>
          <w:b/>
          <w:color w:val="000099"/>
          <w:sz w:val="22"/>
          <w:szCs w:val="22"/>
        </w:rPr>
      </w:pPr>
    </w:p>
    <w:p w:rsidR="000254CD" w:rsidRDefault="000254CD" w:rsidP="00B25DA6">
      <w:pPr>
        <w:jc w:val="center"/>
        <w:outlineLvl w:val="0"/>
        <w:rPr>
          <w:rFonts w:ascii="Palatino Linotype" w:hAnsi="Palatino Linotype" w:cs="Helvetica"/>
          <w:b/>
          <w:color w:val="000099"/>
          <w:sz w:val="22"/>
          <w:szCs w:val="22"/>
        </w:rPr>
      </w:pPr>
    </w:p>
    <w:p w:rsidR="000254CD" w:rsidRDefault="000254CD" w:rsidP="00B25DA6">
      <w:pPr>
        <w:jc w:val="center"/>
        <w:outlineLvl w:val="0"/>
        <w:rPr>
          <w:rFonts w:ascii="Palatino Linotype" w:hAnsi="Palatino Linotype" w:cs="Helvetica"/>
          <w:b/>
          <w:color w:val="000099"/>
          <w:sz w:val="22"/>
          <w:szCs w:val="22"/>
        </w:rPr>
      </w:pPr>
    </w:p>
    <w:p w:rsidR="000254CD" w:rsidRDefault="000254CD" w:rsidP="00B25DA6">
      <w:pPr>
        <w:jc w:val="center"/>
        <w:outlineLvl w:val="0"/>
        <w:rPr>
          <w:rFonts w:ascii="Palatino Linotype" w:hAnsi="Palatino Linotype" w:cs="Helvetica"/>
          <w:b/>
          <w:color w:val="000099"/>
          <w:sz w:val="22"/>
          <w:szCs w:val="22"/>
        </w:rPr>
      </w:pPr>
    </w:p>
    <w:p w:rsidR="000254CD" w:rsidRDefault="000254CD" w:rsidP="00B25DA6">
      <w:pPr>
        <w:jc w:val="center"/>
        <w:outlineLvl w:val="0"/>
        <w:rPr>
          <w:rFonts w:ascii="Palatino Linotype" w:hAnsi="Palatino Linotype" w:cs="Helvetica"/>
          <w:b/>
          <w:color w:val="000099"/>
          <w:sz w:val="22"/>
          <w:szCs w:val="22"/>
        </w:rPr>
      </w:pPr>
    </w:p>
    <w:p w:rsidR="000254CD" w:rsidRPr="009A0EB3" w:rsidRDefault="000254CD" w:rsidP="00B25DA6">
      <w:pPr>
        <w:jc w:val="center"/>
        <w:outlineLvl w:val="0"/>
        <w:rPr>
          <w:rFonts w:ascii="Palatino Linotype" w:hAnsi="Palatino Linotype" w:cs="Helvetica"/>
          <w:b/>
          <w:color w:val="000099"/>
          <w:sz w:val="22"/>
          <w:szCs w:val="22"/>
        </w:rPr>
      </w:pPr>
    </w:p>
    <w:p w:rsidR="002C3645" w:rsidRDefault="002C3645" w:rsidP="00B25DA6">
      <w:pPr>
        <w:jc w:val="center"/>
        <w:outlineLvl w:val="0"/>
        <w:rPr>
          <w:rFonts w:ascii="Palatino Linotype" w:hAnsi="Palatino Linotype" w:cs="Helvetica"/>
          <w:b/>
          <w:color w:val="000099"/>
          <w:sz w:val="22"/>
          <w:szCs w:val="22"/>
        </w:rPr>
      </w:pPr>
    </w:p>
    <w:p w:rsidR="00EB52C5" w:rsidRDefault="00EB52C5" w:rsidP="00B25DA6">
      <w:pPr>
        <w:jc w:val="center"/>
        <w:outlineLvl w:val="0"/>
        <w:rPr>
          <w:rFonts w:ascii="Palatino Linotype" w:hAnsi="Palatino Linotype" w:cs="Helvetica"/>
          <w:b/>
          <w:color w:val="000099"/>
          <w:sz w:val="22"/>
          <w:szCs w:val="22"/>
        </w:rPr>
      </w:pPr>
    </w:p>
    <w:p w:rsidR="00EB52C5" w:rsidRPr="009A0EB3" w:rsidRDefault="00EB52C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2C3645">
      <w:pPr>
        <w:spacing w:line="20" w:lineRule="atLeast"/>
        <w:jc w:val="center"/>
        <w:rPr>
          <w:rFonts w:ascii="Palatino Linotype" w:hAnsi="Palatino Linotype"/>
          <w:b/>
          <w:color w:val="632423"/>
          <w:sz w:val="22"/>
          <w:szCs w:val="22"/>
        </w:rPr>
      </w:pPr>
      <w:r w:rsidRPr="009A0EB3">
        <w:rPr>
          <w:rFonts w:ascii="Palatino Linotype" w:hAnsi="Palatino Linotype"/>
          <w:b/>
          <w:color w:val="632423"/>
          <w:sz w:val="22"/>
          <w:szCs w:val="22"/>
        </w:rPr>
        <w:t>CONTENTS</w:t>
      </w:r>
    </w:p>
    <w:p w:rsidR="002C3645" w:rsidRPr="009A0EB3" w:rsidRDefault="002C3645" w:rsidP="002C3645">
      <w:pPr>
        <w:spacing w:line="20" w:lineRule="atLeast"/>
        <w:jc w:val="both"/>
        <w:rPr>
          <w:rFonts w:ascii="Palatino Linotype" w:hAnsi="Palatino Linotype"/>
          <w:b/>
          <w:color w:val="0000FF"/>
          <w:sz w:val="22"/>
          <w:szCs w:val="22"/>
        </w:rPr>
      </w:pPr>
    </w:p>
    <w:p w:rsidR="002C3645" w:rsidRPr="009A0EB3" w:rsidRDefault="002C3645" w:rsidP="002C3645">
      <w:pPr>
        <w:spacing w:line="20" w:lineRule="atLeast"/>
        <w:jc w:val="both"/>
        <w:rPr>
          <w:rFonts w:ascii="Palatino Linotype" w:hAnsi="Palatino Linotype"/>
          <w:b/>
          <w:color w:val="0000FF"/>
          <w:sz w:val="22"/>
          <w:szCs w:val="22"/>
        </w:rPr>
      </w:pPr>
    </w:p>
    <w:p w:rsidR="00FE77E0" w:rsidRDefault="00FE77E0" w:rsidP="00FE77E0">
      <w:pPr>
        <w:spacing w:line="20" w:lineRule="atLeast"/>
        <w:jc w:val="both"/>
        <w:rPr>
          <w:rFonts w:ascii="Palatino Linotype" w:hAnsi="Palatino Linotype"/>
          <w:b/>
          <w:color w:val="0000FF"/>
          <w:sz w:val="22"/>
          <w:szCs w:val="22"/>
        </w:rPr>
      </w:pPr>
    </w:p>
    <w:p w:rsidR="007C7C20" w:rsidRDefault="001B5B2F" w:rsidP="00A36146">
      <w:pPr>
        <w:spacing w:line="20" w:lineRule="atLeast"/>
        <w:jc w:val="both"/>
        <w:rPr>
          <w:rFonts w:ascii="Palatino Linotype" w:hAnsi="Palatino Linotype"/>
          <w:b/>
          <w:color w:val="0000FF"/>
          <w:sz w:val="22"/>
          <w:szCs w:val="22"/>
        </w:rPr>
      </w:pPr>
      <w:r w:rsidRPr="001B5B2F">
        <w:rPr>
          <w:rFonts w:ascii="Palatino Linotype" w:hAnsi="Palatino Linotype"/>
          <w:b/>
          <w:color w:val="0000FF"/>
          <w:sz w:val="22"/>
          <w:szCs w:val="22"/>
        </w:rPr>
        <w:t>CHAIRMAN’S SPEECH ON THE OCCASION OF 25TH AGM OF AMFI</w:t>
      </w:r>
    </w:p>
    <w:p w:rsidR="001B5B2F" w:rsidRPr="00A36146" w:rsidRDefault="001B5B2F" w:rsidP="00A36146">
      <w:pPr>
        <w:spacing w:line="20" w:lineRule="atLeast"/>
        <w:jc w:val="both"/>
        <w:rPr>
          <w:rFonts w:ascii="Palatino Linotype" w:hAnsi="Palatino Linotype"/>
          <w:b/>
          <w:color w:val="0000FF"/>
          <w:sz w:val="22"/>
          <w:szCs w:val="22"/>
        </w:rPr>
      </w:pPr>
    </w:p>
    <w:p w:rsidR="002C3645" w:rsidRPr="009A0EB3" w:rsidRDefault="002C3645" w:rsidP="00F81232">
      <w:pPr>
        <w:spacing w:line="20" w:lineRule="atLeast"/>
        <w:jc w:val="both"/>
        <w:rPr>
          <w:rFonts w:ascii="Palatino Linotype" w:hAnsi="Palatino Linotype"/>
          <w:b/>
          <w:color w:val="0000FF"/>
          <w:sz w:val="22"/>
          <w:szCs w:val="22"/>
        </w:rPr>
      </w:pPr>
      <w:r w:rsidRPr="009A0EB3">
        <w:rPr>
          <w:rFonts w:ascii="Palatino Linotype" w:hAnsi="Palatino Linotype"/>
          <w:b/>
          <w:color w:val="0000FF"/>
          <w:sz w:val="22"/>
          <w:szCs w:val="22"/>
        </w:rPr>
        <w:t>CAPITAL MARKET REVIEW</w:t>
      </w:r>
    </w:p>
    <w:p w:rsidR="002C3645" w:rsidRPr="009A0EB3" w:rsidRDefault="002C3645" w:rsidP="002C3645">
      <w:pPr>
        <w:spacing w:line="20" w:lineRule="atLeast"/>
        <w:jc w:val="both"/>
        <w:rPr>
          <w:rFonts w:ascii="Palatino Linotype" w:hAnsi="Palatino Linotype"/>
          <w:b/>
          <w:color w:val="0000FF"/>
          <w:sz w:val="22"/>
          <w:szCs w:val="22"/>
        </w:rPr>
      </w:pPr>
    </w:p>
    <w:p w:rsidR="002C3645" w:rsidRPr="009A0EB3" w:rsidRDefault="002C3645" w:rsidP="002C3645">
      <w:pPr>
        <w:spacing w:line="20" w:lineRule="atLeast"/>
        <w:jc w:val="both"/>
        <w:rPr>
          <w:rFonts w:ascii="Palatino Linotype" w:hAnsi="Palatino Linotype"/>
          <w:b/>
          <w:color w:val="0000FF"/>
          <w:sz w:val="22"/>
          <w:szCs w:val="22"/>
        </w:rPr>
      </w:pPr>
      <w:r w:rsidRPr="009A0EB3">
        <w:rPr>
          <w:rFonts w:ascii="Palatino Linotype" w:hAnsi="Palatino Linotype"/>
          <w:b/>
          <w:color w:val="0000FF"/>
          <w:sz w:val="22"/>
          <w:szCs w:val="22"/>
        </w:rPr>
        <w:t>REVIEW OF GLOBAL FINANCIAL MARKETS</w:t>
      </w:r>
    </w:p>
    <w:p w:rsidR="002C3645" w:rsidRPr="009A0EB3" w:rsidRDefault="002C3645" w:rsidP="002C3645">
      <w:pPr>
        <w:spacing w:line="20" w:lineRule="atLeast"/>
        <w:jc w:val="both"/>
        <w:rPr>
          <w:rFonts w:ascii="Palatino Linotype" w:hAnsi="Palatino Linotype"/>
          <w:b/>
          <w:color w:val="0000FF"/>
          <w:sz w:val="22"/>
          <w:szCs w:val="22"/>
        </w:rPr>
      </w:pPr>
    </w:p>
    <w:p w:rsidR="002C3645" w:rsidRPr="009A0EB3" w:rsidRDefault="002C3645" w:rsidP="002C3645">
      <w:pPr>
        <w:spacing w:line="20" w:lineRule="atLeast"/>
        <w:jc w:val="both"/>
        <w:rPr>
          <w:rFonts w:ascii="Palatino Linotype" w:hAnsi="Palatino Linotype"/>
          <w:b/>
          <w:color w:val="0000FF"/>
          <w:sz w:val="22"/>
          <w:szCs w:val="22"/>
        </w:rPr>
      </w:pPr>
      <w:r w:rsidRPr="009A0EB3">
        <w:rPr>
          <w:rFonts w:ascii="Palatino Linotype" w:hAnsi="Palatino Linotype"/>
          <w:b/>
          <w:color w:val="0000FF"/>
          <w:sz w:val="22"/>
          <w:szCs w:val="22"/>
        </w:rPr>
        <w:t>HIGHLIGHTS OF DEVELOPMENTS IN INTERNATIONAL SECURITIES MARKET</w:t>
      </w:r>
    </w:p>
    <w:p w:rsidR="002C3645" w:rsidRPr="009A0EB3" w:rsidRDefault="002C3645" w:rsidP="002C3645">
      <w:pPr>
        <w:spacing w:line="20" w:lineRule="atLeast"/>
        <w:jc w:val="both"/>
        <w:rPr>
          <w:rFonts w:ascii="Palatino Linotype" w:hAnsi="Palatino Linotype"/>
          <w:b/>
          <w:color w:val="0000FF"/>
          <w:sz w:val="22"/>
          <w:szCs w:val="22"/>
        </w:rPr>
      </w:pPr>
    </w:p>
    <w:p w:rsidR="002C3645" w:rsidRPr="009A0EB3" w:rsidRDefault="002C3645" w:rsidP="002C3645">
      <w:pPr>
        <w:spacing w:line="20" w:lineRule="atLeast"/>
        <w:jc w:val="both"/>
        <w:rPr>
          <w:rFonts w:ascii="Palatino Linotype" w:hAnsi="Palatino Linotype"/>
          <w:b/>
          <w:color w:val="0000FF"/>
          <w:sz w:val="22"/>
          <w:szCs w:val="22"/>
        </w:rPr>
      </w:pPr>
      <w:r w:rsidRPr="009A0EB3">
        <w:rPr>
          <w:rFonts w:ascii="Palatino Linotype" w:hAnsi="Palatino Linotype"/>
          <w:b/>
          <w:color w:val="0000FF"/>
          <w:sz w:val="22"/>
          <w:szCs w:val="22"/>
        </w:rPr>
        <w:t xml:space="preserve">POLICY DEVELOPMENTS </w:t>
      </w:r>
      <w:r w:rsidR="00E71481">
        <w:rPr>
          <w:rFonts w:ascii="Palatino Linotype" w:hAnsi="Palatino Linotype"/>
          <w:b/>
          <w:color w:val="0000FF"/>
          <w:sz w:val="22"/>
          <w:szCs w:val="22"/>
        </w:rPr>
        <w:t>AT SEBI</w:t>
      </w:r>
    </w:p>
    <w:p w:rsidR="002C3645" w:rsidRPr="009A0EB3" w:rsidRDefault="002C3645" w:rsidP="002C3645">
      <w:pPr>
        <w:spacing w:line="20" w:lineRule="atLeast"/>
        <w:jc w:val="both"/>
        <w:rPr>
          <w:rFonts w:ascii="Palatino Linotype" w:hAnsi="Palatino Linotype"/>
          <w:b/>
          <w:color w:val="0000FF"/>
          <w:sz w:val="22"/>
          <w:szCs w:val="22"/>
        </w:rPr>
      </w:pPr>
    </w:p>
    <w:p w:rsidR="002C3645" w:rsidRPr="009A0EB3" w:rsidRDefault="002C3645" w:rsidP="002C3645">
      <w:pPr>
        <w:spacing w:line="20" w:lineRule="atLeast"/>
        <w:jc w:val="both"/>
        <w:rPr>
          <w:rFonts w:ascii="Palatino Linotype" w:hAnsi="Palatino Linotype"/>
          <w:b/>
          <w:color w:val="0000FF"/>
          <w:sz w:val="22"/>
          <w:szCs w:val="22"/>
        </w:rPr>
      </w:pPr>
      <w:r w:rsidRPr="009A0EB3">
        <w:rPr>
          <w:rFonts w:ascii="Palatino Linotype" w:hAnsi="Palatino Linotype"/>
          <w:b/>
          <w:color w:val="0000FF"/>
          <w:sz w:val="22"/>
          <w:szCs w:val="22"/>
        </w:rPr>
        <w:t xml:space="preserve">REGULATORY ACTIONS TAKEN BY SEBI </w:t>
      </w:r>
    </w:p>
    <w:p w:rsidR="002C3645" w:rsidRPr="009A0EB3" w:rsidRDefault="002C3645" w:rsidP="002C3645">
      <w:pPr>
        <w:spacing w:line="20" w:lineRule="atLeast"/>
        <w:jc w:val="both"/>
        <w:rPr>
          <w:rFonts w:ascii="Palatino Linotype" w:hAnsi="Palatino Linotype"/>
          <w:b/>
          <w:color w:val="0000FF"/>
          <w:sz w:val="22"/>
          <w:szCs w:val="22"/>
        </w:rPr>
      </w:pPr>
    </w:p>
    <w:p w:rsidR="002C3645" w:rsidRPr="009A0EB3" w:rsidRDefault="002C3645" w:rsidP="002C3645">
      <w:pPr>
        <w:spacing w:line="20" w:lineRule="atLeast"/>
        <w:jc w:val="both"/>
        <w:rPr>
          <w:rFonts w:ascii="Palatino Linotype" w:hAnsi="Palatino Linotype"/>
          <w:b/>
          <w:color w:val="0000FF"/>
          <w:sz w:val="22"/>
          <w:szCs w:val="22"/>
        </w:rPr>
      </w:pPr>
      <w:r w:rsidRPr="009A0EB3">
        <w:rPr>
          <w:rFonts w:ascii="Palatino Linotype" w:hAnsi="Palatino Linotype"/>
          <w:b/>
          <w:color w:val="0000FF"/>
          <w:sz w:val="22"/>
          <w:szCs w:val="22"/>
        </w:rPr>
        <w:t xml:space="preserve">TABLES </w:t>
      </w:r>
    </w:p>
    <w:p w:rsidR="002C3645" w:rsidRPr="009A0EB3" w:rsidRDefault="002C3645" w:rsidP="002C3645">
      <w:pPr>
        <w:spacing w:line="20" w:lineRule="atLeast"/>
        <w:jc w:val="both"/>
        <w:rPr>
          <w:rFonts w:ascii="Palatino Linotype" w:hAnsi="Palatino Linotype"/>
          <w:b/>
          <w:color w:val="0000FF"/>
          <w:sz w:val="22"/>
          <w:szCs w:val="22"/>
        </w:rPr>
      </w:pPr>
    </w:p>
    <w:p w:rsidR="002C3645" w:rsidRPr="009A0EB3" w:rsidRDefault="002C3645" w:rsidP="002C3645">
      <w:pPr>
        <w:spacing w:line="20" w:lineRule="atLeast"/>
        <w:jc w:val="both"/>
        <w:rPr>
          <w:rFonts w:ascii="Palatino Linotype" w:hAnsi="Palatino Linotype"/>
          <w:b/>
          <w:color w:val="0000FF"/>
          <w:sz w:val="22"/>
          <w:szCs w:val="22"/>
        </w:rPr>
      </w:pPr>
      <w:r w:rsidRPr="009A0EB3">
        <w:rPr>
          <w:rFonts w:ascii="Palatino Linotype" w:hAnsi="Palatino Linotype"/>
          <w:b/>
          <w:color w:val="0000FF"/>
          <w:sz w:val="22"/>
          <w:szCs w:val="22"/>
        </w:rPr>
        <w:t>PUBLICATIONS</w:t>
      </w:r>
    </w:p>
    <w:p w:rsidR="002C3645" w:rsidRDefault="002C3645"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6A566F" w:rsidRDefault="006A566F" w:rsidP="00B25DA6">
      <w:pPr>
        <w:jc w:val="center"/>
        <w:outlineLvl w:val="0"/>
        <w:rPr>
          <w:rFonts w:ascii="Palatino Linotype" w:hAnsi="Palatino Linotype" w:cs="Helvetica"/>
          <w:b/>
          <w:color w:val="000099"/>
          <w:sz w:val="22"/>
          <w:szCs w:val="22"/>
        </w:rPr>
      </w:pPr>
    </w:p>
    <w:p w:rsidR="006A566F" w:rsidRDefault="006A566F" w:rsidP="00B25DA6">
      <w:pPr>
        <w:jc w:val="center"/>
        <w:outlineLvl w:val="0"/>
        <w:rPr>
          <w:rFonts w:ascii="Palatino Linotype" w:hAnsi="Palatino Linotype" w:cs="Helvetica"/>
          <w:b/>
          <w:color w:val="000099"/>
          <w:sz w:val="22"/>
          <w:szCs w:val="22"/>
        </w:rPr>
      </w:pPr>
    </w:p>
    <w:p w:rsidR="006A566F" w:rsidRDefault="006A566F" w:rsidP="00B25DA6">
      <w:pPr>
        <w:jc w:val="center"/>
        <w:outlineLvl w:val="0"/>
        <w:rPr>
          <w:rFonts w:ascii="Palatino Linotype" w:hAnsi="Palatino Linotype" w:cs="Helvetica"/>
          <w:b/>
          <w:color w:val="000099"/>
          <w:sz w:val="22"/>
          <w:szCs w:val="22"/>
        </w:rPr>
      </w:pPr>
    </w:p>
    <w:p w:rsidR="006A566F" w:rsidRDefault="006A566F" w:rsidP="00B25DA6">
      <w:pPr>
        <w:jc w:val="center"/>
        <w:outlineLvl w:val="0"/>
        <w:rPr>
          <w:rFonts w:ascii="Palatino Linotype" w:hAnsi="Palatino Linotype" w:cs="Helvetica"/>
          <w:b/>
          <w:color w:val="000099"/>
          <w:sz w:val="22"/>
          <w:szCs w:val="22"/>
        </w:rPr>
      </w:pPr>
    </w:p>
    <w:p w:rsidR="006A566F" w:rsidRDefault="006A566F" w:rsidP="00B25DA6">
      <w:pPr>
        <w:jc w:val="center"/>
        <w:outlineLvl w:val="0"/>
        <w:rPr>
          <w:rFonts w:ascii="Palatino Linotype" w:hAnsi="Palatino Linotype" w:cs="Helvetica"/>
          <w:b/>
          <w:color w:val="000099"/>
          <w:sz w:val="22"/>
          <w:szCs w:val="22"/>
        </w:rPr>
      </w:pPr>
    </w:p>
    <w:p w:rsidR="006A566F" w:rsidRDefault="006A566F" w:rsidP="00B25DA6">
      <w:pPr>
        <w:jc w:val="center"/>
        <w:outlineLvl w:val="0"/>
        <w:rPr>
          <w:rFonts w:ascii="Palatino Linotype" w:hAnsi="Palatino Linotype" w:cs="Helvetica"/>
          <w:b/>
          <w:color w:val="000099"/>
          <w:sz w:val="22"/>
          <w:szCs w:val="22"/>
        </w:rPr>
      </w:pPr>
    </w:p>
    <w:p w:rsidR="006A566F" w:rsidRDefault="006A566F" w:rsidP="00B25DA6">
      <w:pPr>
        <w:jc w:val="center"/>
        <w:outlineLvl w:val="0"/>
        <w:rPr>
          <w:rFonts w:ascii="Palatino Linotype" w:hAnsi="Palatino Linotype" w:cs="Helvetica"/>
          <w:b/>
          <w:color w:val="000099"/>
          <w:sz w:val="22"/>
          <w:szCs w:val="22"/>
        </w:rPr>
      </w:pPr>
    </w:p>
    <w:p w:rsidR="006A566F" w:rsidRDefault="006A566F" w:rsidP="00B25DA6">
      <w:pPr>
        <w:jc w:val="center"/>
        <w:outlineLvl w:val="0"/>
        <w:rPr>
          <w:rFonts w:ascii="Palatino Linotype" w:hAnsi="Palatino Linotype" w:cs="Helvetica"/>
          <w:b/>
          <w:color w:val="000099"/>
          <w:sz w:val="22"/>
          <w:szCs w:val="22"/>
        </w:rPr>
      </w:pPr>
    </w:p>
    <w:p w:rsidR="006A566F" w:rsidRDefault="006A566F" w:rsidP="00B25DA6">
      <w:pPr>
        <w:jc w:val="center"/>
        <w:outlineLvl w:val="0"/>
        <w:rPr>
          <w:rFonts w:ascii="Palatino Linotype" w:hAnsi="Palatino Linotype" w:cs="Helvetica"/>
          <w:b/>
          <w:color w:val="000099"/>
          <w:sz w:val="22"/>
          <w:szCs w:val="22"/>
        </w:rPr>
      </w:pPr>
    </w:p>
    <w:p w:rsidR="00CA637F" w:rsidRDefault="00CA637F" w:rsidP="001A42AC">
      <w:pPr>
        <w:spacing w:line="360" w:lineRule="auto"/>
        <w:jc w:val="center"/>
        <w:outlineLvl w:val="0"/>
        <w:rPr>
          <w:rFonts w:ascii="Palatino Linotype" w:hAnsi="Palatino Linotype" w:cs="Helvetica"/>
          <w:b/>
          <w:sz w:val="22"/>
          <w:szCs w:val="22"/>
        </w:rPr>
      </w:pPr>
    </w:p>
    <w:p w:rsidR="001A42AC" w:rsidRPr="001A42AC" w:rsidRDefault="001A42AC" w:rsidP="001A42AC">
      <w:pPr>
        <w:spacing w:line="360" w:lineRule="auto"/>
        <w:jc w:val="center"/>
        <w:outlineLvl w:val="0"/>
        <w:rPr>
          <w:rFonts w:ascii="Palatino Linotype" w:hAnsi="Palatino Linotype" w:cs="Helvetica"/>
          <w:b/>
          <w:sz w:val="22"/>
          <w:szCs w:val="22"/>
        </w:rPr>
      </w:pPr>
      <w:r w:rsidRPr="001A42AC">
        <w:rPr>
          <w:rFonts w:ascii="Palatino Linotype" w:hAnsi="Palatino Linotype" w:cs="Helvetica"/>
          <w:b/>
          <w:sz w:val="22"/>
          <w:szCs w:val="22"/>
        </w:rPr>
        <w:lastRenderedPageBreak/>
        <w:t>SEBI CHAIRMAN’S ADDRESS AT 25th AGM OF AMFI</w:t>
      </w:r>
    </w:p>
    <w:p w:rsidR="001A42AC" w:rsidRPr="001A42AC" w:rsidRDefault="001A42AC" w:rsidP="001A42AC">
      <w:pPr>
        <w:spacing w:line="360" w:lineRule="auto"/>
        <w:jc w:val="center"/>
        <w:outlineLvl w:val="0"/>
        <w:rPr>
          <w:rFonts w:ascii="Palatino Linotype" w:hAnsi="Palatino Linotype" w:cs="Helvetica"/>
          <w:bCs/>
          <w:sz w:val="22"/>
          <w:szCs w:val="22"/>
        </w:rPr>
      </w:pPr>
      <w:r w:rsidRPr="001A42AC">
        <w:rPr>
          <w:rFonts w:ascii="Palatino Linotype" w:hAnsi="Palatino Linotype" w:cs="Helvetica"/>
          <w:b/>
          <w:sz w:val="22"/>
          <w:szCs w:val="22"/>
        </w:rPr>
        <w:t>September 22, 2020; Mumbai</w:t>
      </w:r>
      <w:r w:rsidRPr="001A42AC">
        <w:rPr>
          <w:rFonts w:ascii="Palatino Linotype" w:hAnsi="Palatino Linotype" w:cs="Helvetica"/>
          <w:bCs/>
          <w:sz w:val="22"/>
          <w:szCs w:val="22"/>
        </w:rPr>
        <w:t xml:space="preserve"> </w:t>
      </w:r>
    </w:p>
    <w:p w:rsidR="001A42AC" w:rsidRPr="001A42AC" w:rsidRDefault="001A42AC" w:rsidP="001A42AC">
      <w:pPr>
        <w:spacing w:line="360" w:lineRule="auto"/>
        <w:jc w:val="center"/>
        <w:outlineLvl w:val="0"/>
        <w:rPr>
          <w:rFonts w:ascii="Palatino Linotype" w:hAnsi="Palatino Linotype" w:cs="Helvetica"/>
          <w:bCs/>
          <w:sz w:val="22"/>
          <w:szCs w:val="22"/>
        </w:rPr>
      </w:pPr>
    </w:p>
    <w:p w:rsidR="001A42AC" w:rsidRPr="001A42AC" w:rsidRDefault="001A42AC" w:rsidP="001A42AC">
      <w:pPr>
        <w:spacing w:line="360" w:lineRule="auto"/>
        <w:jc w:val="both"/>
        <w:outlineLvl w:val="0"/>
        <w:rPr>
          <w:rFonts w:ascii="Palatino Linotype" w:hAnsi="Palatino Linotype" w:cs="Helvetica"/>
          <w:bCs/>
          <w:sz w:val="22"/>
          <w:szCs w:val="22"/>
        </w:rPr>
      </w:pPr>
      <w:r w:rsidRPr="001A42AC">
        <w:rPr>
          <w:rFonts w:ascii="Palatino Linotype" w:hAnsi="Palatino Linotype" w:cs="Helvetica"/>
          <w:bCs/>
          <w:sz w:val="22"/>
          <w:szCs w:val="22"/>
        </w:rPr>
        <w:t xml:space="preserve">1.  Ladies and Gentlemen, a very good morning to all of you. I would like to thank AMFI for giving me this opportunity to address their 25th AGM. Leaving aside the limitations of a virtual mode of address, I will try to share my thoughts with you on the Mutual Fund industry at this crucial time. </w:t>
      </w:r>
    </w:p>
    <w:p w:rsidR="001A42AC" w:rsidRPr="001A42AC" w:rsidRDefault="001A42AC" w:rsidP="001A42AC">
      <w:pPr>
        <w:spacing w:line="360" w:lineRule="auto"/>
        <w:jc w:val="both"/>
        <w:outlineLvl w:val="0"/>
        <w:rPr>
          <w:rFonts w:ascii="Palatino Linotype" w:hAnsi="Palatino Linotype" w:cs="Helvetica"/>
          <w:bCs/>
          <w:sz w:val="22"/>
          <w:szCs w:val="22"/>
        </w:rPr>
      </w:pPr>
    </w:p>
    <w:p w:rsidR="001A42AC" w:rsidRPr="001A42AC" w:rsidRDefault="001A42AC" w:rsidP="001A42AC">
      <w:pPr>
        <w:spacing w:line="360" w:lineRule="auto"/>
        <w:jc w:val="both"/>
        <w:outlineLvl w:val="0"/>
        <w:rPr>
          <w:rFonts w:ascii="Palatino Linotype" w:hAnsi="Palatino Linotype" w:cs="Helvetica"/>
          <w:bCs/>
          <w:sz w:val="22"/>
          <w:szCs w:val="22"/>
        </w:rPr>
      </w:pPr>
      <w:r w:rsidRPr="001A42AC">
        <w:rPr>
          <w:rFonts w:ascii="Palatino Linotype" w:hAnsi="Palatino Linotype" w:cs="Helvetica"/>
          <w:bCs/>
          <w:sz w:val="22"/>
          <w:szCs w:val="22"/>
        </w:rPr>
        <w:t xml:space="preserve">2.  But before that, let me begin with complimenting AMFI for the good job it is doing. One of the most challenging tasks that a regulator faces while adopting a  consultative  approach  to  policy  making,  is  building  consensus  amongst various  stakeholders.  Not  only  is  AMFI  effectively  providing  a  two-way communication between the regulator and the mutual fund industry, it is also taking various initiatives including efforts to bring in standardization within the industry, especially with regards to processes.  </w:t>
      </w:r>
    </w:p>
    <w:p w:rsidR="001A42AC" w:rsidRPr="001A42AC" w:rsidRDefault="001A42AC" w:rsidP="001A42AC">
      <w:pPr>
        <w:spacing w:line="360" w:lineRule="auto"/>
        <w:jc w:val="both"/>
        <w:outlineLvl w:val="0"/>
        <w:rPr>
          <w:rFonts w:ascii="Palatino Linotype" w:hAnsi="Palatino Linotype" w:cs="Helvetica"/>
          <w:bCs/>
          <w:sz w:val="22"/>
          <w:szCs w:val="22"/>
        </w:rPr>
      </w:pPr>
    </w:p>
    <w:p w:rsidR="001A42AC" w:rsidRPr="001A42AC" w:rsidRDefault="001A42AC" w:rsidP="001A42AC">
      <w:pPr>
        <w:spacing w:line="360" w:lineRule="auto"/>
        <w:jc w:val="both"/>
        <w:outlineLvl w:val="0"/>
        <w:rPr>
          <w:rFonts w:ascii="Palatino Linotype" w:hAnsi="Palatino Linotype" w:cs="Helvetica"/>
          <w:bCs/>
          <w:sz w:val="22"/>
          <w:szCs w:val="22"/>
        </w:rPr>
      </w:pPr>
      <w:r w:rsidRPr="001A42AC">
        <w:rPr>
          <w:rFonts w:ascii="Palatino Linotype" w:hAnsi="Palatino Linotype" w:cs="Helvetica"/>
          <w:bCs/>
          <w:sz w:val="22"/>
          <w:szCs w:val="22"/>
        </w:rPr>
        <w:t xml:space="preserve">3.  This being an annual event which I am addressing for some time now, in today’s address, I would like to briefly cover the status of the markets as a whole, the performance of the Mutual Fund industry and the major policy initiatives taken by SEBI during the last one year, before moving on to the present issues and challenges faced by the industry along with the possible ways to address them. </w:t>
      </w:r>
    </w:p>
    <w:p w:rsidR="001A42AC" w:rsidRPr="001A42AC" w:rsidRDefault="001A42AC" w:rsidP="001A42AC">
      <w:pPr>
        <w:spacing w:line="360" w:lineRule="auto"/>
        <w:jc w:val="both"/>
        <w:outlineLvl w:val="0"/>
        <w:rPr>
          <w:rFonts w:ascii="Palatino Linotype" w:hAnsi="Palatino Linotype" w:cs="Helvetica"/>
          <w:bCs/>
          <w:sz w:val="22"/>
          <w:szCs w:val="22"/>
        </w:rPr>
      </w:pPr>
    </w:p>
    <w:p w:rsidR="001A42AC" w:rsidRPr="00100655" w:rsidRDefault="001A42AC" w:rsidP="001A42AC">
      <w:pPr>
        <w:spacing w:line="360" w:lineRule="auto"/>
        <w:jc w:val="both"/>
        <w:outlineLvl w:val="0"/>
        <w:rPr>
          <w:rFonts w:ascii="Palatino Linotype" w:hAnsi="Palatino Linotype" w:cs="Helvetica"/>
          <w:b/>
          <w:sz w:val="22"/>
          <w:szCs w:val="22"/>
        </w:rPr>
      </w:pPr>
      <w:r w:rsidRPr="00100655">
        <w:rPr>
          <w:rFonts w:ascii="Palatino Linotype" w:hAnsi="Palatino Linotype" w:cs="Helvetica"/>
          <w:b/>
          <w:sz w:val="22"/>
          <w:szCs w:val="22"/>
        </w:rPr>
        <w:t xml:space="preserve">A.  Introductory Remarks: </w:t>
      </w:r>
    </w:p>
    <w:p w:rsidR="001A42AC" w:rsidRPr="001A42AC" w:rsidRDefault="001A42AC" w:rsidP="001A42AC">
      <w:pPr>
        <w:spacing w:line="360" w:lineRule="auto"/>
        <w:jc w:val="both"/>
        <w:outlineLvl w:val="0"/>
        <w:rPr>
          <w:rFonts w:ascii="Palatino Linotype" w:hAnsi="Palatino Linotype" w:cs="Helvetica"/>
          <w:bCs/>
          <w:sz w:val="22"/>
          <w:szCs w:val="22"/>
        </w:rPr>
      </w:pPr>
    </w:p>
    <w:p w:rsidR="00DF4DB1" w:rsidRDefault="001A42AC" w:rsidP="001A42AC">
      <w:pPr>
        <w:spacing w:line="360" w:lineRule="auto"/>
        <w:jc w:val="both"/>
        <w:outlineLvl w:val="0"/>
        <w:rPr>
          <w:rFonts w:ascii="Palatino Linotype" w:hAnsi="Palatino Linotype" w:cs="Helvetica"/>
          <w:bCs/>
          <w:sz w:val="22"/>
          <w:szCs w:val="22"/>
        </w:rPr>
      </w:pPr>
      <w:r w:rsidRPr="001A42AC">
        <w:rPr>
          <w:rFonts w:ascii="Palatino Linotype" w:hAnsi="Palatino Linotype" w:cs="Helvetica"/>
          <w:bCs/>
          <w:sz w:val="22"/>
          <w:szCs w:val="22"/>
        </w:rPr>
        <w:t xml:space="preserve">4.  The  world today is passing through a phase of unprecedented uncertainty which none of us witnessed in our lifetime. Financial markets across the globe have been severely affected ever since the declaration of COVID 19 as a pandemic around mid – Mar’ 20. The worst part is that the uncertainty continues and no one knows for how long it would last.  </w:t>
      </w:r>
    </w:p>
    <w:p w:rsidR="00DF4DB1" w:rsidRDefault="00DF4DB1" w:rsidP="001A42AC">
      <w:pPr>
        <w:spacing w:line="360" w:lineRule="auto"/>
        <w:jc w:val="both"/>
        <w:outlineLvl w:val="0"/>
        <w:rPr>
          <w:rFonts w:ascii="Palatino Linotype" w:hAnsi="Palatino Linotype" w:cs="Helvetica"/>
          <w:bCs/>
          <w:sz w:val="22"/>
          <w:szCs w:val="22"/>
        </w:rPr>
      </w:pPr>
    </w:p>
    <w:p w:rsidR="00DF4DB1" w:rsidRDefault="001A42AC" w:rsidP="001A42AC">
      <w:pPr>
        <w:spacing w:line="360" w:lineRule="auto"/>
        <w:jc w:val="both"/>
        <w:outlineLvl w:val="0"/>
        <w:rPr>
          <w:rFonts w:ascii="Palatino Linotype" w:hAnsi="Palatino Linotype" w:cs="Helvetica"/>
          <w:bCs/>
          <w:sz w:val="22"/>
          <w:szCs w:val="22"/>
        </w:rPr>
      </w:pPr>
      <w:r w:rsidRPr="001A42AC">
        <w:rPr>
          <w:rFonts w:ascii="Palatino Linotype" w:hAnsi="Palatino Linotype" w:cs="Helvetica"/>
          <w:bCs/>
          <w:sz w:val="22"/>
          <w:szCs w:val="22"/>
        </w:rPr>
        <w:t xml:space="preserve">5.  The Volatility Index (VIX) in Indian stock market went up significantly to 84 in Mar ’20 from average of 15 in previous 3 months i.e. Dec ’19 - Feb ’20. For the first time in the history of Indian stock market, lower circuit breaker got triggered on two occasions within a short time span of two weeks during Mar ’20. </w:t>
      </w:r>
    </w:p>
    <w:p w:rsidR="00DF4DB1" w:rsidRDefault="00DF4DB1" w:rsidP="001A42AC">
      <w:pPr>
        <w:spacing w:line="360" w:lineRule="auto"/>
        <w:jc w:val="both"/>
        <w:outlineLvl w:val="0"/>
        <w:rPr>
          <w:rFonts w:ascii="Palatino Linotype" w:hAnsi="Palatino Linotype" w:cs="Helvetica"/>
          <w:bCs/>
          <w:sz w:val="22"/>
          <w:szCs w:val="22"/>
        </w:rPr>
      </w:pPr>
    </w:p>
    <w:p w:rsidR="00DF4DB1" w:rsidRDefault="001A42AC" w:rsidP="001A42AC">
      <w:pPr>
        <w:spacing w:line="360" w:lineRule="auto"/>
        <w:jc w:val="both"/>
        <w:outlineLvl w:val="0"/>
        <w:rPr>
          <w:rFonts w:ascii="Palatino Linotype" w:hAnsi="Palatino Linotype" w:cs="Helvetica"/>
          <w:bCs/>
          <w:sz w:val="22"/>
          <w:szCs w:val="22"/>
        </w:rPr>
      </w:pPr>
      <w:r w:rsidRPr="001A42AC">
        <w:rPr>
          <w:rFonts w:ascii="Palatino Linotype" w:hAnsi="Palatino Linotype" w:cs="Helvetica"/>
          <w:bCs/>
          <w:sz w:val="22"/>
          <w:szCs w:val="22"/>
        </w:rPr>
        <w:lastRenderedPageBreak/>
        <w:t xml:space="preserve">6.   To curb volatility and to ensure orderly functioning of the market, SEBI took several surveillance measures in Mar’20 which are still in force. This, along with various measures taken by the Government and RBI brought calmness in the market. The VIX has now come down to around 20. </w:t>
      </w:r>
    </w:p>
    <w:p w:rsidR="00DF4DB1" w:rsidRDefault="00DF4DB1" w:rsidP="001A42AC">
      <w:pPr>
        <w:spacing w:line="360" w:lineRule="auto"/>
        <w:jc w:val="both"/>
        <w:outlineLvl w:val="0"/>
        <w:rPr>
          <w:rFonts w:ascii="Palatino Linotype" w:hAnsi="Palatino Linotype" w:cs="Helvetica"/>
          <w:bCs/>
          <w:sz w:val="22"/>
          <w:szCs w:val="22"/>
        </w:rPr>
      </w:pPr>
    </w:p>
    <w:p w:rsidR="00DF4DB1" w:rsidRDefault="001A42AC" w:rsidP="001A42AC">
      <w:pPr>
        <w:spacing w:line="360" w:lineRule="auto"/>
        <w:jc w:val="both"/>
        <w:outlineLvl w:val="0"/>
        <w:rPr>
          <w:rFonts w:ascii="Palatino Linotype" w:hAnsi="Palatino Linotype" w:cs="Helvetica"/>
          <w:bCs/>
          <w:sz w:val="22"/>
          <w:szCs w:val="22"/>
        </w:rPr>
      </w:pPr>
      <w:r w:rsidRPr="001A42AC">
        <w:rPr>
          <w:rFonts w:ascii="Palatino Linotype" w:hAnsi="Palatino Linotype" w:cs="Helvetica"/>
          <w:bCs/>
          <w:sz w:val="22"/>
          <w:szCs w:val="22"/>
        </w:rPr>
        <w:t>7.  The good news is that, despite uncertain times, the overall fund raising through the capital markets during this financial year has been quite encouraging. The overall funds raised up till 18th September 2020 were INR 5.0 lakh crore (INR 1.46 lakh crore in equity and INR 3.54 lakh crore in debt securities).</w:t>
      </w:r>
      <w:r>
        <w:rPr>
          <w:rFonts w:ascii="Palatino Linotype" w:hAnsi="Palatino Linotype" w:cs="Helvetica"/>
          <w:bCs/>
          <w:sz w:val="22"/>
          <w:szCs w:val="22"/>
        </w:rPr>
        <w:t xml:space="preserve">  </w:t>
      </w:r>
      <w:r w:rsidRPr="001A42AC">
        <w:rPr>
          <w:rFonts w:ascii="Palatino Linotype" w:hAnsi="Palatino Linotype" w:cs="Helvetica"/>
          <w:bCs/>
          <w:sz w:val="22"/>
          <w:szCs w:val="22"/>
        </w:rPr>
        <w:t xml:space="preserve">As for a comparison with the last year, till end August, total funds raised this year were about INR 4.5 lakh crore as compared to INR 4 lakh crore last year. This is particularly important since corporate India needed to build a cushion of capital to absorb the COVID shock and the markets have lent full support to help them do that. </w:t>
      </w:r>
    </w:p>
    <w:p w:rsidR="00DF4DB1" w:rsidRDefault="00DF4DB1" w:rsidP="001A42AC">
      <w:pPr>
        <w:spacing w:line="360" w:lineRule="auto"/>
        <w:jc w:val="both"/>
        <w:outlineLvl w:val="0"/>
        <w:rPr>
          <w:rFonts w:ascii="Palatino Linotype" w:hAnsi="Palatino Linotype" w:cs="Helvetica"/>
          <w:bCs/>
          <w:sz w:val="22"/>
          <w:szCs w:val="22"/>
        </w:rPr>
      </w:pPr>
    </w:p>
    <w:p w:rsidR="007C7C20" w:rsidRDefault="001A42AC" w:rsidP="001A42AC">
      <w:pPr>
        <w:spacing w:line="360" w:lineRule="auto"/>
        <w:jc w:val="both"/>
        <w:outlineLvl w:val="0"/>
        <w:rPr>
          <w:rFonts w:ascii="Palatino Linotype" w:hAnsi="Palatino Linotype" w:cs="Helvetica"/>
          <w:bCs/>
          <w:sz w:val="22"/>
          <w:szCs w:val="22"/>
        </w:rPr>
      </w:pPr>
      <w:r w:rsidRPr="001A42AC">
        <w:rPr>
          <w:rFonts w:ascii="Palatino Linotype" w:hAnsi="Palatino Linotype" w:cs="Helvetica"/>
          <w:bCs/>
          <w:sz w:val="22"/>
          <w:szCs w:val="22"/>
        </w:rPr>
        <w:t>8.  As far as the performance of mutual fund industry is concerned, overall, the industry has weathered the storm well which demonstrates the robustness of the regulatory framework as well as the maturity of the industry</w:t>
      </w:r>
      <w:r>
        <w:rPr>
          <w:rFonts w:ascii="Palatino Linotype" w:hAnsi="Palatino Linotype" w:cs="Helvetica"/>
          <w:bCs/>
          <w:sz w:val="22"/>
          <w:szCs w:val="22"/>
        </w:rPr>
        <w:t>.</w:t>
      </w:r>
    </w:p>
    <w:p w:rsidR="001A42AC" w:rsidRDefault="001A42AC" w:rsidP="001A42AC">
      <w:pPr>
        <w:spacing w:line="360" w:lineRule="auto"/>
        <w:jc w:val="both"/>
        <w:outlineLvl w:val="0"/>
        <w:rPr>
          <w:rFonts w:ascii="Palatino Linotype" w:hAnsi="Palatino Linotype" w:cs="Helvetica"/>
          <w:bCs/>
          <w:sz w:val="22"/>
          <w:szCs w:val="22"/>
        </w:rPr>
      </w:pPr>
    </w:p>
    <w:p w:rsidR="001A42AC" w:rsidRDefault="001A42AC" w:rsidP="001A42AC">
      <w:pPr>
        <w:spacing w:line="360" w:lineRule="auto"/>
        <w:jc w:val="both"/>
        <w:outlineLvl w:val="0"/>
        <w:rPr>
          <w:rFonts w:ascii="Palatino Linotype" w:hAnsi="Palatino Linotype" w:cs="Helvetica"/>
          <w:bCs/>
          <w:sz w:val="22"/>
          <w:szCs w:val="22"/>
        </w:rPr>
      </w:pPr>
      <w:r w:rsidRPr="001A42AC">
        <w:rPr>
          <w:rFonts w:ascii="Palatino Linotype" w:hAnsi="Palatino Linotype" w:cs="Helvetica"/>
          <w:bCs/>
          <w:sz w:val="22"/>
          <w:szCs w:val="22"/>
        </w:rPr>
        <w:t xml:space="preserve">9.  The  Mutual Fund industry, however,  also  went through several  patches  of challenges, especially on the debt mutual fund side. Some of the issues that arose during the period are now addressed and some are in the process of being addressed. The contemplated policy measures inter-alia include stress testing,  minimum  asset  allocation  in  liquid  assets  and  a  swing  pricing  like mechanism.  </w:t>
      </w:r>
    </w:p>
    <w:p w:rsidR="001A42AC" w:rsidRDefault="001A42AC" w:rsidP="001A42AC">
      <w:pPr>
        <w:spacing w:line="360" w:lineRule="auto"/>
        <w:jc w:val="both"/>
        <w:outlineLvl w:val="0"/>
        <w:rPr>
          <w:rFonts w:ascii="Palatino Linotype" w:hAnsi="Palatino Linotype" w:cs="Helvetica"/>
          <w:bCs/>
          <w:sz w:val="22"/>
          <w:szCs w:val="22"/>
        </w:rPr>
      </w:pPr>
    </w:p>
    <w:p w:rsidR="001A42AC" w:rsidRDefault="001A42AC" w:rsidP="001A42AC">
      <w:pPr>
        <w:spacing w:line="360" w:lineRule="auto"/>
        <w:jc w:val="both"/>
        <w:outlineLvl w:val="0"/>
        <w:rPr>
          <w:rFonts w:ascii="Palatino Linotype" w:hAnsi="Palatino Linotype" w:cs="Helvetica"/>
          <w:bCs/>
          <w:sz w:val="22"/>
          <w:szCs w:val="22"/>
        </w:rPr>
      </w:pPr>
      <w:r w:rsidRPr="001A42AC">
        <w:rPr>
          <w:rFonts w:ascii="Palatino Linotype" w:hAnsi="Palatino Linotype" w:cs="Helvetica"/>
          <w:bCs/>
          <w:sz w:val="22"/>
          <w:szCs w:val="22"/>
        </w:rPr>
        <w:t xml:space="preserve">10. Such events also force us to think if there is a need for some structural changes in the system. In this context, I would like touch upon the two recent initiatives taken by SEBI – for setting up a special purpose clearing corporation for repo in corporate bonds; and for setting up a back-stop facility for improving liquidity in the secondary market for corporate bonds particularly during periods when liquidity tends to dry up. You being a critical part of this industry and the eco system have been giving many constructive suggestions on the same and we look forward to your playing a central role in making these initiatives take root and become successful. </w:t>
      </w:r>
    </w:p>
    <w:p w:rsidR="001A42AC" w:rsidRDefault="001A42AC" w:rsidP="001A42AC">
      <w:pPr>
        <w:spacing w:line="360" w:lineRule="auto"/>
        <w:jc w:val="both"/>
        <w:outlineLvl w:val="0"/>
        <w:rPr>
          <w:rFonts w:ascii="Palatino Linotype" w:hAnsi="Palatino Linotype" w:cs="Helvetica"/>
          <w:bCs/>
          <w:sz w:val="22"/>
          <w:szCs w:val="22"/>
        </w:rPr>
      </w:pPr>
    </w:p>
    <w:p w:rsidR="001A42AC" w:rsidRPr="00100655" w:rsidRDefault="001A42AC" w:rsidP="001A42AC">
      <w:pPr>
        <w:spacing w:line="360" w:lineRule="auto"/>
        <w:jc w:val="both"/>
        <w:outlineLvl w:val="0"/>
        <w:rPr>
          <w:rFonts w:ascii="Palatino Linotype" w:hAnsi="Palatino Linotype" w:cs="Helvetica"/>
          <w:b/>
          <w:sz w:val="22"/>
          <w:szCs w:val="22"/>
        </w:rPr>
      </w:pPr>
      <w:r w:rsidRPr="00100655">
        <w:rPr>
          <w:rFonts w:ascii="Palatino Linotype" w:hAnsi="Palatino Linotype" w:cs="Helvetica"/>
          <w:b/>
          <w:sz w:val="22"/>
          <w:szCs w:val="22"/>
        </w:rPr>
        <w:t xml:space="preserve">B.  Industry performance: </w:t>
      </w:r>
    </w:p>
    <w:p w:rsidR="001A42AC" w:rsidRDefault="001A42AC" w:rsidP="001A42AC">
      <w:pPr>
        <w:spacing w:line="360" w:lineRule="auto"/>
        <w:jc w:val="both"/>
        <w:outlineLvl w:val="0"/>
        <w:rPr>
          <w:rFonts w:ascii="Palatino Linotype" w:hAnsi="Palatino Linotype" w:cs="Helvetica"/>
          <w:bCs/>
          <w:sz w:val="22"/>
          <w:szCs w:val="22"/>
        </w:rPr>
      </w:pPr>
    </w:p>
    <w:p w:rsidR="001A42AC" w:rsidRDefault="001A42AC" w:rsidP="001A42AC">
      <w:pPr>
        <w:spacing w:line="360" w:lineRule="auto"/>
        <w:jc w:val="both"/>
        <w:outlineLvl w:val="0"/>
        <w:rPr>
          <w:rFonts w:ascii="Palatino Linotype" w:hAnsi="Palatino Linotype" w:cs="Helvetica"/>
          <w:bCs/>
          <w:sz w:val="22"/>
          <w:szCs w:val="22"/>
        </w:rPr>
      </w:pPr>
      <w:r w:rsidRPr="001A42AC">
        <w:rPr>
          <w:rFonts w:ascii="Palatino Linotype" w:hAnsi="Palatino Linotype" w:cs="Helvetica"/>
          <w:bCs/>
          <w:sz w:val="22"/>
          <w:szCs w:val="22"/>
        </w:rPr>
        <w:t xml:space="preserve">11. If one takes a look at the track record of the mutual fund industry’s growth during the last five years, one can easily say that the industry has shown robust growth.   </w:t>
      </w:r>
    </w:p>
    <w:p w:rsidR="001A42AC" w:rsidRDefault="001A42AC" w:rsidP="001A42AC">
      <w:pPr>
        <w:spacing w:line="360" w:lineRule="auto"/>
        <w:jc w:val="both"/>
        <w:outlineLvl w:val="0"/>
        <w:rPr>
          <w:rFonts w:ascii="Palatino Linotype" w:hAnsi="Palatino Linotype" w:cs="Helvetica"/>
          <w:bCs/>
          <w:sz w:val="22"/>
          <w:szCs w:val="22"/>
        </w:rPr>
      </w:pPr>
    </w:p>
    <w:p w:rsidR="001A42AC" w:rsidRDefault="001A42AC" w:rsidP="001A42AC">
      <w:pPr>
        <w:spacing w:line="360" w:lineRule="auto"/>
        <w:jc w:val="both"/>
        <w:outlineLvl w:val="0"/>
        <w:rPr>
          <w:rFonts w:ascii="Palatino Linotype" w:hAnsi="Palatino Linotype" w:cs="Helvetica"/>
          <w:bCs/>
          <w:sz w:val="22"/>
          <w:szCs w:val="22"/>
        </w:rPr>
      </w:pPr>
      <w:r w:rsidRPr="001A42AC">
        <w:rPr>
          <w:rFonts w:ascii="Palatino Linotype" w:hAnsi="Palatino Linotype" w:cs="Helvetica"/>
          <w:bCs/>
          <w:sz w:val="22"/>
          <w:szCs w:val="22"/>
        </w:rPr>
        <w:t>12. From March 2015 to August 2020, the asset under management (AUM) of the industry has grown by 154% from INR 10.83 lakh crore to INR 27.49 lakh crore. During this period, while the AUM of debt schemes increased from INR 6.94 lakh crore to INR 13.89 lakh crore, AUM of non-debt schemes increased from</w:t>
      </w:r>
      <w:r>
        <w:rPr>
          <w:rFonts w:ascii="Palatino Linotype" w:hAnsi="Palatino Linotype" w:cs="Helvetica"/>
          <w:bCs/>
          <w:sz w:val="22"/>
          <w:szCs w:val="22"/>
        </w:rPr>
        <w:t xml:space="preserve"> </w:t>
      </w:r>
      <w:r w:rsidRPr="001A42AC">
        <w:rPr>
          <w:rFonts w:ascii="Palatino Linotype" w:hAnsi="Palatino Linotype" w:cs="Helvetica"/>
          <w:bCs/>
          <w:sz w:val="22"/>
          <w:szCs w:val="22"/>
        </w:rPr>
        <w:t xml:space="preserve">INR 3.89 lakh crore to INR 13.60 lakh crore. The number of mutual fund folios increased by 122% from 4.17 crore to 9.26 crore during the same period. </w:t>
      </w:r>
    </w:p>
    <w:p w:rsidR="001A42AC" w:rsidRDefault="001A42AC" w:rsidP="001A42AC">
      <w:pPr>
        <w:spacing w:line="360" w:lineRule="auto"/>
        <w:jc w:val="both"/>
        <w:outlineLvl w:val="0"/>
        <w:rPr>
          <w:rFonts w:ascii="Palatino Linotype" w:hAnsi="Palatino Linotype" w:cs="Helvetica"/>
          <w:bCs/>
          <w:sz w:val="22"/>
          <w:szCs w:val="22"/>
        </w:rPr>
      </w:pPr>
    </w:p>
    <w:p w:rsidR="001A42AC" w:rsidRDefault="001A42AC" w:rsidP="001A42AC">
      <w:pPr>
        <w:spacing w:line="360" w:lineRule="auto"/>
        <w:jc w:val="both"/>
        <w:outlineLvl w:val="0"/>
        <w:rPr>
          <w:rFonts w:ascii="Palatino Linotype" w:hAnsi="Palatino Linotype" w:cs="Helvetica"/>
          <w:bCs/>
          <w:sz w:val="22"/>
          <w:szCs w:val="22"/>
        </w:rPr>
      </w:pPr>
      <w:r w:rsidRPr="001A42AC">
        <w:rPr>
          <w:rFonts w:ascii="Palatino Linotype" w:hAnsi="Palatino Linotype" w:cs="Helvetica"/>
          <w:bCs/>
          <w:sz w:val="22"/>
          <w:szCs w:val="22"/>
        </w:rPr>
        <w:t xml:space="preserve">13. At an industry level, there has been net positive inflow of funds in mutual funds during each of the previous five financial years averaging at INR 1.89 lakh crore each year. The figure for this financial year till August 2020 is INR 1.99 lakh crore. </w:t>
      </w:r>
    </w:p>
    <w:p w:rsidR="001A42AC" w:rsidRDefault="001A42AC" w:rsidP="001A42AC">
      <w:pPr>
        <w:spacing w:line="360" w:lineRule="auto"/>
        <w:jc w:val="both"/>
        <w:outlineLvl w:val="0"/>
        <w:rPr>
          <w:rFonts w:ascii="Palatino Linotype" w:hAnsi="Palatino Linotype" w:cs="Helvetica"/>
          <w:bCs/>
          <w:sz w:val="22"/>
          <w:szCs w:val="22"/>
        </w:rPr>
      </w:pPr>
    </w:p>
    <w:p w:rsidR="001A42AC" w:rsidRDefault="001A42AC" w:rsidP="001A42AC">
      <w:pPr>
        <w:spacing w:line="360" w:lineRule="auto"/>
        <w:jc w:val="both"/>
        <w:outlineLvl w:val="0"/>
        <w:rPr>
          <w:rFonts w:ascii="Palatino Linotype" w:hAnsi="Palatino Linotype" w:cs="Helvetica"/>
          <w:bCs/>
          <w:sz w:val="22"/>
          <w:szCs w:val="22"/>
        </w:rPr>
      </w:pPr>
      <w:r w:rsidRPr="001A42AC">
        <w:rPr>
          <w:rFonts w:ascii="Palatino Linotype" w:hAnsi="Palatino Linotype" w:cs="Helvetica"/>
          <w:bCs/>
          <w:sz w:val="22"/>
          <w:szCs w:val="22"/>
        </w:rPr>
        <w:t xml:space="preserve">14. To increase penetration of mutual funds beyond the top cities, SEBI started incentivizing mutual fund investments from beyond top 15 cities and later from beyond top 30 cities. However, the share of B-15/B-30 cities in the total industry AUM has hovered around just15-17% over the last four years. We need to strive more to make mutual funds popular in areas beyond top 30 cities. </w:t>
      </w:r>
    </w:p>
    <w:p w:rsidR="001A42AC" w:rsidRDefault="001A42AC" w:rsidP="001A42AC">
      <w:pPr>
        <w:spacing w:line="360" w:lineRule="auto"/>
        <w:jc w:val="both"/>
        <w:outlineLvl w:val="0"/>
        <w:rPr>
          <w:rFonts w:ascii="Palatino Linotype" w:hAnsi="Palatino Linotype" w:cs="Helvetica"/>
          <w:bCs/>
          <w:sz w:val="22"/>
          <w:szCs w:val="22"/>
        </w:rPr>
      </w:pPr>
    </w:p>
    <w:p w:rsidR="001A42AC" w:rsidRDefault="001A42AC" w:rsidP="001A42AC">
      <w:pPr>
        <w:spacing w:line="360" w:lineRule="auto"/>
        <w:jc w:val="both"/>
        <w:outlineLvl w:val="0"/>
        <w:rPr>
          <w:rFonts w:ascii="Palatino Linotype" w:hAnsi="Palatino Linotype" w:cs="Helvetica"/>
          <w:bCs/>
          <w:sz w:val="22"/>
          <w:szCs w:val="22"/>
        </w:rPr>
      </w:pPr>
      <w:r w:rsidRPr="001A42AC">
        <w:rPr>
          <w:rFonts w:ascii="Palatino Linotype" w:hAnsi="Palatino Linotype" w:cs="Helvetica"/>
          <w:bCs/>
          <w:sz w:val="22"/>
          <w:szCs w:val="22"/>
        </w:rPr>
        <w:t xml:space="preserve">15. </w:t>
      </w:r>
      <w:r>
        <w:rPr>
          <w:rFonts w:ascii="Palatino Linotype" w:hAnsi="Palatino Linotype" w:cs="Helvetica"/>
          <w:bCs/>
          <w:sz w:val="22"/>
          <w:szCs w:val="22"/>
        </w:rPr>
        <w:t xml:space="preserve"> </w:t>
      </w:r>
      <w:r w:rsidRPr="001A42AC">
        <w:rPr>
          <w:rFonts w:ascii="Palatino Linotype" w:hAnsi="Palatino Linotype" w:cs="Helvetica"/>
          <w:bCs/>
          <w:sz w:val="22"/>
          <w:szCs w:val="22"/>
        </w:rPr>
        <w:t xml:space="preserve">In  terms  of  scheme  performance,  SEBI  had  introduced  the  concept  of benchmarking to Total Return Indices to bring greater transparency in respect of how well various schemes have performed. We look forward to the Industry working hard to outperform relative to these benchmarks to deliver value to its investors.  </w:t>
      </w:r>
    </w:p>
    <w:p w:rsidR="001A42AC" w:rsidRDefault="001A42AC" w:rsidP="001A42AC">
      <w:pPr>
        <w:spacing w:line="360" w:lineRule="auto"/>
        <w:jc w:val="both"/>
        <w:outlineLvl w:val="0"/>
        <w:rPr>
          <w:rFonts w:ascii="Palatino Linotype" w:hAnsi="Palatino Linotype" w:cs="Helvetica"/>
          <w:bCs/>
          <w:sz w:val="22"/>
          <w:szCs w:val="22"/>
        </w:rPr>
      </w:pPr>
    </w:p>
    <w:p w:rsidR="001A42AC" w:rsidRPr="00100655" w:rsidRDefault="001A42AC" w:rsidP="001A42AC">
      <w:pPr>
        <w:spacing w:line="360" w:lineRule="auto"/>
        <w:jc w:val="both"/>
        <w:outlineLvl w:val="0"/>
        <w:rPr>
          <w:rFonts w:ascii="Palatino Linotype" w:hAnsi="Palatino Linotype" w:cs="Helvetica"/>
          <w:b/>
          <w:sz w:val="22"/>
          <w:szCs w:val="22"/>
        </w:rPr>
      </w:pPr>
      <w:r w:rsidRPr="00100655">
        <w:rPr>
          <w:rFonts w:ascii="Palatino Linotype" w:hAnsi="Palatino Linotype" w:cs="Helvetica"/>
          <w:b/>
          <w:sz w:val="22"/>
          <w:szCs w:val="22"/>
        </w:rPr>
        <w:t xml:space="preserve">C.  Policy initiatives:  </w:t>
      </w:r>
    </w:p>
    <w:p w:rsidR="001A42AC" w:rsidRDefault="001A42AC" w:rsidP="001A42AC">
      <w:pPr>
        <w:spacing w:line="360" w:lineRule="auto"/>
        <w:jc w:val="both"/>
        <w:outlineLvl w:val="0"/>
        <w:rPr>
          <w:rFonts w:ascii="Palatino Linotype" w:hAnsi="Palatino Linotype" w:cs="Helvetica"/>
          <w:bCs/>
          <w:sz w:val="22"/>
          <w:szCs w:val="22"/>
        </w:rPr>
      </w:pPr>
    </w:p>
    <w:p w:rsidR="001A42AC" w:rsidRDefault="001A42AC" w:rsidP="001A42AC">
      <w:pPr>
        <w:spacing w:line="360" w:lineRule="auto"/>
        <w:jc w:val="both"/>
        <w:outlineLvl w:val="0"/>
        <w:rPr>
          <w:rFonts w:ascii="Palatino Linotype" w:hAnsi="Palatino Linotype" w:cs="Helvetica"/>
          <w:bCs/>
          <w:sz w:val="22"/>
          <w:szCs w:val="22"/>
        </w:rPr>
      </w:pPr>
      <w:r w:rsidRPr="001A42AC">
        <w:rPr>
          <w:rFonts w:ascii="Palatino Linotype" w:hAnsi="Palatino Linotype" w:cs="Helvetica"/>
          <w:bCs/>
          <w:sz w:val="22"/>
          <w:szCs w:val="22"/>
        </w:rPr>
        <w:t>16. Liquid Schemes of mutual funds account for a very large proportion of all debt-oriented  schemes.  To  enhance  the  risk  management  framework  for  Liquid Schemes, they were mandated to hold at least 20% of their AUM in liquid assets such  as  Cash,  Government  Securities,  T-bills  and  Repo  on  Government Securities. The valuation of debt and money market instruments is now done fully  on  mark  to  market  basis  instead  of  amortization.  Further,  Liquid  and</w:t>
      </w:r>
      <w:r>
        <w:rPr>
          <w:rFonts w:ascii="Palatino Linotype" w:hAnsi="Palatino Linotype" w:cs="Helvetica"/>
          <w:bCs/>
          <w:sz w:val="22"/>
          <w:szCs w:val="22"/>
        </w:rPr>
        <w:t xml:space="preserve"> </w:t>
      </w:r>
      <w:r w:rsidRPr="001A42AC">
        <w:rPr>
          <w:rFonts w:ascii="Palatino Linotype" w:hAnsi="Palatino Linotype" w:cs="Helvetica"/>
          <w:bCs/>
          <w:sz w:val="22"/>
          <w:szCs w:val="22"/>
        </w:rPr>
        <w:t xml:space="preserve">overnight schemes are not permitted to invest in short term deposits, debt or money  market  instruments  having  structured  obligations  or  credit enhancements.  </w:t>
      </w:r>
    </w:p>
    <w:p w:rsidR="001A42AC" w:rsidRDefault="001A42AC" w:rsidP="001A42AC">
      <w:pPr>
        <w:spacing w:line="360" w:lineRule="auto"/>
        <w:jc w:val="both"/>
        <w:outlineLvl w:val="0"/>
        <w:rPr>
          <w:rFonts w:ascii="Palatino Linotype" w:hAnsi="Palatino Linotype" w:cs="Helvetica"/>
          <w:bCs/>
          <w:sz w:val="22"/>
          <w:szCs w:val="22"/>
        </w:rPr>
      </w:pPr>
    </w:p>
    <w:p w:rsidR="001A42AC" w:rsidRDefault="001A42AC" w:rsidP="001A42AC">
      <w:pPr>
        <w:spacing w:line="360" w:lineRule="auto"/>
        <w:jc w:val="both"/>
        <w:outlineLvl w:val="0"/>
        <w:rPr>
          <w:rFonts w:ascii="Palatino Linotype" w:hAnsi="Palatino Linotype" w:cs="Helvetica"/>
          <w:bCs/>
          <w:sz w:val="22"/>
          <w:szCs w:val="22"/>
        </w:rPr>
      </w:pPr>
      <w:r w:rsidRPr="001A42AC">
        <w:rPr>
          <w:rFonts w:ascii="Palatino Linotype" w:hAnsi="Palatino Linotype" w:cs="Helvetica"/>
          <w:bCs/>
          <w:sz w:val="22"/>
          <w:szCs w:val="22"/>
        </w:rPr>
        <w:t xml:space="preserve">17. Prudential norms governing investments in debt and money market instruments were  also  changed.  Mutual  Fund  schemes  have  been  mandated  to  invest primarily in listed debt securities </w:t>
      </w:r>
      <w:r w:rsidRPr="001A42AC">
        <w:rPr>
          <w:rFonts w:ascii="Palatino Linotype" w:hAnsi="Palatino Linotype" w:cs="Helvetica"/>
          <w:bCs/>
          <w:sz w:val="22"/>
          <w:szCs w:val="22"/>
        </w:rPr>
        <w:lastRenderedPageBreak/>
        <w:t xml:space="preserve">(including CPs), which is being implemented in a phased manner. All investments in equity shares by Mutual Fund schemes shall only be made in listed or to be listed equity shares. The cap on sectoral limit of 25% has been reduced to 20%. Prudential limit on total investment by a Mutual Fund scheme in debt and money market instruments having credit enhancements is prescribed at 10% and investment by a Mutual Fund scheme in  such  debt  securities  of  a  particular  group,  has  been  capped  at  5%. Investment in debt instruments, having credit enhancements backed by equity shares directly or indirectly, shall have a minimum cover of 4 times considering the market value of such shares. </w:t>
      </w:r>
    </w:p>
    <w:p w:rsidR="001A42AC" w:rsidRDefault="001A42AC" w:rsidP="001A42AC">
      <w:pPr>
        <w:spacing w:line="360" w:lineRule="auto"/>
        <w:jc w:val="both"/>
        <w:outlineLvl w:val="0"/>
        <w:rPr>
          <w:rFonts w:ascii="Palatino Linotype" w:hAnsi="Palatino Linotype" w:cs="Helvetica"/>
          <w:bCs/>
          <w:sz w:val="22"/>
          <w:szCs w:val="22"/>
        </w:rPr>
      </w:pPr>
    </w:p>
    <w:p w:rsidR="001A42AC" w:rsidRDefault="001A42AC" w:rsidP="001A42AC">
      <w:pPr>
        <w:spacing w:line="360" w:lineRule="auto"/>
        <w:jc w:val="both"/>
        <w:outlineLvl w:val="0"/>
        <w:rPr>
          <w:rFonts w:ascii="Palatino Linotype" w:hAnsi="Palatino Linotype" w:cs="Helvetica"/>
          <w:bCs/>
          <w:sz w:val="22"/>
          <w:szCs w:val="22"/>
        </w:rPr>
      </w:pPr>
      <w:r w:rsidRPr="001A42AC">
        <w:rPr>
          <w:rFonts w:ascii="Palatino Linotype" w:hAnsi="Palatino Linotype" w:cs="Helvetica"/>
          <w:bCs/>
          <w:sz w:val="22"/>
          <w:szCs w:val="22"/>
        </w:rPr>
        <w:t xml:space="preserve">18. AMCs have been mandated to undertake Internal Credit Risk Assessment on a continuous basis and also need to be well equipped to generate early warning signals on deterioration of credit profile of the issuer. All AMCs shall publish on their respective  website a list of  their group companies and those of their sponsor(s).  </w:t>
      </w:r>
    </w:p>
    <w:p w:rsidR="001A42AC" w:rsidRDefault="001A42AC" w:rsidP="001A42AC">
      <w:pPr>
        <w:spacing w:line="360" w:lineRule="auto"/>
        <w:jc w:val="both"/>
        <w:outlineLvl w:val="0"/>
        <w:rPr>
          <w:rFonts w:ascii="Palatino Linotype" w:hAnsi="Palatino Linotype" w:cs="Helvetica"/>
          <w:bCs/>
          <w:sz w:val="22"/>
          <w:szCs w:val="22"/>
        </w:rPr>
      </w:pPr>
    </w:p>
    <w:p w:rsidR="001A42AC" w:rsidRDefault="001A42AC" w:rsidP="001A42AC">
      <w:pPr>
        <w:spacing w:line="360" w:lineRule="auto"/>
        <w:jc w:val="both"/>
        <w:outlineLvl w:val="0"/>
        <w:rPr>
          <w:rFonts w:ascii="Palatino Linotype" w:hAnsi="Palatino Linotype" w:cs="Helvetica"/>
          <w:bCs/>
          <w:sz w:val="22"/>
          <w:szCs w:val="22"/>
        </w:rPr>
      </w:pPr>
      <w:r w:rsidRPr="001A42AC">
        <w:rPr>
          <w:rFonts w:ascii="Palatino Linotype" w:hAnsi="Palatino Linotype" w:cs="Helvetica"/>
          <w:bCs/>
          <w:sz w:val="22"/>
          <w:szCs w:val="22"/>
        </w:rPr>
        <w:t>19. Valuation of money market and debt securities being an important aspect, SEBI has advised the industry to align with best practices. Some of these alignments include updating the definition of non-traded money market and debt securities</w:t>
      </w:r>
      <w:r>
        <w:rPr>
          <w:rFonts w:ascii="Palatino Linotype" w:hAnsi="Palatino Linotype" w:cs="Helvetica"/>
          <w:bCs/>
          <w:sz w:val="22"/>
          <w:szCs w:val="22"/>
        </w:rPr>
        <w:t xml:space="preserve"> </w:t>
      </w:r>
      <w:r w:rsidRPr="001A42AC">
        <w:rPr>
          <w:rFonts w:ascii="Palatino Linotype" w:hAnsi="Palatino Linotype" w:cs="Helvetica"/>
          <w:bCs/>
          <w:sz w:val="22"/>
          <w:szCs w:val="22"/>
        </w:rPr>
        <w:t xml:space="preserve">and modifying the provision for valuation of money market and debt securities with both put and call options.  </w:t>
      </w:r>
    </w:p>
    <w:p w:rsidR="001A42AC" w:rsidRDefault="001A42AC" w:rsidP="001A42AC">
      <w:pPr>
        <w:spacing w:line="360" w:lineRule="auto"/>
        <w:jc w:val="both"/>
        <w:outlineLvl w:val="0"/>
        <w:rPr>
          <w:rFonts w:ascii="Palatino Linotype" w:hAnsi="Palatino Linotype" w:cs="Helvetica"/>
          <w:bCs/>
          <w:sz w:val="22"/>
          <w:szCs w:val="22"/>
        </w:rPr>
      </w:pPr>
    </w:p>
    <w:p w:rsidR="001A42AC" w:rsidRDefault="001A42AC" w:rsidP="001A42AC">
      <w:pPr>
        <w:spacing w:line="360" w:lineRule="auto"/>
        <w:jc w:val="both"/>
        <w:outlineLvl w:val="0"/>
        <w:rPr>
          <w:rFonts w:ascii="Palatino Linotype" w:hAnsi="Palatino Linotype" w:cs="Helvetica"/>
          <w:bCs/>
          <w:sz w:val="22"/>
          <w:szCs w:val="22"/>
        </w:rPr>
      </w:pPr>
      <w:r w:rsidRPr="001A42AC">
        <w:rPr>
          <w:rFonts w:ascii="Palatino Linotype" w:hAnsi="Palatino Linotype" w:cs="Helvetica"/>
          <w:bCs/>
          <w:sz w:val="22"/>
          <w:szCs w:val="22"/>
        </w:rPr>
        <w:t xml:space="preserve">Further, in order to bring uniformity and consistency in valuation, a waterfall approach for valuation of money market and debt securities has been adopted by the industry through valuation agencies appointed by it. Considering that as per the Principles of Fair Valuation, AMCs are responsible for ensuring fairness of valuation and correct NAV, AMCs are permitted to deviate from the valuation price given by the valuation agencies, subject to appropriate documentation of rationale and disclosures.  </w:t>
      </w:r>
    </w:p>
    <w:p w:rsidR="001A42AC" w:rsidRDefault="001A42AC" w:rsidP="001A42AC">
      <w:pPr>
        <w:spacing w:line="360" w:lineRule="auto"/>
        <w:jc w:val="both"/>
        <w:outlineLvl w:val="0"/>
        <w:rPr>
          <w:rFonts w:ascii="Palatino Linotype" w:hAnsi="Palatino Linotype" w:cs="Helvetica"/>
          <w:bCs/>
          <w:sz w:val="22"/>
          <w:szCs w:val="22"/>
        </w:rPr>
      </w:pPr>
    </w:p>
    <w:p w:rsidR="001A42AC" w:rsidRDefault="001A42AC" w:rsidP="001A42AC">
      <w:pPr>
        <w:spacing w:line="360" w:lineRule="auto"/>
        <w:jc w:val="both"/>
        <w:outlineLvl w:val="0"/>
        <w:rPr>
          <w:rFonts w:ascii="Palatino Linotype" w:hAnsi="Palatino Linotype" w:cs="Helvetica"/>
          <w:bCs/>
          <w:sz w:val="22"/>
          <w:szCs w:val="22"/>
        </w:rPr>
      </w:pPr>
      <w:r w:rsidRPr="001A42AC">
        <w:rPr>
          <w:rFonts w:ascii="Palatino Linotype" w:hAnsi="Palatino Linotype" w:cs="Helvetica"/>
          <w:bCs/>
          <w:sz w:val="22"/>
          <w:szCs w:val="22"/>
        </w:rPr>
        <w:t xml:space="preserve">20. For facilitating price discovery in a transparent manner and improving liquidity in Corporate Bonds market, SEBI has mandated that at least 10% of Mutual Fund’s total secondary market trades in Corporate Bonds need to be done by placing quotes through one-to-many mode on the Request for Quote (RFQ) platform of stock exchanges. Further, all transactions in Corporate Bonds and Commercial Papers where in Mutual Funds are on both sides of the trade shall be executed through RFQ platform of stock exchanges in one-to-one / one-to-many mode.  </w:t>
      </w:r>
    </w:p>
    <w:p w:rsidR="001A42AC" w:rsidRDefault="001A42AC" w:rsidP="001A42AC">
      <w:pPr>
        <w:spacing w:line="360" w:lineRule="auto"/>
        <w:jc w:val="both"/>
        <w:outlineLvl w:val="0"/>
        <w:rPr>
          <w:rFonts w:ascii="Palatino Linotype" w:hAnsi="Palatino Linotype" w:cs="Helvetica"/>
          <w:bCs/>
          <w:sz w:val="22"/>
          <w:szCs w:val="22"/>
        </w:rPr>
      </w:pPr>
    </w:p>
    <w:p w:rsidR="001A42AC" w:rsidRPr="00100655" w:rsidRDefault="001A42AC" w:rsidP="001A42AC">
      <w:pPr>
        <w:spacing w:line="360" w:lineRule="auto"/>
        <w:jc w:val="both"/>
        <w:outlineLvl w:val="0"/>
        <w:rPr>
          <w:rFonts w:ascii="Palatino Linotype" w:hAnsi="Palatino Linotype" w:cs="Helvetica"/>
          <w:b/>
          <w:sz w:val="22"/>
          <w:szCs w:val="22"/>
        </w:rPr>
      </w:pPr>
      <w:r w:rsidRPr="00100655">
        <w:rPr>
          <w:rFonts w:ascii="Palatino Linotype" w:hAnsi="Palatino Linotype" w:cs="Helvetica"/>
          <w:b/>
          <w:sz w:val="22"/>
          <w:szCs w:val="22"/>
        </w:rPr>
        <w:lastRenderedPageBreak/>
        <w:t xml:space="preserve">D.  Issues faced by debt mutual funds: </w:t>
      </w:r>
    </w:p>
    <w:p w:rsidR="001A42AC" w:rsidRDefault="001A42AC" w:rsidP="001A42AC">
      <w:pPr>
        <w:spacing w:line="360" w:lineRule="auto"/>
        <w:jc w:val="both"/>
        <w:outlineLvl w:val="0"/>
        <w:rPr>
          <w:rFonts w:ascii="Palatino Linotype" w:hAnsi="Palatino Linotype" w:cs="Helvetica"/>
          <w:bCs/>
          <w:sz w:val="22"/>
          <w:szCs w:val="22"/>
        </w:rPr>
      </w:pPr>
    </w:p>
    <w:p w:rsidR="001A42AC" w:rsidRDefault="001A42AC" w:rsidP="001A42AC">
      <w:pPr>
        <w:spacing w:line="360" w:lineRule="auto"/>
        <w:jc w:val="both"/>
        <w:outlineLvl w:val="0"/>
        <w:rPr>
          <w:rFonts w:ascii="Palatino Linotype" w:hAnsi="Palatino Linotype" w:cs="Helvetica"/>
          <w:bCs/>
          <w:sz w:val="22"/>
          <w:szCs w:val="22"/>
        </w:rPr>
      </w:pPr>
      <w:r w:rsidRPr="001A42AC">
        <w:rPr>
          <w:rFonts w:ascii="Palatino Linotype" w:hAnsi="Palatino Linotype" w:cs="Helvetica"/>
          <w:bCs/>
          <w:sz w:val="22"/>
          <w:szCs w:val="22"/>
        </w:rPr>
        <w:t xml:space="preserve">21. Let me now dwell upon the challenges faced by the industry on debt mutual funds side and how those challenges are being addressed. </w:t>
      </w:r>
    </w:p>
    <w:p w:rsidR="001A42AC" w:rsidRDefault="001A42AC" w:rsidP="001A42AC">
      <w:pPr>
        <w:spacing w:line="360" w:lineRule="auto"/>
        <w:jc w:val="both"/>
        <w:outlineLvl w:val="0"/>
        <w:rPr>
          <w:rFonts w:ascii="Palatino Linotype" w:hAnsi="Palatino Linotype" w:cs="Helvetica"/>
          <w:bCs/>
          <w:sz w:val="22"/>
          <w:szCs w:val="22"/>
        </w:rPr>
      </w:pPr>
    </w:p>
    <w:p w:rsidR="001A42AC" w:rsidRDefault="001A42AC" w:rsidP="001A42AC">
      <w:pPr>
        <w:spacing w:line="360" w:lineRule="auto"/>
        <w:jc w:val="both"/>
        <w:outlineLvl w:val="0"/>
        <w:rPr>
          <w:rFonts w:ascii="Palatino Linotype" w:hAnsi="Palatino Linotype" w:cs="Helvetica"/>
          <w:bCs/>
          <w:sz w:val="22"/>
          <w:szCs w:val="22"/>
        </w:rPr>
      </w:pPr>
      <w:r w:rsidRPr="001A42AC">
        <w:rPr>
          <w:rFonts w:ascii="Palatino Linotype" w:hAnsi="Palatino Linotype" w:cs="Helvetica"/>
          <w:bCs/>
          <w:sz w:val="22"/>
          <w:szCs w:val="22"/>
        </w:rPr>
        <w:t>22. In March-April 2020, significant risk aversion and subsequent illiquidity was observed in the bond market especially in AA and below rated papers. This created significant challenges in the form of redemption pressures being faced</w:t>
      </w:r>
      <w:r>
        <w:rPr>
          <w:rFonts w:ascii="Palatino Linotype" w:hAnsi="Palatino Linotype" w:cs="Helvetica"/>
          <w:bCs/>
          <w:sz w:val="22"/>
          <w:szCs w:val="22"/>
        </w:rPr>
        <w:t xml:space="preserve"> </w:t>
      </w:r>
      <w:r w:rsidRPr="001A42AC">
        <w:rPr>
          <w:rFonts w:ascii="Palatino Linotype" w:hAnsi="Palatino Linotype" w:cs="Helvetica"/>
          <w:bCs/>
          <w:sz w:val="22"/>
          <w:szCs w:val="22"/>
        </w:rPr>
        <w:t xml:space="preserve">by debt Mutual Funds, on account of not only normal year end redemptions, but COVID related redemption pressures. That experience brought to fore not only the structural issues related to the corporate bond markets but also revealed some areas of improvement in respect of the practices followed in the mutual fund industry.  </w:t>
      </w:r>
    </w:p>
    <w:p w:rsidR="001A42AC" w:rsidRDefault="001A42AC" w:rsidP="001A42AC">
      <w:pPr>
        <w:spacing w:line="360" w:lineRule="auto"/>
        <w:jc w:val="both"/>
        <w:outlineLvl w:val="0"/>
        <w:rPr>
          <w:rFonts w:ascii="Palatino Linotype" w:hAnsi="Palatino Linotype" w:cs="Helvetica"/>
          <w:bCs/>
          <w:sz w:val="22"/>
          <w:szCs w:val="22"/>
        </w:rPr>
      </w:pPr>
    </w:p>
    <w:p w:rsidR="001A42AC" w:rsidRDefault="001A42AC" w:rsidP="001A42AC">
      <w:pPr>
        <w:spacing w:line="360" w:lineRule="auto"/>
        <w:jc w:val="both"/>
        <w:outlineLvl w:val="0"/>
        <w:rPr>
          <w:rFonts w:ascii="Palatino Linotype" w:hAnsi="Palatino Linotype" w:cs="Helvetica"/>
          <w:bCs/>
          <w:sz w:val="22"/>
          <w:szCs w:val="22"/>
        </w:rPr>
      </w:pPr>
      <w:r w:rsidRPr="001A42AC">
        <w:rPr>
          <w:rFonts w:ascii="Palatino Linotype" w:hAnsi="Palatino Linotype" w:cs="Helvetica"/>
          <w:bCs/>
          <w:sz w:val="22"/>
          <w:szCs w:val="22"/>
        </w:rPr>
        <w:t xml:space="preserve">23. SEBI has followed a multi-pronged approach to address these issues. On one side, while SEBI has made, and is deliberating, policy changes to address the areas of improvement in the mutual fund industry, on the other side, it has initiated structural reforms to alleviate the problem of illiquidity in corporate bond market especially in non-AAA rated papers. </w:t>
      </w:r>
    </w:p>
    <w:p w:rsidR="001A42AC" w:rsidRDefault="001A42AC" w:rsidP="001A42AC">
      <w:pPr>
        <w:spacing w:line="360" w:lineRule="auto"/>
        <w:jc w:val="both"/>
        <w:outlineLvl w:val="0"/>
        <w:rPr>
          <w:rFonts w:ascii="Palatino Linotype" w:hAnsi="Palatino Linotype" w:cs="Helvetica"/>
          <w:bCs/>
          <w:sz w:val="22"/>
          <w:szCs w:val="22"/>
        </w:rPr>
      </w:pPr>
    </w:p>
    <w:p w:rsidR="001A42AC" w:rsidRDefault="001A42AC" w:rsidP="001A42AC">
      <w:pPr>
        <w:spacing w:line="360" w:lineRule="auto"/>
        <w:jc w:val="both"/>
        <w:outlineLvl w:val="0"/>
        <w:rPr>
          <w:rFonts w:ascii="Palatino Linotype" w:hAnsi="Palatino Linotype" w:cs="Helvetica"/>
          <w:bCs/>
          <w:sz w:val="22"/>
          <w:szCs w:val="22"/>
        </w:rPr>
      </w:pPr>
      <w:r w:rsidRPr="001A42AC">
        <w:rPr>
          <w:rFonts w:ascii="Palatino Linotype" w:hAnsi="Palatino Linotype" w:cs="Helvetica"/>
          <w:bCs/>
          <w:sz w:val="22"/>
          <w:szCs w:val="22"/>
        </w:rPr>
        <w:t xml:space="preserve">24. One of the areas for improvement is to enhance the liquidity of the portfolio of open-ended debt mutual fund schemes. While portfolios of equity-oriented schemes are fairly liquid, same may not be the case with all debt-oriented schemes. While overnight schemes are primarily invested in liquid assets such as G-Secs, T-bills, repo in G-Sec and cash, and there is a provision for Liquid schemes  to  hold  minimum  20%  in  liquid  assets,  the  other  debt-oriented schemes  currently  have  no  such  requirement  and  can  invest  in  various categories of corporate bonds, CPs, CDs, whose secondary markets may not have enough liquidity.  </w:t>
      </w:r>
    </w:p>
    <w:p w:rsidR="001A42AC" w:rsidRDefault="001A42AC" w:rsidP="001A42AC">
      <w:pPr>
        <w:spacing w:line="360" w:lineRule="auto"/>
        <w:jc w:val="both"/>
        <w:outlineLvl w:val="0"/>
        <w:rPr>
          <w:rFonts w:ascii="Palatino Linotype" w:hAnsi="Palatino Linotype" w:cs="Helvetica"/>
          <w:bCs/>
          <w:sz w:val="22"/>
          <w:szCs w:val="22"/>
        </w:rPr>
      </w:pPr>
    </w:p>
    <w:p w:rsidR="001A42AC" w:rsidRDefault="001A42AC" w:rsidP="001A42AC">
      <w:pPr>
        <w:spacing w:line="360" w:lineRule="auto"/>
        <w:jc w:val="both"/>
        <w:outlineLvl w:val="0"/>
        <w:rPr>
          <w:rFonts w:ascii="Palatino Linotype" w:hAnsi="Palatino Linotype" w:cs="Helvetica"/>
          <w:bCs/>
          <w:sz w:val="22"/>
          <w:szCs w:val="22"/>
        </w:rPr>
      </w:pPr>
      <w:r w:rsidRPr="001A42AC">
        <w:rPr>
          <w:rFonts w:ascii="Palatino Linotype" w:hAnsi="Palatino Linotype" w:cs="Helvetica"/>
          <w:bCs/>
          <w:sz w:val="22"/>
          <w:szCs w:val="22"/>
        </w:rPr>
        <w:t xml:space="preserve">25. </w:t>
      </w:r>
      <w:r>
        <w:rPr>
          <w:rFonts w:ascii="Palatino Linotype" w:hAnsi="Palatino Linotype" w:cs="Helvetica"/>
          <w:bCs/>
          <w:sz w:val="22"/>
          <w:szCs w:val="22"/>
        </w:rPr>
        <w:t xml:space="preserve"> </w:t>
      </w:r>
      <w:r w:rsidRPr="001A42AC">
        <w:rPr>
          <w:rFonts w:ascii="Palatino Linotype" w:hAnsi="Palatino Linotype" w:cs="Helvetica"/>
          <w:bCs/>
          <w:sz w:val="22"/>
          <w:szCs w:val="22"/>
        </w:rPr>
        <w:t>Recently,  during  the  period  of  increased  illiquidity  in  the  corporate  bond market, there were requests from the debt mutual funds to permit them to include G-Secs and T-Bills in the core asset allocation of Credit Risk Funds, Corporate  Debt  Funds  and  Banking  and  PSU  Debt  Funds  to  meet  the</w:t>
      </w:r>
      <w:r>
        <w:rPr>
          <w:rFonts w:ascii="Palatino Linotype" w:hAnsi="Palatino Linotype" w:cs="Helvetica"/>
          <w:bCs/>
          <w:sz w:val="22"/>
          <w:szCs w:val="22"/>
        </w:rPr>
        <w:t xml:space="preserve"> </w:t>
      </w:r>
      <w:r w:rsidRPr="001A42AC">
        <w:rPr>
          <w:rFonts w:ascii="Palatino Linotype" w:hAnsi="Palatino Linotype" w:cs="Helvetica"/>
          <w:bCs/>
          <w:sz w:val="22"/>
          <w:szCs w:val="22"/>
        </w:rPr>
        <w:t xml:space="preserve">heightened redemption requests. While the same was allowed as a temporary measure, SEBI is facilitating the setting up of an expert committee:  </w:t>
      </w:r>
    </w:p>
    <w:p w:rsidR="001A42AC" w:rsidRDefault="001A42AC" w:rsidP="001A42AC">
      <w:pPr>
        <w:spacing w:line="360" w:lineRule="auto"/>
        <w:jc w:val="both"/>
        <w:outlineLvl w:val="0"/>
        <w:rPr>
          <w:rFonts w:ascii="Palatino Linotype" w:hAnsi="Palatino Linotype" w:cs="Helvetica"/>
          <w:bCs/>
          <w:sz w:val="22"/>
          <w:szCs w:val="22"/>
        </w:rPr>
      </w:pPr>
    </w:p>
    <w:p w:rsidR="001A42AC" w:rsidRPr="00100655" w:rsidRDefault="001A42AC" w:rsidP="00B018BC">
      <w:pPr>
        <w:pStyle w:val="ListParagraph"/>
        <w:numPr>
          <w:ilvl w:val="0"/>
          <w:numId w:val="13"/>
        </w:numPr>
        <w:spacing w:line="360" w:lineRule="auto"/>
        <w:jc w:val="both"/>
        <w:outlineLvl w:val="0"/>
        <w:rPr>
          <w:rFonts w:ascii="Palatino Linotype" w:hAnsi="Palatino Linotype" w:cs="Helvetica"/>
          <w:bCs/>
          <w:sz w:val="22"/>
          <w:szCs w:val="22"/>
        </w:rPr>
      </w:pPr>
      <w:r w:rsidRPr="00100655">
        <w:rPr>
          <w:rFonts w:ascii="Palatino Linotype" w:hAnsi="Palatino Linotype" w:cs="Helvetica"/>
          <w:bCs/>
          <w:sz w:val="22"/>
          <w:szCs w:val="22"/>
        </w:rPr>
        <w:t xml:space="preserve">to frame a stress testing methodology, encompassing liquidity, credit and market risks, for all open-ended debt oriented mutual fund schemes; and </w:t>
      </w:r>
    </w:p>
    <w:p w:rsidR="001A42AC" w:rsidRDefault="001A42AC" w:rsidP="001A42AC">
      <w:pPr>
        <w:spacing w:line="360" w:lineRule="auto"/>
        <w:jc w:val="both"/>
        <w:outlineLvl w:val="0"/>
        <w:rPr>
          <w:rFonts w:ascii="Palatino Linotype" w:hAnsi="Palatino Linotype" w:cs="Helvetica"/>
          <w:bCs/>
          <w:sz w:val="22"/>
          <w:szCs w:val="22"/>
        </w:rPr>
      </w:pPr>
    </w:p>
    <w:p w:rsidR="001A42AC" w:rsidRPr="00100655" w:rsidRDefault="001A42AC" w:rsidP="00B018BC">
      <w:pPr>
        <w:pStyle w:val="ListParagraph"/>
        <w:numPr>
          <w:ilvl w:val="0"/>
          <w:numId w:val="13"/>
        </w:numPr>
        <w:spacing w:line="360" w:lineRule="auto"/>
        <w:jc w:val="both"/>
        <w:outlineLvl w:val="0"/>
        <w:rPr>
          <w:rFonts w:ascii="Palatino Linotype" w:hAnsi="Palatino Linotype" w:cs="Helvetica"/>
          <w:bCs/>
          <w:sz w:val="22"/>
          <w:szCs w:val="22"/>
        </w:rPr>
      </w:pPr>
      <w:r w:rsidRPr="00100655">
        <w:rPr>
          <w:rFonts w:ascii="Palatino Linotype" w:hAnsi="Palatino Linotype" w:cs="Helvetica"/>
          <w:bCs/>
          <w:sz w:val="22"/>
          <w:szCs w:val="22"/>
        </w:rPr>
        <w:t xml:space="preserve">to design a framework to determine the minimum asset allocation required in liquid assets, taking into account the nature of scheme’s assets, type of investors,  outcome  of  stress  testing,  minimum  redemption  requirement during gating, etc. </w:t>
      </w:r>
    </w:p>
    <w:p w:rsidR="00100655" w:rsidRDefault="001A42AC" w:rsidP="001A42AC">
      <w:pPr>
        <w:spacing w:line="360" w:lineRule="auto"/>
        <w:jc w:val="both"/>
        <w:outlineLvl w:val="0"/>
        <w:rPr>
          <w:rFonts w:ascii="Palatino Linotype" w:hAnsi="Palatino Linotype" w:cs="Helvetica"/>
          <w:bCs/>
          <w:sz w:val="22"/>
          <w:szCs w:val="22"/>
        </w:rPr>
      </w:pPr>
      <w:r w:rsidRPr="001A42AC">
        <w:rPr>
          <w:rFonts w:ascii="Palatino Linotype" w:hAnsi="Palatino Linotype" w:cs="Helvetica"/>
          <w:bCs/>
          <w:sz w:val="22"/>
          <w:szCs w:val="22"/>
        </w:rPr>
        <w:t xml:space="preserve">In the interim, taking into account the recommendations made by the Mutual Fund Advisory Committee, SEBI would be stipulating a minimum holding of liquid assets by all debt-oriented schemes. </w:t>
      </w:r>
    </w:p>
    <w:p w:rsidR="00100655" w:rsidRDefault="00100655" w:rsidP="001A42AC">
      <w:pPr>
        <w:spacing w:line="360" w:lineRule="auto"/>
        <w:jc w:val="both"/>
        <w:outlineLvl w:val="0"/>
        <w:rPr>
          <w:rFonts w:ascii="Palatino Linotype" w:hAnsi="Palatino Linotype" w:cs="Helvetica"/>
          <w:bCs/>
          <w:sz w:val="22"/>
          <w:szCs w:val="22"/>
        </w:rPr>
      </w:pPr>
    </w:p>
    <w:p w:rsidR="00100655" w:rsidRDefault="001A42AC" w:rsidP="001A42AC">
      <w:pPr>
        <w:spacing w:line="360" w:lineRule="auto"/>
        <w:jc w:val="both"/>
        <w:outlineLvl w:val="0"/>
        <w:rPr>
          <w:rFonts w:ascii="Palatino Linotype" w:hAnsi="Palatino Linotype" w:cs="Helvetica"/>
          <w:bCs/>
          <w:sz w:val="22"/>
          <w:szCs w:val="22"/>
        </w:rPr>
      </w:pPr>
      <w:r w:rsidRPr="001A42AC">
        <w:rPr>
          <w:rFonts w:ascii="Palatino Linotype" w:hAnsi="Palatino Linotype" w:cs="Helvetica"/>
          <w:bCs/>
          <w:sz w:val="22"/>
          <w:szCs w:val="22"/>
        </w:rPr>
        <w:t xml:space="preserve">26. </w:t>
      </w:r>
      <w:r w:rsidR="00CA637F">
        <w:rPr>
          <w:rFonts w:ascii="Palatino Linotype" w:hAnsi="Palatino Linotype" w:cs="Helvetica"/>
          <w:bCs/>
          <w:sz w:val="22"/>
          <w:szCs w:val="22"/>
        </w:rPr>
        <w:t xml:space="preserve"> </w:t>
      </w:r>
      <w:r w:rsidRPr="001A42AC">
        <w:rPr>
          <w:rFonts w:ascii="Palatino Linotype" w:hAnsi="Palatino Linotype" w:cs="Helvetica"/>
          <w:bCs/>
          <w:sz w:val="22"/>
          <w:szCs w:val="22"/>
        </w:rPr>
        <w:t>Another  issue  that  got  highlighted  was  the  possible  impact  of  large redemptions on remaining unit holders of a scheme. In case of any scheme witnessing large redemption requests, and with not so liquid instruments as assets, there are high chances that more liquid assets get liquidated first and the scheme is then progressively left with a relatively more illiquid portfolio. Th</w:t>
      </w:r>
      <w:r w:rsidR="00D62698">
        <w:rPr>
          <w:rFonts w:ascii="Palatino Linotype" w:hAnsi="Palatino Linotype" w:cs="Helvetica"/>
          <w:bCs/>
          <w:sz w:val="22"/>
          <w:szCs w:val="22"/>
        </w:rPr>
        <w:t>is</w:t>
      </w:r>
      <w:r w:rsidRPr="001A42AC">
        <w:rPr>
          <w:rFonts w:ascii="Palatino Linotype" w:hAnsi="Palatino Linotype" w:cs="Helvetica"/>
          <w:bCs/>
          <w:sz w:val="22"/>
          <w:szCs w:val="22"/>
        </w:rPr>
        <w:t xml:space="preserve"> benefits  exiting  investors  at  the  cost  of  those  who  continue  to  stay particularly in case of stressed situations.  </w:t>
      </w:r>
    </w:p>
    <w:p w:rsidR="00100655" w:rsidRDefault="00100655" w:rsidP="001A42AC">
      <w:pPr>
        <w:spacing w:line="360" w:lineRule="auto"/>
        <w:jc w:val="both"/>
        <w:outlineLvl w:val="0"/>
        <w:rPr>
          <w:rFonts w:ascii="Palatino Linotype" w:hAnsi="Palatino Linotype" w:cs="Helvetica"/>
          <w:bCs/>
          <w:sz w:val="22"/>
          <w:szCs w:val="22"/>
        </w:rPr>
      </w:pPr>
    </w:p>
    <w:p w:rsidR="001A42AC" w:rsidRDefault="001A42AC" w:rsidP="001A42AC">
      <w:pPr>
        <w:spacing w:line="360" w:lineRule="auto"/>
        <w:jc w:val="both"/>
        <w:outlineLvl w:val="0"/>
        <w:rPr>
          <w:rFonts w:ascii="Palatino Linotype" w:hAnsi="Palatino Linotype" w:cs="Helvetica"/>
          <w:bCs/>
          <w:sz w:val="22"/>
          <w:szCs w:val="22"/>
        </w:rPr>
      </w:pPr>
      <w:r w:rsidRPr="001A42AC">
        <w:rPr>
          <w:rFonts w:ascii="Palatino Linotype" w:hAnsi="Palatino Linotype" w:cs="Helvetica"/>
          <w:bCs/>
          <w:sz w:val="22"/>
          <w:szCs w:val="22"/>
        </w:rPr>
        <w:t>27. The proposed expert committee will also examine liquidity risk management tools such as “Swing pricing / Anti-dilution levy” for passing on transaction costs to the transacting investors. The tools will apply to both the incoming and outgoing investors, thereby protecting the interest of existing investors</w:t>
      </w:r>
      <w:r w:rsidR="00100655">
        <w:rPr>
          <w:rFonts w:ascii="Palatino Linotype" w:hAnsi="Palatino Linotype" w:cs="Helvetica"/>
          <w:bCs/>
          <w:sz w:val="22"/>
          <w:szCs w:val="22"/>
        </w:rPr>
        <w:t>.</w:t>
      </w:r>
    </w:p>
    <w:p w:rsidR="00100655" w:rsidRDefault="00100655" w:rsidP="001A42AC">
      <w:pPr>
        <w:spacing w:line="360" w:lineRule="auto"/>
        <w:jc w:val="both"/>
        <w:outlineLvl w:val="0"/>
        <w:rPr>
          <w:rFonts w:ascii="Palatino Linotype" w:hAnsi="Palatino Linotype" w:cs="Helvetica"/>
          <w:bCs/>
          <w:sz w:val="22"/>
          <w:szCs w:val="22"/>
        </w:rPr>
      </w:pPr>
    </w:p>
    <w:p w:rsidR="00100655" w:rsidRPr="00100655" w:rsidRDefault="00100655" w:rsidP="001A42AC">
      <w:pPr>
        <w:spacing w:line="360" w:lineRule="auto"/>
        <w:jc w:val="both"/>
        <w:outlineLvl w:val="0"/>
        <w:rPr>
          <w:rFonts w:ascii="Palatino Linotype" w:hAnsi="Palatino Linotype" w:cs="Helvetica"/>
          <w:b/>
          <w:sz w:val="22"/>
          <w:szCs w:val="22"/>
        </w:rPr>
      </w:pPr>
      <w:r w:rsidRPr="00100655">
        <w:rPr>
          <w:rFonts w:ascii="Palatino Linotype" w:hAnsi="Palatino Linotype" w:cs="Helvetica"/>
          <w:b/>
          <w:sz w:val="22"/>
          <w:szCs w:val="22"/>
        </w:rPr>
        <w:t xml:space="preserve">E.  Tackling illiquidity in corporate bond markets: </w:t>
      </w:r>
    </w:p>
    <w:p w:rsidR="00100655" w:rsidRDefault="00100655" w:rsidP="001A42AC">
      <w:pPr>
        <w:spacing w:line="360" w:lineRule="auto"/>
        <w:jc w:val="both"/>
        <w:outlineLvl w:val="0"/>
        <w:rPr>
          <w:rFonts w:ascii="Palatino Linotype" w:hAnsi="Palatino Linotype" w:cs="Helvetica"/>
          <w:bCs/>
          <w:sz w:val="22"/>
          <w:szCs w:val="22"/>
        </w:rPr>
      </w:pPr>
    </w:p>
    <w:p w:rsidR="00100655" w:rsidRDefault="00100655" w:rsidP="001A42AC">
      <w:pPr>
        <w:spacing w:line="360" w:lineRule="auto"/>
        <w:jc w:val="both"/>
        <w:outlineLvl w:val="0"/>
        <w:rPr>
          <w:rFonts w:ascii="Palatino Linotype" w:hAnsi="Palatino Linotype" w:cs="Helvetica"/>
          <w:bCs/>
          <w:sz w:val="22"/>
          <w:szCs w:val="22"/>
        </w:rPr>
      </w:pPr>
      <w:r w:rsidRPr="00100655">
        <w:rPr>
          <w:rFonts w:ascii="Palatino Linotype" w:hAnsi="Palatino Linotype" w:cs="Helvetica"/>
          <w:bCs/>
          <w:sz w:val="22"/>
          <w:szCs w:val="22"/>
        </w:rPr>
        <w:t xml:space="preserve">28. Mutual  funds  as  institutional  investors  are  one  of  the  largest  holders  of corporate bonds. Mutual Funds constantly see inflows and outflows to/from schemes. Therefore, Mutual Funds also contribute a significant share in the secondary  market  trading  in  corporate  bonds  and  CPs.  But  under  many scenarios  when  there  are  industry-wide  trends  of  subscriptions  or redemptions,  it  becomes  difficult  for  Mutual  Funds  to  get  a  sizeable counterparty to cater to their buying/selling needs. Thus, there is a pressing need to increase liquidity in the corporate bond market to ensure smooth functioning of the debt mutual funds. </w:t>
      </w:r>
    </w:p>
    <w:p w:rsidR="00100655" w:rsidRDefault="00100655" w:rsidP="001A42AC">
      <w:pPr>
        <w:spacing w:line="360" w:lineRule="auto"/>
        <w:jc w:val="both"/>
        <w:outlineLvl w:val="0"/>
        <w:rPr>
          <w:rFonts w:ascii="Palatino Linotype" w:hAnsi="Palatino Linotype" w:cs="Helvetica"/>
          <w:bCs/>
          <w:sz w:val="22"/>
          <w:szCs w:val="22"/>
        </w:rPr>
      </w:pPr>
    </w:p>
    <w:p w:rsidR="00100655" w:rsidRDefault="00100655" w:rsidP="001A42AC">
      <w:pPr>
        <w:spacing w:line="360" w:lineRule="auto"/>
        <w:jc w:val="both"/>
        <w:outlineLvl w:val="0"/>
        <w:rPr>
          <w:rFonts w:ascii="Palatino Linotype" w:hAnsi="Palatino Linotype" w:cs="Helvetica"/>
          <w:bCs/>
          <w:sz w:val="22"/>
          <w:szCs w:val="22"/>
        </w:rPr>
      </w:pPr>
      <w:r w:rsidRPr="00100655">
        <w:rPr>
          <w:rFonts w:ascii="Palatino Linotype" w:hAnsi="Palatino Linotype" w:cs="Helvetica"/>
          <w:bCs/>
          <w:sz w:val="22"/>
          <w:szCs w:val="22"/>
        </w:rPr>
        <w:t xml:space="preserve">29. Apart  from mandating mutual funds to  do  a minimum percentage of their secondary market trades in corporate bonds on the RFQ platform of stock exchanges, SEBI is pursuing a multitude of measures to not only increase liquidity in secondary markets but also to enable greater issuances of paper rated below AAA. Some of the measures include – </w:t>
      </w:r>
    </w:p>
    <w:p w:rsidR="00100655" w:rsidRDefault="00100655" w:rsidP="001A42AC">
      <w:pPr>
        <w:spacing w:line="360" w:lineRule="auto"/>
        <w:jc w:val="both"/>
        <w:outlineLvl w:val="0"/>
        <w:rPr>
          <w:rFonts w:ascii="Palatino Linotype" w:hAnsi="Palatino Linotype" w:cs="Helvetica"/>
          <w:bCs/>
          <w:sz w:val="22"/>
          <w:szCs w:val="22"/>
        </w:rPr>
      </w:pPr>
    </w:p>
    <w:p w:rsidR="00100655" w:rsidRDefault="00100655" w:rsidP="001A42AC">
      <w:pPr>
        <w:spacing w:line="360" w:lineRule="auto"/>
        <w:jc w:val="both"/>
        <w:outlineLvl w:val="0"/>
        <w:rPr>
          <w:rFonts w:ascii="Palatino Linotype" w:hAnsi="Palatino Linotype" w:cs="Helvetica"/>
          <w:bCs/>
          <w:sz w:val="22"/>
          <w:szCs w:val="22"/>
        </w:rPr>
      </w:pPr>
      <w:r w:rsidRPr="00100655">
        <w:rPr>
          <w:rFonts w:ascii="Palatino Linotype" w:hAnsi="Palatino Linotype" w:cs="Helvetica"/>
          <w:bCs/>
          <w:sz w:val="22"/>
          <w:szCs w:val="22"/>
        </w:rPr>
        <w:t>30. Repo in corporate bonds – A liquid repo market using corporate bond collateral has the potential to greatly enhance demand for corporate bonds, as well as secondary market liquidity in corporate bonds, as many investors who do not consider corporate bonds due to their illiquidity could have access to low cost funds  collateralized  by  their  corporate  bond  holdings.  Market  makers  in corporate bonds needing access to low cost capital as well as securities to cover their short sales would also be able to carry out their market-making operations more cost efficiently in the presence of a liquid repo market in corporate  bonds.  As  per  the  latest  European  Repo  Market  Survey  of</w:t>
      </w:r>
      <w:r>
        <w:rPr>
          <w:rFonts w:ascii="Palatino Linotype" w:hAnsi="Palatino Linotype" w:cs="Helvetica"/>
          <w:bCs/>
          <w:sz w:val="22"/>
          <w:szCs w:val="22"/>
        </w:rPr>
        <w:t xml:space="preserve"> </w:t>
      </w:r>
      <w:r w:rsidRPr="00100655">
        <w:rPr>
          <w:rFonts w:ascii="Palatino Linotype" w:hAnsi="Palatino Linotype" w:cs="Helvetica"/>
          <w:bCs/>
          <w:sz w:val="22"/>
          <w:szCs w:val="22"/>
        </w:rPr>
        <w:t xml:space="preserve">International Capital Market Association, in December 2019 corporate bonds as collateral had a 17.3% share in the total Euro 8.3 trillion outstanding repo contracts in the books of 58 participating institutions.  </w:t>
      </w:r>
    </w:p>
    <w:p w:rsidR="00100655" w:rsidRDefault="00100655" w:rsidP="001A42AC">
      <w:pPr>
        <w:spacing w:line="360" w:lineRule="auto"/>
        <w:jc w:val="both"/>
        <w:outlineLvl w:val="0"/>
        <w:rPr>
          <w:rFonts w:ascii="Palatino Linotype" w:hAnsi="Palatino Linotype" w:cs="Helvetica"/>
          <w:bCs/>
          <w:sz w:val="22"/>
          <w:szCs w:val="22"/>
        </w:rPr>
      </w:pPr>
    </w:p>
    <w:p w:rsidR="00100655" w:rsidRDefault="00100655" w:rsidP="001A42AC">
      <w:pPr>
        <w:spacing w:line="360" w:lineRule="auto"/>
        <w:jc w:val="both"/>
        <w:outlineLvl w:val="0"/>
        <w:rPr>
          <w:rFonts w:ascii="Palatino Linotype" w:hAnsi="Palatino Linotype" w:cs="Helvetica"/>
          <w:bCs/>
          <w:sz w:val="22"/>
          <w:szCs w:val="22"/>
        </w:rPr>
      </w:pPr>
      <w:r w:rsidRPr="00100655">
        <w:rPr>
          <w:rFonts w:ascii="Palatino Linotype" w:hAnsi="Palatino Linotype" w:cs="Helvetica"/>
          <w:bCs/>
          <w:sz w:val="22"/>
          <w:szCs w:val="22"/>
        </w:rPr>
        <w:t xml:space="preserve">31. In India, the repo market on corporate bonds has unfortunately not taken off till now. SEBI is deliberating on  having  a limited purpose central clearing corporation for guaranteed settlement of tri-party repo trades in all investment grade corporate bonds, including those below AAA rated, to boost repo trading in corporate bonds. As major holders of corporate bonds, the mutual funds, who  regularly  have  buying/selling  needs,  would  be  one  of  the  biggest beneficiaries of a liquid market. Issuers will also be significant beneficiaries of a liquid and stable market in terms of lower borrowing costs. </w:t>
      </w:r>
    </w:p>
    <w:p w:rsidR="00100655" w:rsidRDefault="00100655" w:rsidP="001A42AC">
      <w:pPr>
        <w:spacing w:line="360" w:lineRule="auto"/>
        <w:jc w:val="both"/>
        <w:outlineLvl w:val="0"/>
        <w:rPr>
          <w:rFonts w:ascii="Palatino Linotype" w:hAnsi="Palatino Linotype" w:cs="Helvetica"/>
          <w:bCs/>
          <w:sz w:val="22"/>
          <w:szCs w:val="22"/>
        </w:rPr>
      </w:pPr>
    </w:p>
    <w:p w:rsidR="00100655" w:rsidRDefault="00100655" w:rsidP="001A42AC">
      <w:pPr>
        <w:spacing w:line="360" w:lineRule="auto"/>
        <w:jc w:val="both"/>
        <w:outlineLvl w:val="0"/>
        <w:rPr>
          <w:rFonts w:ascii="Palatino Linotype" w:hAnsi="Palatino Linotype" w:cs="Helvetica"/>
          <w:bCs/>
          <w:sz w:val="22"/>
          <w:szCs w:val="22"/>
        </w:rPr>
      </w:pPr>
      <w:r w:rsidRPr="00100655">
        <w:rPr>
          <w:rFonts w:ascii="Palatino Linotype" w:hAnsi="Palatino Linotype" w:cs="Helvetica"/>
          <w:bCs/>
          <w:sz w:val="22"/>
          <w:szCs w:val="22"/>
        </w:rPr>
        <w:t xml:space="preserve">32. Back-stop facility – An entity which can trade in relatively illiquid investment grade corporate bonds and be readily available in times of stress to buy such bonds from various market participants in the secondary market, may instill greater confidence of market participants in corporate bonds, especially in below AAA investment grade bonds. SEBI is examining the setting up of such a backstop facility in consultation with various stakeholders. Of course, as a broad general guiding principle, for any such entity to be set up, the market participants should have ‘skin in the game’ and the ‘moral hazard’ problem ought to be satisfactorily addressed.  </w:t>
      </w:r>
    </w:p>
    <w:p w:rsidR="00100655" w:rsidRDefault="00100655" w:rsidP="001A42AC">
      <w:pPr>
        <w:spacing w:line="360" w:lineRule="auto"/>
        <w:jc w:val="both"/>
        <w:outlineLvl w:val="0"/>
        <w:rPr>
          <w:rFonts w:ascii="Palatino Linotype" w:hAnsi="Palatino Linotype" w:cs="Helvetica"/>
          <w:bCs/>
          <w:sz w:val="22"/>
          <w:szCs w:val="22"/>
        </w:rPr>
      </w:pPr>
    </w:p>
    <w:p w:rsidR="00100655" w:rsidRPr="00100655" w:rsidRDefault="00100655" w:rsidP="001A42AC">
      <w:pPr>
        <w:spacing w:line="360" w:lineRule="auto"/>
        <w:jc w:val="both"/>
        <w:outlineLvl w:val="0"/>
        <w:rPr>
          <w:rFonts w:ascii="Palatino Linotype" w:hAnsi="Palatino Linotype" w:cs="Helvetica"/>
          <w:b/>
          <w:sz w:val="22"/>
          <w:szCs w:val="22"/>
        </w:rPr>
      </w:pPr>
      <w:r w:rsidRPr="00100655">
        <w:rPr>
          <w:rFonts w:ascii="Palatino Linotype" w:hAnsi="Palatino Linotype" w:cs="Helvetica"/>
          <w:b/>
          <w:sz w:val="22"/>
          <w:szCs w:val="22"/>
        </w:rPr>
        <w:t xml:space="preserve">F.  In the end, some advice </w:t>
      </w:r>
    </w:p>
    <w:p w:rsidR="00100655" w:rsidRDefault="00100655" w:rsidP="001A42AC">
      <w:pPr>
        <w:spacing w:line="360" w:lineRule="auto"/>
        <w:jc w:val="both"/>
        <w:outlineLvl w:val="0"/>
        <w:rPr>
          <w:rFonts w:ascii="Palatino Linotype" w:hAnsi="Palatino Linotype" w:cs="Helvetica"/>
          <w:bCs/>
          <w:sz w:val="22"/>
          <w:szCs w:val="22"/>
        </w:rPr>
      </w:pPr>
    </w:p>
    <w:p w:rsidR="00100655" w:rsidRDefault="00100655" w:rsidP="001A42AC">
      <w:pPr>
        <w:spacing w:line="360" w:lineRule="auto"/>
        <w:jc w:val="both"/>
        <w:outlineLvl w:val="0"/>
        <w:rPr>
          <w:rFonts w:ascii="Palatino Linotype" w:hAnsi="Palatino Linotype" w:cs="Helvetica"/>
          <w:bCs/>
          <w:sz w:val="22"/>
          <w:szCs w:val="22"/>
        </w:rPr>
      </w:pPr>
      <w:r w:rsidRPr="00100655">
        <w:rPr>
          <w:rFonts w:ascii="Palatino Linotype" w:hAnsi="Palatino Linotype" w:cs="Helvetica"/>
          <w:bCs/>
          <w:sz w:val="22"/>
          <w:szCs w:val="22"/>
        </w:rPr>
        <w:t>33. Though the industry has grown at an outstanding pace over the last few years reflecting  the  confidence  of  investors  in  mutual  funds,  there  is  a  need  to</w:t>
      </w:r>
      <w:r>
        <w:rPr>
          <w:rFonts w:ascii="Palatino Linotype" w:hAnsi="Palatino Linotype" w:cs="Helvetica"/>
          <w:bCs/>
          <w:sz w:val="22"/>
          <w:szCs w:val="22"/>
        </w:rPr>
        <w:t xml:space="preserve"> </w:t>
      </w:r>
      <w:r w:rsidRPr="00100655">
        <w:rPr>
          <w:rFonts w:ascii="Palatino Linotype" w:hAnsi="Palatino Linotype" w:cs="Helvetica"/>
          <w:bCs/>
          <w:sz w:val="22"/>
          <w:szCs w:val="22"/>
        </w:rPr>
        <w:t xml:space="preserve">continue upholding this confidence for the mutual benefit of the industry and the investors it serves. </w:t>
      </w:r>
    </w:p>
    <w:p w:rsidR="00100655" w:rsidRDefault="00100655" w:rsidP="001A42AC">
      <w:pPr>
        <w:spacing w:line="360" w:lineRule="auto"/>
        <w:jc w:val="both"/>
        <w:outlineLvl w:val="0"/>
        <w:rPr>
          <w:rFonts w:ascii="Palatino Linotype" w:hAnsi="Palatino Linotype" w:cs="Helvetica"/>
          <w:bCs/>
          <w:sz w:val="22"/>
          <w:szCs w:val="22"/>
        </w:rPr>
      </w:pPr>
    </w:p>
    <w:p w:rsidR="00100655" w:rsidRDefault="00100655" w:rsidP="001A42AC">
      <w:pPr>
        <w:spacing w:line="360" w:lineRule="auto"/>
        <w:jc w:val="both"/>
        <w:outlineLvl w:val="0"/>
        <w:rPr>
          <w:rFonts w:ascii="Palatino Linotype" w:hAnsi="Palatino Linotype" w:cs="Helvetica"/>
          <w:bCs/>
          <w:sz w:val="22"/>
          <w:szCs w:val="22"/>
        </w:rPr>
      </w:pPr>
      <w:r w:rsidRPr="00100655">
        <w:rPr>
          <w:rFonts w:ascii="Palatino Linotype" w:hAnsi="Palatino Linotype" w:cs="Helvetica"/>
          <w:bCs/>
          <w:sz w:val="22"/>
          <w:szCs w:val="22"/>
        </w:rPr>
        <w:lastRenderedPageBreak/>
        <w:t xml:space="preserve">34. Protecting the interest of investors is the primary duty of mutual funds, and thus  all  decisions  that  funds  take  on  behalf  of  investors  should  be  taken keeping in mind the best interest of the investors. The debt mutual funds must remember  at  all  times  that  there  is  a  difference  between  ‘Investing’  and ‘Lending’. Mutual funds are not banks and shouldn’t attempt to behave like one. Unlike banks there are neither capital adequacy requirements for mutual funds nor do they have the ‘lender of last resort’ comfort as banks have from RBI.  The  true  reflection  of  their  portfolio  in  its  NAV  on  daily  basis  is  the cornerstone of transparency and investors’ trust. </w:t>
      </w:r>
    </w:p>
    <w:p w:rsidR="00100655" w:rsidRDefault="00100655" w:rsidP="001A42AC">
      <w:pPr>
        <w:spacing w:line="360" w:lineRule="auto"/>
        <w:jc w:val="both"/>
        <w:outlineLvl w:val="0"/>
        <w:rPr>
          <w:rFonts w:ascii="Palatino Linotype" w:hAnsi="Palatino Linotype" w:cs="Helvetica"/>
          <w:bCs/>
          <w:sz w:val="22"/>
          <w:szCs w:val="22"/>
        </w:rPr>
      </w:pPr>
    </w:p>
    <w:p w:rsidR="00100655" w:rsidRDefault="00100655" w:rsidP="001A42AC">
      <w:pPr>
        <w:spacing w:line="360" w:lineRule="auto"/>
        <w:jc w:val="both"/>
        <w:outlineLvl w:val="0"/>
        <w:rPr>
          <w:rFonts w:ascii="Palatino Linotype" w:hAnsi="Palatino Linotype" w:cs="Helvetica"/>
          <w:bCs/>
          <w:sz w:val="22"/>
          <w:szCs w:val="22"/>
        </w:rPr>
      </w:pPr>
      <w:r w:rsidRPr="00100655">
        <w:rPr>
          <w:rFonts w:ascii="Palatino Linotype" w:hAnsi="Palatino Linotype" w:cs="Helvetica"/>
          <w:bCs/>
          <w:sz w:val="22"/>
          <w:szCs w:val="22"/>
        </w:rPr>
        <w:t>35. I have been told that 46 mutual funds have over 1700 schemes. SEBI, in consultation with the industry, had done a mammoth exercise in 2017 and come  out  with  categorization  of  schemes  in  36  categories.  Improper categorization of schemes will only lead to confusion amongst the investors apart  from  the  possibilities  of  mis-selling.  Scheme  category  and  its performance vis-à-vis benchmark are major inputs based on which investors decide whether to invest in a scheme or not. If a scheme portfolio is not true to its label, it might be giving very different risk return exposure to the unit holders of the scheme than what they have signed up for. SEBI norms for categorization of mutual fund schemes have two objectives – that the scheme portfolio  should  reflect  the  name  of  the  scheme;  and  that  the  scheme performance can then be compared against an appropriate benchmark. The funds need to keep their scheme portfolios true to their label</w:t>
      </w:r>
      <w:r>
        <w:rPr>
          <w:rFonts w:ascii="Palatino Linotype" w:hAnsi="Palatino Linotype" w:cs="Helvetica"/>
          <w:bCs/>
          <w:sz w:val="22"/>
          <w:szCs w:val="22"/>
        </w:rPr>
        <w:t>.</w:t>
      </w:r>
    </w:p>
    <w:p w:rsidR="00100655" w:rsidRDefault="00100655" w:rsidP="00100655">
      <w:pPr>
        <w:spacing w:line="360" w:lineRule="auto"/>
        <w:jc w:val="both"/>
        <w:outlineLvl w:val="0"/>
        <w:rPr>
          <w:rFonts w:ascii="Palatino Linotype" w:hAnsi="Palatino Linotype" w:cs="Helvetica"/>
          <w:bCs/>
          <w:sz w:val="22"/>
          <w:szCs w:val="22"/>
        </w:rPr>
      </w:pPr>
    </w:p>
    <w:p w:rsidR="00062F4A" w:rsidRDefault="00100655" w:rsidP="00100655">
      <w:pPr>
        <w:spacing w:line="360" w:lineRule="auto"/>
        <w:jc w:val="both"/>
        <w:outlineLvl w:val="0"/>
        <w:rPr>
          <w:rFonts w:ascii="Palatino Linotype" w:hAnsi="Palatino Linotype" w:cs="Helvetica"/>
          <w:bCs/>
          <w:sz w:val="22"/>
          <w:szCs w:val="22"/>
        </w:rPr>
      </w:pPr>
      <w:r w:rsidRPr="00100655">
        <w:rPr>
          <w:rFonts w:ascii="Palatino Linotype" w:hAnsi="Palatino Linotype" w:cs="Helvetica"/>
          <w:bCs/>
          <w:sz w:val="22"/>
          <w:szCs w:val="22"/>
        </w:rPr>
        <w:t xml:space="preserve">36. While various policy measures have been, and are being taken to facilitate continuous improvement, the recent experiences have once again shown that there is no alternative to prudent risk management. I hope the industry is able to live up to the expectations of the  investors in carrying out its fiduciary responsibility towards them.  This is in the interest of the growth of the industry too.  </w:t>
      </w:r>
    </w:p>
    <w:p w:rsidR="00062F4A" w:rsidRDefault="00062F4A" w:rsidP="00100655">
      <w:pPr>
        <w:spacing w:line="360" w:lineRule="auto"/>
        <w:jc w:val="both"/>
        <w:outlineLvl w:val="0"/>
        <w:rPr>
          <w:rFonts w:ascii="Palatino Linotype" w:hAnsi="Palatino Linotype" w:cs="Helvetica"/>
          <w:bCs/>
          <w:sz w:val="22"/>
          <w:szCs w:val="22"/>
        </w:rPr>
      </w:pPr>
    </w:p>
    <w:p w:rsidR="00100655" w:rsidRDefault="00100655" w:rsidP="00100655">
      <w:pPr>
        <w:spacing w:line="360" w:lineRule="auto"/>
        <w:jc w:val="both"/>
        <w:outlineLvl w:val="0"/>
        <w:rPr>
          <w:rFonts w:ascii="Palatino Linotype" w:hAnsi="Palatino Linotype" w:cs="Helvetica"/>
          <w:bCs/>
          <w:sz w:val="22"/>
          <w:szCs w:val="22"/>
        </w:rPr>
      </w:pPr>
      <w:r w:rsidRPr="00100655">
        <w:rPr>
          <w:rFonts w:ascii="Palatino Linotype" w:hAnsi="Palatino Linotype" w:cs="Helvetica"/>
          <w:bCs/>
          <w:sz w:val="22"/>
          <w:szCs w:val="22"/>
        </w:rPr>
        <w:t xml:space="preserve">37. I wish AMFI and the mutual fund industry all the best in these challenging times.  </w:t>
      </w:r>
    </w:p>
    <w:p w:rsidR="00100655" w:rsidRDefault="00100655" w:rsidP="00100655">
      <w:pPr>
        <w:spacing w:line="360" w:lineRule="auto"/>
        <w:jc w:val="both"/>
        <w:outlineLvl w:val="0"/>
        <w:rPr>
          <w:rFonts w:ascii="Palatino Linotype" w:hAnsi="Palatino Linotype" w:cs="Helvetica"/>
          <w:bCs/>
          <w:sz w:val="22"/>
          <w:szCs w:val="22"/>
        </w:rPr>
      </w:pPr>
    </w:p>
    <w:p w:rsidR="00100655" w:rsidRPr="00100655" w:rsidRDefault="00100655" w:rsidP="00100655">
      <w:pPr>
        <w:spacing w:line="360" w:lineRule="auto"/>
        <w:jc w:val="both"/>
        <w:outlineLvl w:val="0"/>
        <w:rPr>
          <w:rFonts w:ascii="Palatino Linotype" w:hAnsi="Palatino Linotype" w:cs="Helvetica"/>
          <w:bCs/>
          <w:sz w:val="22"/>
          <w:szCs w:val="22"/>
        </w:rPr>
      </w:pPr>
      <w:r w:rsidRPr="00100655">
        <w:rPr>
          <w:rFonts w:ascii="Palatino Linotype" w:hAnsi="Palatino Linotype" w:cs="Helvetica"/>
          <w:bCs/>
          <w:sz w:val="22"/>
          <w:szCs w:val="22"/>
        </w:rPr>
        <w:t>Thank you.</w:t>
      </w:r>
    </w:p>
    <w:p w:rsidR="007C7C20" w:rsidRPr="001A42AC" w:rsidRDefault="007C7C20" w:rsidP="001A42AC">
      <w:pPr>
        <w:spacing w:line="360" w:lineRule="auto"/>
        <w:jc w:val="center"/>
        <w:outlineLvl w:val="0"/>
        <w:rPr>
          <w:rFonts w:ascii="Palatino Linotype" w:hAnsi="Palatino Linotype" w:cs="Helvetica"/>
          <w:bCs/>
          <w:sz w:val="22"/>
          <w:szCs w:val="22"/>
        </w:rPr>
      </w:pPr>
    </w:p>
    <w:p w:rsidR="001A42AC" w:rsidRPr="001A42AC" w:rsidRDefault="001A42AC" w:rsidP="001A42AC">
      <w:pPr>
        <w:spacing w:line="360" w:lineRule="auto"/>
        <w:jc w:val="center"/>
        <w:outlineLvl w:val="0"/>
        <w:rPr>
          <w:rFonts w:ascii="Palatino Linotype" w:hAnsi="Palatino Linotype" w:cs="Helvetica"/>
          <w:bCs/>
          <w:sz w:val="22"/>
          <w:szCs w:val="22"/>
        </w:rPr>
      </w:pPr>
    </w:p>
    <w:p w:rsidR="001A42AC" w:rsidRPr="001A42AC" w:rsidRDefault="001A42AC" w:rsidP="001A42AC">
      <w:pPr>
        <w:spacing w:line="360" w:lineRule="auto"/>
        <w:jc w:val="center"/>
        <w:outlineLvl w:val="0"/>
        <w:rPr>
          <w:rFonts w:ascii="Palatino Linotype" w:hAnsi="Palatino Linotype" w:cs="Helvetica"/>
          <w:bCs/>
          <w:sz w:val="22"/>
          <w:szCs w:val="22"/>
        </w:rPr>
      </w:pPr>
    </w:p>
    <w:p w:rsidR="001B5B2F" w:rsidRPr="001A42AC" w:rsidRDefault="001B5B2F" w:rsidP="001A42AC">
      <w:pPr>
        <w:spacing w:line="360" w:lineRule="auto"/>
        <w:jc w:val="center"/>
        <w:outlineLvl w:val="0"/>
        <w:rPr>
          <w:rFonts w:ascii="Palatino Linotype" w:hAnsi="Palatino Linotype" w:cs="Helvetica"/>
          <w:bCs/>
          <w:sz w:val="28"/>
          <w:szCs w:val="28"/>
        </w:rPr>
      </w:pPr>
    </w:p>
    <w:p w:rsidR="001A42AC" w:rsidRDefault="001A42AC" w:rsidP="007547DA">
      <w:pPr>
        <w:jc w:val="center"/>
        <w:outlineLvl w:val="0"/>
        <w:rPr>
          <w:rFonts w:ascii="Palatino Linotype" w:hAnsi="Palatino Linotype" w:cs="Helvetica"/>
          <w:b/>
          <w:color w:val="000099"/>
          <w:sz w:val="28"/>
          <w:szCs w:val="28"/>
        </w:rPr>
      </w:pPr>
    </w:p>
    <w:p w:rsidR="001A42AC" w:rsidRDefault="001A42AC" w:rsidP="007547DA">
      <w:pPr>
        <w:jc w:val="center"/>
        <w:outlineLvl w:val="0"/>
        <w:rPr>
          <w:rFonts w:ascii="Palatino Linotype" w:hAnsi="Palatino Linotype" w:cs="Helvetica"/>
          <w:b/>
          <w:color w:val="000099"/>
          <w:sz w:val="28"/>
          <w:szCs w:val="28"/>
        </w:rPr>
      </w:pPr>
    </w:p>
    <w:p w:rsidR="007547DA" w:rsidRPr="009A0EB3" w:rsidRDefault="007547DA" w:rsidP="007547DA">
      <w:pPr>
        <w:jc w:val="center"/>
        <w:outlineLvl w:val="0"/>
        <w:rPr>
          <w:rFonts w:ascii="Palatino Linotype" w:hAnsi="Palatino Linotype" w:cs="Helvetica"/>
          <w:b/>
          <w:color w:val="000099"/>
          <w:sz w:val="28"/>
          <w:szCs w:val="28"/>
        </w:rPr>
      </w:pPr>
      <w:r w:rsidRPr="009A0EB3">
        <w:rPr>
          <w:rFonts w:ascii="Palatino Linotype" w:hAnsi="Palatino Linotype" w:cs="Helvetica"/>
          <w:b/>
          <w:color w:val="000099"/>
          <w:sz w:val="28"/>
          <w:szCs w:val="28"/>
        </w:rPr>
        <w:t>CAPITAL MARKET REVIEW</w:t>
      </w:r>
    </w:p>
    <w:p w:rsidR="007547DA" w:rsidRPr="009A0EB3" w:rsidRDefault="007547DA" w:rsidP="007547DA">
      <w:pPr>
        <w:jc w:val="center"/>
        <w:outlineLvl w:val="0"/>
        <w:rPr>
          <w:rFonts w:ascii="Palatino Linotype" w:hAnsi="Palatino Linotype" w:cs="Helvetica"/>
          <w:b/>
          <w:color w:val="000099"/>
          <w:sz w:val="22"/>
          <w:szCs w:val="22"/>
        </w:rPr>
      </w:pPr>
    </w:p>
    <w:p w:rsidR="007547DA" w:rsidRPr="009A0EB3" w:rsidRDefault="007547DA" w:rsidP="007547DA">
      <w:pPr>
        <w:jc w:val="both"/>
        <w:rPr>
          <w:rFonts w:ascii="Palatino Linotype" w:hAnsi="Palatino Linotype"/>
          <w:sz w:val="22"/>
          <w:szCs w:val="22"/>
          <w:highlight w:val="yellow"/>
        </w:rPr>
      </w:pPr>
    </w:p>
    <w:p w:rsidR="00B92080" w:rsidRPr="002E2870" w:rsidRDefault="00B92080" w:rsidP="00B92080">
      <w:pPr>
        <w:widowControl w:val="0"/>
        <w:numPr>
          <w:ilvl w:val="0"/>
          <w:numId w:val="3"/>
        </w:numPr>
        <w:spacing w:line="276" w:lineRule="auto"/>
        <w:ind w:left="454" w:hanging="454"/>
        <w:rPr>
          <w:rFonts w:ascii="Palatino Linotype" w:eastAsia="Palatino Linotype" w:hAnsi="Palatino Linotype" w:cs="Palatino Linotype"/>
          <w:b/>
          <w:sz w:val="22"/>
          <w:szCs w:val="22"/>
        </w:rPr>
      </w:pPr>
      <w:r w:rsidRPr="002E2870">
        <w:rPr>
          <w:rFonts w:ascii="Palatino Linotype" w:eastAsia="Palatino Linotype" w:hAnsi="Palatino Linotype" w:cs="Palatino Linotype"/>
          <w:b/>
          <w:sz w:val="22"/>
          <w:szCs w:val="22"/>
        </w:rPr>
        <w:t xml:space="preserve">Trends in Resource Mobilisation by Corporates  </w:t>
      </w:r>
    </w:p>
    <w:p w:rsidR="00B92080" w:rsidRPr="002E2870" w:rsidRDefault="00B92080" w:rsidP="00B92080">
      <w:pPr>
        <w:widowControl w:val="0"/>
        <w:spacing w:line="276" w:lineRule="auto"/>
        <w:jc w:val="both"/>
        <w:rPr>
          <w:rFonts w:ascii="Palatino Linotype" w:eastAsia="Palatino Linotype" w:hAnsi="Palatino Linotype" w:cs="Palatino Linotype"/>
          <w:b/>
          <w:sz w:val="22"/>
          <w:szCs w:val="22"/>
        </w:rPr>
      </w:pPr>
    </w:p>
    <w:p w:rsidR="00B92080" w:rsidRPr="002E2870" w:rsidRDefault="00B92080" w:rsidP="00B92080">
      <w:pPr>
        <w:widowControl w:val="0"/>
        <w:spacing w:line="276" w:lineRule="auto"/>
        <w:jc w:val="both"/>
        <w:rPr>
          <w:rFonts w:ascii="Palatino Linotype" w:eastAsia="Palatino Linotype" w:hAnsi="Palatino Linotype" w:cs="Palatino Linotype"/>
          <w:b/>
          <w:sz w:val="22"/>
          <w:szCs w:val="22"/>
        </w:rPr>
      </w:pPr>
      <w:r w:rsidRPr="002E2870">
        <w:rPr>
          <w:rFonts w:ascii="Palatino Linotype" w:eastAsia="Palatino Linotype" w:hAnsi="Palatino Linotype" w:cs="Palatino Linotype"/>
          <w:b/>
          <w:sz w:val="22"/>
          <w:szCs w:val="22"/>
        </w:rPr>
        <w:t>Table 1: Fund Mobilisation by Corporates (</w:t>
      </w:r>
      <w:r w:rsidRPr="002E2870">
        <w:rPr>
          <w:rFonts w:ascii="Times New Roman" w:eastAsia="Tahoma" w:hAnsi="Times New Roman"/>
          <w:b/>
          <w:sz w:val="22"/>
          <w:szCs w:val="22"/>
        </w:rPr>
        <w:t>₹</w:t>
      </w:r>
      <w:r w:rsidRPr="002E2870">
        <w:rPr>
          <w:rFonts w:ascii="Palatino Linotype" w:eastAsia="Tahoma" w:hAnsi="Palatino Linotype"/>
          <w:b/>
          <w:sz w:val="22"/>
          <w:szCs w:val="22"/>
        </w:rPr>
        <w:t xml:space="preserve"> </w:t>
      </w:r>
      <w:r w:rsidRPr="002E2870">
        <w:rPr>
          <w:rFonts w:ascii="Palatino Linotype" w:eastAsia="Palatino Linotype" w:hAnsi="Palatino Linotype" w:cs="Palatino Linotype"/>
          <w:b/>
          <w:sz w:val="22"/>
          <w:szCs w:val="22"/>
        </w:rPr>
        <w:t xml:space="preserve">crore) </w:t>
      </w:r>
    </w:p>
    <w:tbl>
      <w:tblPr>
        <w:tblW w:w="9067" w:type="dxa"/>
        <w:tblLook w:val="04A0" w:firstRow="1" w:lastRow="0" w:firstColumn="1" w:lastColumn="0" w:noHBand="0" w:noVBand="1"/>
      </w:tblPr>
      <w:tblGrid>
        <w:gridCol w:w="6091"/>
        <w:gridCol w:w="1559"/>
        <w:gridCol w:w="1417"/>
      </w:tblGrid>
      <w:tr w:rsidR="00B92080" w:rsidRPr="002E2870" w:rsidTr="00DB5405">
        <w:trPr>
          <w:trHeight w:val="214"/>
        </w:trPr>
        <w:tc>
          <w:tcPr>
            <w:tcW w:w="6091" w:type="dxa"/>
            <w:tcBorders>
              <w:top w:val="single" w:sz="4" w:space="0" w:color="000000"/>
              <w:left w:val="single" w:sz="4" w:space="0" w:color="000000"/>
              <w:bottom w:val="single" w:sz="4" w:space="0" w:color="000000"/>
              <w:right w:val="single" w:sz="4" w:space="0" w:color="auto"/>
            </w:tcBorders>
            <w:shd w:val="clear" w:color="A9D08E" w:fill="A9D08E"/>
            <w:noWrap/>
            <w:vAlign w:val="center"/>
          </w:tcPr>
          <w:p w:rsidR="00B92080" w:rsidRPr="002E2870" w:rsidRDefault="00B92080" w:rsidP="00DB5405">
            <w:pPr>
              <w:spacing w:line="276" w:lineRule="auto"/>
              <w:rPr>
                <w:rFonts w:ascii="Palatino Linotype" w:eastAsia="Times New Roman" w:hAnsi="Palatino Linotype"/>
                <w:b/>
                <w:bCs/>
                <w:sz w:val="20"/>
                <w:szCs w:val="20"/>
                <w:lang w:val="en-US" w:bidi="hi-IN"/>
              </w:rPr>
            </w:pPr>
            <w:r w:rsidRPr="002E2870">
              <w:rPr>
                <w:rFonts w:ascii="Palatino Linotype" w:hAnsi="Palatino Linotype"/>
                <w:b/>
                <w:bCs/>
                <w:sz w:val="20"/>
                <w:szCs w:val="20"/>
              </w:rPr>
              <w:t>Particulars</w:t>
            </w:r>
          </w:p>
        </w:tc>
        <w:tc>
          <w:tcPr>
            <w:tcW w:w="1559" w:type="dxa"/>
            <w:tcBorders>
              <w:top w:val="single" w:sz="4" w:space="0" w:color="auto"/>
              <w:left w:val="single" w:sz="4" w:space="0" w:color="auto"/>
              <w:bottom w:val="single" w:sz="4" w:space="0" w:color="000000"/>
              <w:right w:val="single" w:sz="4" w:space="0" w:color="auto"/>
            </w:tcBorders>
            <w:shd w:val="clear" w:color="A9D08E" w:fill="A9D08E"/>
            <w:vAlign w:val="center"/>
          </w:tcPr>
          <w:p w:rsidR="00B92080" w:rsidRPr="002E2870" w:rsidRDefault="00B92080" w:rsidP="00DB5405">
            <w:pPr>
              <w:spacing w:line="276" w:lineRule="auto"/>
              <w:jc w:val="right"/>
              <w:rPr>
                <w:rFonts w:ascii="Palatino Linotype" w:hAnsi="Palatino Linotype"/>
                <w:b/>
                <w:bCs/>
                <w:sz w:val="20"/>
                <w:szCs w:val="20"/>
              </w:rPr>
            </w:pPr>
            <w:r w:rsidRPr="002E2870">
              <w:rPr>
                <w:rFonts w:ascii="Palatino Linotype" w:hAnsi="Palatino Linotype"/>
                <w:b/>
                <w:bCs/>
                <w:sz w:val="20"/>
                <w:szCs w:val="20"/>
              </w:rPr>
              <w:t>Aug-20</w:t>
            </w:r>
          </w:p>
        </w:tc>
        <w:tc>
          <w:tcPr>
            <w:tcW w:w="1417" w:type="dxa"/>
            <w:tcBorders>
              <w:top w:val="single" w:sz="4" w:space="0" w:color="000000"/>
              <w:left w:val="single" w:sz="4" w:space="0" w:color="auto"/>
              <w:bottom w:val="single" w:sz="4" w:space="0" w:color="000000"/>
              <w:right w:val="single" w:sz="4" w:space="0" w:color="000000"/>
            </w:tcBorders>
            <w:shd w:val="clear" w:color="A9D08E" w:fill="A9D08E"/>
            <w:noWrap/>
            <w:vAlign w:val="center"/>
          </w:tcPr>
          <w:p w:rsidR="00B92080" w:rsidRPr="002E2870" w:rsidRDefault="00B92080" w:rsidP="00DB5405">
            <w:pPr>
              <w:spacing w:line="276" w:lineRule="auto"/>
              <w:jc w:val="right"/>
              <w:rPr>
                <w:rFonts w:ascii="Palatino Linotype" w:hAnsi="Palatino Linotype"/>
                <w:b/>
                <w:bCs/>
                <w:sz w:val="20"/>
                <w:szCs w:val="20"/>
              </w:rPr>
            </w:pPr>
            <w:r w:rsidRPr="002E2870">
              <w:rPr>
                <w:rFonts w:ascii="Palatino Linotype" w:hAnsi="Palatino Linotype"/>
                <w:b/>
                <w:bCs/>
                <w:sz w:val="20"/>
                <w:szCs w:val="20"/>
              </w:rPr>
              <w:t xml:space="preserve">Sept-20 </w:t>
            </w:r>
          </w:p>
        </w:tc>
      </w:tr>
      <w:tr w:rsidR="00B92080" w:rsidRPr="002E2870" w:rsidTr="00DB5405">
        <w:trPr>
          <w:trHeight w:val="214"/>
        </w:trPr>
        <w:tc>
          <w:tcPr>
            <w:tcW w:w="6091" w:type="dxa"/>
            <w:tcBorders>
              <w:top w:val="nil"/>
              <w:left w:val="single" w:sz="4" w:space="0" w:color="000000"/>
              <w:bottom w:val="single" w:sz="4" w:space="0" w:color="000000"/>
              <w:right w:val="single" w:sz="4" w:space="0" w:color="auto"/>
            </w:tcBorders>
            <w:shd w:val="clear" w:color="000000" w:fill="B7DEE8"/>
            <w:noWrap/>
            <w:vAlign w:val="center"/>
          </w:tcPr>
          <w:p w:rsidR="00B92080" w:rsidRPr="002E2870" w:rsidRDefault="00B92080" w:rsidP="00DB5405">
            <w:pPr>
              <w:tabs>
                <w:tab w:val="left" w:pos="314"/>
              </w:tabs>
              <w:spacing w:line="276" w:lineRule="auto"/>
              <w:rPr>
                <w:rFonts w:ascii="Palatino Linotype" w:eastAsia="Times New Roman" w:hAnsi="Palatino Linotype"/>
                <w:b/>
                <w:bCs/>
                <w:i/>
                <w:iCs/>
                <w:sz w:val="20"/>
                <w:szCs w:val="20"/>
                <w:lang w:val="en-US" w:bidi="hi-IN"/>
              </w:rPr>
            </w:pPr>
            <w:r w:rsidRPr="002E2870">
              <w:rPr>
                <w:rFonts w:ascii="Palatino Linotype" w:hAnsi="Palatino Linotype"/>
                <w:b/>
                <w:bCs/>
                <w:i/>
                <w:iCs/>
                <w:sz w:val="20"/>
                <w:szCs w:val="20"/>
              </w:rPr>
              <w:t>A. Fund Mobilisation through Public Issues (I+II)</w:t>
            </w:r>
          </w:p>
        </w:tc>
        <w:tc>
          <w:tcPr>
            <w:tcW w:w="1559" w:type="dxa"/>
            <w:tcBorders>
              <w:top w:val="single" w:sz="4" w:space="0" w:color="000000"/>
              <w:left w:val="single" w:sz="4" w:space="0" w:color="auto"/>
              <w:bottom w:val="single" w:sz="4" w:space="0" w:color="000000"/>
              <w:right w:val="single" w:sz="4" w:space="0" w:color="auto"/>
            </w:tcBorders>
            <w:shd w:val="clear" w:color="000000" w:fill="B7DEE8"/>
            <w:vAlign w:val="center"/>
          </w:tcPr>
          <w:p w:rsidR="00B92080" w:rsidRPr="002E2870" w:rsidRDefault="00B92080" w:rsidP="00DB5405">
            <w:pPr>
              <w:spacing w:line="276" w:lineRule="auto"/>
              <w:jc w:val="right"/>
              <w:rPr>
                <w:rFonts w:ascii="Palatino Linotype" w:hAnsi="Palatino Linotype"/>
                <w:b/>
                <w:bCs/>
                <w:sz w:val="20"/>
                <w:szCs w:val="20"/>
              </w:rPr>
            </w:pPr>
            <w:r w:rsidRPr="002E2870">
              <w:rPr>
                <w:rFonts w:ascii="Palatino Linotype" w:hAnsi="Palatino Linotype"/>
                <w:b/>
                <w:bCs/>
                <w:sz w:val="20"/>
                <w:szCs w:val="20"/>
              </w:rPr>
              <w:t xml:space="preserve">         6,107.8 </w:t>
            </w:r>
          </w:p>
        </w:tc>
        <w:tc>
          <w:tcPr>
            <w:tcW w:w="1417" w:type="dxa"/>
            <w:tcBorders>
              <w:top w:val="nil"/>
              <w:left w:val="single" w:sz="4" w:space="0" w:color="auto"/>
              <w:bottom w:val="single" w:sz="4" w:space="0" w:color="000000"/>
              <w:right w:val="single" w:sz="4" w:space="0" w:color="000000"/>
            </w:tcBorders>
            <w:shd w:val="clear" w:color="000000" w:fill="B7DEE8"/>
            <w:noWrap/>
            <w:vAlign w:val="center"/>
          </w:tcPr>
          <w:p w:rsidR="00B92080" w:rsidRPr="002E2870" w:rsidRDefault="00B92080" w:rsidP="00DB5405">
            <w:pPr>
              <w:spacing w:line="276" w:lineRule="auto"/>
              <w:jc w:val="right"/>
              <w:rPr>
                <w:rFonts w:ascii="Palatino Linotype" w:hAnsi="Palatino Linotype"/>
                <w:b/>
                <w:bCs/>
                <w:sz w:val="20"/>
                <w:szCs w:val="20"/>
              </w:rPr>
            </w:pPr>
            <w:r w:rsidRPr="002E2870">
              <w:rPr>
                <w:rFonts w:ascii="Palatino Linotype" w:hAnsi="Palatino Linotype"/>
                <w:b/>
                <w:bCs/>
                <w:sz w:val="20"/>
                <w:szCs w:val="20"/>
              </w:rPr>
              <w:t xml:space="preserve">        1,821.3 </w:t>
            </w:r>
          </w:p>
        </w:tc>
      </w:tr>
      <w:tr w:rsidR="00B92080" w:rsidRPr="002E2870" w:rsidTr="00DB5405">
        <w:trPr>
          <w:trHeight w:val="214"/>
        </w:trPr>
        <w:tc>
          <w:tcPr>
            <w:tcW w:w="6091" w:type="dxa"/>
            <w:tcBorders>
              <w:top w:val="nil"/>
              <w:left w:val="single" w:sz="4" w:space="0" w:color="000000"/>
              <w:bottom w:val="single" w:sz="4" w:space="0" w:color="000000"/>
              <w:right w:val="single" w:sz="4" w:space="0" w:color="auto"/>
            </w:tcBorders>
            <w:shd w:val="clear" w:color="auto" w:fill="auto"/>
            <w:vAlign w:val="center"/>
          </w:tcPr>
          <w:p w:rsidR="00B92080" w:rsidRPr="002E2870" w:rsidRDefault="00B92080" w:rsidP="00DB5405">
            <w:pPr>
              <w:tabs>
                <w:tab w:val="left" w:pos="314"/>
                <w:tab w:val="left" w:pos="601"/>
              </w:tabs>
              <w:spacing w:line="276" w:lineRule="auto"/>
              <w:rPr>
                <w:rFonts w:ascii="Palatino Linotype" w:eastAsia="Times New Roman" w:hAnsi="Palatino Linotype"/>
                <w:b/>
                <w:bCs/>
                <w:i/>
                <w:iCs/>
                <w:sz w:val="20"/>
                <w:szCs w:val="20"/>
                <w:lang w:val="en-US" w:bidi="hi-IN"/>
              </w:rPr>
            </w:pPr>
            <w:r w:rsidRPr="002E2870">
              <w:rPr>
                <w:rFonts w:ascii="Palatino Linotype" w:hAnsi="Palatino Linotype"/>
                <w:b/>
                <w:bCs/>
                <w:i/>
                <w:iCs/>
                <w:sz w:val="20"/>
                <w:szCs w:val="20"/>
              </w:rPr>
              <w:t>I.</w:t>
            </w:r>
            <w:r w:rsidRPr="002E2870">
              <w:rPr>
                <w:rFonts w:ascii="Palatino Linotype" w:hAnsi="Palatino Linotype"/>
                <w:b/>
                <w:bCs/>
                <w:i/>
                <w:iCs/>
                <w:sz w:val="20"/>
                <w:szCs w:val="20"/>
              </w:rPr>
              <w:tab/>
              <w:t>Equity Public Issues</w:t>
            </w:r>
          </w:p>
        </w:tc>
        <w:tc>
          <w:tcPr>
            <w:tcW w:w="1559" w:type="dxa"/>
            <w:tcBorders>
              <w:top w:val="single" w:sz="4" w:space="0" w:color="000000"/>
              <w:left w:val="single" w:sz="4" w:space="0" w:color="auto"/>
              <w:bottom w:val="single" w:sz="4" w:space="0" w:color="000000"/>
              <w:right w:val="single" w:sz="4" w:space="0" w:color="auto"/>
            </w:tcBorders>
            <w:vAlign w:val="center"/>
          </w:tcPr>
          <w:p w:rsidR="00B92080" w:rsidRPr="002E2870" w:rsidRDefault="00B92080" w:rsidP="00DB5405">
            <w:pPr>
              <w:spacing w:line="276" w:lineRule="auto"/>
              <w:jc w:val="right"/>
              <w:rPr>
                <w:rFonts w:ascii="Palatino Linotype" w:hAnsi="Palatino Linotype"/>
                <w:b/>
                <w:bCs/>
                <w:sz w:val="20"/>
                <w:szCs w:val="20"/>
              </w:rPr>
            </w:pPr>
            <w:r w:rsidRPr="002E2870">
              <w:rPr>
                <w:rFonts w:ascii="Palatino Linotype" w:hAnsi="Palatino Linotype"/>
                <w:b/>
                <w:bCs/>
                <w:sz w:val="20"/>
                <w:szCs w:val="20"/>
              </w:rPr>
              <w:t xml:space="preserve">         6,107.8 </w:t>
            </w:r>
          </w:p>
        </w:tc>
        <w:tc>
          <w:tcPr>
            <w:tcW w:w="1417" w:type="dxa"/>
            <w:tcBorders>
              <w:top w:val="nil"/>
              <w:left w:val="single" w:sz="4" w:space="0" w:color="auto"/>
              <w:bottom w:val="single" w:sz="4" w:space="0" w:color="000000"/>
              <w:right w:val="single" w:sz="4" w:space="0" w:color="000000"/>
            </w:tcBorders>
            <w:shd w:val="clear" w:color="auto" w:fill="auto"/>
            <w:noWrap/>
            <w:vAlign w:val="center"/>
          </w:tcPr>
          <w:p w:rsidR="00B92080" w:rsidRPr="002E2870" w:rsidRDefault="00B92080" w:rsidP="00DB5405">
            <w:pPr>
              <w:spacing w:line="276" w:lineRule="auto"/>
              <w:jc w:val="right"/>
              <w:rPr>
                <w:rFonts w:ascii="Palatino Linotype" w:hAnsi="Palatino Linotype"/>
                <w:b/>
                <w:bCs/>
                <w:sz w:val="20"/>
                <w:szCs w:val="20"/>
              </w:rPr>
            </w:pPr>
            <w:r w:rsidRPr="002E2870">
              <w:rPr>
                <w:rFonts w:ascii="Palatino Linotype" w:hAnsi="Palatino Linotype"/>
                <w:b/>
                <w:bCs/>
                <w:sz w:val="20"/>
                <w:szCs w:val="20"/>
              </w:rPr>
              <w:t xml:space="preserve">        1,671.6 </w:t>
            </w:r>
          </w:p>
        </w:tc>
      </w:tr>
      <w:tr w:rsidR="00B92080" w:rsidRPr="002E2870" w:rsidTr="00DB5405">
        <w:trPr>
          <w:trHeight w:val="214"/>
        </w:trPr>
        <w:tc>
          <w:tcPr>
            <w:tcW w:w="6091" w:type="dxa"/>
            <w:tcBorders>
              <w:top w:val="nil"/>
              <w:left w:val="single" w:sz="4" w:space="0" w:color="000000"/>
              <w:bottom w:val="single" w:sz="4" w:space="0" w:color="000000"/>
              <w:right w:val="single" w:sz="4" w:space="0" w:color="auto"/>
            </w:tcBorders>
            <w:shd w:val="clear" w:color="auto" w:fill="auto"/>
            <w:noWrap/>
            <w:vAlign w:val="center"/>
          </w:tcPr>
          <w:p w:rsidR="00B92080" w:rsidRPr="002E2870" w:rsidRDefault="00B92080" w:rsidP="00DB5405">
            <w:pPr>
              <w:tabs>
                <w:tab w:val="left" w:pos="313"/>
                <w:tab w:val="left" w:pos="601"/>
              </w:tabs>
              <w:spacing w:line="276" w:lineRule="auto"/>
              <w:rPr>
                <w:rFonts w:ascii="Palatino Linotype" w:eastAsia="Times New Roman" w:hAnsi="Palatino Linotype"/>
                <w:sz w:val="20"/>
                <w:szCs w:val="20"/>
                <w:lang w:val="en-US" w:bidi="hi-IN"/>
              </w:rPr>
            </w:pPr>
            <w:r w:rsidRPr="002E2870">
              <w:rPr>
                <w:rFonts w:ascii="Palatino Linotype" w:hAnsi="Palatino Linotype"/>
                <w:sz w:val="20"/>
                <w:szCs w:val="20"/>
              </w:rPr>
              <w:tab/>
              <w:t>a. IPOs (i+ii)</w:t>
            </w:r>
          </w:p>
        </w:tc>
        <w:tc>
          <w:tcPr>
            <w:tcW w:w="1559" w:type="dxa"/>
            <w:tcBorders>
              <w:top w:val="single" w:sz="4" w:space="0" w:color="000000"/>
              <w:left w:val="single" w:sz="4" w:space="0" w:color="auto"/>
              <w:bottom w:val="single" w:sz="4" w:space="0" w:color="000000"/>
              <w:right w:val="single" w:sz="4" w:space="0" w:color="auto"/>
            </w:tcBorders>
            <w:vAlign w:val="center"/>
          </w:tcPr>
          <w:p w:rsidR="00B92080" w:rsidRPr="002E2870" w:rsidRDefault="00B92080" w:rsidP="00DB5405">
            <w:pPr>
              <w:spacing w:line="276" w:lineRule="auto"/>
              <w:jc w:val="right"/>
              <w:rPr>
                <w:rFonts w:ascii="Palatino Linotype" w:hAnsi="Palatino Linotype"/>
                <w:sz w:val="20"/>
                <w:szCs w:val="20"/>
              </w:rPr>
            </w:pPr>
            <w:r w:rsidRPr="002E2870">
              <w:rPr>
                <w:rFonts w:ascii="Palatino Linotype" w:hAnsi="Palatino Linotype"/>
                <w:bCs/>
                <w:sz w:val="20"/>
                <w:szCs w:val="20"/>
              </w:rPr>
              <w:t xml:space="preserve">             11.5 </w:t>
            </w:r>
          </w:p>
        </w:tc>
        <w:tc>
          <w:tcPr>
            <w:tcW w:w="1417" w:type="dxa"/>
            <w:tcBorders>
              <w:top w:val="nil"/>
              <w:left w:val="single" w:sz="4" w:space="0" w:color="auto"/>
              <w:bottom w:val="single" w:sz="4" w:space="0" w:color="000000"/>
              <w:right w:val="single" w:sz="4" w:space="0" w:color="000000"/>
            </w:tcBorders>
            <w:shd w:val="clear" w:color="auto" w:fill="auto"/>
            <w:noWrap/>
            <w:vAlign w:val="center"/>
          </w:tcPr>
          <w:p w:rsidR="00B92080" w:rsidRPr="002E2870" w:rsidRDefault="00B92080" w:rsidP="00DB5405">
            <w:pPr>
              <w:spacing w:line="276" w:lineRule="auto"/>
              <w:jc w:val="right"/>
              <w:rPr>
                <w:rFonts w:ascii="Palatino Linotype" w:hAnsi="Palatino Linotype"/>
                <w:bCs/>
                <w:sz w:val="20"/>
                <w:szCs w:val="20"/>
              </w:rPr>
            </w:pPr>
            <w:r w:rsidRPr="002E2870">
              <w:rPr>
                <w:rFonts w:ascii="Palatino Linotype" w:hAnsi="Palatino Linotype"/>
                <w:sz w:val="20"/>
                <w:szCs w:val="20"/>
              </w:rPr>
              <w:t xml:space="preserve">        1,308.9 </w:t>
            </w:r>
          </w:p>
        </w:tc>
      </w:tr>
      <w:tr w:rsidR="00B92080" w:rsidRPr="002E2870" w:rsidTr="00DB5405">
        <w:trPr>
          <w:trHeight w:val="214"/>
        </w:trPr>
        <w:tc>
          <w:tcPr>
            <w:tcW w:w="6091" w:type="dxa"/>
            <w:tcBorders>
              <w:top w:val="nil"/>
              <w:left w:val="single" w:sz="4" w:space="0" w:color="000000"/>
              <w:bottom w:val="single" w:sz="4" w:space="0" w:color="000000"/>
              <w:right w:val="single" w:sz="4" w:space="0" w:color="auto"/>
            </w:tcBorders>
            <w:shd w:val="clear" w:color="auto" w:fill="auto"/>
            <w:noWrap/>
            <w:vAlign w:val="center"/>
          </w:tcPr>
          <w:p w:rsidR="00B92080" w:rsidRPr="002E2870" w:rsidRDefault="00B92080" w:rsidP="00DB5405">
            <w:pPr>
              <w:tabs>
                <w:tab w:val="left" w:pos="313"/>
                <w:tab w:val="left" w:pos="601"/>
              </w:tabs>
              <w:spacing w:line="276" w:lineRule="auto"/>
              <w:rPr>
                <w:rFonts w:ascii="Palatino Linotype" w:eastAsia="Times New Roman" w:hAnsi="Palatino Linotype"/>
                <w:sz w:val="20"/>
                <w:szCs w:val="20"/>
                <w:lang w:val="en-US" w:bidi="hi-IN"/>
              </w:rPr>
            </w:pPr>
            <w:r w:rsidRPr="002E2870">
              <w:rPr>
                <w:rFonts w:ascii="Palatino Linotype" w:hAnsi="Palatino Linotype"/>
                <w:sz w:val="20"/>
                <w:szCs w:val="20"/>
              </w:rPr>
              <w:t xml:space="preserve">    </w:t>
            </w:r>
            <w:r w:rsidRPr="002E2870">
              <w:rPr>
                <w:rFonts w:ascii="Palatino Linotype" w:hAnsi="Palatino Linotype"/>
                <w:sz w:val="20"/>
                <w:szCs w:val="20"/>
              </w:rPr>
              <w:tab/>
            </w:r>
            <w:r w:rsidRPr="002E2870">
              <w:rPr>
                <w:rFonts w:ascii="Palatino Linotype" w:hAnsi="Palatino Linotype"/>
                <w:sz w:val="20"/>
                <w:szCs w:val="20"/>
              </w:rPr>
              <w:tab/>
              <w:t>i. Main Board</w:t>
            </w:r>
          </w:p>
        </w:tc>
        <w:tc>
          <w:tcPr>
            <w:tcW w:w="1559" w:type="dxa"/>
            <w:tcBorders>
              <w:top w:val="single" w:sz="4" w:space="0" w:color="000000"/>
              <w:left w:val="single" w:sz="4" w:space="0" w:color="auto"/>
              <w:bottom w:val="single" w:sz="4" w:space="0" w:color="000000"/>
              <w:right w:val="single" w:sz="4" w:space="0" w:color="auto"/>
            </w:tcBorders>
            <w:vAlign w:val="center"/>
          </w:tcPr>
          <w:p w:rsidR="00B92080" w:rsidRPr="002E2870" w:rsidRDefault="00B92080" w:rsidP="00DB5405">
            <w:pPr>
              <w:spacing w:line="276" w:lineRule="auto"/>
              <w:jc w:val="right"/>
              <w:rPr>
                <w:rFonts w:ascii="Palatino Linotype" w:hAnsi="Palatino Linotype"/>
                <w:sz w:val="20"/>
                <w:szCs w:val="20"/>
              </w:rPr>
            </w:pPr>
            <w:r w:rsidRPr="002E2870">
              <w:rPr>
                <w:rFonts w:ascii="Palatino Linotype" w:hAnsi="Palatino Linotype"/>
                <w:bCs/>
                <w:sz w:val="20"/>
                <w:szCs w:val="20"/>
              </w:rPr>
              <w:t xml:space="preserve">                -   </w:t>
            </w:r>
          </w:p>
        </w:tc>
        <w:tc>
          <w:tcPr>
            <w:tcW w:w="1417" w:type="dxa"/>
            <w:tcBorders>
              <w:top w:val="nil"/>
              <w:left w:val="single" w:sz="4" w:space="0" w:color="auto"/>
              <w:bottom w:val="single" w:sz="4" w:space="0" w:color="000000"/>
              <w:right w:val="single" w:sz="4" w:space="0" w:color="000000"/>
            </w:tcBorders>
            <w:shd w:val="clear" w:color="auto" w:fill="auto"/>
            <w:noWrap/>
            <w:vAlign w:val="bottom"/>
          </w:tcPr>
          <w:p w:rsidR="00B92080" w:rsidRPr="002E2870" w:rsidRDefault="00B92080" w:rsidP="00DB5405">
            <w:pPr>
              <w:spacing w:line="276" w:lineRule="auto"/>
              <w:jc w:val="right"/>
              <w:rPr>
                <w:rFonts w:ascii="Palatino Linotype" w:hAnsi="Palatino Linotype"/>
                <w:bCs/>
                <w:sz w:val="20"/>
                <w:szCs w:val="20"/>
              </w:rPr>
            </w:pPr>
            <w:r w:rsidRPr="002E2870">
              <w:rPr>
                <w:rFonts w:ascii="Palatino Linotype" w:hAnsi="Palatino Linotype" w:cs="Calibri"/>
                <w:sz w:val="20"/>
                <w:szCs w:val="20"/>
              </w:rPr>
              <w:t xml:space="preserve">         1,302.0 </w:t>
            </w:r>
          </w:p>
        </w:tc>
      </w:tr>
      <w:tr w:rsidR="00B92080" w:rsidRPr="002E2870" w:rsidTr="00DB5405">
        <w:trPr>
          <w:trHeight w:val="214"/>
        </w:trPr>
        <w:tc>
          <w:tcPr>
            <w:tcW w:w="6091" w:type="dxa"/>
            <w:tcBorders>
              <w:top w:val="nil"/>
              <w:left w:val="single" w:sz="4" w:space="0" w:color="000000"/>
              <w:bottom w:val="single" w:sz="4" w:space="0" w:color="000000"/>
              <w:right w:val="single" w:sz="4" w:space="0" w:color="auto"/>
            </w:tcBorders>
            <w:shd w:val="clear" w:color="auto" w:fill="auto"/>
            <w:noWrap/>
            <w:vAlign w:val="center"/>
          </w:tcPr>
          <w:p w:rsidR="00B92080" w:rsidRPr="002E2870" w:rsidRDefault="00B92080" w:rsidP="00DB5405">
            <w:pPr>
              <w:tabs>
                <w:tab w:val="left" w:pos="313"/>
                <w:tab w:val="left" w:pos="601"/>
              </w:tabs>
              <w:spacing w:line="276" w:lineRule="auto"/>
              <w:rPr>
                <w:rFonts w:ascii="Palatino Linotype" w:eastAsia="Times New Roman" w:hAnsi="Palatino Linotype"/>
                <w:sz w:val="20"/>
                <w:szCs w:val="20"/>
                <w:lang w:val="en-US" w:bidi="hi-IN"/>
              </w:rPr>
            </w:pPr>
            <w:r w:rsidRPr="002E2870">
              <w:rPr>
                <w:rFonts w:ascii="Palatino Linotype" w:hAnsi="Palatino Linotype"/>
                <w:sz w:val="20"/>
                <w:szCs w:val="20"/>
              </w:rPr>
              <w:t xml:space="preserve">    </w:t>
            </w:r>
            <w:r w:rsidRPr="002E2870">
              <w:rPr>
                <w:rFonts w:ascii="Palatino Linotype" w:hAnsi="Palatino Linotype"/>
                <w:sz w:val="20"/>
                <w:szCs w:val="20"/>
              </w:rPr>
              <w:tab/>
            </w:r>
            <w:r w:rsidRPr="002E2870">
              <w:rPr>
                <w:rFonts w:ascii="Palatino Linotype" w:hAnsi="Palatino Linotype"/>
                <w:sz w:val="20"/>
                <w:szCs w:val="20"/>
              </w:rPr>
              <w:tab/>
              <w:t>ii. SME Platform</w:t>
            </w:r>
          </w:p>
        </w:tc>
        <w:tc>
          <w:tcPr>
            <w:tcW w:w="1559" w:type="dxa"/>
            <w:tcBorders>
              <w:top w:val="single" w:sz="4" w:space="0" w:color="000000"/>
              <w:left w:val="single" w:sz="4" w:space="0" w:color="auto"/>
              <w:bottom w:val="single" w:sz="4" w:space="0" w:color="000000"/>
              <w:right w:val="single" w:sz="4" w:space="0" w:color="auto"/>
            </w:tcBorders>
            <w:vAlign w:val="center"/>
          </w:tcPr>
          <w:p w:rsidR="00B92080" w:rsidRPr="002E2870" w:rsidRDefault="00B92080" w:rsidP="00DB5405">
            <w:pPr>
              <w:spacing w:line="276" w:lineRule="auto"/>
              <w:jc w:val="right"/>
              <w:rPr>
                <w:rFonts w:ascii="Palatino Linotype" w:hAnsi="Palatino Linotype"/>
                <w:sz w:val="20"/>
                <w:szCs w:val="20"/>
              </w:rPr>
            </w:pPr>
            <w:r w:rsidRPr="002E2870">
              <w:rPr>
                <w:rFonts w:ascii="Palatino Linotype" w:hAnsi="Palatino Linotype"/>
                <w:bCs/>
                <w:sz w:val="20"/>
                <w:szCs w:val="20"/>
              </w:rPr>
              <w:t xml:space="preserve">             11.5 </w:t>
            </w:r>
          </w:p>
        </w:tc>
        <w:tc>
          <w:tcPr>
            <w:tcW w:w="1417" w:type="dxa"/>
            <w:tcBorders>
              <w:top w:val="nil"/>
              <w:left w:val="single" w:sz="4" w:space="0" w:color="auto"/>
              <w:bottom w:val="single" w:sz="4" w:space="0" w:color="000000"/>
              <w:right w:val="single" w:sz="4" w:space="0" w:color="000000"/>
            </w:tcBorders>
            <w:shd w:val="clear" w:color="auto" w:fill="auto"/>
            <w:noWrap/>
            <w:vAlign w:val="bottom"/>
          </w:tcPr>
          <w:p w:rsidR="00B92080" w:rsidRPr="002E2870" w:rsidRDefault="00B92080" w:rsidP="00DB5405">
            <w:pPr>
              <w:spacing w:line="276" w:lineRule="auto"/>
              <w:jc w:val="right"/>
              <w:rPr>
                <w:rFonts w:ascii="Palatino Linotype" w:hAnsi="Palatino Linotype"/>
                <w:bCs/>
                <w:sz w:val="20"/>
                <w:szCs w:val="20"/>
              </w:rPr>
            </w:pPr>
            <w:r w:rsidRPr="002E2870">
              <w:rPr>
                <w:rFonts w:ascii="Palatino Linotype" w:hAnsi="Palatino Linotype" w:cs="Calibri"/>
                <w:sz w:val="20"/>
                <w:szCs w:val="20"/>
              </w:rPr>
              <w:t xml:space="preserve">                6.9 </w:t>
            </w:r>
          </w:p>
        </w:tc>
      </w:tr>
      <w:tr w:rsidR="00B92080" w:rsidRPr="002E2870" w:rsidTr="00DB5405">
        <w:trPr>
          <w:trHeight w:val="214"/>
        </w:trPr>
        <w:tc>
          <w:tcPr>
            <w:tcW w:w="6091" w:type="dxa"/>
            <w:tcBorders>
              <w:top w:val="nil"/>
              <w:left w:val="single" w:sz="4" w:space="0" w:color="000000"/>
              <w:bottom w:val="single" w:sz="4" w:space="0" w:color="000000"/>
              <w:right w:val="single" w:sz="4" w:space="0" w:color="auto"/>
            </w:tcBorders>
            <w:shd w:val="clear" w:color="auto" w:fill="auto"/>
            <w:noWrap/>
            <w:vAlign w:val="center"/>
          </w:tcPr>
          <w:p w:rsidR="00B92080" w:rsidRPr="002E2870" w:rsidRDefault="00B92080" w:rsidP="00DB5405">
            <w:pPr>
              <w:tabs>
                <w:tab w:val="left" w:pos="313"/>
                <w:tab w:val="left" w:pos="601"/>
              </w:tabs>
              <w:spacing w:line="276" w:lineRule="auto"/>
              <w:rPr>
                <w:rFonts w:ascii="Palatino Linotype" w:eastAsia="Times New Roman" w:hAnsi="Palatino Linotype"/>
                <w:bCs/>
                <w:sz w:val="20"/>
                <w:szCs w:val="20"/>
                <w:lang w:val="en-US" w:bidi="hi-IN"/>
              </w:rPr>
            </w:pPr>
            <w:r w:rsidRPr="002E2870">
              <w:rPr>
                <w:rFonts w:ascii="Palatino Linotype" w:hAnsi="Palatino Linotype"/>
                <w:bCs/>
                <w:sz w:val="20"/>
                <w:szCs w:val="20"/>
              </w:rPr>
              <w:tab/>
              <w:t>b. FPOs</w:t>
            </w:r>
          </w:p>
        </w:tc>
        <w:tc>
          <w:tcPr>
            <w:tcW w:w="1559" w:type="dxa"/>
            <w:tcBorders>
              <w:top w:val="single" w:sz="4" w:space="0" w:color="000000"/>
              <w:left w:val="single" w:sz="4" w:space="0" w:color="auto"/>
              <w:bottom w:val="single" w:sz="4" w:space="0" w:color="000000"/>
              <w:right w:val="single" w:sz="4" w:space="0" w:color="auto"/>
            </w:tcBorders>
            <w:vAlign w:val="center"/>
          </w:tcPr>
          <w:p w:rsidR="00B92080" w:rsidRPr="002E2870" w:rsidRDefault="00B92080" w:rsidP="00DB5405">
            <w:pPr>
              <w:spacing w:line="276" w:lineRule="auto"/>
              <w:jc w:val="right"/>
              <w:rPr>
                <w:rFonts w:ascii="Palatino Linotype" w:hAnsi="Palatino Linotype"/>
                <w:bCs/>
                <w:sz w:val="20"/>
                <w:szCs w:val="20"/>
              </w:rPr>
            </w:pPr>
            <w:r w:rsidRPr="002E2870">
              <w:rPr>
                <w:rFonts w:ascii="Palatino Linotype" w:hAnsi="Palatino Linotype"/>
                <w:bCs/>
                <w:sz w:val="20"/>
                <w:szCs w:val="20"/>
              </w:rPr>
              <w:t xml:space="preserve">                -   </w:t>
            </w:r>
          </w:p>
        </w:tc>
        <w:tc>
          <w:tcPr>
            <w:tcW w:w="1417" w:type="dxa"/>
            <w:tcBorders>
              <w:top w:val="nil"/>
              <w:left w:val="single" w:sz="4" w:space="0" w:color="auto"/>
              <w:bottom w:val="single" w:sz="4" w:space="0" w:color="000000"/>
              <w:right w:val="single" w:sz="4" w:space="0" w:color="000000"/>
            </w:tcBorders>
            <w:shd w:val="clear" w:color="auto" w:fill="auto"/>
            <w:noWrap/>
            <w:vAlign w:val="bottom"/>
          </w:tcPr>
          <w:p w:rsidR="00B92080" w:rsidRPr="002E2870" w:rsidRDefault="00B92080" w:rsidP="00DB5405">
            <w:pPr>
              <w:spacing w:line="276" w:lineRule="auto"/>
              <w:jc w:val="right"/>
              <w:rPr>
                <w:rFonts w:ascii="Palatino Linotype" w:hAnsi="Palatino Linotype"/>
                <w:bCs/>
                <w:sz w:val="20"/>
                <w:szCs w:val="20"/>
              </w:rPr>
            </w:pPr>
            <w:r w:rsidRPr="002E2870">
              <w:rPr>
                <w:rFonts w:ascii="Palatino Linotype" w:hAnsi="Palatino Linotype" w:cs="Calibri"/>
                <w:sz w:val="20"/>
                <w:szCs w:val="20"/>
              </w:rPr>
              <w:t xml:space="preserve">                  -   </w:t>
            </w:r>
          </w:p>
        </w:tc>
      </w:tr>
      <w:tr w:rsidR="00B92080" w:rsidRPr="002E2870" w:rsidTr="00DB5405">
        <w:trPr>
          <w:trHeight w:val="214"/>
        </w:trPr>
        <w:tc>
          <w:tcPr>
            <w:tcW w:w="6091" w:type="dxa"/>
            <w:tcBorders>
              <w:top w:val="nil"/>
              <w:left w:val="single" w:sz="4" w:space="0" w:color="000000"/>
              <w:bottom w:val="single" w:sz="4" w:space="0" w:color="000000"/>
              <w:right w:val="single" w:sz="4" w:space="0" w:color="auto"/>
            </w:tcBorders>
            <w:shd w:val="clear" w:color="auto" w:fill="auto"/>
            <w:noWrap/>
            <w:vAlign w:val="center"/>
          </w:tcPr>
          <w:p w:rsidR="00B92080" w:rsidRPr="002E2870" w:rsidRDefault="00B92080" w:rsidP="00DB5405">
            <w:pPr>
              <w:tabs>
                <w:tab w:val="left" w:pos="313"/>
                <w:tab w:val="left" w:pos="601"/>
              </w:tabs>
              <w:spacing w:line="276" w:lineRule="auto"/>
              <w:rPr>
                <w:rFonts w:ascii="Palatino Linotype" w:eastAsia="Times New Roman" w:hAnsi="Palatino Linotype"/>
                <w:sz w:val="20"/>
                <w:szCs w:val="20"/>
                <w:lang w:val="en-US" w:bidi="hi-IN"/>
              </w:rPr>
            </w:pPr>
            <w:r w:rsidRPr="002E2870">
              <w:rPr>
                <w:rFonts w:ascii="Palatino Linotype" w:hAnsi="Palatino Linotype"/>
                <w:bCs/>
                <w:sz w:val="20"/>
                <w:szCs w:val="20"/>
              </w:rPr>
              <w:tab/>
              <w:t>c. Equity Rights Issues</w:t>
            </w:r>
          </w:p>
        </w:tc>
        <w:tc>
          <w:tcPr>
            <w:tcW w:w="1559" w:type="dxa"/>
            <w:tcBorders>
              <w:top w:val="single" w:sz="4" w:space="0" w:color="000000"/>
              <w:left w:val="single" w:sz="4" w:space="0" w:color="auto"/>
              <w:bottom w:val="single" w:sz="4" w:space="0" w:color="000000"/>
              <w:right w:val="single" w:sz="4" w:space="0" w:color="auto"/>
            </w:tcBorders>
            <w:vAlign w:val="center"/>
          </w:tcPr>
          <w:p w:rsidR="00B92080" w:rsidRPr="002E2870" w:rsidRDefault="00B92080" w:rsidP="00DB5405">
            <w:pPr>
              <w:spacing w:line="276" w:lineRule="auto"/>
              <w:jc w:val="right"/>
              <w:rPr>
                <w:rFonts w:ascii="Palatino Linotype" w:hAnsi="Palatino Linotype"/>
                <w:sz w:val="20"/>
                <w:szCs w:val="20"/>
              </w:rPr>
            </w:pPr>
            <w:r w:rsidRPr="002E2870">
              <w:rPr>
                <w:rFonts w:ascii="Palatino Linotype" w:hAnsi="Palatino Linotype"/>
                <w:bCs/>
                <w:sz w:val="20"/>
                <w:szCs w:val="20"/>
              </w:rPr>
              <w:t xml:space="preserve">         6,096.3 </w:t>
            </w:r>
          </w:p>
        </w:tc>
        <w:tc>
          <w:tcPr>
            <w:tcW w:w="1417" w:type="dxa"/>
            <w:tcBorders>
              <w:top w:val="nil"/>
              <w:left w:val="single" w:sz="4" w:space="0" w:color="auto"/>
              <w:bottom w:val="single" w:sz="4" w:space="0" w:color="000000"/>
              <w:right w:val="single" w:sz="4" w:space="0" w:color="000000"/>
            </w:tcBorders>
            <w:shd w:val="clear" w:color="auto" w:fill="auto"/>
            <w:noWrap/>
            <w:vAlign w:val="bottom"/>
          </w:tcPr>
          <w:p w:rsidR="00B92080" w:rsidRPr="002E2870" w:rsidRDefault="00B92080" w:rsidP="00DB5405">
            <w:pPr>
              <w:spacing w:line="276" w:lineRule="auto"/>
              <w:jc w:val="right"/>
              <w:rPr>
                <w:rFonts w:ascii="Palatino Linotype" w:hAnsi="Palatino Linotype"/>
                <w:bCs/>
                <w:sz w:val="20"/>
                <w:szCs w:val="20"/>
              </w:rPr>
            </w:pPr>
            <w:r w:rsidRPr="002E2870">
              <w:rPr>
                <w:rFonts w:ascii="Palatino Linotype" w:hAnsi="Palatino Linotype" w:cs="Calibri"/>
                <w:sz w:val="20"/>
                <w:szCs w:val="20"/>
              </w:rPr>
              <w:t xml:space="preserve">            362.7 </w:t>
            </w:r>
          </w:p>
        </w:tc>
      </w:tr>
      <w:tr w:rsidR="00B92080" w:rsidRPr="002E2870" w:rsidTr="00DB5405">
        <w:trPr>
          <w:trHeight w:val="214"/>
        </w:trPr>
        <w:tc>
          <w:tcPr>
            <w:tcW w:w="6091" w:type="dxa"/>
            <w:tcBorders>
              <w:top w:val="nil"/>
              <w:left w:val="single" w:sz="4" w:space="0" w:color="000000"/>
              <w:bottom w:val="single" w:sz="4" w:space="0" w:color="000000"/>
              <w:right w:val="single" w:sz="4" w:space="0" w:color="auto"/>
            </w:tcBorders>
            <w:shd w:val="clear" w:color="auto" w:fill="auto"/>
            <w:vAlign w:val="center"/>
          </w:tcPr>
          <w:p w:rsidR="00B92080" w:rsidRPr="002E2870" w:rsidRDefault="00B92080" w:rsidP="00DB5405">
            <w:pPr>
              <w:tabs>
                <w:tab w:val="left" w:pos="313"/>
                <w:tab w:val="left" w:pos="601"/>
              </w:tabs>
              <w:spacing w:line="276" w:lineRule="auto"/>
              <w:rPr>
                <w:rFonts w:ascii="Palatino Linotype" w:eastAsia="Times New Roman" w:hAnsi="Palatino Linotype"/>
                <w:b/>
                <w:bCs/>
                <w:i/>
                <w:iCs/>
                <w:sz w:val="20"/>
                <w:szCs w:val="20"/>
                <w:lang w:val="en-US" w:bidi="hi-IN"/>
              </w:rPr>
            </w:pPr>
            <w:r w:rsidRPr="002E2870">
              <w:rPr>
                <w:rFonts w:ascii="Palatino Linotype" w:hAnsi="Palatino Linotype"/>
                <w:b/>
                <w:bCs/>
                <w:i/>
                <w:iCs/>
                <w:sz w:val="20"/>
                <w:szCs w:val="20"/>
              </w:rPr>
              <w:t>II.</w:t>
            </w:r>
            <w:r w:rsidRPr="002E2870">
              <w:rPr>
                <w:rFonts w:ascii="Palatino Linotype" w:hAnsi="Palatino Linotype"/>
                <w:b/>
                <w:bCs/>
                <w:i/>
                <w:iCs/>
                <w:sz w:val="20"/>
                <w:szCs w:val="20"/>
              </w:rPr>
              <w:tab/>
              <w:t xml:space="preserve">Debt Public Issues </w:t>
            </w:r>
          </w:p>
        </w:tc>
        <w:tc>
          <w:tcPr>
            <w:tcW w:w="1559" w:type="dxa"/>
            <w:tcBorders>
              <w:top w:val="single" w:sz="4" w:space="0" w:color="000000"/>
              <w:left w:val="single" w:sz="4" w:space="0" w:color="auto"/>
              <w:bottom w:val="single" w:sz="4" w:space="0" w:color="000000"/>
              <w:right w:val="single" w:sz="4" w:space="0" w:color="auto"/>
            </w:tcBorders>
            <w:vAlign w:val="center"/>
          </w:tcPr>
          <w:p w:rsidR="00B92080" w:rsidRPr="002E2870" w:rsidRDefault="00B92080" w:rsidP="00DB5405">
            <w:pPr>
              <w:spacing w:line="276" w:lineRule="auto"/>
              <w:jc w:val="right"/>
              <w:rPr>
                <w:rFonts w:ascii="Palatino Linotype" w:hAnsi="Palatino Linotype"/>
                <w:b/>
                <w:sz w:val="20"/>
                <w:szCs w:val="20"/>
              </w:rPr>
            </w:pPr>
            <w:r w:rsidRPr="002E2870">
              <w:rPr>
                <w:rFonts w:ascii="Palatino Linotype" w:hAnsi="Palatino Linotype"/>
                <w:b/>
                <w:bCs/>
                <w:sz w:val="20"/>
                <w:szCs w:val="20"/>
              </w:rPr>
              <w:t xml:space="preserve">                -   </w:t>
            </w:r>
          </w:p>
        </w:tc>
        <w:tc>
          <w:tcPr>
            <w:tcW w:w="1417" w:type="dxa"/>
            <w:tcBorders>
              <w:top w:val="nil"/>
              <w:left w:val="single" w:sz="4" w:space="0" w:color="auto"/>
              <w:bottom w:val="single" w:sz="4" w:space="0" w:color="000000"/>
              <w:right w:val="single" w:sz="4" w:space="0" w:color="000000"/>
            </w:tcBorders>
            <w:shd w:val="clear" w:color="auto" w:fill="auto"/>
            <w:noWrap/>
            <w:vAlign w:val="center"/>
          </w:tcPr>
          <w:p w:rsidR="00B92080" w:rsidRPr="002E2870" w:rsidRDefault="00B92080" w:rsidP="00DB5405">
            <w:pPr>
              <w:spacing w:line="276" w:lineRule="auto"/>
              <w:jc w:val="right"/>
              <w:rPr>
                <w:rFonts w:ascii="Palatino Linotype" w:hAnsi="Palatino Linotype"/>
                <w:b/>
                <w:bCs/>
                <w:sz w:val="20"/>
                <w:szCs w:val="20"/>
              </w:rPr>
            </w:pPr>
            <w:r w:rsidRPr="002E2870">
              <w:rPr>
                <w:rFonts w:ascii="Palatino Linotype" w:hAnsi="Palatino Linotype"/>
                <w:sz w:val="20"/>
                <w:szCs w:val="20"/>
              </w:rPr>
              <w:t xml:space="preserve">          149.7 </w:t>
            </w:r>
          </w:p>
        </w:tc>
      </w:tr>
      <w:tr w:rsidR="00B92080" w:rsidRPr="002E2870" w:rsidTr="00DB5405">
        <w:trPr>
          <w:trHeight w:val="214"/>
        </w:trPr>
        <w:tc>
          <w:tcPr>
            <w:tcW w:w="6091" w:type="dxa"/>
            <w:tcBorders>
              <w:top w:val="nil"/>
              <w:left w:val="single" w:sz="4" w:space="0" w:color="000000"/>
              <w:bottom w:val="single" w:sz="4" w:space="0" w:color="000000"/>
              <w:right w:val="single" w:sz="4" w:space="0" w:color="auto"/>
            </w:tcBorders>
            <w:shd w:val="clear" w:color="000000" w:fill="B7DEE8"/>
            <w:noWrap/>
            <w:vAlign w:val="center"/>
          </w:tcPr>
          <w:p w:rsidR="00B92080" w:rsidRPr="002E2870" w:rsidRDefault="00B92080" w:rsidP="00DB5405">
            <w:pPr>
              <w:tabs>
                <w:tab w:val="left" w:pos="313"/>
                <w:tab w:val="left" w:pos="601"/>
              </w:tabs>
              <w:spacing w:line="276" w:lineRule="auto"/>
              <w:rPr>
                <w:rFonts w:ascii="Palatino Linotype" w:eastAsia="Times New Roman" w:hAnsi="Palatino Linotype"/>
                <w:b/>
                <w:bCs/>
                <w:i/>
                <w:iCs/>
                <w:sz w:val="20"/>
                <w:szCs w:val="20"/>
                <w:lang w:val="en-US" w:bidi="hi-IN"/>
              </w:rPr>
            </w:pPr>
            <w:r w:rsidRPr="002E2870">
              <w:rPr>
                <w:rFonts w:ascii="Palatino Linotype" w:hAnsi="Palatino Linotype"/>
                <w:b/>
                <w:bCs/>
                <w:i/>
                <w:iCs/>
                <w:sz w:val="20"/>
                <w:szCs w:val="20"/>
              </w:rPr>
              <w:t>B. Fund Mobilisation through Private Placement</w:t>
            </w:r>
          </w:p>
        </w:tc>
        <w:tc>
          <w:tcPr>
            <w:tcW w:w="1559" w:type="dxa"/>
            <w:tcBorders>
              <w:top w:val="single" w:sz="4" w:space="0" w:color="000000"/>
              <w:left w:val="single" w:sz="4" w:space="0" w:color="auto"/>
              <w:bottom w:val="single" w:sz="4" w:space="0" w:color="000000"/>
              <w:right w:val="single" w:sz="4" w:space="0" w:color="auto"/>
            </w:tcBorders>
            <w:shd w:val="clear" w:color="000000" w:fill="B7DEE8"/>
            <w:vAlign w:val="center"/>
          </w:tcPr>
          <w:p w:rsidR="00B92080" w:rsidRPr="002E2870" w:rsidRDefault="00B92080" w:rsidP="00DB5405">
            <w:pPr>
              <w:spacing w:line="276" w:lineRule="auto"/>
              <w:jc w:val="right"/>
              <w:rPr>
                <w:rFonts w:ascii="Palatino Linotype" w:hAnsi="Palatino Linotype"/>
                <w:b/>
                <w:bCs/>
                <w:sz w:val="20"/>
                <w:szCs w:val="20"/>
              </w:rPr>
            </w:pPr>
            <w:r w:rsidRPr="002E2870">
              <w:rPr>
                <w:rFonts w:ascii="Palatino Linotype" w:hAnsi="Palatino Linotype"/>
                <w:b/>
                <w:bCs/>
                <w:sz w:val="20"/>
                <w:szCs w:val="20"/>
              </w:rPr>
              <w:t xml:space="preserve">    1,03,890.2 </w:t>
            </w:r>
          </w:p>
        </w:tc>
        <w:tc>
          <w:tcPr>
            <w:tcW w:w="1417" w:type="dxa"/>
            <w:tcBorders>
              <w:top w:val="nil"/>
              <w:left w:val="single" w:sz="4" w:space="0" w:color="auto"/>
              <w:bottom w:val="single" w:sz="4" w:space="0" w:color="000000"/>
              <w:right w:val="single" w:sz="4" w:space="0" w:color="000000"/>
            </w:tcBorders>
            <w:shd w:val="clear" w:color="000000" w:fill="B7DEE8"/>
            <w:noWrap/>
            <w:vAlign w:val="center"/>
          </w:tcPr>
          <w:p w:rsidR="00B92080" w:rsidRPr="002E2870" w:rsidRDefault="00B92080" w:rsidP="00DB5405">
            <w:pPr>
              <w:spacing w:line="276" w:lineRule="auto"/>
              <w:jc w:val="right"/>
              <w:rPr>
                <w:rFonts w:ascii="Palatino Linotype" w:hAnsi="Palatino Linotype"/>
                <w:b/>
                <w:bCs/>
                <w:sz w:val="20"/>
                <w:szCs w:val="20"/>
              </w:rPr>
            </w:pPr>
            <w:r w:rsidRPr="002E2870">
              <w:rPr>
                <w:rFonts w:ascii="Palatino Linotype" w:hAnsi="Palatino Linotype"/>
                <w:b/>
                <w:bCs/>
                <w:sz w:val="20"/>
                <w:szCs w:val="20"/>
              </w:rPr>
              <w:t xml:space="preserve">      73,410.5 </w:t>
            </w:r>
          </w:p>
        </w:tc>
      </w:tr>
      <w:tr w:rsidR="00B92080" w:rsidRPr="002E2870" w:rsidTr="00DB5405">
        <w:trPr>
          <w:trHeight w:val="212"/>
        </w:trPr>
        <w:tc>
          <w:tcPr>
            <w:tcW w:w="6091" w:type="dxa"/>
            <w:tcBorders>
              <w:top w:val="nil"/>
              <w:left w:val="single" w:sz="4" w:space="0" w:color="000000"/>
              <w:bottom w:val="single" w:sz="4" w:space="0" w:color="000000"/>
              <w:right w:val="single" w:sz="4" w:space="0" w:color="auto"/>
            </w:tcBorders>
            <w:shd w:val="clear" w:color="auto" w:fill="auto"/>
            <w:noWrap/>
            <w:vAlign w:val="center"/>
          </w:tcPr>
          <w:p w:rsidR="00B92080" w:rsidRPr="002E2870" w:rsidRDefault="00B92080" w:rsidP="00DB5405">
            <w:pPr>
              <w:tabs>
                <w:tab w:val="left" w:pos="313"/>
                <w:tab w:val="left" w:pos="601"/>
              </w:tabs>
              <w:spacing w:line="276" w:lineRule="auto"/>
              <w:rPr>
                <w:rFonts w:ascii="Palatino Linotype" w:eastAsia="Times New Roman" w:hAnsi="Palatino Linotype"/>
                <w:sz w:val="20"/>
                <w:szCs w:val="20"/>
                <w:lang w:val="en-US" w:bidi="hi-IN"/>
              </w:rPr>
            </w:pPr>
            <w:r w:rsidRPr="002E2870">
              <w:rPr>
                <w:rFonts w:ascii="Palatino Linotype" w:hAnsi="Palatino Linotype"/>
                <w:sz w:val="20"/>
                <w:szCs w:val="20"/>
              </w:rPr>
              <w:tab/>
              <w:t>1. QIP/IPP</w:t>
            </w:r>
          </w:p>
        </w:tc>
        <w:tc>
          <w:tcPr>
            <w:tcW w:w="1559" w:type="dxa"/>
            <w:tcBorders>
              <w:top w:val="single" w:sz="4" w:space="0" w:color="000000"/>
              <w:left w:val="single" w:sz="4" w:space="0" w:color="auto"/>
              <w:bottom w:val="single" w:sz="4" w:space="0" w:color="000000"/>
              <w:right w:val="single" w:sz="4" w:space="0" w:color="auto"/>
            </w:tcBorders>
            <w:vAlign w:val="center"/>
          </w:tcPr>
          <w:p w:rsidR="00B92080" w:rsidRPr="002E2870" w:rsidRDefault="00B92080" w:rsidP="00DB5405">
            <w:pPr>
              <w:spacing w:line="276" w:lineRule="auto"/>
              <w:jc w:val="right"/>
              <w:rPr>
                <w:rFonts w:ascii="Palatino Linotype" w:hAnsi="Palatino Linotype"/>
                <w:sz w:val="20"/>
                <w:szCs w:val="20"/>
              </w:rPr>
            </w:pPr>
            <w:r w:rsidRPr="002E2870">
              <w:rPr>
                <w:rFonts w:ascii="Palatino Linotype" w:hAnsi="Palatino Linotype"/>
                <w:bCs/>
                <w:sz w:val="20"/>
                <w:szCs w:val="20"/>
              </w:rPr>
              <w:t xml:space="preserve">       42,725.0* </w:t>
            </w:r>
          </w:p>
        </w:tc>
        <w:tc>
          <w:tcPr>
            <w:tcW w:w="1417" w:type="dxa"/>
            <w:tcBorders>
              <w:top w:val="nil"/>
              <w:left w:val="single" w:sz="4" w:space="0" w:color="auto"/>
              <w:bottom w:val="single" w:sz="4" w:space="0" w:color="000000"/>
              <w:right w:val="single" w:sz="4" w:space="0" w:color="000000"/>
            </w:tcBorders>
            <w:shd w:val="clear" w:color="auto" w:fill="auto"/>
            <w:noWrap/>
            <w:vAlign w:val="center"/>
          </w:tcPr>
          <w:p w:rsidR="00B92080" w:rsidRPr="002E2870" w:rsidRDefault="00B92080" w:rsidP="00DB5405">
            <w:pPr>
              <w:spacing w:line="276" w:lineRule="auto"/>
              <w:jc w:val="right"/>
              <w:rPr>
                <w:rFonts w:ascii="Palatino Linotype" w:hAnsi="Palatino Linotype"/>
                <w:bCs/>
                <w:sz w:val="20"/>
                <w:szCs w:val="20"/>
              </w:rPr>
            </w:pPr>
            <w:r w:rsidRPr="002E2870">
              <w:rPr>
                <w:rFonts w:ascii="Palatino Linotype" w:hAnsi="Palatino Linotype"/>
                <w:sz w:val="20"/>
                <w:szCs w:val="20"/>
              </w:rPr>
              <w:t xml:space="preserve">        1,337.9 </w:t>
            </w:r>
          </w:p>
        </w:tc>
      </w:tr>
      <w:tr w:rsidR="00B92080" w:rsidRPr="002E2870" w:rsidTr="00DB5405">
        <w:trPr>
          <w:trHeight w:val="214"/>
        </w:trPr>
        <w:tc>
          <w:tcPr>
            <w:tcW w:w="6091" w:type="dxa"/>
            <w:tcBorders>
              <w:top w:val="nil"/>
              <w:left w:val="single" w:sz="4" w:space="0" w:color="000000"/>
              <w:bottom w:val="single" w:sz="4" w:space="0" w:color="000000"/>
              <w:right w:val="single" w:sz="4" w:space="0" w:color="auto"/>
            </w:tcBorders>
            <w:shd w:val="clear" w:color="auto" w:fill="auto"/>
            <w:noWrap/>
            <w:vAlign w:val="center"/>
          </w:tcPr>
          <w:p w:rsidR="00B92080" w:rsidRPr="002E2870" w:rsidRDefault="00B92080" w:rsidP="00DB5405">
            <w:pPr>
              <w:tabs>
                <w:tab w:val="left" w:pos="313"/>
                <w:tab w:val="left" w:pos="601"/>
              </w:tabs>
              <w:spacing w:line="276" w:lineRule="auto"/>
              <w:rPr>
                <w:rFonts w:ascii="Palatino Linotype" w:eastAsia="Times New Roman" w:hAnsi="Palatino Linotype"/>
                <w:sz w:val="20"/>
                <w:szCs w:val="20"/>
                <w:lang w:val="en-US" w:bidi="hi-IN"/>
              </w:rPr>
            </w:pPr>
            <w:r w:rsidRPr="002E2870">
              <w:rPr>
                <w:rFonts w:ascii="Palatino Linotype" w:hAnsi="Palatino Linotype"/>
                <w:sz w:val="20"/>
                <w:szCs w:val="20"/>
              </w:rPr>
              <w:tab/>
              <w:t>2. Preferential Allotment</w:t>
            </w:r>
          </w:p>
        </w:tc>
        <w:tc>
          <w:tcPr>
            <w:tcW w:w="1559" w:type="dxa"/>
            <w:tcBorders>
              <w:top w:val="single" w:sz="4" w:space="0" w:color="000000"/>
              <w:left w:val="single" w:sz="4" w:space="0" w:color="auto"/>
              <w:bottom w:val="single" w:sz="4" w:space="0" w:color="000000"/>
              <w:right w:val="single" w:sz="4" w:space="0" w:color="auto"/>
            </w:tcBorders>
            <w:vAlign w:val="center"/>
          </w:tcPr>
          <w:p w:rsidR="00B92080" w:rsidRPr="002E2870" w:rsidRDefault="00B92080" w:rsidP="00DB5405">
            <w:pPr>
              <w:spacing w:line="276" w:lineRule="auto"/>
              <w:jc w:val="right"/>
              <w:rPr>
                <w:rFonts w:ascii="Palatino Linotype" w:hAnsi="Palatino Linotype"/>
                <w:sz w:val="20"/>
                <w:szCs w:val="20"/>
              </w:rPr>
            </w:pPr>
            <w:r w:rsidRPr="002E2870">
              <w:rPr>
                <w:rFonts w:ascii="Palatino Linotype" w:hAnsi="Palatino Linotype"/>
                <w:bCs/>
                <w:sz w:val="20"/>
                <w:szCs w:val="20"/>
              </w:rPr>
              <w:t xml:space="preserve">         2,746.0 </w:t>
            </w:r>
          </w:p>
        </w:tc>
        <w:tc>
          <w:tcPr>
            <w:tcW w:w="1417" w:type="dxa"/>
            <w:tcBorders>
              <w:top w:val="nil"/>
              <w:left w:val="single" w:sz="4" w:space="0" w:color="auto"/>
              <w:bottom w:val="single" w:sz="4" w:space="0" w:color="000000"/>
              <w:right w:val="single" w:sz="4" w:space="0" w:color="000000"/>
            </w:tcBorders>
            <w:shd w:val="clear" w:color="auto" w:fill="auto"/>
            <w:noWrap/>
            <w:vAlign w:val="center"/>
          </w:tcPr>
          <w:p w:rsidR="00B92080" w:rsidRPr="002E2870" w:rsidRDefault="00B92080" w:rsidP="00DB5405">
            <w:pPr>
              <w:spacing w:line="276" w:lineRule="auto"/>
              <w:jc w:val="right"/>
              <w:rPr>
                <w:rFonts w:ascii="Palatino Linotype" w:hAnsi="Palatino Linotype"/>
                <w:bCs/>
                <w:sz w:val="20"/>
                <w:szCs w:val="20"/>
              </w:rPr>
            </w:pPr>
            <w:r w:rsidRPr="002E2870">
              <w:rPr>
                <w:rFonts w:ascii="Palatino Linotype" w:hAnsi="Palatino Linotype"/>
                <w:sz w:val="20"/>
                <w:szCs w:val="20"/>
              </w:rPr>
              <w:t xml:space="preserve">        7,684.0 </w:t>
            </w:r>
          </w:p>
        </w:tc>
      </w:tr>
      <w:tr w:rsidR="00B92080" w:rsidRPr="002E2870" w:rsidTr="00DB5405">
        <w:trPr>
          <w:trHeight w:val="214"/>
        </w:trPr>
        <w:tc>
          <w:tcPr>
            <w:tcW w:w="6091" w:type="dxa"/>
            <w:tcBorders>
              <w:top w:val="nil"/>
              <w:left w:val="single" w:sz="4" w:space="0" w:color="000000"/>
              <w:bottom w:val="single" w:sz="4" w:space="0" w:color="000000"/>
              <w:right w:val="single" w:sz="4" w:space="0" w:color="auto"/>
            </w:tcBorders>
            <w:shd w:val="clear" w:color="auto" w:fill="auto"/>
            <w:noWrap/>
            <w:vAlign w:val="center"/>
          </w:tcPr>
          <w:p w:rsidR="00B92080" w:rsidRPr="002E2870" w:rsidRDefault="00B92080" w:rsidP="00DB5405">
            <w:pPr>
              <w:tabs>
                <w:tab w:val="left" w:pos="313"/>
                <w:tab w:val="left" w:pos="601"/>
              </w:tabs>
              <w:spacing w:line="276" w:lineRule="auto"/>
              <w:rPr>
                <w:rFonts w:ascii="Palatino Linotype" w:eastAsia="Times New Roman" w:hAnsi="Palatino Linotype"/>
                <w:sz w:val="20"/>
                <w:szCs w:val="20"/>
                <w:lang w:val="en-US" w:bidi="hi-IN"/>
              </w:rPr>
            </w:pPr>
            <w:r w:rsidRPr="002E2870">
              <w:rPr>
                <w:rFonts w:ascii="Palatino Linotype" w:hAnsi="Palatino Linotype"/>
                <w:sz w:val="20"/>
                <w:szCs w:val="20"/>
              </w:rPr>
              <w:tab/>
              <w:t>3. Private Placement of Debt</w:t>
            </w:r>
          </w:p>
        </w:tc>
        <w:tc>
          <w:tcPr>
            <w:tcW w:w="1559" w:type="dxa"/>
            <w:tcBorders>
              <w:top w:val="single" w:sz="4" w:space="0" w:color="000000"/>
              <w:left w:val="single" w:sz="4" w:space="0" w:color="auto"/>
              <w:bottom w:val="single" w:sz="4" w:space="0" w:color="000000"/>
              <w:right w:val="single" w:sz="4" w:space="0" w:color="auto"/>
            </w:tcBorders>
            <w:vAlign w:val="center"/>
          </w:tcPr>
          <w:p w:rsidR="00B92080" w:rsidRPr="002E2870" w:rsidRDefault="00B92080" w:rsidP="00DB5405">
            <w:pPr>
              <w:spacing w:line="276" w:lineRule="auto"/>
              <w:jc w:val="right"/>
              <w:rPr>
                <w:rFonts w:ascii="Palatino Linotype" w:hAnsi="Palatino Linotype"/>
                <w:sz w:val="20"/>
                <w:szCs w:val="20"/>
              </w:rPr>
            </w:pPr>
            <w:r w:rsidRPr="002E2870">
              <w:rPr>
                <w:rFonts w:ascii="Palatino Linotype" w:hAnsi="Palatino Linotype"/>
                <w:bCs/>
                <w:sz w:val="20"/>
                <w:szCs w:val="20"/>
              </w:rPr>
              <w:t xml:space="preserve">       58,419.2 </w:t>
            </w:r>
          </w:p>
        </w:tc>
        <w:tc>
          <w:tcPr>
            <w:tcW w:w="1417" w:type="dxa"/>
            <w:tcBorders>
              <w:top w:val="nil"/>
              <w:left w:val="single" w:sz="4" w:space="0" w:color="auto"/>
              <w:bottom w:val="single" w:sz="4" w:space="0" w:color="000000"/>
              <w:right w:val="single" w:sz="4" w:space="0" w:color="000000"/>
            </w:tcBorders>
            <w:shd w:val="clear" w:color="auto" w:fill="auto"/>
            <w:noWrap/>
            <w:vAlign w:val="center"/>
          </w:tcPr>
          <w:p w:rsidR="00B92080" w:rsidRPr="002E2870" w:rsidRDefault="00B92080" w:rsidP="00DB5405">
            <w:pPr>
              <w:spacing w:line="276" w:lineRule="auto"/>
              <w:jc w:val="right"/>
              <w:rPr>
                <w:rFonts w:ascii="Palatino Linotype" w:hAnsi="Palatino Linotype"/>
                <w:bCs/>
                <w:sz w:val="20"/>
                <w:szCs w:val="20"/>
              </w:rPr>
            </w:pPr>
            <w:r w:rsidRPr="002E2870">
              <w:rPr>
                <w:rFonts w:ascii="Palatino Linotype" w:hAnsi="Palatino Linotype"/>
                <w:sz w:val="20"/>
                <w:szCs w:val="20"/>
              </w:rPr>
              <w:t xml:space="preserve">      64,388.7 </w:t>
            </w:r>
          </w:p>
        </w:tc>
      </w:tr>
      <w:tr w:rsidR="00B92080" w:rsidRPr="002E2870" w:rsidTr="00DB5405">
        <w:trPr>
          <w:trHeight w:val="214"/>
        </w:trPr>
        <w:tc>
          <w:tcPr>
            <w:tcW w:w="6091" w:type="dxa"/>
            <w:tcBorders>
              <w:top w:val="nil"/>
              <w:left w:val="single" w:sz="4" w:space="0" w:color="000000"/>
              <w:bottom w:val="single" w:sz="4" w:space="0" w:color="000000"/>
              <w:right w:val="single" w:sz="4" w:space="0" w:color="auto"/>
            </w:tcBorders>
            <w:shd w:val="clear" w:color="000000" w:fill="B7DEE8"/>
            <w:noWrap/>
            <w:vAlign w:val="center"/>
          </w:tcPr>
          <w:p w:rsidR="00B92080" w:rsidRPr="002E2870" w:rsidRDefault="00B92080" w:rsidP="00DB5405">
            <w:pPr>
              <w:tabs>
                <w:tab w:val="left" w:pos="313"/>
                <w:tab w:val="left" w:pos="601"/>
              </w:tabs>
              <w:spacing w:line="276" w:lineRule="auto"/>
              <w:rPr>
                <w:rFonts w:ascii="Palatino Linotype" w:eastAsia="Times New Roman" w:hAnsi="Palatino Linotype"/>
                <w:b/>
                <w:bCs/>
                <w:sz w:val="20"/>
                <w:szCs w:val="20"/>
                <w:lang w:val="en-US" w:bidi="hi-IN"/>
              </w:rPr>
            </w:pPr>
            <w:r w:rsidRPr="002E2870">
              <w:rPr>
                <w:rFonts w:ascii="Palatino Linotype" w:hAnsi="Palatino Linotype"/>
                <w:b/>
                <w:bCs/>
                <w:sz w:val="20"/>
                <w:szCs w:val="20"/>
              </w:rPr>
              <w:t>Total Fund Mobilised (A+B)</w:t>
            </w:r>
          </w:p>
        </w:tc>
        <w:tc>
          <w:tcPr>
            <w:tcW w:w="1559" w:type="dxa"/>
            <w:tcBorders>
              <w:top w:val="single" w:sz="4" w:space="0" w:color="000000"/>
              <w:left w:val="single" w:sz="4" w:space="0" w:color="auto"/>
              <w:bottom w:val="single" w:sz="4" w:space="0" w:color="auto"/>
              <w:right w:val="single" w:sz="4" w:space="0" w:color="auto"/>
            </w:tcBorders>
            <w:shd w:val="clear" w:color="000000" w:fill="B7DEE8"/>
            <w:vAlign w:val="center"/>
          </w:tcPr>
          <w:p w:rsidR="00B92080" w:rsidRPr="002E2870" w:rsidRDefault="00B92080" w:rsidP="00DB5405">
            <w:pPr>
              <w:spacing w:line="276" w:lineRule="auto"/>
              <w:jc w:val="right"/>
              <w:rPr>
                <w:rFonts w:ascii="Palatino Linotype" w:hAnsi="Palatino Linotype"/>
                <w:b/>
                <w:bCs/>
                <w:sz w:val="20"/>
                <w:szCs w:val="20"/>
              </w:rPr>
            </w:pPr>
            <w:r w:rsidRPr="002E2870">
              <w:rPr>
                <w:rFonts w:ascii="Palatino Linotype" w:hAnsi="Palatino Linotype"/>
                <w:b/>
                <w:bCs/>
                <w:sz w:val="20"/>
                <w:szCs w:val="20"/>
              </w:rPr>
              <w:t xml:space="preserve">    1,09,997.9 </w:t>
            </w:r>
          </w:p>
        </w:tc>
        <w:tc>
          <w:tcPr>
            <w:tcW w:w="1417" w:type="dxa"/>
            <w:tcBorders>
              <w:top w:val="nil"/>
              <w:left w:val="single" w:sz="4" w:space="0" w:color="auto"/>
              <w:bottom w:val="single" w:sz="4" w:space="0" w:color="000000"/>
              <w:right w:val="single" w:sz="4" w:space="0" w:color="000000"/>
            </w:tcBorders>
            <w:shd w:val="clear" w:color="000000" w:fill="B7DEE8"/>
            <w:noWrap/>
            <w:vAlign w:val="center"/>
          </w:tcPr>
          <w:p w:rsidR="00B92080" w:rsidRPr="002E2870" w:rsidRDefault="00B92080" w:rsidP="00DB5405">
            <w:pPr>
              <w:spacing w:line="276" w:lineRule="auto"/>
              <w:jc w:val="right"/>
              <w:rPr>
                <w:rFonts w:ascii="Palatino Linotype" w:hAnsi="Palatino Linotype"/>
                <w:b/>
                <w:bCs/>
                <w:sz w:val="20"/>
                <w:szCs w:val="20"/>
              </w:rPr>
            </w:pPr>
            <w:r w:rsidRPr="002E2870">
              <w:rPr>
                <w:rFonts w:ascii="Palatino Linotype" w:hAnsi="Palatino Linotype"/>
                <w:b/>
                <w:bCs/>
                <w:sz w:val="20"/>
                <w:szCs w:val="20"/>
              </w:rPr>
              <w:t xml:space="preserve">      75,231.8 </w:t>
            </w:r>
          </w:p>
        </w:tc>
      </w:tr>
    </w:tbl>
    <w:p w:rsidR="00B92080" w:rsidRPr="002E2870" w:rsidRDefault="00B92080" w:rsidP="00B92080">
      <w:pPr>
        <w:widowControl w:val="0"/>
        <w:spacing w:line="276" w:lineRule="auto"/>
        <w:jc w:val="both"/>
        <w:rPr>
          <w:rFonts w:ascii="Palatino Linotype" w:eastAsia="Palatino Linotype" w:hAnsi="Palatino Linotype" w:cs="Palatino Linotype"/>
          <w:b/>
          <w:sz w:val="22"/>
          <w:szCs w:val="22"/>
        </w:rPr>
      </w:pPr>
      <w:r w:rsidRPr="002E2870">
        <w:rPr>
          <w:rFonts w:ascii="Palatino Linotype" w:eastAsia="Palatino Linotype" w:hAnsi="Palatino Linotype" w:cs="Palatino Linotype"/>
          <w:sz w:val="18"/>
          <w:szCs w:val="18"/>
        </w:rPr>
        <w:t xml:space="preserve">Note : </w:t>
      </w:r>
      <w:r w:rsidRPr="002E2870">
        <w:rPr>
          <w:rFonts w:ascii="Palatino Linotype" w:eastAsia="Palatino Linotype" w:hAnsi="Palatino Linotype" w:cs="Palatino Linotype"/>
          <w:sz w:val="16"/>
          <w:szCs w:val="16"/>
        </w:rPr>
        <w:t xml:space="preserve">*Includes warrants of HDFC Ltd of </w:t>
      </w:r>
      <w:r w:rsidRPr="002E2870">
        <w:rPr>
          <w:rFonts w:ascii="Times New Roman" w:eastAsia="Palatino Linotype" w:hAnsi="Times New Roman"/>
          <w:sz w:val="16"/>
          <w:szCs w:val="16"/>
        </w:rPr>
        <w:t>₹</w:t>
      </w:r>
      <w:r w:rsidRPr="002E2870">
        <w:rPr>
          <w:rFonts w:ascii="Palatino Linotype" w:eastAsia="Palatino Linotype" w:hAnsi="Palatino Linotype" w:cs="Palatino Linotype"/>
          <w:sz w:val="16"/>
          <w:szCs w:val="16"/>
        </w:rPr>
        <w:t>3,999.99 crore</w:t>
      </w:r>
    </w:p>
    <w:p w:rsidR="00B92080" w:rsidRPr="002E2870" w:rsidRDefault="00B92080" w:rsidP="00B92080">
      <w:pPr>
        <w:widowControl w:val="0"/>
        <w:tabs>
          <w:tab w:val="right" w:pos="9888"/>
        </w:tabs>
        <w:spacing w:line="276" w:lineRule="auto"/>
        <w:jc w:val="both"/>
        <w:rPr>
          <w:rFonts w:ascii="Palatino Linotype" w:eastAsia="Palatino Linotype" w:hAnsi="Palatino Linotype" w:cs="Palatino Linotype"/>
          <w:b/>
          <w:sz w:val="18"/>
          <w:szCs w:val="18"/>
        </w:rPr>
      </w:pPr>
      <w:r w:rsidRPr="002E2870">
        <w:rPr>
          <w:rFonts w:ascii="Palatino Linotype" w:eastAsia="Palatino Linotype" w:hAnsi="Palatino Linotype" w:cs="Palatino Linotype"/>
          <w:b/>
          <w:sz w:val="18"/>
          <w:szCs w:val="18"/>
        </w:rPr>
        <w:t>Source: SEBI, NSE, BSE and MSEI</w:t>
      </w:r>
    </w:p>
    <w:p w:rsidR="00B92080" w:rsidRPr="002E2870" w:rsidRDefault="00B92080" w:rsidP="00B92080">
      <w:pPr>
        <w:widowControl w:val="0"/>
        <w:tabs>
          <w:tab w:val="right" w:pos="9888"/>
        </w:tabs>
        <w:spacing w:line="276" w:lineRule="auto"/>
        <w:jc w:val="both"/>
        <w:rPr>
          <w:rFonts w:ascii="Palatino Linotype" w:eastAsia="Palatino Linotype" w:hAnsi="Palatino Linotype" w:cs="Palatino Linotype"/>
          <w:sz w:val="22"/>
          <w:szCs w:val="22"/>
          <w:highlight w:val="yellow"/>
        </w:rPr>
      </w:pPr>
    </w:p>
    <w:p w:rsidR="00B92080" w:rsidRPr="002E2870" w:rsidRDefault="00B92080" w:rsidP="00B92080">
      <w:pPr>
        <w:numPr>
          <w:ilvl w:val="0"/>
          <w:numId w:val="2"/>
        </w:numPr>
        <w:pBdr>
          <w:top w:val="nil"/>
          <w:left w:val="nil"/>
          <w:bottom w:val="nil"/>
          <w:right w:val="nil"/>
          <w:between w:val="nil"/>
        </w:pBdr>
        <w:spacing w:line="276" w:lineRule="auto"/>
        <w:ind w:left="567" w:hanging="567"/>
        <w:jc w:val="both"/>
        <w:rPr>
          <w:rFonts w:ascii="Palatino Linotype" w:eastAsia="Palatino Linotype" w:hAnsi="Palatino Linotype" w:cs="Palatino Linotype"/>
          <w:sz w:val="22"/>
          <w:szCs w:val="22"/>
        </w:rPr>
      </w:pPr>
      <w:r w:rsidRPr="002E2870">
        <w:rPr>
          <w:rFonts w:ascii="Palatino Linotype" w:eastAsia="Palatino Linotype" w:hAnsi="Palatino Linotype" w:cs="Palatino Linotype"/>
          <w:sz w:val="22"/>
          <w:szCs w:val="22"/>
        </w:rPr>
        <w:t xml:space="preserve">During September 2020, equity capital was raised through IPO and Rights Issue routes.  There were two Main Board IPO issuances and one SME issuance, mobilising </w:t>
      </w:r>
      <w:r w:rsidRPr="002E2870">
        <w:rPr>
          <w:rFonts w:ascii="Times New Roman" w:eastAsia="Palatino Linotype" w:hAnsi="Times New Roman"/>
          <w:sz w:val="22"/>
          <w:szCs w:val="22"/>
        </w:rPr>
        <w:t>₹</w:t>
      </w:r>
      <w:r w:rsidRPr="002E2870">
        <w:rPr>
          <w:rFonts w:ascii="Palatino Linotype" w:eastAsia="Palatino Linotype" w:hAnsi="Palatino Linotype" w:cs="Palatino Linotype"/>
          <w:sz w:val="22"/>
          <w:szCs w:val="22"/>
        </w:rPr>
        <w:t xml:space="preserve">1,302 crore and </w:t>
      </w:r>
      <w:r w:rsidRPr="002E2870">
        <w:rPr>
          <w:rFonts w:ascii="Times New Roman" w:eastAsia="Palatino Linotype" w:hAnsi="Times New Roman"/>
          <w:sz w:val="22"/>
          <w:szCs w:val="22"/>
        </w:rPr>
        <w:t>₹</w:t>
      </w:r>
      <w:r>
        <w:rPr>
          <w:rFonts w:ascii="Palatino Linotype" w:eastAsia="Palatino Linotype" w:hAnsi="Palatino Linotype" w:cs="Palatino Linotype"/>
          <w:sz w:val="22"/>
          <w:szCs w:val="22"/>
        </w:rPr>
        <w:t>6.9 </w:t>
      </w:r>
      <w:r w:rsidRPr="002E2870">
        <w:rPr>
          <w:rFonts w:ascii="Palatino Linotype" w:eastAsia="Palatino Linotype" w:hAnsi="Palatino Linotype" w:cs="Palatino Linotype"/>
          <w:sz w:val="22"/>
          <w:szCs w:val="22"/>
        </w:rPr>
        <w:t xml:space="preserve">crore, respectively.  The two Rights Issues during the period mobilised </w:t>
      </w:r>
      <w:r w:rsidRPr="002E2870">
        <w:rPr>
          <w:rFonts w:ascii="Times New Roman" w:eastAsia="Palatino Linotype" w:hAnsi="Times New Roman"/>
          <w:sz w:val="22"/>
          <w:szCs w:val="22"/>
        </w:rPr>
        <w:t>₹</w:t>
      </w:r>
      <w:r w:rsidRPr="002E2870">
        <w:rPr>
          <w:rFonts w:ascii="Palatino Linotype" w:eastAsia="Palatino Linotype" w:hAnsi="Palatino Linotype" w:cs="Palatino Linotype"/>
          <w:sz w:val="22"/>
          <w:szCs w:val="22"/>
        </w:rPr>
        <w:t>362.7 crore.</w:t>
      </w:r>
    </w:p>
    <w:p w:rsidR="00B92080" w:rsidRPr="002E2870" w:rsidRDefault="00B92080" w:rsidP="00B92080">
      <w:pPr>
        <w:numPr>
          <w:ilvl w:val="0"/>
          <w:numId w:val="2"/>
        </w:numPr>
        <w:pBdr>
          <w:top w:val="nil"/>
          <w:left w:val="nil"/>
          <w:bottom w:val="nil"/>
          <w:right w:val="nil"/>
          <w:between w:val="nil"/>
        </w:pBdr>
        <w:spacing w:line="276" w:lineRule="auto"/>
        <w:ind w:left="567" w:hanging="567"/>
        <w:jc w:val="both"/>
        <w:rPr>
          <w:rFonts w:ascii="Palatino Linotype" w:eastAsia="Palatino Linotype" w:hAnsi="Palatino Linotype" w:cs="Palatino Linotype"/>
          <w:sz w:val="22"/>
          <w:szCs w:val="22"/>
        </w:rPr>
      </w:pPr>
      <w:r w:rsidRPr="002E2870">
        <w:rPr>
          <w:rFonts w:ascii="Palatino Linotype" w:eastAsia="Palatino Linotype" w:hAnsi="Palatino Linotype" w:cs="Palatino Linotype"/>
          <w:sz w:val="22"/>
          <w:szCs w:val="22"/>
        </w:rPr>
        <w:t xml:space="preserve">There was one public issue of corporate bond, amounting to </w:t>
      </w:r>
      <w:r w:rsidRPr="002E2870">
        <w:rPr>
          <w:rFonts w:ascii="Times New Roman" w:eastAsia="Palatino Linotype" w:hAnsi="Times New Roman"/>
          <w:sz w:val="22"/>
          <w:szCs w:val="22"/>
        </w:rPr>
        <w:t>₹</w:t>
      </w:r>
      <w:r w:rsidRPr="002E2870">
        <w:rPr>
          <w:rFonts w:ascii="Palatino Linotype" w:eastAsia="Palatino Linotype" w:hAnsi="Palatino Linotype"/>
          <w:sz w:val="22"/>
          <w:szCs w:val="22"/>
        </w:rPr>
        <w:t xml:space="preserve">149.7 </w:t>
      </w:r>
      <w:r w:rsidRPr="002E2870">
        <w:rPr>
          <w:rFonts w:ascii="Palatino Linotype" w:eastAsia="Palatino Linotype" w:hAnsi="Palatino Linotype" w:cs="Palatino Linotype"/>
          <w:sz w:val="22"/>
          <w:szCs w:val="22"/>
        </w:rPr>
        <w:t xml:space="preserve">crore during September 2020.  </w:t>
      </w:r>
    </w:p>
    <w:p w:rsidR="00B92080" w:rsidRPr="002E2870" w:rsidRDefault="00B92080" w:rsidP="00B92080">
      <w:pPr>
        <w:numPr>
          <w:ilvl w:val="0"/>
          <w:numId w:val="2"/>
        </w:numPr>
        <w:pBdr>
          <w:top w:val="nil"/>
          <w:left w:val="nil"/>
          <w:bottom w:val="nil"/>
          <w:right w:val="nil"/>
          <w:between w:val="nil"/>
        </w:pBdr>
        <w:spacing w:line="276" w:lineRule="auto"/>
        <w:ind w:left="567" w:hanging="567"/>
        <w:jc w:val="both"/>
        <w:rPr>
          <w:rFonts w:ascii="Palatino Linotype" w:eastAsia="Palatino Linotype" w:hAnsi="Palatino Linotype" w:cs="Palatino Linotype"/>
          <w:sz w:val="22"/>
          <w:szCs w:val="22"/>
        </w:rPr>
      </w:pPr>
      <w:r w:rsidRPr="002E2870">
        <w:rPr>
          <w:rFonts w:ascii="Palatino Linotype" w:eastAsia="Palatino Linotype" w:hAnsi="Palatino Linotype" w:cs="Palatino Linotype"/>
          <w:sz w:val="22"/>
          <w:szCs w:val="22"/>
        </w:rPr>
        <w:t xml:space="preserve">The amount raised through private placement of equity (i.e., preferential allotment and QIP route) dipped to </w:t>
      </w:r>
      <w:r w:rsidRPr="002E2870">
        <w:rPr>
          <w:rFonts w:ascii="Times New Roman" w:eastAsia="Palatino Linotype" w:hAnsi="Times New Roman"/>
          <w:sz w:val="22"/>
          <w:szCs w:val="22"/>
        </w:rPr>
        <w:t>₹</w:t>
      </w:r>
      <w:r w:rsidRPr="002E2870">
        <w:rPr>
          <w:rFonts w:ascii="Palatino Linotype" w:eastAsia="Palatino Linotype" w:hAnsi="Palatino Linotype" w:cs="Palatino Linotype"/>
          <w:sz w:val="22"/>
          <w:szCs w:val="22"/>
        </w:rPr>
        <w:t xml:space="preserve">9,021.9 crore during September 2020, against </w:t>
      </w:r>
      <w:r w:rsidRPr="002E2870">
        <w:rPr>
          <w:rFonts w:ascii="Times New Roman" w:eastAsia="Palatino Linotype" w:hAnsi="Times New Roman"/>
          <w:sz w:val="22"/>
          <w:szCs w:val="22"/>
        </w:rPr>
        <w:t>₹</w:t>
      </w:r>
      <w:r w:rsidRPr="002E2870">
        <w:rPr>
          <w:rFonts w:ascii="Palatino Linotype" w:eastAsia="Palatino Linotype" w:hAnsi="Palatino Linotype"/>
          <w:sz w:val="22"/>
          <w:szCs w:val="22"/>
        </w:rPr>
        <w:t>45,471</w:t>
      </w:r>
      <w:r w:rsidRPr="002E2870">
        <w:rPr>
          <w:rFonts w:ascii="Palatino Linotype" w:eastAsia="Palatino Linotype" w:hAnsi="Palatino Linotype" w:cs="Palatino Linotype"/>
          <w:sz w:val="22"/>
          <w:szCs w:val="22"/>
        </w:rPr>
        <w:t xml:space="preserve"> crore during August 2020. </w:t>
      </w:r>
    </w:p>
    <w:p w:rsidR="00B92080" w:rsidRPr="002E2870" w:rsidRDefault="00B92080" w:rsidP="00B92080">
      <w:pPr>
        <w:numPr>
          <w:ilvl w:val="0"/>
          <w:numId w:val="2"/>
        </w:numPr>
        <w:pBdr>
          <w:top w:val="nil"/>
          <w:left w:val="nil"/>
          <w:bottom w:val="nil"/>
          <w:right w:val="nil"/>
          <w:between w:val="nil"/>
        </w:pBdr>
        <w:spacing w:line="276" w:lineRule="auto"/>
        <w:ind w:left="567" w:hanging="567"/>
        <w:jc w:val="both"/>
        <w:rPr>
          <w:rFonts w:ascii="Palatino Linotype" w:eastAsia="Palatino Linotype" w:hAnsi="Palatino Linotype" w:cs="Palatino Linotype"/>
          <w:sz w:val="22"/>
          <w:szCs w:val="22"/>
        </w:rPr>
      </w:pPr>
      <w:r w:rsidRPr="002E2870">
        <w:rPr>
          <w:rFonts w:ascii="Palatino Linotype" w:eastAsia="Palatino Linotype" w:hAnsi="Palatino Linotype" w:cs="Palatino Linotype"/>
          <w:sz w:val="22"/>
          <w:szCs w:val="22"/>
        </w:rPr>
        <w:t xml:space="preserve">Private placement of corporate debt reported on BSE and NSE stood at </w:t>
      </w:r>
      <w:r w:rsidRPr="002E2870">
        <w:rPr>
          <w:rFonts w:ascii="Times New Roman" w:eastAsia="Palatino Linotype" w:hAnsi="Times New Roman"/>
          <w:sz w:val="22"/>
          <w:szCs w:val="22"/>
        </w:rPr>
        <w:t>₹</w:t>
      </w:r>
      <w:r w:rsidRPr="002E2870">
        <w:rPr>
          <w:rFonts w:ascii="Palatino Linotype" w:eastAsia="Palatino Linotype" w:hAnsi="Palatino Linotype" w:cs="Palatino Linotype"/>
          <w:sz w:val="22"/>
          <w:szCs w:val="22"/>
        </w:rPr>
        <w:t xml:space="preserve">64,388.7 crore during September 2020, compared to </w:t>
      </w:r>
      <w:r w:rsidRPr="002E2870">
        <w:rPr>
          <w:rFonts w:ascii="Times New Roman" w:eastAsia="Palatino Linotype" w:hAnsi="Times New Roman"/>
          <w:sz w:val="22"/>
          <w:szCs w:val="22"/>
        </w:rPr>
        <w:t>₹</w:t>
      </w:r>
      <w:r w:rsidRPr="002E2870">
        <w:rPr>
          <w:rFonts w:ascii="Palatino Linotype" w:eastAsia="Palatino Linotype" w:hAnsi="Palatino Linotype" w:cs="Palatino Linotype"/>
          <w:sz w:val="22"/>
          <w:szCs w:val="22"/>
        </w:rPr>
        <w:t xml:space="preserve">58,419.2 crore in August 2020.  </w:t>
      </w:r>
    </w:p>
    <w:p w:rsidR="00B92080" w:rsidRPr="002E2870" w:rsidRDefault="00B92080" w:rsidP="00B92080">
      <w:pPr>
        <w:pBdr>
          <w:top w:val="nil"/>
          <w:left w:val="nil"/>
          <w:bottom w:val="nil"/>
          <w:right w:val="nil"/>
          <w:between w:val="nil"/>
        </w:pBdr>
        <w:spacing w:line="276" w:lineRule="auto"/>
        <w:ind w:left="360"/>
        <w:jc w:val="both"/>
        <w:rPr>
          <w:rFonts w:ascii="Palatino Linotype" w:eastAsia="Palatino Linotype" w:hAnsi="Palatino Linotype" w:cs="Palatino Linotype"/>
          <w:sz w:val="22"/>
          <w:szCs w:val="22"/>
          <w:highlight w:val="yellow"/>
        </w:rPr>
      </w:pPr>
    </w:p>
    <w:p w:rsidR="00B92080" w:rsidRPr="002E2870" w:rsidRDefault="00B92080" w:rsidP="00B92080">
      <w:pPr>
        <w:widowControl w:val="0"/>
        <w:numPr>
          <w:ilvl w:val="0"/>
          <w:numId w:val="3"/>
        </w:numPr>
        <w:spacing w:line="276" w:lineRule="auto"/>
        <w:ind w:left="454" w:hanging="454"/>
        <w:rPr>
          <w:rFonts w:ascii="Palatino Linotype" w:eastAsia="Palatino Linotype" w:hAnsi="Palatino Linotype" w:cs="Palatino Linotype"/>
          <w:b/>
          <w:sz w:val="22"/>
          <w:szCs w:val="22"/>
        </w:rPr>
      </w:pPr>
      <w:r w:rsidRPr="002E2870">
        <w:rPr>
          <w:rFonts w:ascii="Palatino Linotype" w:eastAsia="Palatino Linotype" w:hAnsi="Palatino Linotype" w:cs="Palatino Linotype"/>
          <w:b/>
          <w:sz w:val="22"/>
          <w:szCs w:val="22"/>
        </w:rPr>
        <w:t>Trends in the Secondary Market</w:t>
      </w:r>
    </w:p>
    <w:p w:rsidR="00B92080" w:rsidRPr="002E2870" w:rsidRDefault="00B92080" w:rsidP="00B92080">
      <w:pPr>
        <w:widowControl w:val="0"/>
        <w:tabs>
          <w:tab w:val="left" w:pos="3915"/>
        </w:tabs>
        <w:spacing w:line="276" w:lineRule="auto"/>
        <w:jc w:val="both"/>
        <w:rPr>
          <w:rFonts w:ascii="Palatino Linotype" w:eastAsia="Palatino Linotype" w:hAnsi="Palatino Linotype" w:cs="Palatino Linotype"/>
          <w:b/>
          <w:sz w:val="22"/>
          <w:szCs w:val="22"/>
        </w:rPr>
      </w:pPr>
    </w:p>
    <w:p w:rsidR="00B92080" w:rsidRPr="002E2870" w:rsidRDefault="00B92080" w:rsidP="00B92080">
      <w:pPr>
        <w:numPr>
          <w:ilvl w:val="0"/>
          <w:numId w:val="2"/>
        </w:numPr>
        <w:pBdr>
          <w:top w:val="nil"/>
          <w:left w:val="nil"/>
          <w:bottom w:val="nil"/>
          <w:right w:val="nil"/>
          <w:between w:val="nil"/>
        </w:pBdr>
        <w:spacing w:line="276" w:lineRule="auto"/>
        <w:ind w:left="567" w:hanging="567"/>
        <w:jc w:val="both"/>
        <w:rPr>
          <w:rFonts w:ascii="Palatino Linotype" w:eastAsia="Palatino Linotype" w:hAnsi="Palatino Linotype" w:cs="Palatino Linotype"/>
          <w:sz w:val="22"/>
          <w:szCs w:val="22"/>
        </w:rPr>
      </w:pPr>
      <w:r w:rsidRPr="002E2870">
        <w:rPr>
          <w:rFonts w:ascii="Palatino Linotype" w:eastAsia="Palatino Linotype" w:hAnsi="Palatino Linotype" w:cs="Palatino Linotype"/>
          <w:sz w:val="22"/>
          <w:szCs w:val="22"/>
        </w:rPr>
        <w:t>At the end of September 2020, Nifty 50 closed at 11,248, registering a decline of 1.2 per cent as compared to the 11,388 level at the end of August 2020.</w:t>
      </w:r>
    </w:p>
    <w:p w:rsidR="00B92080" w:rsidRPr="002E2870" w:rsidRDefault="00B92080" w:rsidP="00B92080">
      <w:pPr>
        <w:numPr>
          <w:ilvl w:val="0"/>
          <w:numId w:val="2"/>
        </w:numPr>
        <w:pBdr>
          <w:top w:val="nil"/>
          <w:left w:val="nil"/>
          <w:bottom w:val="nil"/>
          <w:right w:val="nil"/>
          <w:between w:val="nil"/>
        </w:pBdr>
        <w:spacing w:line="276" w:lineRule="auto"/>
        <w:ind w:left="567" w:hanging="567"/>
        <w:jc w:val="both"/>
        <w:rPr>
          <w:rFonts w:ascii="Palatino Linotype" w:eastAsia="Palatino Linotype" w:hAnsi="Palatino Linotype" w:cs="Palatino Linotype"/>
          <w:sz w:val="22"/>
          <w:szCs w:val="22"/>
        </w:rPr>
      </w:pPr>
      <w:r w:rsidRPr="002E2870">
        <w:rPr>
          <w:rFonts w:ascii="Palatino Linotype" w:eastAsia="Palatino Linotype" w:hAnsi="Palatino Linotype" w:cs="Palatino Linotype"/>
          <w:sz w:val="22"/>
          <w:szCs w:val="22"/>
        </w:rPr>
        <w:t>S&amp;P BSE Sensex closed at 38,068 at the end of September 2020, registering a decline of 1.5 per cent as compared to the 38,628 level at the end of August 2020.</w:t>
      </w:r>
    </w:p>
    <w:p w:rsidR="00B92080" w:rsidRPr="002E2870" w:rsidRDefault="00B92080" w:rsidP="00B92080">
      <w:pPr>
        <w:numPr>
          <w:ilvl w:val="0"/>
          <w:numId w:val="2"/>
        </w:numPr>
        <w:pBdr>
          <w:top w:val="nil"/>
          <w:left w:val="nil"/>
          <w:bottom w:val="nil"/>
          <w:right w:val="nil"/>
          <w:between w:val="nil"/>
        </w:pBdr>
        <w:spacing w:line="276" w:lineRule="auto"/>
        <w:ind w:left="567" w:hanging="567"/>
        <w:jc w:val="both"/>
        <w:rPr>
          <w:rFonts w:ascii="Palatino Linotype" w:eastAsia="Palatino Linotype" w:hAnsi="Palatino Linotype" w:cs="Palatino Linotype"/>
          <w:sz w:val="22"/>
          <w:szCs w:val="22"/>
        </w:rPr>
      </w:pPr>
      <w:r w:rsidRPr="002E2870">
        <w:rPr>
          <w:rFonts w:ascii="Palatino Linotype" w:eastAsia="Palatino Linotype" w:hAnsi="Palatino Linotype" w:cs="Palatino Linotype"/>
          <w:sz w:val="22"/>
          <w:szCs w:val="22"/>
        </w:rPr>
        <w:t>Both, Nifty 50 and S&amp;P BSE Sensex reached their intraday high for the month, on September 16, 2020 with closing values of 11,605 and 39,303, respectively and their intraday low for the month, on September 24, 2020 with closing values of at 10,806 and 36,554, respectively.</w:t>
      </w:r>
    </w:p>
    <w:p w:rsidR="00B92080" w:rsidRPr="002E2870" w:rsidRDefault="00B92080" w:rsidP="00B92080">
      <w:pPr>
        <w:numPr>
          <w:ilvl w:val="0"/>
          <w:numId w:val="1"/>
        </w:numPr>
        <w:pBdr>
          <w:top w:val="nil"/>
          <w:left w:val="nil"/>
          <w:bottom w:val="nil"/>
          <w:right w:val="nil"/>
          <w:between w:val="nil"/>
        </w:pBdr>
        <w:spacing w:line="276" w:lineRule="auto"/>
        <w:ind w:left="567" w:hanging="567"/>
        <w:jc w:val="both"/>
        <w:rPr>
          <w:rFonts w:ascii="Palatino Linotype" w:hAnsi="Palatino Linotype"/>
          <w:sz w:val="22"/>
          <w:szCs w:val="22"/>
        </w:rPr>
      </w:pPr>
      <w:r w:rsidRPr="002E2870">
        <w:rPr>
          <w:rFonts w:ascii="Palatino Linotype" w:eastAsia="Palatino Linotype" w:hAnsi="Palatino Linotype" w:cs="Palatino Linotype"/>
          <w:sz w:val="22"/>
          <w:szCs w:val="22"/>
        </w:rPr>
        <w:t>The P/E ratios of S&amp;P BSE Sensex and Nifty 50 were 28.1 and 31.6, respectively, at the end of September 2020 compared to 29.3 and 32.6, respectively, a month ago.</w:t>
      </w:r>
    </w:p>
    <w:p w:rsidR="00B92080" w:rsidRPr="002E2870" w:rsidRDefault="00B92080" w:rsidP="00B92080">
      <w:pPr>
        <w:widowControl w:val="0"/>
        <w:spacing w:line="276" w:lineRule="auto"/>
        <w:jc w:val="both"/>
        <w:rPr>
          <w:rFonts w:ascii="Palatino Linotype" w:eastAsia="Palatino Linotype" w:hAnsi="Palatino Linotype" w:cs="Palatino Linotype"/>
          <w:b/>
          <w:sz w:val="22"/>
          <w:szCs w:val="22"/>
        </w:rPr>
      </w:pPr>
    </w:p>
    <w:p w:rsidR="00B92080" w:rsidRPr="002E2870" w:rsidRDefault="00B92080" w:rsidP="00B92080">
      <w:pPr>
        <w:widowControl w:val="0"/>
        <w:spacing w:line="276" w:lineRule="auto"/>
        <w:jc w:val="both"/>
        <w:rPr>
          <w:rFonts w:ascii="Palatino Linotype" w:eastAsia="Palatino Linotype" w:hAnsi="Palatino Linotype" w:cs="Palatino Linotype"/>
          <w:b/>
          <w:sz w:val="22"/>
          <w:szCs w:val="22"/>
        </w:rPr>
      </w:pPr>
      <w:r w:rsidRPr="002E2870">
        <w:rPr>
          <w:rFonts w:ascii="Palatino Linotype" w:eastAsia="Palatino Linotype" w:hAnsi="Palatino Linotype" w:cs="Palatino Linotype"/>
          <w:b/>
          <w:sz w:val="22"/>
          <w:szCs w:val="22"/>
        </w:rPr>
        <w:t xml:space="preserve">Table 2: Snapshot of Indian Capital Market </w:t>
      </w:r>
    </w:p>
    <w:tbl>
      <w:tblPr>
        <w:tblW w:w="6665" w:type="dxa"/>
        <w:tblInd w:w="-5" w:type="dxa"/>
        <w:tblLook w:val="04A0" w:firstRow="1" w:lastRow="0" w:firstColumn="1" w:lastColumn="0" w:noHBand="0" w:noVBand="1"/>
      </w:tblPr>
      <w:tblGrid>
        <w:gridCol w:w="2597"/>
        <w:gridCol w:w="1468"/>
        <w:gridCol w:w="1340"/>
        <w:gridCol w:w="1355"/>
      </w:tblGrid>
      <w:tr w:rsidR="00B92080" w:rsidRPr="002E2870" w:rsidTr="00DB5405">
        <w:trPr>
          <w:trHeight w:val="682"/>
        </w:trPr>
        <w:tc>
          <w:tcPr>
            <w:tcW w:w="2597" w:type="dxa"/>
            <w:tcBorders>
              <w:top w:val="single" w:sz="4" w:space="0" w:color="000000"/>
              <w:left w:val="single" w:sz="4" w:space="0" w:color="000000"/>
              <w:bottom w:val="single" w:sz="4" w:space="0" w:color="000000"/>
              <w:right w:val="single" w:sz="4" w:space="0" w:color="000000"/>
            </w:tcBorders>
            <w:shd w:val="clear" w:color="92CDDC" w:fill="92CDDC"/>
            <w:noWrap/>
            <w:vAlign w:val="center"/>
            <w:hideMark/>
          </w:tcPr>
          <w:p w:rsidR="00B92080" w:rsidRPr="002E2870" w:rsidRDefault="00B92080" w:rsidP="00DB5405">
            <w:pPr>
              <w:spacing w:line="276" w:lineRule="auto"/>
              <w:rPr>
                <w:rFonts w:ascii="Palatino Linotype" w:eastAsia="Times New Roman" w:hAnsi="Palatino Linotype"/>
                <w:b/>
                <w:bCs/>
                <w:sz w:val="20"/>
                <w:szCs w:val="20"/>
                <w:lang w:val="en-US" w:bidi="hi-IN"/>
              </w:rPr>
            </w:pPr>
            <w:r w:rsidRPr="002E2870">
              <w:rPr>
                <w:rFonts w:ascii="Palatino Linotype" w:eastAsia="Times New Roman" w:hAnsi="Palatino Linotype"/>
                <w:b/>
                <w:bCs/>
                <w:sz w:val="20"/>
                <w:szCs w:val="20"/>
                <w:lang w:val="en-US" w:bidi="hi-IN"/>
              </w:rPr>
              <w:t>Description</w:t>
            </w:r>
          </w:p>
        </w:tc>
        <w:tc>
          <w:tcPr>
            <w:tcW w:w="1468" w:type="dxa"/>
            <w:tcBorders>
              <w:top w:val="single" w:sz="4" w:space="0" w:color="000000"/>
              <w:left w:val="nil"/>
              <w:bottom w:val="single" w:sz="4" w:space="0" w:color="000000"/>
              <w:right w:val="single" w:sz="4" w:space="0" w:color="000000"/>
            </w:tcBorders>
            <w:shd w:val="clear" w:color="92CDDC" w:fill="92CDDC"/>
            <w:noWrap/>
            <w:vAlign w:val="center"/>
            <w:hideMark/>
          </w:tcPr>
          <w:p w:rsidR="00B92080" w:rsidRPr="002E2870" w:rsidRDefault="00B92080" w:rsidP="00DB5405">
            <w:pPr>
              <w:spacing w:line="276" w:lineRule="auto"/>
              <w:jc w:val="center"/>
              <w:rPr>
                <w:rFonts w:ascii="Palatino Linotype" w:eastAsia="Times New Roman" w:hAnsi="Palatino Linotype"/>
                <w:b/>
                <w:bCs/>
                <w:sz w:val="20"/>
                <w:szCs w:val="20"/>
                <w:lang w:val="en-US" w:bidi="hi-IN"/>
              </w:rPr>
            </w:pPr>
            <w:r w:rsidRPr="002E2870">
              <w:rPr>
                <w:rFonts w:ascii="Palatino Linotype" w:eastAsia="Times New Roman" w:hAnsi="Palatino Linotype"/>
                <w:b/>
                <w:bCs/>
                <w:sz w:val="20"/>
                <w:szCs w:val="20"/>
                <w:lang w:val="en-US" w:bidi="hi-IN"/>
              </w:rPr>
              <w:t>Aug-20</w:t>
            </w:r>
          </w:p>
        </w:tc>
        <w:tc>
          <w:tcPr>
            <w:tcW w:w="1245" w:type="dxa"/>
            <w:tcBorders>
              <w:top w:val="single" w:sz="4" w:space="0" w:color="000000"/>
              <w:left w:val="nil"/>
              <w:bottom w:val="single" w:sz="4" w:space="0" w:color="000000"/>
              <w:right w:val="single" w:sz="4" w:space="0" w:color="000000"/>
            </w:tcBorders>
            <w:shd w:val="clear" w:color="92CDDC" w:fill="92CDDC"/>
            <w:noWrap/>
            <w:vAlign w:val="center"/>
            <w:hideMark/>
          </w:tcPr>
          <w:p w:rsidR="00B92080" w:rsidRPr="002E2870" w:rsidRDefault="00B92080" w:rsidP="00DB5405">
            <w:pPr>
              <w:spacing w:line="276" w:lineRule="auto"/>
              <w:jc w:val="center"/>
              <w:rPr>
                <w:rFonts w:ascii="Palatino Linotype" w:eastAsia="Times New Roman" w:hAnsi="Palatino Linotype"/>
                <w:b/>
                <w:bCs/>
                <w:sz w:val="20"/>
                <w:szCs w:val="20"/>
                <w:lang w:val="en-US" w:bidi="hi-IN"/>
              </w:rPr>
            </w:pPr>
            <w:r w:rsidRPr="002E2870">
              <w:rPr>
                <w:rFonts w:ascii="Palatino Linotype" w:eastAsia="Times New Roman" w:hAnsi="Palatino Linotype"/>
                <w:b/>
                <w:bCs/>
                <w:sz w:val="20"/>
                <w:szCs w:val="20"/>
                <w:lang w:val="en-US" w:bidi="hi-IN"/>
              </w:rPr>
              <w:t>Sept-20</w:t>
            </w:r>
          </w:p>
        </w:tc>
        <w:tc>
          <w:tcPr>
            <w:tcW w:w="1355" w:type="dxa"/>
            <w:tcBorders>
              <w:top w:val="single" w:sz="4" w:space="0" w:color="000000"/>
              <w:left w:val="nil"/>
              <w:bottom w:val="single" w:sz="4" w:space="0" w:color="000000"/>
              <w:right w:val="single" w:sz="4" w:space="0" w:color="000000"/>
            </w:tcBorders>
            <w:shd w:val="clear" w:color="92CDDC" w:fill="92CDDC"/>
            <w:vAlign w:val="center"/>
            <w:hideMark/>
          </w:tcPr>
          <w:p w:rsidR="00B92080" w:rsidRPr="002E2870" w:rsidRDefault="00B92080" w:rsidP="00DB5405">
            <w:pPr>
              <w:spacing w:line="276" w:lineRule="auto"/>
              <w:jc w:val="center"/>
              <w:rPr>
                <w:rFonts w:ascii="Palatino Linotype" w:eastAsia="Times New Roman" w:hAnsi="Palatino Linotype"/>
                <w:b/>
                <w:bCs/>
                <w:sz w:val="20"/>
                <w:szCs w:val="20"/>
                <w:lang w:val="en-US" w:bidi="hi-IN"/>
              </w:rPr>
            </w:pPr>
            <w:r w:rsidRPr="002E2870">
              <w:rPr>
                <w:rFonts w:ascii="Palatino Linotype" w:eastAsia="Times New Roman" w:hAnsi="Palatino Linotype"/>
                <w:b/>
                <w:bCs/>
                <w:sz w:val="20"/>
                <w:szCs w:val="20"/>
                <w:lang w:val="en-US" w:bidi="hi-IN"/>
              </w:rPr>
              <w:t>Percentage Change Over Month</w:t>
            </w:r>
          </w:p>
        </w:tc>
      </w:tr>
      <w:tr w:rsidR="00B92080" w:rsidRPr="002E2870" w:rsidTr="00DB5405">
        <w:trPr>
          <w:trHeight w:val="275"/>
        </w:trPr>
        <w:tc>
          <w:tcPr>
            <w:tcW w:w="2597" w:type="dxa"/>
            <w:tcBorders>
              <w:top w:val="nil"/>
              <w:left w:val="single" w:sz="4" w:space="0" w:color="000000"/>
              <w:bottom w:val="single" w:sz="4" w:space="0" w:color="000000"/>
              <w:right w:val="nil"/>
            </w:tcBorders>
            <w:shd w:val="clear" w:color="C6E0B4" w:fill="C6E0B4"/>
            <w:noWrap/>
            <w:vAlign w:val="center"/>
            <w:hideMark/>
          </w:tcPr>
          <w:p w:rsidR="00B92080" w:rsidRPr="002E2870" w:rsidRDefault="00B92080" w:rsidP="00DB5405">
            <w:pPr>
              <w:spacing w:line="276" w:lineRule="auto"/>
              <w:rPr>
                <w:rFonts w:ascii="Palatino Linotype" w:eastAsia="Times New Roman" w:hAnsi="Palatino Linotype"/>
                <w:b/>
                <w:bCs/>
                <w:sz w:val="20"/>
                <w:szCs w:val="20"/>
                <w:lang w:val="en-US" w:bidi="hi-IN"/>
              </w:rPr>
            </w:pPr>
            <w:r w:rsidRPr="002E2870">
              <w:rPr>
                <w:rFonts w:ascii="Palatino Linotype" w:eastAsia="Times New Roman" w:hAnsi="Palatino Linotype"/>
                <w:b/>
                <w:bCs/>
                <w:sz w:val="20"/>
                <w:szCs w:val="20"/>
                <w:lang w:val="en-US" w:bidi="hi-IN"/>
              </w:rPr>
              <w:t>Index in Equity Market</w:t>
            </w:r>
          </w:p>
        </w:tc>
        <w:tc>
          <w:tcPr>
            <w:tcW w:w="1468" w:type="dxa"/>
            <w:tcBorders>
              <w:top w:val="nil"/>
              <w:left w:val="nil"/>
              <w:bottom w:val="single" w:sz="4" w:space="0" w:color="000000"/>
              <w:right w:val="nil"/>
            </w:tcBorders>
            <w:shd w:val="clear" w:color="C6E0B4" w:fill="C6E0B4"/>
            <w:noWrap/>
            <w:vAlign w:val="center"/>
            <w:hideMark/>
          </w:tcPr>
          <w:p w:rsidR="00B92080" w:rsidRPr="002E2870" w:rsidRDefault="00B92080" w:rsidP="00DB5405">
            <w:pPr>
              <w:spacing w:line="276" w:lineRule="auto"/>
              <w:rPr>
                <w:rFonts w:ascii="Palatino Linotype" w:eastAsia="Times New Roman" w:hAnsi="Palatino Linotype"/>
                <w:b/>
                <w:bCs/>
                <w:sz w:val="20"/>
                <w:szCs w:val="20"/>
                <w:lang w:val="en-US" w:bidi="hi-IN"/>
              </w:rPr>
            </w:pPr>
            <w:r w:rsidRPr="002E2870">
              <w:rPr>
                <w:rFonts w:ascii="Palatino Linotype" w:eastAsia="Times New Roman" w:hAnsi="Palatino Linotype"/>
                <w:b/>
                <w:bCs/>
                <w:sz w:val="20"/>
                <w:szCs w:val="20"/>
                <w:lang w:val="en-US" w:bidi="hi-IN"/>
              </w:rPr>
              <w:t> </w:t>
            </w:r>
          </w:p>
        </w:tc>
        <w:tc>
          <w:tcPr>
            <w:tcW w:w="1245" w:type="dxa"/>
            <w:tcBorders>
              <w:top w:val="nil"/>
              <w:left w:val="nil"/>
              <w:bottom w:val="single" w:sz="4" w:space="0" w:color="000000"/>
              <w:right w:val="nil"/>
            </w:tcBorders>
            <w:shd w:val="clear" w:color="C6E0B4" w:fill="C6E0B4"/>
            <w:noWrap/>
            <w:vAlign w:val="center"/>
            <w:hideMark/>
          </w:tcPr>
          <w:p w:rsidR="00B92080" w:rsidRPr="002E2870" w:rsidRDefault="00B92080" w:rsidP="00DB5405">
            <w:pPr>
              <w:spacing w:line="276" w:lineRule="auto"/>
              <w:rPr>
                <w:rFonts w:ascii="Palatino Linotype" w:eastAsia="Times New Roman" w:hAnsi="Palatino Linotype"/>
                <w:b/>
                <w:bCs/>
                <w:sz w:val="20"/>
                <w:szCs w:val="20"/>
                <w:lang w:val="en-US" w:bidi="hi-IN"/>
              </w:rPr>
            </w:pPr>
            <w:r w:rsidRPr="002E2870">
              <w:rPr>
                <w:rFonts w:ascii="Palatino Linotype" w:eastAsia="Times New Roman" w:hAnsi="Palatino Linotype"/>
                <w:b/>
                <w:bCs/>
                <w:sz w:val="20"/>
                <w:szCs w:val="20"/>
                <w:lang w:val="en-US" w:bidi="hi-IN"/>
              </w:rPr>
              <w:t> </w:t>
            </w:r>
          </w:p>
        </w:tc>
        <w:tc>
          <w:tcPr>
            <w:tcW w:w="1355" w:type="dxa"/>
            <w:tcBorders>
              <w:top w:val="nil"/>
              <w:left w:val="nil"/>
              <w:bottom w:val="single" w:sz="4" w:space="0" w:color="000000"/>
              <w:right w:val="single" w:sz="4" w:space="0" w:color="000000"/>
            </w:tcBorders>
            <w:shd w:val="clear" w:color="C6E0B4" w:fill="C6E0B4"/>
            <w:noWrap/>
            <w:vAlign w:val="center"/>
            <w:hideMark/>
          </w:tcPr>
          <w:p w:rsidR="00B92080" w:rsidRPr="002E2870" w:rsidRDefault="00B92080" w:rsidP="00DB5405">
            <w:pPr>
              <w:spacing w:line="276" w:lineRule="auto"/>
              <w:rPr>
                <w:rFonts w:ascii="Palatino Linotype" w:eastAsia="Times New Roman" w:hAnsi="Palatino Linotype"/>
                <w:b/>
                <w:bCs/>
                <w:sz w:val="20"/>
                <w:szCs w:val="20"/>
                <w:lang w:val="en-US" w:bidi="hi-IN"/>
              </w:rPr>
            </w:pPr>
            <w:r w:rsidRPr="002E2870">
              <w:rPr>
                <w:rFonts w:ascii="Palatino Linotype" w:eastAsia="Times New Roman" w:hAnsi="Palatino Linotype"/>
                <w:b/>
                <w:bCs/>
                <w:sz w:val="20"/>
                <w:szCs w:val="20"/>
                <w:lang w:val="en-US" w:bidi="hi-IN"/>
              </w:rPr>
              <w:t> </w:t>
            </w:r>
          </w:p>
        </w:tc>
      </w:tr>
      <w:tr w:rsidR="00B92080" w:rsidRPr="002E2870" w:rsidTr="00DB5405">
        <w:trPr>
          <w:trHeight w:val="275"/>
        </w:trPr>
        <w:tc>
          <w:tcPr>
            <w:tcW w:w="2597"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B92080" w:rsidRPr="002E2870" w:rsidRDefault="00B92080" w:rsidP="00DB5405">
            <w:pPr>
              <w:spacing w:line="276" w:lineRule="auto"/>
              <w:ind w:left="174"/>
              <w:rPr>
                <w:rFonts w:ascii="Palatino Linotype" w:eastAsia="Times New Roman" w:hAnsi="Palatino Linotype"/>
                <w:sz w:val="20"/>
                <w:szCs w:val="20"/>
                <w:lang w:val="en-US" w:bidi="hi-IN"/>
              </w:rPr>
            </w:pPr>
            <w:r w:rsidRPr="002E2870">
              <w:rPr>
                <w:rFonts w:ascii="Palatino Linotype" w:eastAsia="Times New Roman" w:hAnsi="Palatino Linotype"/>
                <w:sz w:val="20"/>
                <w:szCs w:val="20"/>
                <w:lang w:val="en-US" w:bidi="hi-IN"/>
              </w:rPr>
              <w:t>Sensex</w:t>
            </w:r>
          </w:p>
        </w:tc>
        <w:tc>
          <w:tcPr>
            <w:tcW w:w="1468" w:type="dxa"/>
            <w:tcBorders>
              <w:top w:val="single" w:sz="4" w:space="0" w:color="000000"/>
              <w:left w:val="nil"/>
              <w:bottom w:val="single" w:sz="4" w:space="0" w:color="000000"/>
              <w:right w:val="single" w:sz="4" w:space="0" w:color="000000"/>
            </w:tcBorders>
            <w:shd w:val="clear" w:color="auto" w:fill="auto"/>
            <w:noWrap/>
            <w:vAlign w:val="bottom"/>
            <w:hideMark/>
          </w:tcPr>
          <w:p w:rsidR="00B92080" w:rsidRPr="002E2870" w:rsidRDefault="00B92080" w:rsidP="00DB5405">
            <w:pPr>
              <w:spacing w:line="276" w:lineRule="auto"/>
              <w:ind w:left="174"/>
              <w:jc w:val="right"/>
              <w:rPr>
                <w:rFonts w:ascii="Palatino Linotype" w:eastAsia="Times New Roman" w:hAnsi="Palatino Linotype"/>
                <w:sz w:val="20"/>
                <w:szCs w:val="20"/>
                <w:lang w:val="en-US" w:bidi="hi-IN"/>
              </w:rPr>
            </w:pPr>
            <w:r w:rsidRPr="002E2870">
              <w:rPr>
                <w:rFonts w:ascii="Palatino Linotype" w:eastAsia="Times New Roman" w:hAnsi="Palatino Linotype"/>
                <w:sz w:val="20"/>
                <w:szCs w:val="20"/>
                <w:lang w:val="en-US" w:bidi="hi-IN"/>
              </w:rPr>
              <w:t>38,628</w:t>
            </w:r>
          </w:p>
        </w:tc>
        <w:tc>
          <w:tcPr>
            <w:tcW w:w="1245" w:type="dxa"/>
            <w:tcBorders>
              <w:top w:val="single" w:sz="4" w:space="0" w:color="000000"/>
              <w:left w:val="nil"/>
              <w:bottom w:val="single" w:sz="4" w:space="0" w:color="000000"/>
              <w:right w:val="single" w:sz="4" w:space="0" w:color="000000"/>
            </w:tcBorders>
            <w:shd w:val="clear" w:color="auto" w:fill="auto"/>
            <w:noWrap/>
            <w:vAlign w:val="bottom"/>
            <w:hideMark/>
          </w:tcPr>
          <w:p w:rsidR="00B92080" w:rsidRPr="002E2870" w:rsidRDefault="00B92080" w:rsidP="00DB5405">
            <w:pPr>
              <w:spacing w:line="276" w:lineRule="auto"/>
              <w:ind w:left="174"/>
              <w:jc w:val="right"/>
              <w:rPr>
                <w:rFonts w:ascii="Palatino Linotype" w:eastAsia="Times New Roman" w:hAnsi="Palatino Linotype"/>
                <w:sz w:val="20"/>
                <w:szCs w:val="20"/>
                <w:lang w:val="en-US" w:bidi="hi-IN"/>
              </w:rPr>
            </w:pPr>
            <w:r w:rsidRPr="002E2870">
              <w:rPr>
                <w:rFonts w:ascii="Palatino Linotype" w:eastAsia="Times New Roman" w:hAnsi="Palatino Linotype"/>
                <w:sz w:val="20"/>
                <w:szCs w:val="20"/>
                <w:lang w:val="en-US" w:bidi="hi-IN"/>
              </w:rPr>
              <w:t>38,068</w:t>
            </w:r>
          </w:p>
        </w:tc>
        <w:tc>
          <w:tcPr>
            <w:tcW w:w="1355" w:type="dxa"/>
            <w:tcBorders>
              <w:top w:val="single" w:sz="4" w:space="0" w:color="000000"/>
              <w:left w:val="nil"/>
              <w:bottom w:val="single" w:sz="4" w:space="0" w:color="000000"/>
              <w:right w:val="single" w:sz="4" w:space="0" w:color="000000"/>
            </w:tcBorders>
            <w:shd w:val="clear" w:color="auto" w:fill="auto"/>
            <w:noWrap/>
            <w:vAlign w:val="bottom"/>
            <w:hideMark/>
          </w:tcPr>
          <w:p w:rsidR="00B92080" w:rsidRPr="002E2870" w:rsidRDefault="00B92080" w:rsidP="00DB5405">
            <w:pPr>
              <w:spacing w:line="276" w:lineRule="auto"/>
              <w:ind w:left="174"/>
              <w:jc w:val="right"/>
              <w:rPr>
                <w:rFonts w:ascii="Palatino Linotype" w:eastAsia="Times New Roman" w:hAnsi="Palatino Linotype"/>
                <w:sz w:val="20"/>
                <w:szCs w:val="20"/>
                <w:lang w:val="en-US" w:bidi="hi-IN"/>
              </w:rPr>
            </w:pPr>
            <w:r w:rsidRPr="002E2870">
              <w:rPr>
                <w:rFonts w:ascii="Palatino Linotype" w:eastAsia="Times New Roman" w:hAnsi="Palatino Linotype"/>
                <w:sz w:val="20"/>
                <w:szCs w:val="20"/>
                <w:lang w:val="en-US" w:bidi="hi-IN"/>
              </w:rPr>
              <w:t>-1.45</w:t>
            </w:r>
          </w:p>
        </w:tc>
      </w:tr>
      <w:tr w:rsidR="00B92080" w:rsidRPr="002E2870" w:rsidTr="00DB5405">
        <w:trPr>
          <w:trHeight w:val="275"/>
        </w:trPr>
        <w:tc>
          <w:tcPr>
            <w:tcW w:w="2597" w:type="dxa"/>
            <w:tcBorders>
              <w:top w:val="nil"/>
              <w:left w:val="single" w:sz="4" w:space="0" w:color="000000"/>
              <w:bottom w:val="single" w:sz="4" w:space="0" w:color="000000"/>
              <w:right w:val="single" w:sz="4" w:space="0" w:color="000000"/>
            </w:tcBorders>
            <w:shd w:val="clear" w:color="auto" w:fill="auto"/>
            <w:noWrap/>
            <w:vAlign w:val="bottom"/>
            <w:hideMark/>
          </w:tcPr>
          <w:p w:rsidR="00B92080" w:rsidRPr="002E2870" w:rsidRDefault="00B92080" w:rsidP="00DB5405">
            <w:pPr>
              <w:spacing w:line="276" w:lineRule="auto"/>
              <w:ind w:left="174"/>
              <w:rPr>
                <w:rFonts w:ascii="Palatino Linotype" w:eastAsia="Times New Roman" w:hAnsi="Palatino Linotype"/>
                <w:sz w:val="20"/>
                <w:szCs w:val="20"/>
                <w:lang w:val="en-US" w:bidi="hi-IN"/>
              </w:rPr>
            </w:pPr>
            <w:r w:rsidRPr="002E2870">
              <w:rPr>
                <w:rFonts w:ascii="Palatino Linotype" w:eastAsia="Times New Roman" w:hAnsi="Palatino Linotype"/>
                <w:sz w:val="20"/>
                <w:szCs w:val="20"/>
                <w:lang w:val="en-US" w:bidi="hi-IN"/>
              </w:rPr>
              <w:t>Nifty 50</w:t>
            </w:r>
          </w:p>
        </w:tc>
        <w:tc>
          <w:tcPr>
            <w:tcW w:w="1468" w:type="dxa"/>
            <w:tcBorders>
              <w:top w:val="nil"/>
              <w:left w:val="nil"/>
              <w:bottom w:val="single" w:sz="4" w:space="0" w:color="000000"/>
              <w:right w:val="single" w:sz="4" w:space="0" w:color="000000"/>
            </w:tcBorders>
            <w:shd w:val="clear" w:color="auto" w:fill="auto"/>
            <w:noWrap/>
            <w:vAlign w:val="bottom"/>
            <w:hideMark/>
          </w:tcPr>
          <w:p w:rsidR="00B92080" w:rsidRPr="002E2870" w:rsidRDefault="00B92080" w:rsidP="00DB5405">
            <w:pPr>
              <w:spacing w:line="276" w:lineRule="auto"/>
              <w:ind w:left="174"/>
              <w:jc w:val="right"/>
              <w:rPr>
                <w:rFonts w:ascii="Palatino Linotype" w:eastAsia="Times New Roman" w:hAnsi="Palatino Linotype"/>
                <w:sz w:val="20"/>
                <w:szCs w:val="20"/>
                <w:lang w:val="en-US" w:bidi="hi-IN"/>
              </w:rPr>
            </w:pPr>
            <w:r w:rsidRPr="002E2870">
              <w:rPr>
                <w:rFonts w:ascii="Palatino Linotype" w:eastAsia="Times New Roman" w:hAnsi="Palatino Linotype"/>
                <w:sz w:val="20"/>
                <w:szCs w:val="20"/>
                <w:lang w:val="en-US" w:bidi="hi-IN"/>
              </w:rPr>
              <w:t>11,388</w:t>
            </w:r>
          </w:p>
        </w:tc>
        <w:tc>
          <w:tcPr>
            <w:tcW w:w="1245" w:type="dxa"/>
            <w:tcBorders>
              <w:top w:val="nil"/>
              <w:left w:val="nil"/>
              <w:bottom w:val="single" w:sz="4" w:space="0" w:color="000000"/>
              <w:right w:val="single" w:sz="4" w:space="0" w:color="000000"/>
            </w:tcBorders>
            <w:shd w:val="clear" w:color="auto" w:fill="auto"/>
            <w:noWrap/>
            <w:vAlign w:val="bottom"/>
            <w:hideMark/>
          </w:tcPr>
          <w:p w:rsidR="00B92080" w:rsidRPr="002E2870" w:rsidRDefault="00B92080" w:rsidP="00DB5405">
            <w:pPr>
              <w:spacing w:line="276" w:lineRule="auto"/>
              <w:ind w:left="174"/>
              <w:jc w:val="right"/>
              <w:rPr>
                <w:rFonts w:ascii="Palatino Linotype" w:eastAsia="Times New Roman" w:hAnsi="Palatino Linotype"/>
                <w:sz w:val="20"/>
                <w:szCs w:val="20"/>
                <w:lang w:val="en-US" w:bidi="hi-IN"/>
              </w:rPr>
            </w:pPr>
            <w:r w:rsidRPr="002E2870">
              <w:rPr>
                <w:rFonts w:ascii="Palatino Linotype" w:eastAsia="Times New Roman" w:hAnsi="Palatino Linotype"/>
                <w:sz w:val="20"/>
                <w:szCs w:val="20"/>
                <w:lang w:val="en-US" w:bidi="hi-IN"/>
              </w:rPr>
              <w:t>11,248</w:t>
            </w:r>
          </w:p>
        </w:tc>
        <w:tc>
          <w:tcPr>
            <w:tcW w:w="1355" w:type="dxa"/>
            <w:tcBorders>
              <w:top w:val="nil"/>
              <w:left w:val="nil"/>
              <w:bottom w:val="single" w:sz="4" w:space="0" w:color="000000"/>
              <w:right w:val="single" w:sz="4" w:space="0" w:color="000000"/>
            </w:tcBorders>
            <w:shd w:val="clear" w:color="auto" w:fill="auto"/>
            <w:noWrap/>
            <w:vAlign w:val="bottom"/>
            <w:hideMark/>
          </w:tcPr>
          <w:p w:rsidR="00B92080" w:rsidRPr="002E2870" w:rsidRDefault="00B92080" w:rsidP="00DB5405">
            <w:pPr>
              <w:spacing w:line="276" w:lineRule="auto"/>
              <w:ind w:left="174"/>
              <w:jc w:val="right"/>
              <w:rPr>
                <w:rFonts w:ascii="Palatino Linotype" w:eastAsia="Times New Roman" w:hAnsi="Palatino Linotype"/>
                <w:sz w:val="20"/>
                <w:szCs w:val="20"/>
                <w:lang w:val="en-US" w:bidi="hi-IN"/>
              </w:rPr>
            </w:pPr>
            <w:r w:rsidRPr="002E2870">
              <w:rPr>
                <w:rFonts w:ascii="Palatino Linotype" w:eastAsia="Times New Roman" w:hAnsi="Palatino Linotype"/>
                <w:sz w:val="20"/>
                <w:szCs w:val="20"/>
                <w:lang w:val="en-US" w:bidi="hi-IN"/>
              </w:rPr>
              <w:t>-1.23</w:t>
            </w:r>
          </w:p>
        </w:tc>
      </w:tr>
      <w:tr w:rsidR="00B92080" w:rsidRPr="002E2870" w:rsidTr="00DB5405">
        <w:trPr>
          <w:trHeight w:val="275"/>
        </w:trPr>
        <w:tc>
          <w:tcPr>
            <w:tcW w:w="2597" w:type="dxa"/>
            <w:tcBorders>
              <w:top w:val="nil"/>
              <w:left w:val="single" w:sz="4" w:space="0" w:color="000000"/>
              <w:bottom w:val="single" w:sz="4" w:space="0" w:color="000000"/>
              <w:right w:val="single" w:sz="4" w:space="0" w:color="000000"/>
            </w:tcBorders>
            <w:shd w:val="clear" w:color="auto" w:fill="auto"/>
            <w:noWrap/>
            <w:vAlign w:val="bottom"/>
            <w:hideMark/>
          </w:tcPr>
          <w:p w:rsidR="00B92080" w:rsidRPr="002E2870" w:rsidRDefault="00B92080" w:rsidP="00DB5405">
            <w:pPr>
              <w:spacing w:line="276" w:lineRule="auto"/>
              <w:ind w:left="174"/>
              <w:rPr>
                <w:rFonts w:ascii="Palatino Linotype" w:eastAsia="Times New Roman" w:hAnsi="Palatino Linotype"/>
                <w:sz w:val="20"/>
                <w:szCs w:val="20"/>
                <w:lang w:val="en-US" w:bidi="hi-IN"/>
              </w:rPr>
            </w:pPr>
            <w:r w:rsidRPr="002E2870">
              <w:rPr>
                <w:rFonts w:ascii="Palatino Linotype" w:eastAsia="Times New Roman" w:hAnsi="Palatino Linotype"/>
                <w:sz w:val="20"/>
                <w:szCs w:val="20"/>
                <w:lang w:val="en-US" w:bidi="hi-IN"/>
              </w:rPr>
              <w:t>Nifty 500</w:t>
            </w:r>
          </w:p>
        </w:tc>
        <w:tc>
          <w:tcPr>
            <w:tcW w:w="1468" w:type="dxa"/>
            <w:tcBorders>
              <w:top w:val="nil"/>
              <w:left w:val="nil"/>
              <w:bottom w:val="single" w:sz="4" w:space="0" w:color="000000"/>
              <w:right w:val="single" w:sz="4" w:space="0" w:color="000000"/>
            </w:tcBorders>
            <w:shd w:val="clear" w:color="auto" w:fill="auto"/>
            <w:noWrap/>
            <w:vAlign w:val="bottom"/>
            <w:hideMark/>
          </w:tcPr>
          <w:p w:rsidR="00B92080" w:rsidRPr="002E2870" w:rsidRDefault="00B92080" w:rsidP="00DB5405">
            <w:pPr>
              <w:spacing w:line="276" w:lineRule="auto"/>
              <w:ind w:left="174"/>
              <w:jc w:val="right"/>
              <w:rPr>
                <w:rFonts w:ascii="Palatino Linotype" w:eastAsia="Times New Roman" w:hAnsi="Palatino Linotype"/>
                <w:sz w:val="20"/>
                <w:szCs w:val="20"/>
                <w:lang w:val="en-US" w:bidi="hi-IN"/>
              </w:rPr>
            </w:pPr>
            <w:r w:rsidRPr="002E2870">
              <w:rPr>
                <w:rFonts w:ascii="Palatino Linotype" w:eastAsia="Times New Roman" w:hAnsi="Palatino Linotype"/>
                <w:sz w:val="20"/>
                <w:szCs w:val="20"/>
                <w:lang w:val="en-US" w:bidi="hi-IN"/>
              </w:rPr>
              <w:t>9,372</w:t>
            </w:r>
          </w:p>
        </w:tc>
        <w:tc>
          <w:tcPr>
            <w:tcW w:w="1245" w:type="dxa"/>
            <w:tcBorders>
              <w:top w:val="nil"/>
              <w:left w:val="nil"/>
              <w:bottom w:val="single" w:sz="4" w:space="0" w:color="000000"/>
              <w:right w:val="single" w:sz="4" w:space="0" w:color="000000"/>
            </w:tcBorders>
            <w:shd w:val="clear" w:color="auto" w:fill="auto"/>
            <w:noWrap/>
            <w:vAlign w:val="bottom"/>
            <w:hideMark/>
          </w:tcPr>
          <w:p w:rsidR="00B92080" w:rsidRPr="002E2870" w:rsidRDefault="00B92080" w:rsidP="00DB5405">
            <w:pPr>
              <w:spacing w:line="276" w:lineRule="auto"/>
              <w:ind w:left="174"/>
              <w:jc w:val="right"/>
              <w:rPr>
                <w:rFonts w:ascii="Palatino Linotype" w:eastAsia="Times New Roman" w:hAnsi="Palatino Linotype"/>
                <w:sz w:val="20"/>
                <w:szCs w:val="20"/>
                <w:lang w:val="en-US" w:bidi="hi-IN"/>
              </w:rPr>
            </w:pPr>
            <w:r w:rsidRPr="002E2870">
              <w:rPr>
                <w:rFonts w:ascii="Palatino Linotype" w:eastAsia="Times New Roman" w:hAnsi="Palatino Linotype"/>
                <w:sz w:val="20"/>
                <w:szCs w:val="20"/>
                <w:lang w:val="en-US" w:bidi="hi-IN"/>
              </w:rPr>
              <w:t>9,342</w:t>
            </w:r>
          </w:p>
        </w:tc>
        <w:tc>
          <w:tcPr>
            <w:tcW w:w="1355" w:type="dxa"/>
            <w:tcBorders>
              <w:top w:val="nil"/>
              <w:left w:val="nil"/>
              <w:bottom w:val="single" w:sz="4" w:space="0" w:color="000000"/>
              <w:right w:val="single" w:sz="4" w:space="0" w:color="000000"/>
            </w:tcBorders>
            <w:shd w:val="clear" w:color="auto" w:fill="auto"/>
            <w:noWrap/>
            <w:vAlign w:val="bottom"/>
            <w:hideMark/>
          </w:tcPr>
          <w:p w:rsidR="00B92080" w:rsidRPr="002E2870" w:rsidRDefault="00B92080" w:rsidP="00DB5405">
            <w:pPr>
              <w:spacing w:line="276" w:lineRule="auto"/>
              <w:ind w:left="174"/>
              <w:jc w:val="right"/>
              <w:rPr>
                <w:rFonts w:ascii="Palatino Linotype" w:eastAsia="Times New Roman" w:hAnsi="Palatino Linotype"/>
                <w:sz w:val="20"/>
                <w:szCs w:val="20"/>
                <w:lang w:val="en-US" w:bidi="hi-IN"/>
              </w:rPr>
            </w:pPr>
            <w:r w:rsidRPr="002E2870">
              <w:rPr>
                <w:rFonts w:ascii="Palatino Linotype" w:eastAsia="Times New Roman" w:hAnsi="Palatino Linotype"/>
                <w:sz w:val="20"/>
                <w:szCs w:val="20"/>
                <w:lang w:val="en-US" w:bidi="hi-IN"/>
              </w:rPr>
              <w:t>-0.32</w:t>
            </w:r>
          </w:p>
        </w:tc>
      </w:tr>
      <w:tr w:rsidR="00B92080" w:rsidRPr="002E2870" w:rsidTr="00DB5405">
        <w:trPr>
          <w:trHeight w:val="275"/>
        </w:trPr>
        <w:tc>
          <w:tcPr>
            <w:tcW w:w="2597" w:type="dxa"/>
            <w:tcBorders>
              <w:top w:val="nil"/>
              <w:left w:val="single" w:sz="4" w:space="0" w:color="000000"/>
              <w:bottom w:val="single" w:sz="4" w:space="0" w:color="000000"/>
              <w:right w:val="single" w:sz="4" w:space="0" w:color="000000"/>
            </w:tcBorders>
            <w:shd w:val="clear" w:color="auto" w:fill="auto"/>
            <w:noWrap/>
            <w:vAlign w:val="bottom"/>
            <w:hideMark/>
          </w:tcPr>
          <w:p w:rsidR="00B92080" w:rsidRPr="002E2870" w:rsidRDefault="00B92080" w:rsidP="00DB5405">
            <w:pPr>
              <w:spacing w:line="276" w:lineRule="auto"/>
              <w:ind w:left="174"/>
              <w:rPr>
                <w:rFonts w:ascii="Palatino Linotype" w:eastAsia="Times New Roman" w:hAnsi="Palatino Linotype"/>
                <w:sz w:val="20"/>
                <w:szCs w:val="20"/>
                <w:lang w:val="en-US" w:bidi="hi-IN"/>
              </w:rPr>
            </w:pPr>
            <w:r w:rsidRPr="002E2870">
              <w:rPr>
                <w:rFonts w:ascii="Palatino Linotype" w:eastAsia="Times New Roman" w:hAnsi="Palatino Linotype"/>
                <w:sz w:val="20"/>
                <w:szCs w:val="20"/>
                <w:lang w:val="en-US" w:bidi="hi-IN"/>
              </w:rPr>
              <w:t>BSE 500</w:t>
            </w:r>
          </w:p>
        </w:tc>
        <w:tc>
          <w:tcPr>
            <w:tcW w:w="1468" w:type="dxa"/>
            <w:tcBorders>
              <w:top w:val="nil"/>
              <w:left w:val="nil"/>
              <w:bottom w:val="single" w:sz="4" w:space="0" w:color="000000"/>
              <w:right w:val="single" w:sz="4" w:space="0" w:color="000000"/>
            </w:tcBorders>
            <w:shd w:val="clear" w:color="auto" w:fill="auto"/>
            <w:noWrap/>
            <w:vAlign w:val="bottom"/>
            <w:hideMark/>
          </w:tcPr>
          <w:p w:rsidR="00B92080" w:rsidRPr="002E2870" w:rsidRDefault="00B92080" w:rsidP="00DB5405">
            <w:pPr>
              <w:spacing w:line="276" w:lineRule="auto"/>
              <w:ind w:left="174"/>
              <w:jc w:val="right"/>
              <w:rPr>
                <w:rFonts w:ascii="Palatino Linotype" w:eastAsia="Times New Roman" w:hAnsi="Palatino Linotype"/>
                <w:sz w:val="20"/>
                <w:szCs w:val="20"/>
                <w:lang w:val="en-US" w:bidi="hi-IN"/>
              </w:rPr>
            </w:pPr>
            <w:r w:rsidRPr="002E2870">
              <w:rPr>
                <w:rFonts w:ascii="Palatino Linotype" w:eastAsia="Times New Roman" w:hAnsi="Palatino Linotype"/>
                <w:sz w:val="20"/>
                <w:szCs w:val="20"/>
                <w:lang w:val="en-US" w:bidi="hi-IN"/>
              </w:rPr>
              <w:t>14,890</w:t>
            </w:r>
          </w:p>
        </w:tc>
        <w:tc>
          <w:tcPr>
            <w:tcW w:w="1245" w:type="dxa"/>
            <w:tcBorders>
              <w:top w:val="nil"/>
              <w:left w:val="nil"/>
              <w:bottom w:val="single" w:sz="4" w:space="0" w:color="000000"/>
              <w:right w:val="single" w:sz="4" w:space="0" w:color="000000"/>
            </w:tcBorders>
            <w:shd w:val="clear" w:color="auto" w:fill="auto"/>
            <w:noWrap/>
            <w:vAlign w:val="bottom"/>
            <w:hideMark/>
          </w:tcPr>
          <w:p w:rsidR="00B92080" w:rsidRPr="002E2870" w:rsidRDefault="00B92080" w:rsidP="00DB5405">
            <w:pPr>
              <w:spacing w:line="276" w:lineRule="auto"/>
              <w:ind w:left="174"/>
              <w:jc w:val="right"/>
              <w:rPr>
                <w:rFonts w:ascii="Palatino Linotype" w:eastAsia="Times New Roman" w:hAnsi="Palatino Linotype"/>
                <w:sz w:val="20"/>
                <w:szCs w:val="20"/>
                <w:lang w:val="en-US" w:bidi="hi-IN"/>
              </w:rPr>
            </w:pPr>
            <w:r w:rsidRPr="002E2870">
              <w:rPr>
                <w:rFonts w:ascii="Palatino Linotype" w:eastAsia="Times New Roman" w:hAnsi="Palatino Linotype"/>
                <w:sz w:val="20"/>
                <w:szCs w:val="20"/>
                <w:lang w:val="en-US" w:bidi="hi-IN"/>
              </w:rPr>
              <w:t>14,851</w:t>
            </w:r>
          </w:p>
        </w:tc>
        <w:tc>
          <w:tcPr>
            <w:tcW w:w="1355" w:type="dxa"/>
            <w:tcBorders>
              <w:top w:val="nil"/>
              <w:left w:val="nil"/>
              <w:bottom w:val="single" w:sz="4" w:space="0" w:color="000000"/>
              <w:right w:val="single" w:sz="4" w:space="0" w:color="000000"/>
            </w:tcBorders>
            <w:shd w:val="clear" w:color="auto" w:fill="auto"/>
            <w:noWrap/>
            <w:vAlign w:val="bottom"/>
            <w:hideMark/>
          </w:tcPr>
          <w:p w:rsidR="00B92080" w:rsidRPr="002E2870" w:rsidRDefault="00B92080" w:rsidP="00DB5405">
            <w:pPr>
              <w:spacing w:line="276" w:lineRule="auto"/>
              <w:ind w:left="174"/>
              <w:jc w:val="right"/>
              <w:rPr>
                <w:rFonts w:ascii="Palatino Linotype" w:eastAsia="Times New Roman" w:hAnsi="Palatino Linotype"/>
                <w:sz w:val="20"/>
                <w:szCs w:val="20"/>
                <w:lang w:val="en-US" w:bidi="hi-IN"/>
              </w:rPr>
            </w:pPr>
            <w:r w:rsidRPr="002E2870">
              <w:rPr>
                <w:rFonts w:ascii="Palatino Linotype" w:eastAsia="Times New Roman" w:hAnsi="Palatino Linotype"/>
                <w:sz w:val="20"/>
                <w:szCs w:val="20"/>
                <w:lang w:val="en-US" w:bidi="hi-IN"/>
              </w:rPr>
              <w:t>-0.26</w:t>
            </w:r>
          </w:p>
        </w:tc>
      </w:tr>
      <w:tr w:rsidR="00B92080" w:rsidRPr="002E2870" w:rsidTr="00DB5405">
        <w:trPr>
          <w:trHeight w:val="275"/>
        </w:trPr>
        <w:tc>
          <w:tcPr>
            <w:tcW w:w="2597" w:type="dxa"/>
            <w:tcBorders>
              <w:top w:val="nil"/>
              <w:left w:val="single" w:sz="4" w:space="0" w:color="000000"/>
              <w:bottom w:val="single" w:sz="4" w:space="0" w:color="000000"/>
              <w:right w:val="single" w:sz="4" w:space="0" w:color="000000"/>
            </w:tcBorders>
            <w:shd w:val="clear" w:color="auto" w:fill="auto"/>
            <w:noWrap/>
            <w:vAlign w:val="bottom"/>
            <w:hideMark/>
          </w:tcPr>
          <w:p w:rsidR="00B92080" w:rsidRPr="002E2870" w:rsidRDefault="00B92080" w:rsidP="00DB5405">
            <w:pPr>
              <w:spacing w:line="276" w:lineRule="auto"/>
              <w:ind w:left="174"/>
              <w:rPr>
                <w:rFonts w:ascii="Palatino Linotype" w:eastAsia="Times New Roman" w:hAnsi="Palatino Linotype"/>
                <w:sz w:val="20"/>
                <w:szCs w:val="20"/>
                <w:lang w:val="en-US" w:bidi="hi-IN"/>
              </w:rPr>
            </w:pPr>
            <w:r w:rsidRPr="002E2870">
              <w:rPr>
                <w:rFonts w:ascii="Palatino Linotype" w:eastAsia="Times New Roman" w:hAnsi="Palatino Linotype"/>
                <w:sz w:val="20"/>
                <w:szCs w:val="20"/>
                <w:lang w:val="en-US" w:bidi="hi-IN"/>
              </w:rPr>
              <w:t>Nifty Bank</w:t>
            </w:r>
          </w:p>
        </w:tc>
        <w:tc>
          <w:tcPr>
            <w:tcW w:w="1468" w:type="dxa"/>
            <w:tcBorders>
              <w:top w:val="nil"/>
              <w:left w:val="nil"/>
              <w:bottom w:val="single" w:sz="4" w:space="0" w:color="000000"/>
              <w:right w:val="single" w:sz="4" w:space="0" w:color="000000"/>
            </w:tcBorders>
            <w:shd w:val="clear" w:color="auto" w:fill="auto"/>
            <w:noWrap/>
            <w:vAlign w:val="bottom"/>
            <w:hideMark/>
          </w:tcPr>
          <w:p w:rsidR="00B92080" w:rsidRPr="002E2870" w:rsidRDefault="00B92080" w:rsidP="00DB5405">
            <w:pPr>
              <w:spacing w:line="276" w:lineRule="auto"/>
              <w:ind w:left="174"/>
              <w:jc w:val="right"/>
              <w:rPr>
                <w:rFonts w:ascii="Palatino Linotype" w:eastAsia="Times New Roman" w:hAnsi="Palatino Linotype"/>
                <w:sz w:val="20"/>
                <w:szCs w:val="20"/>
                <w:lang w:val="en-US" w:bidi="hi-IN"/>
              </w:rPr>
            </w:pPr>
            <w:r w:rsidRPr="002E2870">
              <w:rPr>
                <w:rFonts w:ascii="Palatino Linotype" w:eastAsia="Times New Roman" w:hAnsi="Palatino Linotype"/>
                <w:sz w:val="20"/>
                <w:szCs w:val="20"/>
                <w:lang w:val="en-US" w:bidi="hi-IN"/>
              </w:rPr>
              <w:t>23,754</w:t>
            </w:r>
          </w:p>
        </w:tc>
        <w:tc>
          <w:tcPr>
            <w:tcW w:w="1245" w:type="dxa"/>
            <w:tcBorders>
              <w:top w:val="nil"/>
              <w:left w:val="nil"/>
              <w:bottom w:val="single" w:sz="4" w:space="0" w:color="000000"/>
              <w:right w:val="single" w:sz="4" w:space="0" w:color="000000"/>
            </w:tcBorders>
            <w:shd w:val="clear" w:color="auto" w:fill="auto"/>
            <w:noWrap/>
            <w:vAlign w:val="bottom"/>
            <w:hideMark/>
          </w:tcPr>
          <w:p w:rsidR="00B92080" w:rsidRPr="002E2870" w:rsidRDefault="00B92080" w:rsidP="00DB5405">
            <w:pPr>
              <w:spacing w:line="276" w:lineRule="auto"/>
              <w:ind w:left="174"/>
              <w:jc w:val="right"/>
              <w:rPr>
                <w:rFonts w:ascii="Palatino Linotype" w:eastAsia="Times New Roman" w:hAnsi="Palatino Linotype"/>
                <w:sz w:val="20"/>
                <w:szCs w:val="20"/>
                <w:lang w:val="en-US" w:bidi="hi-IN"/>
              </w:rPr>
            </w:pPr>
            <w:r w:rsidRPr="002E2870">
              <w:rPr>
                <w:rFonts w:ascii="Palatino Linotype" w:eastAsia="Times New Roman" w:hAnsi="Palatino Linotype"/>
                <w:sz w:val="20"/>
                <w:szCs w:val="20"/>
                <w:lang w:val="en-US" w:bidi="hi-IN"/>
              </w:rPr>
              <w:t>21,452</w:t>
            </w:r>
          </w:p>
        </w:tc>
        <w:tc>
          <w:tcPr>
            <w:tcW w:w="1355" w:type="dxa"/>
            <w:tcBorders>
              <w:top w:val="nil"/>
              <w:left w:val="nil"/>
              <w:bottom w:val="single" w:sz="4" w:space="0" w:color="000000"/>
              <w:right w:val="single" w:sz="4" w:space="0" w:color="000000"/>
            </w:tcBorders>
            <w:shd w:val="clear" w:color="auto" w:fill="auto"/>
            <w:noWrap/>
            <w:vAlign w:val="bottom"/>
            <w:hideMark/>
          </w:tcPr>
          <w:p w:rsidR="00B92080" w:rsidRPr="002E2870" w:rsidRDefault="00B92080" w:rsidP="00DB5405">
            <w:pPr>
              <w:spacing w:line="276" w:lineRule="auto"/>
              <w:ind w:left="174"/>
              <w:jc w:val="right"/>
              <w:rPr>
                <w:rFonts w:ascii="Palatino Linotype" w:eastAsia="Times New Roman" w:hAnsi="Palatino Linotype"/>
                <w:sz w:val="20"/>
                <w:szCs w:val="20"/>
                <w:lang w:val="en-US" w:bidi="hi-IN"/>
              </w:rPr>
            </w:pPr>
            <w:r w:rsidRPr="002E2870">
              <w:rPr>
                <w:rFonts w:ascii="Palatino Linotype" w:eastAsia="Times New Roman" w:hAnsi="Palatino Linotype"/>
                <w:sz w:val="20"/>
                <w:szCs w:val="20"/>
                <w:lang w:val="en-US" w:bidi="hi-IN"/>
              </w:rPr>
              <w:t>-9.69</w:t>
            </w:r>
          </w:p>
        </w:tc>
      </w:tr>
      <w:tr w:rsidR="00B92080" w:rsidRPr="002E2870" w:rsidTr="00DB5405">
        <w:trPr>
          <w:trHeight w:val="275"/>
        </w:trPr>
        <w:tc>
          <w:tcPr>
            <w:tcW w:w="2597" w:type="dxa"/>
            <w:tcBorders>
              <w:top w:val="nil"/>
              <w:left w:val="single" w:sz="4" w:space="0" w:color="000000"/>
              <w:bottom w:val="single" w:sz="4" w:space="0" w:color="000000"/>
              <w:right w:val="single" w:sz="4" w:space="0" w:color="000000"/>
            </w:tcBorders>
            <w:shd w:val="clear" w:color="auto" w:fill="auto"/>
            <w:noWrap/>
            <w:vAlign w:val="bottom"/>
            <w:hideMark/>
          </w:tcPr>
          <w:p w:rsidR="00B92080" w:rsidRPr="002E2870" w:rsidRDefault="00B92080" w:rsidP="00DB5405">
            <w:pPr>
              <w:spacing w:line="276" w:lineRule="auto"/>
              <w:ind w:left="174"/>
              <w:rPr>
                <w:rFonts w:ascii="Palatino Linotype" w:eastAsia="Times New Roman" w:hAnsi="Palatino Linotype"/>
                <w:sz w:val="20"/>
                <w:szCs w:val="20"/>
                <w:lang w:val="en-US" w:bidi="hi-IN"/>
              </w:rPr>
            </w:pPr>
            <w:r w:rsidRPr="002E2870">
              <w:rPr>
                <w:rFonts w:ascii="Palatino Linotype" w:eastAsia="Times New Roman" w:hAnsi="Palatino Linotype"/>
                <w:sz w:val="20"/>
                <w:szCs w:val="20"/>
                <w:lang w:val="en-US" w:bidi="hi-IN"/>
              </w:rPr>
              <w:t>Nifty IT</w:t>
            </w:r>
          </w:p>
        </w:tc>
        <w:tc>
          <w:tcPr>
            <w:tcW w:w="1468" w:type="dxa"/>
            <w:tcBorders>
              <w:top w:val="nil"/>
              <w:left w:val="nil"/>
              <w:bottom w:val="single" w:sz="4" w:space="0" w:color="000000"/>
              <w:right w:val="single" w:sz="4" w:space="0" w:color="000000"/>
            </w:tcBorders>
            <w:shd w:val="clear" w:color="auto" w:fill="auto"/>
            <w:noWrap/>
            <w:vAlign w:val="bottom"/>
            <w:hideMark/>
          </w:tcPr>
          <w:p w:rsidR="00B92080" w:rsidRPr="002E2870" w:rsidRDefault="00B92080" w:rsidP="00DB5405">
            <w:pPr>
              <w:spacing w:line="276" w:lineRule="auto"/>
              <w:ind w:left="174"/>
              <w:jc w:val="right"/>
              <w:rPr>
                <w:rFonts w:ascii="Palatino Linotype" w:eastAsia="Times New Roman" w:hAnsi="Palatino Linotype"/>
                <w:sz w:val="20"/>
                <w:szCs w:val="20"/>
                <w:lang w:val="en-US" w:bidi="hi-IN"/>
              </w:rPr>
            </w:pPr>
            <w:r w:rsidRPr="002E2870">
              <w:rPr>
                <w:rFonts w:ascii="Palatino Linotype" w:eastAsia="Times New Roman" w:hAnsi="Palatino Linotype"/>
                <w:sz w:val="20"/>
                <w:szCs w:val="20"/>
                <w:lang w:val="en-US" w:bidi="hi-IN"/>
              </w:rPr>
              <w:t>17,929</w:t>
            </w:r>
          </w:p>
        </w:tc>
        <w:tc>
          <w:tcPr>
            <w:tcW w:w="1245" w:type="dxa"/>
            <w:tcBorders>
              <w:top w:val="nil"/>
              <w:left w:val="nil"/>
              <w:bottom w:val="single" w:sz="4" w:space="0" w:color="000000"/>
              <w:right w:val="single" w:sz="4" w:space="0" w:color="000000"/>
            </w:tcBorders>
            <w:shd w:val="clear" w:color="auto" w:fill="auto"/>
            <w:noWrap/>
            <w:vAlign w:val="bottom"/>
            <w:hideMark/>
          </w:tcPr>
          <w:p w:rsidR="00B92080" w:rsidRPr="002E2870" w:rsidRDefault="00B92080" w:rsidP="00DB5405">
            <w:pPr>
              <w:spacing w:line="276" w:lineRule="auto"/>
              <w:ind w:left="174"/>
              <w:jc w:val="right"/>
              <w:rPr>
                <w:rFonts w:ascii="Palatino Linotype" w:eastAsia="Times New Roman" w:hAnsi="Palatino Linotype"/>
                <w:sz w:val="20"/>
                <w:szCs w:val="20"/>
                <w:lang w:val="en-US" w:bidi="hi-IN"/>
              </w:rPr>
            </w:pPr>
            <w:r w:rsidRPr="002E2870">
              <w:rPr>
                <w:rFonts w:ascii="Palatino Linotype" w:eastAsia="Times New Roman" w:hAnsi="Palatino Linotype"/>
                <w:sz w:val="20"/>
                <w:szCs w:val="20"/>
                <w:lang w:val="en-US" w:bidi="hi-IN"/>
              </w:rPr>
              <w:t>19,951</w:t>
            </w:r>
          </w:p>
        </w:tc>
        <w:tc>
          <w:tcPr>
            <w:tcW w:w="1355" w:type="dxa"/>
            <w:tcBorders>
              <w:top w:val="nil"/>
              <w:left w:val="nil"/>
              <w:bottom w:val="single" w:sz="4" w:space="0" w:color="000000"/>
              <w:right w:val="single" w:sz="4" w:space="0" w:color="000000"/>
            </w:tcBorders>
            <w:shd w:val="clear" w:color="auto" w:fill="auto"/>
            <w:noWrap/>
            <w:vAlign w:val="bottom"/>
            <w:hideMark/>
          </w:tcPr>
          <w:p w:rsidR="00B92080" w:rsidRPr="002E2870" w:rsidRDefault="00B92080" w:rsidP="00DB5405">
            <w:pPr>
              <w:spacing w:line="276" w:lineRule="auto"/>
              <w:ind w:left="174"/>
              <w:jc w:val="right"/>
              <w:rPr>
                <w:rFonts w:ascii="Palatino Linotype" w:eastAsia="Times New Roman" w:hAnsi="Palatino Linotype"/>
                <w:sz w:val="20"/>
                <w:szCs w:val="20"/>
                <w:lang w:val="en-US" w:bidi="hi-IN"/>
              </w:rPr>
            </w:pPr>
            <w:r w:rsidRPr="002E2870">
              <w:rPr>
                <w:rFonts w:ascii="Palatino Linotype" w:eastAsia="Times New Roman" w:hAnsi="Palatino Linotype"/>
                <w:sz w:val="20"/>
                <w:szCs w:val="20"/>
                <w:lang w:val="en-US" w:bidi="hi-IN"/>
              </w:rPr>
              <w:t>11.28</w:t>
            </w:r>
          </w:p>
        </w:tc>
      </w:tr>
      <w:tr w:rsidR="00B92080" w:rsidRPr="002E2870" w:rsidTr="00DB5405">
        <w:trPr>
          <w:trHeight w:val="275"/>
        </w:trPr>
        <w:tc>
          <w:tcPr>
            <w:tcW w:w="2597" w:type="dxa"/>
            <w:tcBorders>
              <w:top w:val="nil"/>
              <w:left w:val="single" w:sz="4" w:space="0" w:color="000000"/>
              <w:bottom w:val="single" w:sz="4" w:space="0" w:color="000000"/>
              <w:right w:val="single" w:sz="4" w:space="0" w:color="000000"/>
            </w:tcBorders>
            <w:shd w:val="clear" w:color="auto" w:fill="auto"/>
            <w:noWrap/>
            <w:vAlign w:val="bottom"/>
            <w:hideMark/>
          </w:tcPr>
          <w:p w:rsidR="00B92080" w:rsidRPr="002E2870" w:rsidRDefault="00B92080" w:rsidP="00DB5405">
            <w:pPr>
              <w:spacing w:line="276" w:lineRule="auto"/>
              <w:ind w:left="174"/>
              <w:rPr>
                <w:rFonts w:ascii="Palatino Linotype" w:eastAsia="Times New Roman" w:hAnsi="Palatino Linotype"/>
                <w:sz w:val="20"/>
                <w:szCs w:val="20"/>
                <w:lang w:val="en-US" w:bidi="hi-IN"/>
              </w:rPr>
            </w:pPr>
            <w:r w:rsidRPr="002E2870">
              <w:rPr>
                <w:rFonts w:ascii="Palatino Linotype" w:eastAsia="Times New Roman" w:hAnsi="Palatino Linotype"/>
                <w:sz w:val="20"/>
                <w:szCs w:val="20"/>
                <w:lang w:val="en-US" w:bidi="hi-IN"/>
              </w:rPr>
              <w:t>BSE Healthcare</w:t>
            </w:r>
          </w:p>
        </w:tc>
        <w:tc>
          <w:tcPr>
            <w:tcW w:w="1468" w:type="dxa"/>
            <w:tcBorders>
              <w:top w:val="nil"/>
              <w:left w:val="nil"/>
              <w:bottom w:val="single" w:sz="4" w:space="0" w:color="000000"/>
              <w:right w:val="single" w:sz="4" w:space="0" w:color="000000"/>
            </w:tcBorders>
            <w:shd w:val="clear" w:color="auto" w:fill="auto"/>
            <w:noWrap/>
            <w:vAlign w:val="bottom"/>
            <w:hideMark/>
          </w:tcPr>
          <w:p w:rsidR="00B92080" w:rsidRPr="002E2870" w:rsidRDefault="00B92080" w:rsidP="00DB5405">
            <w:pPr>
              <w:spacing w:line="276" w:lineRule="auto"/>
              <w:ind w:left="174"/>
              <w:jc w:val="right"/>
              <w:rPr>
                <w:rFonts w:ascii="Palatino Linotype" w:eastAsia="Times New Roman" w:hAnsi="Palatino Linotype"/>
                <w:sz w:val="20"/>
                <w:szCs w:val="20"/>
                <w:lang w:val="en-US" w:bidi="hi-IN"/>
              </w:rPr>
            </w:pPr>
            <w:r w:rsidRPr="002E2870">
              <w:rPr>
                <w:rFonts w:ascii="Palatino Linotype" w:eastAsia="Times New Roman" w:hAnsi="Palatino Linotype"/>
                <w:sz w:val="20"/>
                <w:szCs w:val="20"/>
                <w:lang w:val="en-US" w:bidi="hi-IN"/>
              </w:rPr>
              <w:t>18,388</w:t>
            </w:r>
          </w:p>
        </w:tc>
        <w:tc>
          <w:tcPr>
            <w:tcW w:w="1245" w:type="dxa"/>
            <w:tcBorders>
              <w:top w:val="nil"/>
              <w:left w:val="nil"/>
              <w:bottom w:val="single" w:sz="4" w:space="0" w:color="000000"/>
              <w:right w:val="single" w:sz="4" w:space="0" w:color="000000"/>
            </w:tcBorders>
            <w:shd w:val="clear" w:color="auto" w:fill="auto"/>
            <w:noWrap/>
            <w:vAlign w:val="bottom"/>
            <w:hideMark/>
          </w:tcPr>
          <w:p w:rsidR="00B92080" w:rsidRPr="002E2870" w:rsidRDefault="00B92080" w:rsidP="00DB5405">
            <w:pPr>
              <w:spacing w:line="276" w:lineRule="auto"/>
              <w:ind w:left="174"/>
              <w:jc w:val="right"/>
              <w:rPr>
                <w:rFonts w:ascii="Palatino Linotype" w:eastAsia="Times New Roman" w:hAnsi="Palatino Linotype"/>
                <w:sz w:val="20"/>
                <w:szCs w:val="20"/>
                <w:lang w:val="en-US" w:bidi="hi-IN"/>
              </w:rPr>
            </w:pPr>
            <w:r w:rsidRPr="002E2870">
              <w:rPr>
                <w:rFonts w:ascii="Palatino Linotype" w:eastAsia="Times New Roman" w:hAnsi="Palatino Linotype"/>
                <w:sz w:val="20"/>
                <w:szCs w:val="20"/>
                <w:lang w:val="en-US" w:bidi="hi-IN"/>
              </w:rPr>
              <w:t>19,799</w:t>
            </w:r>
          </w:p>
        </w:tc>
        <w:tc>
          <w:tcPr>
            <w:tcW w:w="1355" w:type="dxa"/>
            <w:tcBorders>
              <w:top w:val="nil"/>
              <w:left w:val="nil"/>
              <w:bottom w:val="single" w:sz="4" w:space="0" w:color="000000"/>
              <w:right w:val="single" w:sz="4" w:space="0" w:color="000000"/>
            </w:tcBorders>
            <w:shd w:val="clear" w:color="auto" w:fill="auto"/>
            <w:noWrap/>
            <w:vAlign w:val="bottom"/>
            <w:hideMark/>
          </w:tcPr>
          <w:p w:rsidR="00B92080" w:rsidRPr="002E2870" w:rsidRDefault="00B92080" w:rsidP="00DB5405">
            <w:pPr>
              <w:spacing w:line="276" w:lineRule="auto"/>
              <w:ind w:left="174"/>
              <w:jc w:val="right"/>
              <w:rPr>
                <w:rFonts w:ascii="Palatino Linotype" w:eastAsia="Times New Roman" w:hAnsi="Palatino Linotype"/>
                <w:sz w:val="20"/>
                <w:szCs w:val="20"/>
                <w:lang w:val="en-US" w:bidi="hi-IN"/>
              </w:rPr>
            </w:pPr>
            <w:r w:rsidRPr="002E2870">
              <w:rPr>
                <w:rFonts w:ascii="Palatino Linotype" w:eastAsia="Times New Roman" w:hAnsi="Palatino Linotype"/>
                <w:sz w:val="20"/>
                <w:szCs w:val="20"/>
                <w:lang w:val="en-US" w:bidi="hi-IN"/>
              </w:rPr>
              <w:t>7.68</w:t>
            </w:r>
          </w:p>
        </w:tc>
      </w:tr>
      <w:tr w:rsidR="00B92080" w:rsidRPr="002E2870" w:rsidTr="00DB5405">
        <w:trPr>
          <w:trHeight w:val="275"/>
        </w:trPr>
        <w:tc>
          <w:tcPr>
            <w:tcW w:w="2597" w:type="dxa"/>
            <w:tcBorders>
              <w:top w:val="nil"/>
              <w:left w:val="single" w:sz="4" w:space="0" w:color="000000"/>
              <w:bottom w:val="single" w:sz="4" w:space="0" w:color="000000"/>
              <w:right w:val="single" w:sz="4" w:space="0" w:color="000000"/>
            </w:tcBorders>
            <w:shd w:val="clear" w:color="auto" w:fill="auto"/>
            <w:noWrap/>
            <w:vAlign w:val="bottom"/>
            <w:hideMark/>
          </w:tcPr>
          <w:p w:rsidR="00B92080" w:rsidRPr="002E2870" w:rsidRDefault="00B92080" w:rsidP="00DB5405">
            <w:pPr>
              <w:spacing w:line="276" w:lineRule="auto"/>
              <w:ind w:left="174"/>
              <w:rPr>
                <w:rFonts w:ascii="Palatino Linotype" w:eastAsia="Times New Roman" w:hAnsi="Palatino Linotype"/>
                <w:sz w:val="20"/>
                <w:szCs w:val="20"/>
                <w:lang w:val="en-US" w:bidi="hi-IN"/>
              </w:rPr>
            </w:pPr>
            <w:r w:rsidRPr="002E2870">
              <w:rPr>
                <w:rFonts w:ascii="Palatino Linotype" w:eastAsia="Times New Roman" w:hAnsi="Palatino Linotype"/>
                <w:sz w:val="20"/>
                <w:szCs w:val="20"/>
                <w:lang w:val="en-US" w:bidi="hi-IN"/>
              </w:rPr>
              <w:t>BSE FMCG</w:t>
            </w:r>
          </w:p>
        </w:tc>
        <w:tc>
          <w:tcPr>
            <w:tcW w:w="1468" w:type="dxa"/>
            <w:tcBorders>
              <w:top w:val="nil"/>
              <w:left w:val="nil"/>
              <w:bottom w:val="single" w:sz="4" w:space="0" w:color="000000"/>
              <w:right w:val="single" w:sz="4" w:space="0" w:color="000000"/>
            </w:tcBorders>
            <w:shd w:val="clear" w:color="auto" w:fill="auto"/>
            <w:noWrap/>
            <w:vAlign w:val="bottom"/>
            <w:hideMark/>
          </w:tcPr>
          <w:p w:rsidR="00B92080" w:rsidRPr="002E2870" w:rsidRDefault="00B92080" w:rsidP="00DB5405">
            <w:pPr>
              <w:spacing w:line="276" w:lineRule="auto"/>
              <w:ind w:left="174"/>
              <w:jc w:val="right"/>
              <w:rPr>
                <w:rFonts w:ascii="Palatino Linotype" w:eastAsia="Times New Roman" w:hAnsi="Palatino Linotype"/>
                <w:sz w:val="20"/>
                <w:szCs w:val="20"/>
                <w:lang w:val="en-US" w:bidi="hi-IN"/>
              </w:rPr>
            </w:pPr>
            <w:r w:rsidRPr="002E2870">
              <w:rPr>
                <w:rFonts w:ascii="Palatino Linotype" w:eastAsia="Times New Roman" w:hAnsi="Palatino Linotype"/>
                <w:sz w:val="20"/>
                <w:szCs w:val="20"/>
                <w:lang w:val="en-US" w:bidi="hi-IN"/>
              </w:rPr>
              <w:t>11,348</w:t>
            </w:r>
          </w:p>
        </w:tc>
        <w:tc>
          <w:tcPr>
            <w:tcW w:w="1245" w:type="dxa"/>
            <w:tcBorders>
              <w:top w:val="nil"/>
              <w:left w:val="nil"/>
              <w:bottom w:val="single" w:sz="4" w:space="0" w:color="000000"/>
              <w:right w:val="single" w:sz="4" w:space="0" w:color="000000"/>
            </w:tcBorders>
            <w:shd w:val="clear" w:color="auto" w:fill="auto"/>
            <w:noWrap/>
            <w:vAlign w:val="bottom"/>
            <w:hideMark/>
          </w:tcPr>
          <w:p w:rsidR="00B92080" w:rsidRPr="002E2870" w:rsidRDefault="00B92080" w:rsidP="00DB5405">
            <w:pPr>
              <w:spacing w:line="276" w:lineRule="auto"/>
              <w:ind w:left="174"/>
              <w:jc w:val="right"/>
              <w:rPr>
                <w:rFonts w:ascii="Palatino Linotype" w:eastAsia="Times New Roman" w:hAnsi="Palatino Linotype"/>
                <w:sz w:val="20"/>
                <w:szCs w:val="20"/>
                <w:lang w:val="en-US" w:bidi="hi-IN"/>
              </w:rPr>
            </w:pPr>
            <w:r w:rsidRPr="002E2870">
              <w:rPr>
                <w:rFonts w:ascii="Palatino Linotype" w:eastAsia="Times New Roman" w:hAnsi="Palatino Linotype"/>
                <w:sz w:val="20"/>
                <w:szCs w:val="20"/>
                <w:lang w:val="en-US" w:bidi="hi-IN"/>
              </w:rPr>
              <w:t>11,051</w:t>
            </w:r>
          </w:p>
        </w:tc>
        <w:tc>
          <w:tcPr>
            <w:tcW w:w="1355" w:type="dxa"/>
            <w:tcBorders>
              <w:top w:val="nil"/>
              <w:left w:val="nil"/>
              <w:bottom w:val="single" w:sz="4" w:space="0" w:color="000000"/>
              <w:right w:val="single" w:sz="4" w:space="0" w:color="000000"/>
            </w:tcBorders>
            <w:shd w:val="clear" w:color="auto" w:fill="auto"/>
            <w:noWrap/>
            <w:vAlign w:val="bottom"/>
            <w:hideMark/>
          </w:tcPr>
          <w:p w:rsidR="00B92080" w:rsidRPr="002E2870" w:rsidRDefault="00B92080" w:rsidP="00DB5405">
            <w:pPr>
              <w:spacing w:line="276" w:lineRule="auto"/>
              <w:ind w:left="174"/>
              <w:jc w:val="right"/>
              <w:rPr>
                <w:rFonts w:ascii="Palatino Linotype" w:eastAsia="Times New Roman" w:hAnsi="Palatino Linotype"/>
                <w:sz w:val="20"/>
                <w:szCs w:val="20"/>
                <w:lang w:val="en-US" w:bidi="hi-IN"/>
              </w:rPr>
            </w:pPr>
            <w:r w:rsidRPr="002E2870">
              <w:rPr>
                <w:rFonts w:ascii="Palatino Linotype" w:eastAsia="Times New Roman" w:hAnsi="Palatino Linotype"/>
                <w:sz w:val="20"/>
                <w:szCs w:val="20"/>
                <w:lang w:val="en-US" w:bidi="hi-IN"/>
              </w:rPr>
              <w:t>-2.62</w:t>
            </w:r>
          </w:p>
        </w:tc>
      </w:tr>
      <w:tr w:rsidR="00B92080" w:rsidRPr="002E2870" w:rsidTr="00DB5405">
        <w:trPr>
          <w:trHeight w:val="275"/>
        </w:trPr>
        <w:tc>
          <w:tcPr>
            <w:tcW w:w="4065" w:type="dxa"/>
            <w:gridSpan w:val="2"/>
            <w:tcBorders>
              <w:top w:val="single" w:sz="4" w:space="0" w:color="000000"/>
              <w:left w:val="single" w:sz="4" w:space="0" w:color="000000"/>
              <w:bottom w:val="single" w:sz="4" w:space="0" w:color="000000"/>
              <w:right w:val="nil"/>
            </w:tcBorders>
            <w:shd w:val="clear" w:color="C6E0B4" w:fill="C6E0B4"/>
            <w:noWrap/>
            <w:vAlign w:val="center"/>
            <w:hideMark/>
          </w:tcPr>
          <w:p w:rsidR="00B92080" w:rsidRPr="002E2870" w:rsidRDefault="00B92080" w:rsidP="00DB5405">
            <w:pPr>
              <w:spacing w:line="276" w:lineRule="auto"/>
              <w:rPr>
                <w:rFonts w:ascii="Palatino Linotype" w:eastAsia="Times New Roman" w:hAnsi="Palatino Linotype"/>
                <w:b/>
                <w:bCs/>
                <w:sz w:val="20"/>
                <w:szCs w:val="20"/>
                <w:lang w:val="en-US" w:bidi="hi-IN"/>
              </w:rPr>
            </w:pPr>
            <w:r w:rsidRPr="002E2870">
              <w:rPr>
                <w:rFonts w:ascii="Palatino Linotype" w:eastAsia="Times New Roman" w:hAnsi="Palatino Linotype"/>
                <w:b/>
                <w:bCs/>
                <w:sz w:val="20"/>
                <w:szCs w:val="20"/>
                <w:lang w:val="en-US" w:bidi="hi-IN"/>
              </w:rPr>
              <w:t>Market Capitalisation (</w:t>
            </w:r>
            <w:r w:rsidRPr="002E2870">
              <w:rPr>
                <w:rFonts w:ascii="Times New Roman" w:eastAsia="Times New Roman" w:hAnsi="Times New Roman"/>
                <w:b/>
                <w:bCs/>
                <w:sz w:val="20"/>
                <w:szCs w:val="20"/>
                <w:lang w:val="en-US" w:bidi="hi-IN"/>
              </w:rPr>
              <w:t>₹</w:t>
            </w:r>
            <w:r w:rsidRPr="002E2870">
              <w:rPr>
                <w:rFonts w:ascii="Palatino Linotype" w:eastAsia="Times New Roman" w:hAnsi="Palatino Linotype"/>
                <w:b/>
                <w:bCs/>
                <w:sz w:val="20"/>
                <w:szCs w:val="20"/>
                <w:lang w:val="en-US" w:bidi="hi-IN"/>
              </w:rPr>
              <w:t xml:space="preserve"> crore)</w:t>
            </w:r>
          </w:p>
        </w:tc>
        <w:tc>
          <w:tcPr>
            <w:tcW w:w="1245" w:type="dxa"/>
            <w:tcBorders>
              <w:top w:val="nil"/>
              <w:left w:val="nil"/>
              <w:bottom w:val="single" w:sz="4" w:space="0" w:color="000000"/>
              <w:right w:val="nil"/>
            </w:tcBorders>
            <w:shd w:val="clear" w:color="C6E0B4" w:fill="C6E0B4"/>
            <w:noWrap/>
            <w:vAlign w:val="center"/>
            <w:hideMark/>
          </w:tcPr>
          <w:p w:rsidR="00B92080" w:rsidRPr="002E2870" w:rsidRDefault="00B92080" w:rsidP="00DB5405">
            <w:pPr>
              <w:spacing w:line="276" w:lineRule="auto"/>
              <w:rPr>
                <w:rFonts w:ascii="Palatino Linotype" w:eastAsia="Times New Roman" w:hAnsi="Palatino Linotype"/>
                <w:b/>
                <w:bCs/>
                <w:sz w:val="20"/>
                <w:szCs w:val="20"/>
                <w:lang w:val="en-US" w:bidi="hi-IN"/>
              </w:rPr>
            </w:pPr>
            <w:r w:rsidRPr="002E2870">
              <w:rPr>
                <w:rFonts w:ascii="Palatino Linotype" w:eastAsia="Times New Roman" w:hAnsi="Palatino Linotype"/>
                <w:b/>
                <w:bCs/>
                <w:sz w:val="20"/>
                <w:szCs w:val="20"/>
                <w:lang w:val="en-US" w:bidi="hi-IN"/>
              </w:rPr>
              <w:t> </w:t>
            </w:r>
          </w:p>
        </w:tc>
        <w:tc>
          <w:tcPr>
            <w:tcW w:w="1355" w:type="dxa"/>
            <w:tcBorders>
              <w:top w:val="nil"/>
              <w:left w:val="nil"/>
              <w:bottom w:val="single" w:sz="4" w:space="0" w:color="000000"/>
              <w:right w:val="single" w:sz="4" w:space="0" w:color="000000"/>
            </w:tcBorders>
            <w:shd w:val="clear" w:color="C6E0B4" w:fill="C6E0B4"/>
            <w:noWrap/>
            <w:vAlign w:val="center"/>
            <w:hideMark/>
          </w:tcPr>
          <w:p w:rsidR="00B92080" w:rsidRPr="002E2870" w:rsidRDefault="00B92080" w:rsidP="00DB5405">
            <w:pPr>
              <w:spacing w:line="276" w:lineRule="auto"/>
              <w:rPr>
                <w:rFonts w:ascii="Palatino Linotype" w:eastAsia="Times New Roman" w:hAnsi="Palatino Linotype"/>
                <w:b/>
                <w:bCs/>
                <w:sz w:val="20"/>
                <w:szCs w:val="20"/>
                <w:lang w:val="en-US" w:bidi="hi-IN"/>
              </w:rPr>
            </w:pPr>
            <w:r w:rsidRPr="002E2870">
              <w:rPr>
                <w:rFonts w:ascii="Palatino Linotype" w:eastAsia="Times New Roman" w:hAnsi="Palatino Linotype"/>
                <w:b/>
                <w:bCs/>
                <w:sz w:val="20"/>
                <w:szCs w:val="20"/>
                <w:lang w:val="en-US" w:bidi="hi-IN"/>
              </w:rPr>
              <w:t> </w:t>
            </w:r>
          </w:p>
        </w:tc>
      </w:tr>
      <w:tr w:rsidR="00B92080" w:rsidRPr="002E2870" w:rsidTr="00DB5405">
        <w:trPr>
          <w:trHeight w:val="275"/>
        </w:trPr>
        <w:tc>
          <w:tcPr>
            <w:tcW w:w="2597"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B92080" w:rsidRPr="002E2870" w:rsidRDefault="00B92080" w:rsidP="00DB5405">
            <w:pPr>
              <w:spacing w:line="276" w:lineRule="auto"/>
              <w:ind w:left="174"/>
              <w:rPr>
                <w:rFonts w:ascii="Palatino Linotype" w:eastAsia="Times New Roman" w:hAnsi="Palatino Linotype"/>
                <w:sz w:val="20"/>
                <w:szCs w:val="20"/>
                <w:lang w:val="en-US" w:bidi="hi-IN"/>
              </w:rPr>
            </w:pPr>
            <w:r w:rsidRPr="002E2870">
              <w:rPr>
                <w:rFonts w:ascii="Palatino Linotype" w:eastAsia="Times New Roman" w:hAnsi="Palatino Linotype"/>
                <w:sz w:val="20"/>
                <w:szCs w:val="20"/>
                <w:lang w:val="en-US" w:bidi="hi-IN"/>
              </w:rPr>
              <w:t>BSE</w:t>
            </w:r>
          </w:p>
        </w:tc>
        <w:tc>
          <w:tcPr>
            <w:tcW w:w="1468" w:type="dxa"/>
            <w:tcBorders>
              <w:top w:val="single" w:sz="4" w:space="0" w:color="000000"/>
              <w:left w:val="nil"/>
              <w:bottom w:val="single" w:sz="4" w:space="0" w:color="000000"/>
              <w:right w:val="single" w:sz="4" w:space="0" w:color="000000"/>
            </w:tcBorders>
            <w:shd w:val="clear" w:color="FFFFFF" w:fill="FFFFFF"/>
            <w:noWrap/>
            <w:vAlign w:val="bottom"/>
            <w:hideMark/>
          </w:tcPr>
          <w:p w:rsidR="00B92080" w:rsidRPr="002E2870" w:rsidRDefault="00B92080" w:rsidP="00DB5405">
            <w:pPr>
              <w:spacing w:line="276" w:lineRule="auto"/>
              <w:ind w:left="174"/>
              <w:jc w:val="right"/>
              <w:rPr>
                <w:rFonts w:ascii="Palatino Linotype" w:eastAsia="Times New Roman" w:hAnsi="Palatino Linotype"/>
                <w:sz w:val="20"/>
                <w:szCs w:val="20"/>
                <w:lang w:val="en-US" w:bidi="hi-IN"/>
              </w:rPr>
            </w:pPr>
            <w:r w:rsidRPr="002E2870">
              <w:rPr>
                <w:rFonts w:ascii="Palatino Linotype" w:eastAsia="Times New Roman" w:hAnsi="Palatino Linotype"/>
                <w:sz w:val="20"/>
                <w:szCs w:val="20"/>
                <w:lang w:val="en-US" w:bidi="hi-IN"/>
              </w:rPr>
              <w:t>1,53,76,303</w:t>
            </w:r>
          </w:p>
        </w:tc>
        <w:tc>
          <w:tcPr>
            <w:tcW w:w="1245" w:type="dxa"/>
            <w:tcBorders>
              <w:top w:val="single" w:sz="4" w:space="0" w:color="000000"/>
              <w:left w:val="nil"/>
              <w:bottom w:val="single" w:sz="4" w:space="0" w:color="000000"/>
              <w:right w:val="single" w:sz="4" w:space="0" w:color="000000"/>
            </w:tcBorders>
            <w:shd w:val="clear" w:color="FFFFFF" w:fill="FFFFFF"/>
            <w:noWrap/>
            <w:vAlign w:val="bottom"/>
            <w:hideMark/>
          </w:tcPr>
          <w:p w:rsidR="00B92080" w:rsidRPr="002E2870" w:rsidRDefault="00B92080" w:rsidP="00DB5405">
            <w:pPr>
              <w:spacing w:line="276" w:lineRule="auto"/>
              <w:ind w:left="174"/>
              <w:jc w:val="right"/>
              <w:rPr>
                <w:rFonts w:ascii="Palatino Linotype" w:eastAsia="Times New Roman" w:hAnsi="Palatino Linotype"/>
                <w:sz w:val="20"/>
                <w:szCs w:val="20"/>
                <w:lang w:val="en-US" w:bidi="hi-IN"/>
              </w:rPr>
            </w:pPr>
            <w:r w:rsidRPr="002E2870">
              <w:rPr>
                <w:rFonts w:ascii="Palatino Linotype" w:eastAsia="Times New Roman" w:hAnsi="Palatino Linotype"/>
                <w:sz w:val="20"/>
                <w:szCs w:val="20"/>
                <w:lang w:val="en-US" w:bidi="hi-IN"/>
              </w:rPr>
              <w:t>1,55,24,267</w:t>
            </w:r>
          </w:p>
        </w:tc>
        <w:tc>
          <w:tcPr>
            <w:tcW w:w="1355" w:type="dxa"/>
            <w:tcBorders>
              <w:top w:val="single" w:sz="4" w:space="0" w:color="000000"/>
              <w:left w:val="nil"/>
              <w:bottom w:val="single" w:sz="4" w:space="0" w:color="000000"/>
              <w:right w:val="single" w:sz="4" w:space="0" w:color="000000"/>
            </w:tcBorders>
            <w:shd w:val="clear" w:color="auto" w:fill="auto"/>
            <w:noWrap/>
            <w:vAlign w:val="bottom"/>
            <w:hideMark/>
          </w:tcPr>
          <w:p w:rsidR="00B92080" w:rsidRPr="002E2870" w:rsidRDefault="00B92080" w:rsidP="00DB5405">
            <w:pPr>
              <w:spacing w:line="276" w:lineRule="auto"/>
              <w:ind w:left="174"/>
              <w:jc w:val="right"/>
              <w:rPr>
                <w:rFonts w:ascii="Palatino Linotype" w:eastAsia="Times New Roman" w:hAnsi="Palatino Linotype"/>
                <w:sz w:val="20"/>
                <w:szCs w:val="20"/>
                <w:lang w:val="en-US" w:bidi="hi-IN"/>
              </w:rPr>
            </w:pPr>
            <w:r w:rsidRPr="002E2870">
              <w:rPr>
                <w:rFonts w:ascii="Palatino Linotype" w:eastAsia="Times New Roman" w:hAnsi="Palatino Linotype"/>
                <w:sz w:val="20"/>
                <w:szCs w:val="20"/>
                <w:lang w:val="en-US" w:bidi="hi-IN"/>
              </w:rPr>
              <w:t>0.96</w:t>
            </w:r>
          </w:p>
        </w:tc>
      </w:tr>
      <w:tr w:rsidR="00B92080" w:rsidRPr="002E2870" w:rsidTr="00DB5405">
        <w:trPr>
          <w:trHeight w:val="275"/>
        </w:trPr>
        <w:tc>
          <w:tcPr>
            <w:tcW w:w="2597" w:type="dxa"/>
            <w:tcBorders>
              <w:top w:val="nil"/>
              <w:left w:val="single" w:sz="4" w:space="0" w:color="000000"/>
              <w:bottom w:val="single" w:sz="4" w:space="0" w:color="000000"/>
              <w:right w:val="single" w:sz="4" w:space="0" w:color="000000"/>
            </w:tcBorders>
            <w:shd w:val="clear" w:color="auto" w:fill="auto"/>
            <w:noWrap/>
            <w:vAlign w:val="bottom"/>
            <w:hideMark/>
          </w:tcPr>
          <w:p w:rsidR="00B92080" w:rsidRPr="002E2870" w:rsidRDefault="00B92080" w:rsidP="00DB5405">
            <w:pPr>
              <w:spacing w:line="276" w:lineRule="auto"/>
              <w:ind w:left="174"/>
              <w:rPr>
                <w:rFonts w:ascii="Palatino Linotype" w:eastAsia="Times New Roman" w:hAnsi="Palatino Linotype"/>
                <w:sz w:val="20"/>
                <w:szCs w:val="20"/>
                <w:lang w:val="en-US" w:bidi="hi-IN"/>
              </w:rPr>
            </w:pPr>
            <w:r w:rsidRPr="002E2870">
              <w:rPr>
                <w:rFonts w:ascii="Palatino Linotype" w:eastAsia="Times New Roman" w:hAnsi="Palatino Linotype"/>
                <w:sz w:val="20"/>
                <w:szCs w:val="20"/>
                <w:lang w:val="en-US" w:bidi="hi-IN"/>
              </w:rPr>
              <w:t>NSE</w:t>
            </w:r>
          </w:p>
        </w:tc>
        <w:tc>
          <w:tcPr>
            <w:tcW w:w="1468" w:type="dxa"/>
            <w:tcBorders>
              <w:top w:val="nil"/>
              <w:left w:val="nil"/>
              <w:bottom w:val="single" w:sz="4" w:space="0" w:color="000000"/>
              <w:right w:val="single" w:sz="4" w:space="0" w:color="000000"/>
            </w:tcBorders>
            <w:shd w:val="clear" w:color="FFFFFF" w:fill="FFFFFF"/>
            <w:noWrap/>
            <w:vAlign w:val="bottom"/>
            <w:hideMark/>
          </w:tcPr>
          <w:p w:rsidR="00B92080" w:rsidRPr="002E2870" w:rsidRDefault="00B92080" w:rsidP="00DB5405">
            <w:pPr>
              <w:spacing w:line="276" w:lineRule="auto"/>
              <w:ind w:left="174"/>
              <w:jc w:val="right"/>
              <w:rPr>
                <w:rFonts w:ascii="Palatino Linotype" w:eastAsia="Times New Roman" w:hAnsi="Palatino Linotype"/>
                <w:sz w:val="20"/>
                <w:szCs w:val="20"/>
                <w:lang w:val="en-US" w:bidi="hi-IN"/>
              </w:rPr>
            </w:pPr>
            <w:r w:rsidRPr="002E2870">
              <w:rPr>
                <w:rFonts w:ascii="Palatino Linotype" w:eastAsia="Times New Roman" w:hAnsi="Palatino Linotype"/>
                <w:sz w:val="20"/>
                <w:szCs w:val="20"/>
                <w:lang w:val="en-US" w:bidi="hi-IN"/>
              </w:rPr>
              <w:t>1,52,34,207</w:t>
            </w:r>
          </w:p>
        </w:tc>
        <w:tc>
          <w:tcPr>
            <w:tcW w:w="1245" w:type="dxa"/>
            <w:tcBorders>
              <w:top w:val="nil"/>
              <w:left w:val="nil"/>
              <w:bottom w:val="single" w:sz="4" w:space="0" w:color="000000"/>
              <w:right w:val="single" w:sz="4" w:space="0" w:color="000000"/>
            </w:tcBorders>
            <w:shd w:val="clear" w:color="FFFFFF" w:fill="FFFFFF"/>
            <w:noWrap/>
            <w:vAlign w:val="bottom"/>
            <w:hideMark/>
          </w:tcPr>
          <w:p w:rsidR="00B92080" w:rsidRPr="002E2870" w:rsidRDefault="00B92080" w:rsidP="00DB5405">
            <w:pPr>
              <w:spacing w:line="276" w:lineRule="auto"/>
              <w:ind w:left="174"/>
              <w:jc w:val="right"/>
              <w:rPr>
                <w:rFonts w:ascii="Palatino Linotype" w:eastAsia="Times New Roman" w:hAnsi="Palatino Linotype"/>
                <w:sz w:val="20"/>
                <w:szCs w:val="20"/>
                <w:lang w:val="en-US" w:bidi="hi-IN"/>
              </w:rPr>
            </w:pPr>
            <w:r w:rsidRPr="002E2870">
              <w:rPr>
                <w:rFonts w:ascii="Palatino Linotype" w:eastAsia="Times New Roman" w:hAnsi="Palatino Linotype"/>
                <w:sz w:val="20"/>
                <w:szCs w:val="20"/>
                <w:lang w:val="en-US" w:bidi="hi-IN"/>
              </w:rPr>
              <w:t>1,53,04,722</w:t>
            </w:r>
          </w:p>
        </w:tc>
        <w:tc>
          <w:tcPr>
            <w:tcW w:w="1355" w:type="dxa"/>
            <w:tcBorders>
              <w:top w:val="nil"/>
              <w:left w:val="nil"/>
              <w:bottom w:val="single" w:sz="4" w:space="0" w:color="000000"/>
              <w:right w:val="single" w:sz="4" w:space="0" w:color="000000"/>
            </w:tcBorders>
            <w:shd w:val="clear" w:color="auto" w:fill="auto"/>
            <w:noWrap/>
            <w:vAlign w:val="bottom"/>
            <w:hideMark/>
          </w:tcPr>
          <w:p w:rsidR="00B92080" w:rsidRPr="002E2870" w:rsidRDefault="00B92080" w:rsidP="00DB5405">
            <w:pPr>
              <w:spacing w:line="276" w:lineRule="auto"/>
              <w:ind w:left="174"/>
              <w:jc w:val="right"/>
              <w:rPr>
                <w:rFonts w:ascii="Palatino Linotype" w:eastAsia="Times New Roman" w:hAnsi="Palatino Linotype"/>
                <w:sz w:val="20"/>
                <w:szCs w:val="20"/>
                <w:lang w:val="en-US" w:bidi="hi-IN"/>
              </w:rPr>
            </w:pPr>
            <w:r w:rsidRPr="002E2870">
              <w:rPr>
                <w:rFonts w:ascii="Palatino Linotype" w:eastAsia="Times New Roman" w:hAnsi="Palatino Linotype"/>
                <w:sz w:val="20"/>
                <w:szCs w:val="20"/>
                <w:lang w:val="en-US" w:bidi="hi-IN"/>
              </w:rPr>
              <w:t>0.46</w:t>
            </w:r>
          </w:p>
        </w:tc>
      </w:tr>
      <w:tr w:rsidR="00B92080" w:rsidRPr="002E2870" w:rsidTr="00DB5405">
        <w:trPr>
          <w:trHeight w:val="275"/>
        </w:trPr>
        <w:tc>
          <w:tcPr>
            <w:tcW w:w="2597" w:type="dxa"/>
            <w:tcBorders>
              <w:top w:val="nil"/>
              <w:left w:val="single" w:sz="4" w:space="0" w:color="000000"/>
              <w:bottom w:val="single" w:sz="4" w:space="0" w:color="000000"/>
              <w:right w:val="nil"/>
            </w:tcBorders>
            <w:shd w:val="clear" w:color="C6E0B4" w:fill="C6E0B4"/>
            <w:noWrap/>
            <w:vAlign w:val="center"/>
            <w:hideMark/>
          </w:tcPr>
          <w:p w:rsidR="00B92080" w:rsidRPr="002E2870" w:rsidRDefault="00B92080" w:rsidP="00DB5405">
            <w:pPr>
              <w:spacing w:line="276" w:lineRule="auto"/>
              <w:rPr>
                <w:rFonts w:ascii="Palatino Linotype" w:eastAsia="Times New Roman" w:hAnsi="Palatino Linotype"/>
                <w:b/>
                <w:bCs/>
                <w:sz w:val="20"/>
                <w:szCs w:val="20"/>
                <w:lang w:val="en-US" w:bidi="hi-IN"/>
              </w:rPr>
            </w:pPr>
            <w:r w:rsidRPr="002E2870">
              <w:rPr>
                <w:rFonts w:ascii="Palatino Linotype" w:eastAsia="Times New Roman" w:hAnsi="Palatino Linotype"/>
                <w:b/>
                <w:bCs/>
                <w:sz w:val="20"/>
                <w:szCs w:val="20"/>
                <w:lang w:val="en-US" w:bidi="hi-IN"/>
              </w:rPr>
              <w:t>P/E Ratio</w:t>
            </w:r>
          </w:p>
        </w:tc>
        <w:tc>
          <w:tcPr>
            <w:tcW w:w="1468" w:type="dxa"/>
            <w:tcBorders>
              <w:top w:val="nil"/>
              <w:left w:val="nil"/>
              <w:bottom w:val="single" w:sz="4" w:space="0" w:color="000000"/>
              <w:right w:val="nil"/>
            </w:tcBorders>
            <w:shd w:val="clear" w:color="C6E0B4" w:fill="C6E0B4"/>
            <w:noWrap/>
            <w:vAlign w:val="center"/>
            <w:hideMark/>
          </w:tcPr>
          <w:p w:rsidR="00B92080" w:rsidRPr="002E2870" w:rsidRDefault="00B92080" w:rsidP="00DB5405">
            <w:pPr>
              <w:spacing w:line="276" w:lineRule="auto"/>
              <w:rPr>
                <w:rFonts w:ascii="Palatino Linotype" w:eastAsia="Times New Roman" w:hAnsi="Palatino Linotype"/>
                <w:b/>
                <w:bCs/>
                <w:sz w:val="20"/>
                <w:szCs w:val="20"/>
                <w:lang w:val="en-US" w:bidi="hi-IN"/>
              </w:rPr>
            </w:pPr>
            <w:r w:rsidRPr="002E2870">
              <w:rPr>
                <w:rFonts w:ascii="Palatino Linotype" w:eastAsia="Times New Roman" w:hAnsi="Palatino Linotype"/>
                <w:b/>
                <w:bCs/>
                <w:sz w:val="20"/>
                <w:szCs w:val="20"/>
                <w:lang w:val="en-US" w:bidi="hi-IN"/>
              </w:rPr>
              <w:t> </w:t>
            </w:r>
          </w:p>
        </w:tc>
        <w:tc>
          <w:tcPr>
            <w:tcW w:w="1245" w:type="dxa"/>
            <w:tcBorders>
              <w:top w:val="nil"/>
              <w:left w:val="nil"/>
              <w:bottom w:val="single" w:sz="4" w:space="0" w:color="000000"/>
              <w:right w:val="nil"/>
            </w:tcBorders>
            <w:shd w:val="clear" w:color="C6E0B4" w:fill="C6E0B4"/>
            <w:noWrap/>
            <w:vAlign w:val="center"/>
            <w:hideMark/>
          </w:tcPr>
          <w:p w:rsidR="00B92080" w:rsidRPr="002E2870" w:rsidRDefault="00B92080" w:rsidP="00DB5405">
            <w:pPr>
              <w:spacing w:line="276" w:lineRule="auto"/>
              <w:rPr>
                <w:rFonts w:ascii="Palatino Linotype" w:eastAsia="Times New Roman" w:hAnsi="Palatino Linotype"/>
                <w:b/>
                <w:bCs/>
                <w:sz w:val="20"/>
                <w:szCs w:val="20"/>
                <w:lang w:val="en-US" w:bidi="hi-IN"/>
              </w:rPr>
            </w:pPr>
            <w:r w:rsidRPr="002E2870">
              <w:rPr>
                <w:rFonts w:ascii="Palatino Linotype" w:eastAsia="Times New Roman" w:hAnsi="Palatino Linotype"/>
                <w:b/>
                <w:bCs/>
                <w:sz w:val="20"/>
                <w:szCs w:val="20"/>
                <w:lang w:val="en-US" w:bidi="hi-IN"/>
              </w:rPr>
              <w:t> </w:t>
            </w:r>
          </w:p>
        </w:tc>
        <w:tc>
          <w:tcPr>
            <w:tcW w:w="1355" w:type="dxa"/>
            <w:tcBorders>
              <w:top w:val="nil"/>
              <w:left w:val="nil"/>
              <w:bottom w:val="single" w:sz="4" w:space="0" w:color="000000"/>
              <w:right w:val="single" w:sz="4" w:space="0" w:color="000000"/>
            </w:tcBorders>
            <w:shd w:val="clear" w:color="C6E0B4" w:fill="C6E0B4"/>
            <w:noWrap/>
            <w:vAlign w:val="center"/>
            <w:hideMark/>
          </w:tcPr>
          <w:p w:rsidR="00B92080" w:rsidRPr="002E2870" w:rsidRDefault="00B92080" w:rsidP="00DB5405">
            <w:pPr>
              <w:spacing w:line="276" w:lineRule="auto"/>
              <w:rPr>
                <w:rFonts w:ascii="Palatino Linotype" w:eastAsia="Times New Roman" w:hAnsi="Palatino Linotype"/>
                <w:b/>
                <w:bCs/>
                <w:sz w:val="20"/>
                <w:szCs w:val="20"/>
                <w:lang w:val="en-US" w:bidi="hi-IN"/>
              </w:rPr>
            </w:pPr>
            <w:r w:rsidRPr="002E2870">
              <w:rPr>
                <w:rFonts w:ascii="Palatino Linotype" w:eastAsia="Times New Roman" w:hAnsi="Palatino Linotype"/>
                <w:b/>
                <w:bCs/>
                <w:sz w:val="20"/>
                <w:szCs w:val="20"/>
                <w:lang w:val="en-US" w:bidi="hi-IN"/>
              </w:rPr>
              <w:t> </w:t>
            </w:r>
          </w:p>
        </w:tc>
      </w:tr>
      <w:tr w:rsidR="00B92080" w:rsidRPr="002E2870" w:rsidTr="00DB5405">
        <w:trPr>
          <w:trHeight w:val="275"/>
        </w:trPr>
        <w:tc>
          <w:tcPr>
            <w:tcW w:w="2597" w:type="dxa"/>
            <w:tcBorders>
              <w:top w:val="nil"/>
              <w:left w:val="single" w:sz="4" w:space="0" w:color="000000"/>
              <w:bottom w:val="single" w:sz="4" w:space="0" w:color="000000"/>
              <w:right w:val="single" w:sz="4" w:space="0" w:color="000000"/>
            </w:tcBorders>
            <w:shd w:val="clear" w:color="auto" w:fill="auto"/>
            <w:noWrap/>
          </w:tcPr>
          <w:p w:rsidR="00B92080" w:rsidRPr="002E2870" w:rsidRDefault="00B92080" w:rsidP="00DB5405">
            <w:pPr>
              <w:spacing w:line="276" w:lineRule="auto"/>
              <w:ind w:left="174"/>
              <w:rPr>
                <w:rFonts w:ascii="Palatino Linotype" w:eastAsia="Times New Roman" w:hAnsi="Palatino Linotype"/>
                <w:sz w:val="20"/>
                <w:szCs w:val="20"/>
                <w:lang w:val="en-US" w:bidi="hi-IN"/>
              </w:rPr>
            </w:pPr>
            <w:r w:rsidRPr="002E2870">
              <w:rPr>
                <w:rFonts w:ascii="Palatino Linotype" w:eastAsia="Times New Roman" w:hAnsi="Palatino Linotype"/>
                <w:sz w:val="20"/>
                <w:szCs w:val="20"/>
                <w:lang w:val="en-US" w:bidi="hi-IN"/>
              </w:rPr>
              <w:t>Sensex</w:t>
            </w:r>
          </w:p>
        </w:tc>
        <w:tc>
          <w:tcPr>
            <w:tcW w:w="1468" w:type="dxa"/>
            <w:tcBorders>
              <w:top w:val="nil"/>
              <w:left w:val="nil"/>
              <w:bottom w:val="single" w:sz="4" w:space="0" w:color="000000"/>
              <w:right w:val="single" w:sz="4" w:space="0" w:color="000000"/>
            </w:tcBorders>
            <w:shd w:val="clear" w:color="auto" w:fill="auto"/>
            <w:noWrap/>
          </w:tcPr>
          <w:p w:rsidR="00B92080" w:rsidRPr="002E2870" w:rsidRDefault="00B92080" w:rsidP="00DB5405">
            <w:pPr>
              <w:spacing w:line="276" w:lineRule="auto"/>
              <w:jc w:val="right"/>
              <w:rPr>
                <w:rFonts w:ascii="Palatino Linotype" w:eastAsia="Times New Roman" w:hAnsi="Palatino Linotype"/>
                <w:sz w:val="20"/>
                <w:szCs w:val="20"/>
                <w:lang w:val="en-US" w:bidi="hi-IN"/>
              </w:rPr>
            </w:pPr>
            <w:r w:rsidRPr="002E2870">
              <w:rPr>
                <w:rFonts w:ascii="Palatino Linotype" w:eastAsia="Times New Roman" w:hAnsi="Palatino Linotype"/>
                <w:sz w:val="20"/>
                <w:szCs w:val="20"/>
                <w:lang w:val="en-US" w:bidi="hi-IN"/>
              </w:rPr>
              <w:t xml:space="preserve"> 28.09 </w:t>
            </w:r>
          </w:p>
        </w:tc>
        <w:tc>
          <w:tcPr>
            <w:tcW w:w="1245" w:type="dxa"/>
            <w:tcBorders>
              <w:top w:val="nil"/>
              <w:left w:val="nil"/>
              <w:bottom w:val="single" w:sz="4" w:space="0" w:color="000000"/>
              <w:right w:val="single" w:sz="4" w:space="0" w:color="000000"/>
            </w:tcBorders>
            <w:shd w:val="clear" w:color="auto" w:fill="auto"/>
            <w:noWrap/>
          </w:tcPr>
          <w:p w:rsidR="00B92080" w:rsidRPr="002E2870" w:rsidRDefault="00B92080" w:rsidP="00DB5405">
            <w:pPr>
              <w:spacing w:line="276" w:lineRule="auto"/>
              <w:jc w:val="right"/>
              <w:rPr>
                <w:rFonts w:ascii="Palatino Linotype" w:eastAsia="Times New Roman" w:hAnsi="Palatino Linotype"/>
                <w:sz w:val="20"/>
                <w:szCs w:val="20"/>
                <w:lang w:val="en-US" w:bidi="hi-IN"/>
              </w:rPr>
            </w:pPr>
            <w:r w:rsidRPr="002E2870">
              <w:rPr>
                <w:rFonts w:ascii="Palatino Linotype" w:eastAsia="Times New Roman" w:hAnsi="Palatino Linotype"/>
                <w:sz w:val="20"/>
                <w:szCs w:val="20"/>
                <w:lang w:val="en-US" w:bidi="hi-IN"/>
              </w:rPr>
              <w:t xml:space="preserve"> 29.30 </w:t>
            </w:r>
          </w:p>
        </w:tc>
        <w:tc>
          <w:tcPr>
            <w:tcW w:w="1355" w:type="dxa"/>
            <w:tcBorders>
              <w:top w:val="nil"/>
              <w:left w:val="nil"/>
              <w:bottom w:val="single" w:sz="4" w:space="0" w:color="000000"/>
              <w:right w:val="single" w:sz="4" w:space="0" w:color="000000"/>
            </w:tcBorders>
            <w:shd w:val="clear" w:color="auto" w:fill="auto"/>
            <w:noWrap/>
          </w:tcPr>
          <w:p w:rsidR="00B92080" w:rsidRPr="002E2870" w:rsidRDefault="00B92080" w:rsidP="00DB5405">
            <w:pPr>
              <w:spacing w:line="276" w:lineRule="auto"/>
              <w:jc w:val="right"/>
              <w:rPr>
                <w:rFonts w:ascii="Palatino Linotype" w:eastAsia="Times New Roman" w:hAnsi="Palatino Linotype"/>
                <w:sz w:val="20"/>
                <w:szCs w:val="20"/>
                <w:lang w:val="en-US" w:bidi="hi-IN"/>
              </w:rPr>
            </w:pPr>
            <w:r w:rsidRPr="002E2870">
              <w:rPr>
                <w:rFonts w:ascii="Palatino Linotype" w:eastAsia="Times New Roman" w:hAnsi="Palatino Linotype"/>
                <w:sz w:val="20"/>
                <w:szCs w:val="20"/>
                <w:lang w:val="en-US" w:bidi="hi-IN"/>
              </w:rPr>
              <w:t xml:space="preserve">4.31 </w:t>
            </w:r>
          </w:p>
        </w:tc>
      </w:tr>
      <w:tr w:rsidR="00B92080" w:rsidRPr="002E2870" w:rsidTr="00DB5405">
        <w:trPr>
          <w:trHeight w:val="275"/>
        </w:trPr>
        <w:tc>
          <w:tcPr>
            <w:tcW w:w="2597" w:type="dxa"/>
            <w:tcBorders>
              <w:top w:val="nil"/>
              <w:left w:val="single" w:sz="4" w:space="0" w:color="000000"/>
              <w:bottom w:val="single" w:sz="4" w:space="0" w:color="000000"/>
              <w:right w:val="single" w:sz="4" w:space="0" w:color="000000"/>
            </w:tcBorders>
            <w:shd w:val="clear" w:color="auto" w:fill="auto"/>
            <w:noWrap/>
          </w:tcPr>
          <w:p w:rsidR="00B92080" w:rsidRPr="002E2870" w:rsidRDefault="00B92080" w:rsidP="00DB5405">
            <w:pPr>
              <w:spacing w:line="276" w:lineRule="auto"/>
              <w:ind w:left="174"/>
              <w:rPr>
                <w:rFonts w:ascii="Palatino Linotype" w:eastAsia="Times New Roman" w:hAnsi="Palatino Linotype"/>
                <w:sz w:val="20"/>
                <w:szCs w:val="20"/>
                <w:lang w:val="en-US" w:bidi="hi-IN"/>
              </w:rPr>
            </w:pPr>
            <w:r w:rsidRPr="002E2870">
              <w:rPr>
                <w:rFonts w:ascii="Palatino Linotype" w:eastAsia="Times New Roman" w:hAnsi="Palatino Linotype"/>
                <w:sz w:val="20"/>
                <w:szCs w:val="20"/>
                <w:lang w:val="en-US" w:bidi="hi-IN"/>
              </w:rPr>
              <w:t>Nifty 50</w:t>
            </w:r>
          </w:p>
        </w:tc>
        <w:tc>
          <w:tcPr>
            <w:tcW w:w="1468" w:type="dxa"/>
            <w:tcBorders>
              <w:top w:val="nil"/>
              <w:left w:val="nil"/>
              <w:bottom w:val="single" w:sz="4" w:space="0" w:color="000000"/>
              <w:right w:val="single" w:sz="4" w:space="0" w:color="000000"/>
            </w:tcBorders>
            <w:shd w:val="clear" w:color="auto" w:fill="auto"/>
            <w:noWrap/>
          </w:tcPr>
          <w:p w:rsidR="00B92080" w:rsidRPr="002E2870" w:rsidRDefault="00B92080" w:rsidP="00DB5405">
            <w:pPr>
              <w:spacing w:line="276" w:lineRule="auto"/>
              <w:jc w:val="right"/>
              <w:rPr>
                <w:rFonts w:ascii="Palatino Linotype" w:eastAsia="Times New Roman" w:hAnsi="Palatino Linotype"/>
                <w:sz w:val="20"/>
                <w:szCs w:val="20"/>
                <w:lang w:val="en-US" w:bidi="hi-IN"/>
              </w:rPr>
            </w:pPr>
            <w:r w:rsidRPr="002E2870">
              <w:rPr>
                <w:rFonts w:ascii="Palatino Linotype" w:eastAsia="Times New Roman" w:hAnsi="Palatino Linotype"/>
                <w:sz w:val="20"/>
                <w:szCs w:val="20"/>
                <w:lang w:val="en-US" w:bidi="hi-IN"/>
              </w:rPr>
              <w:t xml:space="preserve"> 31.59 </w:t>
            </w:r>
          </w:p>
        </w:tc>
        <w:tc>
          <w:tcPr>
            <w:tcW w:w="1245" w:type="dxa"/>
            <w:tcBorders>
              <w:top w:val="nil"/>
              <w:left w:val="nil"/>
              <w:bottom w:val="single" w:sz="4" w:space="0" w:color="000000"/>
              <w:right w:val="single" w:sz="4" w:space="0" w:color="000000"/>
            </w:tcBorders>
            <w:shd w:val="clear" w:color="auto" w:fill="auto"/>
            <w:noWrap/>
          </w:tcPr>
          <w:p w:rsidR="00B92080" w:rsidRPr="002E2870" w:rsidRDefault="00B92080" w:rsidP="00DB5405">
            <w:pPr>
              <w:spacing w:line="276" w:lineRule="auto"/>
              <w:jc w:val="right"/>
              <w:rPr>
                <w:rFonts w:ascii="Palatino Linotype" w:eastAsia="Times New Roman" w:hAnsi="Palatino Linotype"/>
                <w:sz w:val="20"/>
                <w:szCs w:val="20"/>
                <w:lang w:val="en-US" w:bidi="hi-IN"/>
              </w:rPr>
            </w:pPr>
            <w:r w:rsidRPr="002E2870">
              <w:rPr>
                <w:rFonts w:ascii="Palatino Linotype" w:eastAsia="Times New Roman" w:hAnsi="Palatino Linotype"/>
                <w:sz w:val="20"/>
                <w:szCs w:val="20"/>
                <w:lang w:val="en-US" w:bidi="hi-IN"/>
              </w:rPr>
              <w:t xml:space="preserve"> 32.55 </w:t>
            </w:r>
          </w:p>
        </w:tc>
        <w:tc>
          <w:tcPr>
            <w:tcW w:w="1355" w:type="dxa"/>
            <w:tcBorders>
              <w:top w:val="nil"/>
              <w:left w:val="nil"/>
              <w:bottom w:val="single" w:sz="4" w:space="0" w:color="000000"/>
              <w:right w:val="single" w:sz="4" w:space="0" w:color="000000"/>
            </w:tcBorders>
            <w:shd w:val="clear" w:color="auto" w:fill="auto"/>
            <w:noWrap/>
          </w:tcPr>
          <w:p w:rsidR="00B92080" w:rsidRPr="002E2870" w:rsidRDefault="00B92080" w:rsidP="00DB5405">
            <w:pPr>
              <w:spacing w:line="276" w:lineRule="auto"/>
              <w:jc w:val="right"/>
              <w:rPr>
                <w:rFonts w:ascii="Palatino Linotype" w:eastAsia="Times New Roman" w:hAnsi="Palatino Linotype"/>
                <w:sz w:val="20"/>
                <w:szCs w:val="20"/>
                <w:lang w:val="en-US" w:bidi="hi-IN"/>
              </w:rPr>
            </w:pPr>
            <w:r w:rsidRPr="002E2870">
              <w:rPr>
                <w:rFonts w:ascii="Palatino Linotype" w:eastAsia="Times New Roman" w:hAnsi="Palatino Linotype"/>
                <w:sz w:val="20"/>
                <w:szCs w:val="20"/>
                <w:lang w:val="en-US" w:bidi="hi-IN"/>
              </w:rPr>
              <w:t xml:space="preserve">3.02 </w:t>
            </w:r>
          </w:p>
        </w:tc>
      </w:tr>
      <w:tr w:rsidR="00B92080" w:rsidRPr="002E2870" w:rsidTr="00DB5405">
        <w:trPr>
          <w:trHeight w:val="275"/>
        </w:trPr>
        <w:tc>
          <w:tcPr>
            <w:tcW w:w="2597" w:type="dxa"/>
            <w:tcBorders>
              <w:top w:val="nil"/>
              <w:left w:val="single" w:sz="4" w:space="0" w:color="000000"/>
              <w:bottom w:val="single" w:sz="4" w:space="0" w:color="000000"/>
              <w:right w:val="nil"/>
            </w:tcBorders>
            <w:shd w:val="clear" w:color="C6E0B4" w:fill="C6E0B4"/>
            <w:noWrap/>
            <w:vAlign w:val="center"/>
            <w:hideMark/>
          </w:tcPr>
          <w:p w:rsidR="00B92080" w:rsidRPr="002E2870" w:rsidRDefault="00B92080" w:rsidP="00DB5405">
            <w:pPr>
              <w:spacing w:line="276" w:lineRule="auto"/>
              <w:rPr>
                <w:rFonts w:ascii="Palatino Linotype" w:eastAsia="Times New Roman" w:hAnsi="Palatino Linotype"/>
                <w:b/>
                <w:bCs/>
                <w:sz w:val="20"/>
                <w:szCs w:val="20"/>
                <w:lang w:val="en-US" w:bidi="hi-IN"/>
              </w:rPr>
            </w:pPr>
            <w:r w:rsidRPr="002E2870">
              <w:rPr>
                <w:rFonts w:ascii="Palatino Linotype" w:eastAsia="Times New Roman" w:hAnsi="Palatino Linotype"/>
                <w:b/>
                <w:bCs/>
                <w:sz w:val="20"/>
                <w:szCs w:val="20"/>
                <w:lang w:val="en-US" w:bidi="hi-IN"/>
              </w:rPr>
              <w:t>No. of Listed Companies</w:t>
            </w:r>
          </w:p>
        </w:tc>
        <w:tc>
          <w:tcPr>
            <w:tcW w:w="1468" w:type="dxa"/>
            <w:tcBorders>
              <w:top w:val="nil"/>
              <w:left w:val="nil"/>
              <w:bottom w:val="single" w:sz="4" w:space="0" w:color="000000"/>
              <w:right w:val="nil"/>
            </w:tcBorders>
            <w:shd w:val="clear" w:color="C6E0B4" w:fill="C6E0B4"/>
            <w:noWrap/>
            <w:vAlign w:val="center"/>
            <w:hideMark/>
          </w:tcPr>
          <w:p w:rsidR="00B92080" w:rsidRPr="002E2870" w:rsidRDefault="00B92080" w:rsidP="00DB5405">
            <w:pPr>
              <w:spacing w:line="276" w:lineRule="auto"/>
              <w:rPr>
                <w:rFonts w:ascii="Palatino Linotype" w:eastAsia="Times New Roman" w:hAnsi="Palatino Linotype"/>
                <w:b/>
                <w:bCs/>
                <w:sz w:val="20"/>
                <w:szCs w:val="20"/>
                <w:lang w:val="en-US" w:bidi="hi-IN"/>
              </w:rPr>
            </w:pPr>
            <w:r w:rsidRPr="002E2870">
              <w:rPr>
                <w:rFonts w:ascii="Palatino Linotype" w:eastAsia="Times New Roman" w:hAnsi="Palatino Linotype"/>
                <w:b/>
                <w:bCs/>
                <w:sz w:val="20"/>
                <w:szCs w:val="20"/>
                <w:lang w:val="en-US" w:bidi="hi-IN"/>
              </w:rPr>
              <w:t> </w:t>
            </w:r>
          </w:p>
        </w:tc>
        <w:tc>
          <w:tcPr>
            <w:tcW w:w="1245" w:type="dxa"/>
            <w:tcBorders>
              <w:top w:val="nil"/>
              <w:left w:val="nil"/>
              <w:bottom w:val="single" w:sz="4" w:space="0" w:color="000000"/>
              <w:right w:val="nil"/>
            </w:tcBorders>
            <w:shd w:val="clear" w:color="C6E0B4" w:fill="C6E0B4"/>
            <w:noWrap/>
            <w:vAlign w:val="center"/>
            <w:hideMark/>
          </w:tcPr>
          <w:p w:rsidR="00B92080" w:rsidRPr="002E2870" w:rsidRDefault="00B92080" w:rsidP="00DB5405">
            <w:pPr>
              <w:spacing w:line="276" w:lineRule="auto"/>
              <w:rPr>
                <w:rFonts w:ascii="Palatino Linotype" w:eastAsia="Times New Roman" w:hAnsi="Palatino Linotype"/>
                <w:b/>
                <w:bCs/>
                <w:sz w:val="20"/>
                <w:szCs w:val="20"/>
                <w:lang w:val="en-US" w:bidi="hi-IN"/>
              </w:rPr>
            </w:pPr>
            <w:r w:rsidRPr="002E2870">
              <w:rPr>
                <w:rFonts w:ascii="Palatino Linotype" w:eastAsia="Times New Roman" w:hAnsi="Palatino Linotype"/>
                <w:b/>
                <w:bCs/>
                <w:sz w:val="20"/>
                <w:szCs w:val="20"/>
                <w:lang w:val="en-US" w:bidi="hi-IN"/>
              </w:rPr>
              <w:t> </w:t>
            </w:r>
          </w:p>
        </w:tc>
        <w:tc>
          <w:tcPr>
            <w:tcW w:w="1355" w:type="dxa"/>
            <w:tcBorders>
              <w:top w:val="nil"/>
              <w:left w:val="nil"/>
              <w:bottom w:val="single" w:sz="4" w:space="0" w:color="000000"/>
              <w:right w:val="single" w:sz="4" w:space="0" w:color="000000"/>
            </w:tcBorders>
            <w:shd w:val="clear" w:color="C6E0B4" w:fill="C6E0B4"/>
            <w:noWrap/>
            <w:vAlign w:val="center"/>
            <w:hideMark/>
          </w:tcPr>
          <w:p w:rsidR="00B92080" w:rsidRPr="002E2870" w:rsidRDefault="00B92080" w:rsidP="00DB5405">
            <w:pPr>
              <w:spacing w:line="276" w:lineRule="auto"/>
              <w:rPr>
                <w:rFonts w:ascii="Palatino Linotype" w:eastAsia="Times New Roman" w:hAnsi="Palatino Linotype"/>
                <w:b/>
                <w:bCs/>
                <w:sz w:val="20"/>
                <w:szCs w:val="20"/>
                <w:lang w:val="en-US" w:bidi="hi-IN"/>
              </w:rPr>
            </w:pPr>
            <w:r w:rsidRPr="002E2870">
              <w:rPr>
                <w:rFonts w:ascii="Palatino Linotype" w:eastAsia="Times New Roman" w:hAnsi="Palatino Linotype"/>
                <w:b/>
                <w:bCs/>
                <w:sz w:val="20"/>
                <w:szCs w:val="20"/>
                <w:lang w:val="en-US" w:bidi="hi-IN"/>
              </w:rPr>
              <w:t> </w:t>
            </w:r>
          </w:p>
        </w:tc>
      </w:tr>
      <w:tr w:rsidR="00B92080" w:rsidRPr="002E2870" w:rsidTr="00DB5405">
        <w:trPr>
          <w:trHeight w:val="275"/>
        </w:trPr>
        <w:tc>
          <w:tcPr>
            <w:tcW w:w="2597" w:type="dxa"/>
            <w:tcBorders>
              <w:top w:val="nil"/>
              <w:left w:val="single" w:sz="4" w:space="0" w:color="000000"/>
              <w:bottom w:val="single" w:sz="4" w:space="0" w:color="000000"/>
              <w:right w:val="single" w:sz="4" w:space="0" w:color="000000"/>
            </w:tcBorders>
            <w:shd w:val="clear" w:color="auto" w:fill="auto"/>
            <w:noWrap/>
          </w:tcPr>
          <w:p w:rsidR="00B92080" w:rsidRPr="002E2870" w:rsidRDefault="00B92080" w:rsidP="00DB5405">
            <w:pPr>
              <w:spacing w:line="276" w:lineRule="auto"/>
              <w:ind w:left="174"/>
              <w:rPr>
                <w:rFonts w:ascii="Palatino Linotype" w:eastAsia="Times New Roman" w:hAnsi="Palatino Linotype"/>
                <w:sz w:val="20"/>
                <w:szCs w:val="20"/>
                <w:lang w:val="en-US" w:bidi="hi-IN"/>
              </w:rPr>
            </w:pPr>
            <w:r w:rsidRPr="002E2870">
              <w:rPr>
                <w:rFonts w:ascii="Palatino Linotype" w:eastAsia="Times New Roman" w:hAnsi="Palatino Linotype"/>
                <w:sz w:val="20"/>
                <w:szCs w:val="20"/>
                <w:lang w:val="en-US" w:bidi="hi-IN"/>
              </w:rPr>
              <w:t xml:space="preserve">BSE </w:t>
            </w:r>
          </w:p>
        </w:tc>
        <w:tc>
          <w:tcPr>
            <w:tcW w:w="1468" w:type="dxa"/>
            <w:tcBorders>
              <w:top w:val="nil"/>
              <w:left w:val="nil"/>
              <w:bottom w:val="single" w:sz="4" w:space="0" w:color="000000"/>
              <w:right w:val="single" w:sz="4" w:space="0" w:color="000000"/>
            </w:tcBorders>
            <w:shd w:val="clear" w:color="FFFFFF" w:fill="FFFFFF"/>
            <w:noWrap/>
          </w:tcPr>
          <w:p w:rsidR="00B92080" w:rsidRPr="002E2870" w:rsidRDefault="00B92080" w:rsidP="00DB5405">
            <w:pPr>
              <w:spacing w:line="276" w:lineRule="auto"/>
              <w:jc w:val="right"/>
              <w:rPr>
                <w:rFonts w:ascii="Palatino Linotype" w:eastAsia="Times New Roman" w:hAnsi="Palatino Linotype"/>
                <w:sz w:val="20"/>
                <w:szCs w:val="20"/>
                <w:lang w:val="en-US" w:bidi="hi-IN"/>
              </w:rPr>
            </w:pPr>
            <w:r w:rsidRPr="002E2870">
              <w:rPr>
                <w:rFonts w:ascii="Palatino Linotype" w:eastAsia="Times New Roman" w:hAnsi="Palatino Linotype"/>
                <w:sz w:val="20"/>
                <w:szCs w:val="20"/>
                <w:lang w:val="en-US" w:bidi="hi-IN"/>
              </w:rPr>
              <w:t xml:space="preserve"> 5,413 </w:t>
            </w:r>
          </w:p>
        </w:tc>
        <w:tc>
          <w:tcPr>
            <w:tcW w:w="1245" w:type="dxa"/>
            <w:tcBorders>
              <w:top w:val="nil"/>
              <w:left w:val="nil"/>
              <w:bottom w:val="single" w:sz="4" w:space="0" w:color="000000"/>
              <w:right w:val="single" w:sz="4" w:space="0" w:color="000000"/>
            </w:tcBorders>
            <w:shd w:val="clear" w:color="FFFFFF" w:fill="FFFFFF"/>
            <w:noWrap/>
          </w:tcPr>
          <w:p w:rsidR="00B92080" w:rsidRPr="002E2870" w:rsidRDefault="00B92080" w:rsidP="00DB5405">
            <w:pPr>
              <w:spacing w:line="276" w:lineRule="auto"/>
              <w:jc w:val="right"/>
              <w:rPr>
                <w:rFonts w:ascii="Palatino Linotype" w:eastAsia="Times New Roman" w:hAnsi="Palatino Linotype"/>
                <w:sz w:val="20"/>
                <w:szCs w:val="20"/>
                <w:lang w:val="en-US" w:bidi="hi-IN"/>
              </w:rPr>
            </w:pPr>
            <w:r w:rsidRPr="002E2870">
              <w:rPr>
                <w:rFonts w:ascii="Palatino Linotype" w:eastAsia="Times New Roman" w:hAnsi="Palatino Linotype"/>
                <w:sz w:val="20"/>
                <w:szCs w:val="20"/>
                <w:lang w:val="en-US" w:bidi="hi-IN"/>
              </w:rPr>
              <w:t xml:space="preserve"> 5,428 </w:t>
            </w:r>
          </w:p>
        </w:tc>
        <w:tc>
          <w:tcPr>
            <w:tcW w:w="1355" w:type="dxa"/>
            <w:tcBorders>
              <w:top w:val="nil"/>
              <w:left w:val="nil"/>
              <w:bottom w:val="single" w:sz="4" w:space="0" w:color="000000"/>
              <w:right w:val="single" w:sz="4" w:space="0" w:color="000000"/>
            </w:tcBorders>
            <w:shd w:val="clear" w:color="auto" w:fill="auto"/>
            <w:noWrap/>
          </w:tcPr>
          <w:p w:rsidR="00B92080" w:rsidRPr="002E2870" w:rsidRDefault="00B92080" w:rsidP="00DB5405">
            <w:pPr>
              <w:spacing w:line="276" w:lineRule="auto"/>
              <w:jc w:val="right"/>
              <w:rPr>
                <w:rFonts w:ascii="Palatino Linotype" w:eastAsia="Times New Roman" w:hAnsi="Palatino Linotype"/>
                <w:sz w:val="20"/>
                <w:szCs w:val="20"/>
                <w:lang w:val="en-US" w:bidi="hi-IN"/>
              </w:rPr>
            </w:pPr>
            <w:r w:rsidRPr="002E2870">
              <w:rPr>
                <w:rFonts w:ascii="Palatino Linotype" w:eastAsia="Times New Roman" w:hAnsi="Palatino Linotype"/>
                <w:sz w:val="20"/>
                <w:szCs w:val="20"/>
                <w:lang w:val="en-US" w:bidi="hi-IN"/>
              </w:rPr>
              <w:t xml:space="preserve">0.28 </w:t>
            </w:r>
          </w:p>
        </w:tc>
      </w:tr>
      <w:tr w:rsidR="00B92080" w:rsidRPr="002E2870" w:rsidTr="00DB5405">
        <w:trPr>
          <w:trHeight w:val="275"/>
        </w:trPr>
        <w:tc>
          <w:tcPr>
            <w:tcW w:w="2597" w:type="dxa"/>
            <w:tcBorders>
              <w:top w:val="nil"/>
              <w:left w:val="single" w:sz="4" w:space="0" w:color="000000"/>
              <w:bottom w:val="single" w:sz="4" w:space="0" w:color="000000"/>
              <w:right w:val="single" w:sz="4" w:space="0" w:color="000000"/>
            </w:tcBorders>
            <w:shd w:val="clear" w:color="auto" w:fill="auto"/>
            <w:noWrap/>
          </w:tcPr>
          <w:p w:rsidR="00B92080" w:rsidRPr="002E2870" w:rsidRDefault="00B92080" w:rsidP="00DB5405">
            <w:pPr>
              <w:spacing w:line="276" w:lineRule="auto"/>
              <w:ind w:left="174"/>
              <w:rPr>
                <w:rFonts w:ascii="Palatino Linotype" w:eastAsia="Times New Roman" w:hAnsi="Palatino Linotype"/>
                <w:sz w:val="20"/>
                <w:szCs w:val="20"/>
                <w:lang w:val="en-US" w:bidi="hi-IN"/>
              </w:rPr>
            </w:pPr>
            <w:r w:rsidRPr="002E2870">
              <w:rPr>
                <w:rFonts w:ascii="Palatino Linotype" w:eastAsia="Times New Roman" w:hAnsi="Palatino Linotype"/>
                <w:sz w:val="20"/>
                <w:szCs w:val="20"/>
                <w:lang w:val="en-US" w:bidi="hi-IN"/>
              </w:rPr>
              <w:t>NSE</w:t>
            </w:r>
          </w:p>
        </w:tc>
        <w:tc>
          <w:tcPr>
            <w:tcW w:w="1468" w:type="dxa"/>
            <w:tcBorders>
              <w:top w:val="nil"/>
              <w:left w:val="nil"/>
              <w:bottom w:val="single" w:sz="4" w:space="0" w:color="000000"/>
              <w:right w:val="single" w:sz="4" w:space="0" w:color="000000"/>
            </w:tcBorders>
            <w:shd w:val="clear" w:color="auto" w:fill="auto"/>
            <w:noWrap/>
          </w:tcPr>
          <w:p w:rsidR="00B92080" w:rsidRPr="002E2870" w:rsidRDefault="00B92080" w:rsidP="00DB5405">
            <w:pPr>
              <w:spacing w:line="276" w:lineRule="auto"/>
              <w:jc w:val="right"/>
              <w:rPr>
                <w:rFonts w:ascii="Palatino Linotype" w:eastAsia="Times New Roman" w:hAnsi="Palatino Linotype"/>
                <w:sz w:val="20"/>
                <w:szCs w:val="20"/>
                <w:lang w:val="en-US" w:bidi="hi-IN"/>
              </w:rPr>
            </w:pPr>
            <w:r w:rsidRPr="002E2870">
              <w:rPr>
                <w:rFonts w:ascii="Palatino Linotype" w:eastAsia="Times New Roman" w:hAnsi="Palatino Linotype"/>
                <w:sz w:val="20"/>
                <w:szCs w:val="20"/>
                <w:lang w:val="en-US" w:bidi="hi-IN"/>
              </w:rPr>
              <w:t xml:space="preserve"> 1,943 </w:t>
            </w:r>
          </w:p>
        </w:tc>
        <w:tc>
          <w:tcPr>
            <w:tcW w:w="1245" w:type="dxa"/>
            <w:tcBorders>
              <w:top w:val="nil"/>
              <w:left w:val="nil"/>
              <w:bottom w:val="single" w:sz="4" w:space="0" w:color="000000"/>
              <w:right w:val="single" w:sz="4" w:space="0" w:color="000000"/>
            </w:tcBorders>
            <w:shd w:val="clear" w:color="auto" w:fill="auto"/>
            <w:noWrap/>
          </w:tcPr>
          <w:p w:rsidR="00B92080" w:rsidRPr="002E2870" w:rsidRDefault="00B92080" w:rsidP="00DB5405">
            <w:pPr>
              <w:spacing w:line="276" w:lineRule="auto"/>
              <w:jc w:val="right"/>
              <w:rPr>
                <w:rFonts w:ascii="Palatino Linotype" w:eastAsia="Times New Roman" w:hAnsi="Palatino Linotype"/>
                <w:sz w:val="20"/>
                <w:szCs w:val="20"/>
                <w:lang w:val="en-US" w:bidi="hi-IN"/>
              </w:rPr>
            </w:pPr>
            <w:r w:rsidRPr="002E2870">
              <w:rPr>
                <w:rFonts w:ascii="Palatino Linotype" w:eastAsia="Times New Roman" w:hAnsi="Palatino Linotype"/>
                <w:sz w:val="20"/>
                <w:szCs w:val="20"/>
                <w:lang w:val="en-US" w:bidi="hi-IN"/>
              </w:rPr>
              <w:t xml:space="preserve"> 1,946 </w:t>
            </w:r>
          </w:p>
        </w:tc>
        <w:tc>
          <w:tcPr>
            <w:tcW w:w="1355" w:type="dxa"/>
            <w:tcBorders>
              <w:top w:val="nil"/>
              <w:left w:val="nil"/>
              <w:bottom w:val="single" w:sz="4" w:space="0" w:color="000000"/>
              <w:right w:val="single" w:sz="4" w:space="0" w:color="000000"/>
            </w:tcBorders>
            <w:shd w:val="clear" w:color="auto" w:fill="auto"/>
            <w:noWrap/>
          </w:tcPr>
          <w:p w:rsidR="00B92080" w:rsidRPr="002E2870" w:rsidRDefault="00B92080" w:rsidP="00DB5405">
            <w:pPr>
              <w:spacing w:line="276" w:lineRule="auto"/>
              <w:jc w:val="right"/>
              <w:rPr>
                <w:rFonts w:ascii="Palatino Linotype" w:eastAsia="Times New Roman" w:hAnsi="Palatino Linotype"/>
                <w:sz w:val="20"/>
                <w:szCs w:val="20"/>
                <w:lang w:val="en-US" w:bidi="hi-IN"/>
              </w:rPr>
            </w:pPr>
            <w:r w:rsidRPr="002E2870">
              <w:rPr>
                <w:rFonts w:ascii="Palatino Linotype" w:eastAsia="Times New Roman" w:hAnsi="Palatino Linotype"/>
                <w:sz w:val="20"/>
                <w:szCs w:val="20"/>
                <w:lang w:val="en-US" w:bidi="hi-IN"/>
              </w:rPr>
              <w:t xml:space="preserve">0.15 </w:t>
            </w:r>
          </w:p>
        </w:tc>
      </w:tr>
      <w:tr w:rsidR="00B92080" w:rsidRPr="002E2870" w:rsidTr="00DB5405">
        <w:trPr>
          <w:trHeight w:val="275"/>
        </w:trPr>
        <w:tc>
          <w:tcPr>
            <w:tcW w:w="5310" w:type="dxa"/>
            <w:gridSpan w:val="3"/>
            <w:tcBorders>
              <w:top w:val="single" w:sz="4" w:space="0" w:color="000000"/>
              <w:left w:val="single" w:sz="4" w:space="0" w:color="000000"/>
              <w:bottom w:val="single" w:sz="4" w:space="0" w:color="000000"/>
              <w:right w:val="nil"/>
            </w:tcBorders>
            <w:shd w:val="clear" w:color="C6E0B4" w:fill="C6E0B4"/>
            <w:noWrap/>
            <w:vAlign w:val="center"/>
            <w:hideMark/>
          </w:tcPr>
          <w:p w:rsidR="00B92080" w:rsidRPr="002E2870" w:rsidRDefault="00B92080" w:rsidP="00DB5405">
            <w:pPr>
              <w:spacing w:line="276" w:lineRule="auto"/>
              <w:rPr>
                <w:rFonts w:ascii="Palatino Linotype" w:eastAsia="Times New Roman" w:hAnsi="Palatino Linotype"/>
                <w:b/>
                <w:bCs/>
                <w:sz w:val="20"/>
                <w:szCs w:val="20"/>
                <w:lang w:val="en-US" w:bidi="hi-IN"/>
              </w:rPr>
            </w:pPr>
            <w:r w:rsidRPr="002E2870">
              <w:rPr>
                <w:rFonts w:ascii="Palatino Linotype" w:eastAsia="Times New Roman" w:hAnsi="Palatino Linotype"/>
                <w:b/>
                <w:bCs/>
                <w:sz w:val="20"/>
                <w:szCs w:val="20"/>
                <w:lang w:val="en-US" w:bidi="hi-IN"/>
              </w:rPr>
              <w:t>Gross Turnover in Equity Segment (</w:t>
            </w:r>
            <w:r w:rsidRPr="002E2870">
              <w:rPr>
                <w:rFonts w:ascii="Times New Roman" w:eastAsia="Times New Roman" w:hAnsi="Times New Roman"/>
                <w:b/>
                <w:bCs/>
                <w:sz w:val="20"/>
                <w:szCs w:val="20"/>
                <w:lang w:val="en-US" w:bidi="hi-IN"/>
              </w:rPr>
              <w:t>₹</w:t>
            </w:r>
            <w:r w:rsidRPr="002E2870">
              <w:rPr>
                <w:rFonts w:ascii="Palatino Linotype" w:eastAsia="Times New Roman" w:hAnsi="Palatino Linotype"/>
                <w:b/>
                <w:bCs/>
                <w:sz w:val="20"/>
                <w:szCs w:val="20"/>
                <w:lang w:val="en-US" w:bidi="hi-IN"/>
              </w:rPr>
              <w:t xml:space="preserve"> crore)</w:t>
            </w:r>
          </w:p>
        </w:tc>
        <w:tc>
          <w:tcPr>
            <w:tcW w:w="1355" w:type="dxa"/>
            <w:tcBorders>
              <w:top w:val="nil"/>
              <w:left w:val="nil"/>
              <w:bottom w:val="single" w:sz="4" w:space="0" w:color="000000"/>
              <w:right w:val="single" w:sz="4" w:space="0" w:color="000000"/>
            </w:tcBorders>
            <w:shd w:val="clear" w:color="C6E0B4" w:fill="C6E0B4"/>
            <w:noWrap/>
            <w:vAlign w:val="center"/>
            <w:hideMark/>
          </w:tcPr>
          <w:p w:rsidR="00B92080" w:rsidRPr="002E2870" w:rsidRDefault="00B92080" w:rsidP="00DB5405">
            <w:pPr>
              <w:spacing w:line="276" w:lineRule="auto"/>
              <w:rPr>
                <w:rFonts w:ascii="Palatino Linotype" w:eastAsia="Times New Roman" w:hAnsi="Palatino Linotype"/>
                <w:b/>
                <w:bCs/>
                <w:sz w:val="20"/>
                <w:szCs w:val="20"/>
                <w:lang w:val="en-US" w:bidi="hi-IN"/>
              </w:rPr>
            </w:pPr>
            <w:r w:rsidRPr="002E2870">
              <w:rPr>
                <w:rFonts w:ascii="Palatino Linotype" w:eastAsia="Times New Roman" w:hAnsi="Palatino Linotype"/>
                <w:b/>
                <w:bCs/>
                <w:sz w:val="20"/>
                <w:szCs w:val="20"/>
                <w:lang w:val="en-US" w:bidi="hi-IN"/>
              </w:rPr>
              <w:t> </w:t>
            </w:r>
          </w:p>
        </w:tc>
      </w:tr>
      <w:tr w:rsidR="00B92080" w:rsidRPr="002E2870" w:rsidTr="00DB5405">
        <w:trPr>
          <w:trHeight w:val="275"/>
        </w:trPr>
        <w:tc>
          <w:tcPr>
            <w:tcW w:w="2597" w:type="dxa"/>
            <w:tcBorders>
              <w:top w:val="nil"/>
              <w:left w:val="single" w:sz="4" w:space="0" w:color="000000"/>
              <w:bottom w:val="single" w:sz="4" w:space="0" w:color="000000"/>
              <w:right w:val="single" w:sz="4" w:space="0" w:color="000000"/>
            </w:tcBorders>
            <w:shd w:val="clear" w:color="auto" w:fill="auto"/>
            <w:noWrap/>
          </w:tcPr>
          <w:p w:rsidR="00B92080" w:rsidRPr="002E2870" w:rsidRDefault="00B92080" w:rsidP="00DB5405">
            <w:pPr>
              <w:spacing w:line="276" w:lineRule="auto"/>
              <w:ind w:left="174"/>
              <w:rPr>
                <w:rFonts w:ascii="Palatino Linotype" w:eastAsia="Times New Roman" w:hAnsi="Palatino Linotype"/>
                <w:sz w:val="20"/>
                <w:szCs w:val="20"/>
                <w:lang w:val="en-US" w:bidi="hi-IN"/>
              </w:rPr>
            </w:pPr>
            <w:r w:rsidRPr="002E2870">
              <w:rPr>
                <w:rFonts w:ascii="Palatino Linotype" w:eastAsia="Times New Roman" w:hAnsi="Palatino Linotype"/>
                <w:sz w:val="20"/>
                <w:szCs w:val="20"/>
                <w:lang w:val="en-US" w:bidi="hi-IN"/>
              </w:rPr>
              <w:t xml:space="preserve">BSE </w:t>
            </w:r>
          </w:p>
        </w:tc>
        <w:tc>
          <w:tcPr>
            <w:tcW w:w="1468" w:type="dxa"/>
            <w:tcBorders>
              <w:top w:val="nil"/>
              <w:left w:val="nil"/>
              <w:bottom w:val="single" w:sz="4" w:space="0" w:color="000000"/>
              <w:right w:val="single" w:sz="4" w:space="0" w:color="000000"/>
            </w:tcBorders>
            <w:shd w:val="clear" w:color="FFFFFF" w:fill="FFFFFF"/>
            <w:noWrap/>
          </w:tcPr>
          <w:p w:rsidR="00B92080" w:rsidRPr="002E2870" w:rsidRDefault="00B92080" w:rsidP="00DB5405">
            <w:pPr>
              <w:spacing w:line="276" w:lineRule="auto"/>
              <w:jc w:val="right"/>
              <w:rPr>
                <w:rFonts w:ascii="Palatino Linotype" w:eastAsia="Times New Roman" w:hAnsi="Palatino Linotype"/>
                <w:sz w:val="20"/>
                <w:szCs w:val="20"/>
                <w:lang w:val="en-US" w:bidi="hi-IN"/>
              </w:rPr>
            </w:pPr>
            <w:r w:rsidRPr="002E2870">
              <w:rPr>
                <w:rFonts w:ascii="Palatino Linotype" w:eastAsia="Times New Roman" w:hAnsi="Palatino Linotype"/>
                <w:sz w:val="20"/>
                <w:szCs w:val="20"/>
                <w:lang w:val="en-US" w:bidi="hi-IN"/>
              </w:rPr>
              <w:t>93,080</w:t>
            </w:r>
          </w:p>
        </w:tc>
        <w:tc>
          <w:tcPr>
            <w:tcW w:w="1245" w:type="dxa"/>
            <w:tcBorders>
              <w:top w:val="nil"/>
              <w:left w:val="nil"/>
              <w:bottom w:val="single" w:sz="4" w:space="0" w:color="000000"/>
              <w:right w:val="single" w:sz="4" w:space="0" w:color="000000"/>
            </w:tcBorders>
            <w:shd w:val="clear" w:color="FFFFFF" w:fill="FFFFFF"/>
            <w:noWrap/>
          </w:tcPr>
          <w:p w:rsidR="00B92080" w:rsidRPr="002E2870" w:rsidRDefault="00B92080" w:rsidP="00DB5405">
            <w:pPr>
              <w:spacing w:line="276" w:lineRule="auto"/>
              <w:jc w:val="right"/>
              <w:rPr>
                <w:rFonts w:ascii="Palatino Linotype" w:eastAsia="Times New Roman" w:hAnsi="Palatino Linotype"/>
                <w:sz w:val="20"/>
                <w:szCs w:val="20"/>
                <w:lang w:val="en-US" w:bidi="hi-IN"/>
              </w:rPr>
            </w:pPr>
            <w:r w:rsidRPr="002E2870">
              <w:rPr>
                <w:rFonts w:ascii="Palatino Linotype" w:eastAsia="Times New Roman" w:hAnsi="Palatino Linotype"/>
                <w:sz w:val="20"/>
                <w:szCs w:val="20"/>
                <w:lang w:val="en-US" w:bidi="hi-IN"/>
              </w:rPr>
              <w:t>70,025</w:t>
            </w:r>
          </w:p>
        </w:tc>
        <w:tc>
          <w:tcPr>
            <w:tcW w:w="1355" w:type="dxa"/>
            <w:tcBorders>
              <w:top w:val="nil"/>
              <w:left w:val="nil"/>
              <w:bottom w:val="single" w:sz="4" w:space="0" w:color="000000"/>
              <w:right w:val="single" w:sz="4" w:space="0" w:color="000000"/>
            </w:tcBorders>
            <w:shd w:val="clear" w:color="auto" w:fill="auto"/>
            <w:noWrap/>
          </w:tcPr>
          <w:p w:rsidR="00B92080" w:rsidRPr="002E2870" w:rsidRDefault="00B92080" w:rsidP="00DB5405">
            <w:pPr>
              <w:spacing w:line="276" w:lineRule="auto"/>
              <w:jc w:val="right"/>
              <w:rPr>
                <w:rFonts w:ascii="Palatino Linotype" w:eastAsia="Times New Roman" w:hAnsi="Palatino Linotype"/>
                <w:sz w:val="20"/>
                <w:szCs w:val="20"/>
                <w:lang w:val="en-US" w:bidi="hi-IN"/>
              </w:rPr>
            </w:pPr>
            <w:r w:rsidRPr="002E2870">
              <w:rPr>
                <w:rFonts w:ascii="Palatino Linotype" w:eastAsia="Times New Roman" w:hAnsi="Palatino Linotype"/>
                <w:sz w:val="20"/>
                <w:szCs w:val="20"/>
                <w:lang w:val="en-US" w:bidi="hi-IN"/>
              </w:rPr>
              <w:t xml:space="preserve">-24.77 </w:t>
            </w:r>
          </w:p>
        </w:tc>
      </w:tr>
      <w:tr w:rsidR="00B92080" w:rsidRPr="002E2870" w:rsidTr="00DB5405">
        <w:trPr>
          <w:trHeight w:val="275"/>
        </w:trPr>
        <w:tc>
          <w:tcPr>
            <w:tcW w:w="2597" w:type="dxa"/>
            <w:tcBorders>
              <w:top w:val="nil"/>
              <w:left w:val="single" w:sz="4" w:space="0" w:color="000000"/>
              <w:bottom w:val="single" w:sz="4" w:space="0" w:color="000000"/>
              <w:right w:val="single" w:sz="4" w:space="0" w:color="000000"/>
            </w:tcBorders>
            <w:shd w:val="clear" w:color="auto" w:fill="auto"/>
            <w:noWrap/>
          </w:tcPr>
          <w:p w:rsidR="00B92080" w:rsidRPr="002E2870" w:rsidRDefault="00B92080" w:rsidP="00DB5405">
            <w:pPr>
              <w:spacing w:line="276" w:lineRule="auto"/>
              <w:ind w:left="174"/>
              <w:rPr>
                <w:rFonts w:ascii="Palatino Linotype" w:eastAsia="Times New Roman" w:hAnsi="Palatino Linotype"/>
                <w:sz w:val="20"/>
                <w:szCs w:val="20"/>
                <w:lang w:val="en-US" w:bidi="hi-IN"/>
              </w:rPr>
            </w:pPr>
            <w:r w:rsidRPr="002E2870">
              <w:rPr>
                <w:rFonts w:ascii="Palatino Linotype" w:eastAsia="Times New Roman" w:hAnsi="Palatino Linotype"/>
                <w:sz w:val="20"/>
                <w:szCs w:val="20"/>
                <w:lang w:val="en-US" w:bidi="hi-IN"/>
              </w:rPr>
              <w:t>NSE</w:t>
            </w:r>
          </w:p>
        </w:tc>
        <w:tc>
          <w:tcPr>
            <w:tcW w:w="1468" w:type="dxa"/>
            <w:tcBorders>
              <w:top w:val="nil"/>
              <w:left w:val="nil"/>
              <w:bottom w:val="single" w:sz="4" w:space="0" w:color="000000"/>
              <w:right w:val="single" w:sz="4" w:space="0" w:color="000000"/>
            </w:tcBorders>
            <w:shd w:val="clear" w:color="FFFFFF" w:fill="FFFFFF"/>
            <w:noWrap/>
          </w:tcPr>
          <w:p w:rsidR="00B92080" w:rsidRPr="002E2870" w:rsidRDefault="00B92080" w:rsidP="00DB5405">
            <w:pPr>
              <w:spacing w:line="276" w:lineRule="auto"/>
              <w:jc w:val="right"/>
              <w:rPr>
                <w:rFonts w:ascii="Palatino Linotype" w:eastAsia="Times New Roman" w:hAnsi="Palatino Linotype"/>
                <w:sz w:val="20"/>
                <w:szCs w:val="20"/>
                <w:lang w:val="en-US" w:bidi="hi-IN"/>
              </w:rPr>
            </w:pPr>
            <w:r w:rsidRPr="002E2870">
              <w:rPr>
                <w:rFonts w:ascii="Palatino Linotype" w:eastAsia="Times New Roman" w:hAnsi="Palatino Linotype"/>
                <w:sz w:val="20"/>
                <w:szCs w:val="20"/>
                <w:lang w:val="en-US" w:bidi="hi-IN"/>
              </w:rPr>
              <w:t>12,82,557</w:t>
            </w:r>
          </w:p>
        </w:tc>
        <w:tc>
          <w:tcPr>
            <w:tcW w:w="1245" w:type="dxa"/>
            <w:tcBorders>
              <w:top w:val="nil"/>
              <w:left w:val="nil"/>
              <w:bottom w:val="single" w:sz="4" w:space="0" w:color="000000"/>
              <w:right w:val="single" w:sz="4" w:space="0" w:color="000000"/>
            </w:tcBorders>
            <w:shd w:val="clear" w:color="FFFFFF" w:fill="FFFFFF"/>
            <w:noWrap/>
          </w:tcPr>
          <w:p w:rsidR="00B92080" w:rsidRPr="002E2870" w:rsidRDefault="00B92080" w:rsidP="00DB5405">
            <w:pPr>
              <w:spacing w:line="276" w:lineRule="auto"/>
              <w:jc w:val="right"/>
              <w:rPr>
                <w:rFonts w:ascii="Palatino Linotype" w:eastAsia="Times New Roman" w:hAnsi="Palatino Linotype"/>
                <w:sz w:val="20"/>
                <w:szCs w:val="20"/>
                <w:lang w:val="en-US" w:bidi="hi-IN"/>
              </w:rPr>
            </w:pPr>
            <w:r w:rsidRPr="002E2870">
              <w:rPr>
                <w:rFonts w:ascii="Palatino Linotype" w:eastAsia="Times New Roman" w:hAnsi="Palatino Linotype"/>
                <w:sz w:val="20"/>
                <w:szCs w:val="20"/>
                <w:lang w:val="en-US" w:bidi="hi-IN"/>
              </w:rPr>
              <w:t>12,23,329</w:t>
            </w:r>
          </w:p>
        </w:tc>
        <w:tc>
          <w:tcPr>
            <w:tcW w:w="1355" w:type="dxa"/>
            <w:tcBorders>
              <w:top w:val="nil"/>
              <w:left w:val="nil"/>
              <w:bottom w:val="single" w:sz="4" w:space="0" w:color="000000"/>
              <w:right w:val="single" w:sz="4" w:space="0" w:color="000000"/>
            </w:tcBorders>
            <w:shd w:val="clear" w:color="auto" w:fill="auto"/>
            <w:noWrap/>
          </w:tcPr>
          <w:p w:rsidR="00B92080" w:rsidRPr="002E2870" w:rsidRDefault="00B92080" w:rsidP="00DB5405">
            <w:pPr>
              <w:spacing w:line="276" w:lineRule="auto"/>
              <w:jc w:val="right"/>
              <w:rPr>
                <w:rFonts w:ascii="Palatino Linotype" w:eastAsia="Times New Roman" w:hAnsi="Palatino Linotype"/>
                <w:sz w:val="20"/>
                <w:szCs w:val="20"/>
                <w:lang w:val="en-US" w:bidi="hi-IN"/>
              </w:rPr>
            </w:pPr>
            <w:r w:rsidRPr="002E2870">
              <w:rPr>
                <w:rFonts w:ascii="Palatino Linotype" w:eastAsia="Times New Roman" w:hAnsi="Palatino Linotype"/>
                <w:sz w:val="20"/>
                <w:szCs w:val="20"/>
                <w:lang w:val="en-US" w:bidi="hi-IN"/>
              </w:rPr>
              <w:t xml:space="preserve">-4.62 </w:t>
            </w:r>
          </w:p>
        </w:tc>
      </w:tr>
      <w:tr w:rsidR="00B92080" w:rsidRPr="002E2870" w:rsidTr="00DB5405">
        <w:trPr>
          <w:trHeight w:val="275"/>
        </w:trPr>
        <w:tc>
          <w:tcPr>
            <w:tcW w:w="6665" w:type="dxa"/>
            <w:gridSpan w:val="4"/>
            <w:tcBorders>
              <w:top w:val="single" w:sz="4" w:space="0" w:color="000000"/>
              <w:left w:val="single" w:sz="4" w:space="0" w:color="000000"/>
              <w:bottom w:val="single" w:sz="4" w:space="0" w:color="000000"/>
              <w:right w:val="single" w:sz="4" w:space="0" w:color="000000"/>
            </w:tcBorders>
            <w:shd w:val="clear" w:color="C6E0B4" w:fill="C6E0B4"/>
            <w:noWrap/>
            <w:vAlign w:val="center"/>
            <w:hideMark/>
          </w:tcPr>
          <w:p w:rsidR="00B92080" w:rsidRPr="002E2870" w:rsidRDefault="00B92080" w:rsidP="00DB5405">
            <w:pPr>
              <w:spacing w:line="276" w:lineRule="auto"/>
              <w:rPr>
                <w:rFonts w:ascii="Palatino Linotype" w:eastAsia="Times New Roman" w:hAnsi="Palatino Linotype"/>
                <w:b/>
                <w:bCs/>
                <w:sz w:val="20"/>
                <w:szCs w:val="20"/>
                <w:lang w:val="en-US" w:bidi="hi-IN"/>
              </w:rPr>
            </w:pPr>
            <w:r w:rsidRPr="002E2870">
              <w:rPr>
                <w:rFonts w:ascii="Palatino Linotype" w:eastAsia="Times New Roman" w:hAnsi="Palatino Linotype"/>
                <w:b/>
                <w:bCs/>
                <w:sz w:val="20"/>
                <w:szCs w:val="20"/>
                <w:lang w:val="en-US" w:bidi="hi-IN"/>
              </w:rPr>
              <w:t>Gross Turnover in Equity Derivatives Segment (</w:t>
            </w:r>
            <w:r w:rsidRPr="002E2870">
              <w:rPr>
                <w:rFonts w:ascii="Times New Roman" w:eastAsia="Times New Roman" w:hAnsi="Times New Roman"/>
                <w:b/>
                <w:bCs/>
                <w:sz w:val="20"/>
                <w:szCs w:val="20"/>
                <w:lang w:val="en-US" w:bidi="hi-IN"/>
              </w:rPr>
              <w:t>₹</w:t>
            </w:r>
            <w:r w:rsidRPr="002E2870">
              <w:rPr>
                <w:rFonts w:ascii="Palatino Linotype" w:eastAsia="Times New Roman" w:hAnsi="Palatino Linotype"/>
                <w:b/>
                <w:bCs/>
                <w:sz w:val="20"/>
                <w:szCs w:val="20"/>
                <w:lang w:val="en-US" w:bidi="hi-IN"/>
              </w:rPr>
              <w:t xml:space="preserve"> crore)</w:t>
            </w:r>
          </w:p>
        </w:tc>
      </w:tr>
      <w:tr w:rsidR="00B92080" w:rsidRPr="002E2870" w:rsidTr="00DB5405">
        <w:trPr>
          <w:trHeight w:val="275"/>
        </w:trPr>
        <w:tc>
          <w:tcPr>
            <w:tcW w:w="2597" w:type="dxa"/>
            <w:tcBorders>
              <w:top w:val="nil"/>
              <w:left w:val="single" w:sz="4" w:space="0" w:color="000000"/>
              <w:bottom w:val="single" w:sz="4" w:space="0" w:color="000000"/>
              <w:right w:val="single" w:sz="4" w:space="0" w:color="000000"/>
            </w:tcBorders>
            <w:shd w:val="clear" w:color="auto" w:fill="auto"/>
            <w:noWrap/>
            <w:hideMark/>
          </w:tcPr>
          <w:p w:rsidR="00B92080" w:rsidRPr="002E2870" w:rsidRDefault="00B92080" w:rsidP="00DB5405">
            <w:pPr>
              <w:spacing w:line="276" w:lineRule="auto"/>
              <w:ind w:left="174"/>
              <w:rPr>
                <w:rFonts w:ascii="Palatino Linotype" w:eastAsia="Times New Roman" w:hAnsi="Palatino Linotype"/>
                <w:sz w:val="20"/>
                <w:szCs w:val="20"/>
                <w:lang w:val="en-US" w:bidi="hi-IN"/>
              </w:rPr>
            </w:pPr>
            <w:r w:rsidRPr="002E2870">
              <w:rPr>
                <w:rFonts w:ascii="Palatino Linotype" w:eastAsia="Times New Roman" w:hAnsi="Palatino Linotype"/>
                <w:sz w:val="20"/>
                <w:szCs w:val="20"/>
                <w:lang w:val="en-US" w:bidi="hi-IN"/>
              </w:rPr>
              <w:t xml:space="preserve">BSE </w:t>
            </w:r>
          </w:p>
        </w:tc>
        <w:tc>
          <w:tcPr>
            <w:tcW w:w="1468" w:type="dxa"/>
            <w:tcBorders>
              <w:top w:val="nil"/>
              <w:left w:val="nil"/>
              <w:bottom w:val="single" w:sz="4" w:space="0" w:color="000000"/>
              <w:right w:val="single" w:sz="4" w:space="0" w:color="000000"/>
            </w:tcBorders>
            <w:shd w:val="clear" w:color="FFFFFF" w:fill="FFFFFF"/>
            <w:noWrap/>
            <w:hideMark/>
          </w:tcPr>
          <w:p w:rsidR="00B92080" w:rsidRPr="002E2870" w:rsidRDefault="00B92080" w:rsidP="00DB5405">
            <w:pPr>
              <w:spacing w:line="276" w:lineRule="auto"/>
              <w:ind w:left="174"/>
              <w:jc w:val="right"/>
              <w:rPr>
                <w:rFonts w:ascii="Palatino Linotype" w:eastAsia="Times New Roman" w:hAnsi="Palatino Linotype"/>
                <w:sz w:val="20"/>
                <w:szCs w:val="20"/>
                <w:lang w:val="en-US" w:bidi="hi-IN"/>
              </w:rPr>
            </w:pPr>
            <w:r w:rsidRPr="002E2870">
              <w:rPr>
                <w:rFonts w:ascii="Palatino Linotype" w:eastAsia="Times New Roman" w:hAnsi="Palatino Linotype"/>
                <w:sz w:val="20"/>
                <w:szCs w:val="20"/>
                <w:lang w:val="en-US" w:bidi="hi-IN"/>
              </w:rPr>
              <w:t>18,48,117</w:t>
            </w:r>
          </w:p>
        </w:tc>
        <w:tc>
          <w:tcPr>
            <w:tcW w:w="1245" w:type="dxa"/>
            <w:tcBorders>
              <w:top w:val="nil"/>
              <w:left w:val="nil"/>
              <w:bottom w:val="single" w:sz="4" w:space="0" w:color="000000"/>
              <w:right w:val="single" w:sz="4" w:space="0" w:color="000000"/>
            </w:tcBorders>
            <w:shd w:val="clear" w:color="auto" w:fill="auto"/>
            <w:noWrap/>
            <w:hideMark/>
          </w:tcPr>
          <w:p w:rsidR="00B92080" w:rsidRPr="002E2870" w:rsidRDefault="00B92080" w:rsidP="00DB5405">
            <w:pPr>
              <w:spacing w:line="276" w:lineRule="auto"/>
              <w:ind w:left="174"/>
              <w:jc w:val="right"/>
              <w:rPr>
                <w:rFonts w:ascii="Palatino Linotype" w:eastAsia="Times New Roman" w:hAnsi="Palatino Linotype"/>
                <w:sz w:val="20"/>
                <w:szCs w:val="20"/>
                <w:lang w:val="en-US" w:bidi="hi-IN"/>
              </w:rPr>
            </w:pPr>
            <w:r w:rsidRPr="002E2870">
              <w:rPr>
                <w:rFonts w:ascii="Palatino Linotype" w:eastAsia="Times New Roman" w:hAnsi="Palatino Linotype"/>
                <w:sz w:val="20"/>
                <w:szCs w:val="20"/>
                <w:lang w:val="en-US" w:bidi="hi-IN"/>
              </w:rPr>
              <w:t>27,26,567</w:t>
            </w:r>
          </w:p>
        </w:tc>
        <w:tc>
          <w:tcPr>
            <w:tcW w:w="1355" w:type="dxa"/>
            <w:tcBorders>
              <w:top w:val="nil"/>
              <w:left w:val="nil"/>
              <w:bottom w:val="single" w:sz="4" w:space="0" w:color="000000"/>
              <w:right w:val="single" w:sz="4" w:space="0" w:color="000000"/>
            </w:tcBorders>
            <w:shd w:val="clear" w:color="auto" w:fill="auto"/>
            <w:noWrap/>
            <w:hideMark/>
          </w:tcPr>
          <w:p w:rsidR="00B92080" w:rsidRPr="002E2870" w:rsidRDefault="00B92080" w:rsidP="00DB5405">
            <w:pPr>
              <w:spacing w:line="276" w:lineRule="auto"/>
              <w:ind w:left="174"/>
              <w:jc w:val="right"/>
              <w:rPr>
                <w:rFonts w:ascii="Palatino Linotype" w:eastAsia="Times New Roman" w:hAnsi="Palatino Linotype"/>
                <w:sz w:val="20"/>
                <w:szCs w:val="20"/>
                <w:lang w:val="en-US" w:bidi="hi-IN"/>
              </w:rPr>
            </w:pPr>
            <w:r w:rsidRPr="002E2870">
              <w:rPr>
                <w:rFonts w:ascii="Palatino Linotype" w:eastAsia="Times New Roman" w:hAnsi="Palatino Linotype"/>
                <w:sz w:val="20"/>
                <w:szCs w:val="20"/>
                <w:lang w:val="en-US" w:bidi="hi-IN"/>
              </w:rPr>
              <w:t xml:space="preserve">47.53 </w:t>
            </w:r>
          </w:p>
        </w:tc>
      </w:tr>
      <w:tr w:rsidR="00B92080" w:rsidRPr="002E2870" w:rsidTr="00DB5405">
        <w:trPr>
          <w:trHeight w:val="275"/>
        </w:trPr>
        <w:tc>
          <w:tcPr>
            <w:tcW w:w="2597" w:type="dxa"/>
            <w:tcBorders>
              <w:top w:val="nil"/>
              <w:left w:val="single" w:sz="4" w:space="0" w:color="000000"/>
              <w:bottom w:val="single" w:sz="4" w:space="0" w:color="000000"/>
              <w:right w:val="single" w:sz="4" w:space="0" w:color="000000"/>
            </w:tcBorders>
            <w:shd w:val="clear" w:color="auto" w:fill="auto"/>
            <w:noWrap/>
            <w:hideMark/>
          </w:tcPr>
          <w:p w:rsidR="00B92080" w:rsidRPr="002E2870" w:rsidRDefault="00B92080" w:rsidP="00DB5405">
            <w:pPr>
              <w:spacing w:line="276" w:lineRule="auto"/>
              <w:ind w:left="174"/>
              <w:rPr>
                <w:rFonts w:ascii="Palatino Linotype" w:eastAsia="Times New Roman" w:hAnsi="Palatino Linotype"/>
                <w:sz w:val="20"/>
                <w:szCs w:val="20"/>
                <w:lang w:val="en-US" w:bidi="hi-IN"/>
              </w:rPr>
            </w:pPr>
            <w:r w:rsidRPr="002E2870">
              <w:rPr>
                <w:rFonts w:ascii="Palatino Linotype" w:eastAsia="Times New Roman" w:hAnsi="Palatino Linotype"/>
                <w:sz w:val="20"/>
                <w:szCs w:val="20"/>
                <w:lang w:val="en-US" w:bidi="hi-IN"/>
              </w:rPr>
              <w:t>NSE</w:t>
            </w:r>
          </w:p>
        </w:tc>
        <w:tc>
          <w:tcPr>
            <w:tcW w:w="1468" w:type="dxa"/>
            <w:tcBorders>
              <w:top w:val="nil"/>
              <w:left w:val="nil"/>
              <w:bottom w:val="single" w:sz="4" w:space="0" w:color="000000"/>
              <w:right w:val="single" w:sz="4" w:space="0" w:color="000000"/>
            </w:tcBorders>
            <w:shd w:val="clear" w:color="FFFFFF" w:fill="FFFFFF"/>
            <w:noWrap/>
            <w:hideMark/>
          </w:tcPr>
          <w:p w:rsidR="00B92080" w:rsidRPr="002E2870" w:rsidRDefault="00B92080" w:rsidP="00DB5405">
            <w:pPr>
              <w:spacing w:line="276" w:lineRule="auto"/>
              <w:ind w:left="174"/>
              <w:jc w:val="right"/>
              <w:rPr>
                <w:rFonts w:ascii="Palatino Linotype" w:eastAsia="Times New Roman" w:hAnsi="Palatino Linotype"/>
                <w:sz w:val="20"/>
                <w:szCs w:val="20"/>
                <w:lang w:val="en-US" w:bidi="hi-IN"/>
              </w:rPr>
            </w:pPr>
            <w:r w:rsidRPr="002E2870">
              <w:rPr>
                <w:rFonts w:ascii="Palatino Linotype" w:eastAsia="Times New Roman" w:hAnsi="Palatino Linotype"/>
                <w:sz w:val="20"/>
                <w:szCs w:val="20"/>
                <w:lang w:val="en-US" w:bidi="hi-IN"/>
              </w:rPr>
              <w:t>3,94,29,369</w:t>
            </w:r>
          </w:p>
        </w:tc>
        <w:tc>
          <w:tcPr>
            <w:tcW w:w="1245" w:type="dxa"/>
            <w:tcBorders>
              <w:top w:val="nil"/>
              <w:left w:val="nil"/>
              <w:bottom w:val="single" w:sz="4" w:space="0" w:color="000000"/>
              <w:right w:val="single" w:sz="4" w:space="0" w:color="000000"/>
            </w:tcBorders>
            <w:shd w:val="clear" w:color="FFFFFF" w:fill="FFFFFF"/>
            <w:noWrap/>
            <w:hideMark/>
          </w:tcPr>
          <w:p w:rsidR="00B92080" w:rsidRPr="002E2870" w:rsidRDefault="00B92080" w:rsidP="00DB5405">
            <w:pPr>
              <w:spacing w:line="276" w:lineRule="auto"/>
              <w:ind w:left="174"/>
              <w:jc w:val="right"/>
              <w:rPr>
                <w:rFonts w:ascii="Palatino Linotype" w:eastAsia="Times New Roman" w:hAnsi="Palatino Linotype"/>
                <w:sz w:val="20"/>
                <w:szCs w:val="20"/>
                <w:lang w:val="en-US" w:bidi="hi-IN"/>
              </w:rPr>
            </w:pPr>
            <w:r w:rsidRPr="002E2870">
              <w:rPr>
                <w:rFonts w:ascii="Palatino Linotype" w:eastAsia="Times New Roman" w:hAnsi="Palatino Linotype"/>
                <w:sz w:val="20"/>
                <w:szCs w:val="20"/>
                <w:lang w:val="en-US" w:bidi="hi-IN"/>
              </w:rPr>
              <w:t>4,74,54,518</w:t>
            </w:r>
          </w:p>
        </w:tc>
        <w:tc>
          <w:tcPr>
            <w:tcW w:w="1355" w:type="dxa"/>
            <w:tcBorders>
              <w:top w:val="nil"/>
              <w:left w:val="nil"/>
              <w:bottom w:val="single" w:sz="4" w:space="0" w:color="000000"/>
              <w:right w:val="single" w:sz="4" w:space="0" w:color="000000"/>
            </w:tcBorders>
            <w:shd w:val="clear" w:color="auto" w:fill="auto"/>
            <w:noWrap/>
            <w:hideMark/>
          </w:tcPr>
          <w:p w:rsidR="00B92080" w:rsidRPr="002E2870" w:rsidRDefault="00B92080" w:rsidP="00DB5405">
            <w:pPr>
              <w:spacing w:line="276" w:lineRule="auto"/>
              <w:ind w:left="174"/>
              <w:jc w:val="right"/>
              <w:rPr>
                <w:rFonts w:ascii="Palatino Linotype" w:eastAsia="Times New Roman" w:hAnsi="Palatino Linotype"/>
                <w:sz w:val="20"/>
                <w:szCs w:val="20"/>
                <w:lang w:val="en-US" w:bidi="hi-IN"/>
              </w:rPr>
            </w:pPr>
            <w:r w:rsidRPr="002E2870">
              <w:rPr>
                <w:rFonts w:ascii="Palatino Linotype" w:eastAsia="Times New Roman" w:hAnsi="Palatino Linotype"/>
                <w:sz w:val="20"/>
                <w:szCs w:val="20"/>
                <w:lang w:val="en-US" w:bidi="hi-IN"/>
              </w:rPr>
              <w:t xml:space="preserve">20.35 </w:t>
            </w:r>
          </w:p>
        </w:tc>
      </w:tr>
      <w:tr w:rsidR="00B92080" w:rsidRPr="002E2870" w:rsidTr="00DB5405">
        <w:trPr>
          <w:trHeight w:val="275"/>
        </w:trPr>
        <w:tc>
          <w:tcPr>
            <w:tcW w:w="6665" w:type="dxa"/>
            <w:gridSpan w:val="4"/>
            <w:tcBorders>
              <w:top w:val="single" w:sz="4" w:space="0" w:color="000000"/>
              <w:left w:val="single" w:sz="4" w:space="0" w:color="000000"/>
              <w:bottom w:val="single" w:sz="4" w:space="0" w:color="000000"/>
              <w:right w:val="single" w:sz="4" w:space="0" w:color="000000"/>
            </w:tcBorders>
            <w:shd w:val="clear" w:color="C6E0B4" w:fill="C6E0B4"/>
            <w:noWrap/>
            <w:vAlign w:val="center"/>
            <w:hideMark/>
          </w:tcPr>
          <w:p w:rsidR="00B92080" w:rsidRPr="002E2870" w:rsidRDefault="00B92080" w:rsidP="00DB5405">
            <w:pPr>
              <w:spacing w:line="276" w:lineRule="auto"/>
              <w:rPr>
                <w:rFonts w:ascii="Palatino Linotype" w:eastAsia="Times New Roman" w:hAnsi="Palatino Linotype"/>
                <w:b/>
                <w:bCs/>
                <w:sz w:val="20"/>
                <w:szCs w:val="20"/>
                <w:lang w:val="en-US" w:bidi="hi-IN"/>
              </w:rPr>
            </w:pPr>
            <w:r w:rsidRPr="002E2870">
              <w:rPr>
                <w:rFonts w:ascii="Palatino Linotype" w:eastAsia="Times New Roman" w:hAnsi="Palatino Linotype"/>
                <w:b/>
                <w:bCs/>
                <w:sz w:val="20"/>
                <w:szCs w:val="20"/>
                <w:lang w:val="en-US" w:bidi="hi-IN"/>
              </w:rPr>
              <w:t>Gross Turnover in Currency Derivatives Segment (</w:t>
            </w:r>
            <w:r w:rsidRPr="002E2870">
              <w:rPr>
                <w:rFonts w:ascii="Times New Roman" w:eastAsia="Times New Roman" w:hAnsi="Times New Roman"/>
                <w:b/>
                <w:bCs/>
                <w:sz w:val="20"/>
                <w:szCs w:val="20"/>
                <w:lang w:val="en-US" w:bidi="hi-IN"/>
              </w:rPr>
              <w:t>₹</w:t>
            </w:r>
            <w:r w:rsidRPr="002E2870">
              <w:rPr>
                <w:rFonts w:ascii="Palatino Linotype" w:eastAsia="Times New Roman" w:hAnsi="Palatino Linotype"/>
                <w:b/>
                <w:bCs/>
                <w:sz w:val="20"/>
                <w:szCs w:val="20"/>
                <w:lang w:val="en-US" w:bidi="hi-IN"/>
              </w:rPr>
              <w:t xml:space="preserve"> crore)</w:t>
            </w:r>
          </w:p>
        </w:tc>
      </w:tr>
      <w:tr w:rsidR="00B92080" w:rsidRPr="002E2870" w:rsidTr="00DB5405">
        <w:trPr>
          <w:trHeight w:val="275"/>
        </w:trPr>
        <w:tc>
          <w:tcPr>
            <w:tcW w:w="2597" w:type="dxa"/>
            <w:tcBorders>
              <w:top w:val="nil"/>
              <w:left w:val="single" w:sz="4" w:space="0" w:color="000000"/>
              <w:bottom w:val="single" w:sz="4" w:space="0" w:color="000000"/>
              <w:right w:val="single" w:sz="4" w:space="0" w:color="000000"/>
            </w:tcBorders>
            <w:shd w:val="clear" w:color="auto" w:fill="auto"/>
            <w:noWrap/>
          </w:tcPr>
          <w:p w:rsidR="00B92080" w:rsidRPr="002E2870" w:rsidRDefault="00B92080" w:rsidP="00DB5405">
            <w:pPr>
              <w:spacing w:line="276" w:lineRule="auto"/>
              <w:ind w:left="174"/>
              <w:rPr>
                <w:rFonts w:ascii="Palatino Linotype" w:eastAsia="Times New Roman" w:hAnsi="Palatino Linotype"/>
                <w:sz w:val="20"/>
                <w:szCs w:val="20"/>
                <w:lang w:val="en-US" w:bidi="hi-IN"/>
              </w:rPr>
            </w:pPr>
            <w:r w:rsidRPr="002E2870">
              <w:rPr>
                <w:rFonts w:ascii="Palatino Linotype" w:eastAsia="Times New Roman" w:hAnsi="Palatino Linotype"/>
                <w:sz w:val="20"/>
                <w:szCs w:val="20"/>
                <w:lang w:val="en-US" w:bidi="hi-IN"/>
              </w:rPr>
              <w:t xml:space="preserve">BSE </w:t>
            </w:r>
          </w:p>
        </w:tc>
        <w:tc>
          <w:tcPr>
            <w:tcW w:w="1468" w:type="dxa"/>
            <w:tcBorders>
              <w:top w:val="nil"/>
              <w:left w:val="nil"/>
              <w:bottom w:val="single" w:sz="4" w:space="0" w:color="000000"/>
              <w:right w:val="single" w:sz="4" w:space="0" w:color="000000"/>
            </w:tcBorders>
            <w:shd w:val="clear" w:color="FFFFFF" w:fill="FFFFFF"/>
            <w:noWrap/>
          </w:tcPr>
          <w:p w:rsidR="00B92080" w:rsidRPr="002E2870" w:rsidRDefault="00B92080" w:rsidP="00DB5405">
            <w:pPr>
              <w:spacing w:line="276" w:lineRule="auto"/>
              <w:ind w:left="174"/>
              <w:jc w:val="right"/>
              <w:rPr>
                <w:rFonts w:ascii="Palatino Linotype" w:eastAsia="Times New Roman" w:hAnsi="Palatino Linotype"/>
                <w:sz w:val="20"/>
                <w:szCs w:val="20"/>
                <w:lang w:val="en-US" w:bidi="hi-IN"/>
              </w:rPr>
            </w:pPr>
            <w:r w:rsidRPr="002E2870">
              <w:rPr>
                <w:rFonts w:ascii="Palatino Linotype" w:eastAsia="Times New Roman" w:hAnsi="Palatino Linotype"/>
                <w:sz w:val="20"/>
                <w:szCs w:val="20"/>
                <w:lang w:val="en-US" w:bidi="hi-IN"/>
              </w:rPr>
              <w:t>4,51,790</w:t>
            </w:r>
          </w:p>
        </w:tc>
        <w:tc>
          <w:tcPr>
            <w:tcW w:w="1245" w:type="dxa"/>
            <w:tcBorders>
              <w:top w:val="nil"/>
              <w:left w:val="nil"/>
              <w:bottom w:val="single" w:sz="4" w:space="0" w:color="000000"/>
              <w:right w:val="single" w:sz="4" w:space="0" w:color="000000"/>
            </w:tcBorders>
            <w:shd w:val="clear" w:color="FFFFFF" w:fill="FFFFFF"/>
            <w:noWrap/>
          </w:tcPr>
          <w:p w:rsidR="00B92080" w:rsidRPr="002E2870" w:rsidRDefault="00B92080" w:rsidP="00DB5405">
            <w:pPr>
              <w:spacing w:line="276" w:lineRule="auto"/>
              <w:ind w:left="174"/>
              <w:jc w:val="right"/>
              <w:rPr>
                <w:rFonts w:ascii="Palatino Linotype" w:eastAsia="Times New Roman" w:hAnsi="Palatino Linotype"/>
                <w:sz w:val="20"/>
                <w:szCs w:val="20"/>
                <w:lang w:val="en-US" w:bidi="hi-IN"/>
              </w:rPr>
            </w:pPr>
            <w:r w:rsidRPr="002E2870">
              <w:rPr>
                <w:rFonts w:ascii="Palatino Linotype" w:eastAsia="Times New Roman" w:hAnsi="Palatino Linotype"/>
                <w:sz w:val="20"/>
                <w:szCs w:val="20"/>
                <w:lang w:val="en-US" w:bidi="hi-IN"/>
              </w:rPr>
              <w:t>4,29,477</w:t>
            </w:r>
          </w:p>
        </w:tc>
        <w:tc>
          <w:tcPr>
            <w:tcW w:w="1355" w:type="dxa"/>
            <w:tcBorders>
              <w:top w:val="nil"/>
              <w:left w:val="nil"/>
              <w:bottom w:val="single" w:sz="4" w:space="0" w:color="000000"/>
              <w:right w:val="single" w:sz="4" w:space="0" w:color="000000"/>
            </w:tcBorders>
            <w:shd w:val="clear" w:color="auto" w:fill="auto"/>
            <w:noWrap/>
          </w:tcPr>
          <w:p w:rsidR="00B92080" w:rsidRPr="002E2870" w:rsidRDefault="00B92080" w:rsidP="00DB5405">
            <w:pPr>
              <w:spacing w:line="276" w:lineRule="auto"/>
              <w:ind w:left="174"/>
              <w:jc w:val="right"/>
              <w:rPr>
                <w:rFonts w:ascii="Palatino Linotype" w:eastAsia="Times New Roman" w:hAnsi="Palatino Linotype"/>
                <w:sz w:val="20"/>
                <w:szCs w:val="20"/>
                <w:lang w:val="en-US" w:bidi="hi-IN"/>
              </w:rPr>
            </w:pPr>
            <w:r w:rsidRPr="002E2870">
              <w:rPr>
                <w:rFonts w:ascii="Palatino Linotype" w:eastAsia="Times New Roman" w:hAnsi="Palatino Linotype"/>
                <w:sz w:val="20"/>
                <w:szCs w:val="20"/>
                <w:lang w:val="en-US" w:bidi="hi-IN"/>
              </w:rPr>
              <w:t xml:space="preserve">-4.94 </w:t>
            </w:r>
          </w:p>
        </w:tc>
      </w:tr>
      <w:tr w:rsidR="00B92080" w:rsidRPr="002E2870" w:rsidTr="00DB5405">
        <w:trPr>
          <w:trHeight w:val="275"/>
        </w:trPr>
        <w:tc>
          <w:tcPr>
            <w:tcW w:w="2597" w:type="dxa"/>
            <w:tcBorders>
              <w:top w:val="nil"/>
              <w:left w:val="single" w:sz="4" w:space="0" w:color="000000"/>
              <w:bottom w:val="single" w:sz="4" w:space="0" w:color="000000"/>
              <w:right w:val="single" w:sz="4" w:space="0" w:color="000000"/>
            </w:tcBorders>
            <w:shd w:val="clear" w:color="auto" w:fill="auto"/>
            <w:noWrap/>
          </w:tcPr>
          <w:p w:rsidR="00B92080" w:rsidRPr="002E2870" w:rsidRDefault="00B92080" w:rsidP="00DB5405">
            <w:pPr>
              <w:spacing w:line="276" w:lineRule="auto"/>
              <w:ind w:left="174"/>
              <w:rPr>
                <w:rFonts w:ascii="Palatino Linotype" w:eastAsia="Times New Roman" w:hAnsi="Palatino Linotype"/>
                <w:sz w:val="20"/>
                <w:szCs w:val="20"/>
                <w:lang w:val="en-US" w:bidi="hi-IN"/>
              </w:rPr>
            </w:pPr>
            <w:r w:rsidRPr="002E2870">
              <w:rPr>
                <w:rFonts w:ascii="Palatino Linotype" w:eastAsia="Times New Roman" w:hAnsi="Palatino Linotype"/>
                <w:sz w:val="20"/>
                <w:szCs w:val="20"/>
                <w:lang w:val="en-US" w:bidi="hi-IN"/>
              </w:rPr>
              <w:t>NSE</w:t>
            </w:r>
          </w:p>
        </w:tc>
        <w:tc>
          <w:tcPr>
            <w:tcW w:w="1468" w:type="dxa"/>
            <w:tcBorders>
              <w:top w:val="nil"/>
              <w:left w:val="nil"/>
              <w:bottom w:val="single" w:sz="4" w:space="0" w:color="000000"/>
              <w:right w:val="single" w:sz="4" w:space="0" w:color="000000"/>
            </w:tcBorders>
            <w:shd w:val="clear" w:color="FFFFFF" w:fill="FFFFFF"/>
            <w:noWrap/>
          </w:tcPr>
          <w:p w:rsidR="00B92080" w:rsidRPr="002E2870" w:rsidRDefault="00B92080" w:rsidP="00DB5405">
            <w:pPr>
              <w:spacing w:line="276" w:lineRule="auto"/>
              <w:ind w:left="174"/>
              <w:jc w:val="right"/>
              <w:rPr>
                <w:rFonts w:ascii="Palatino Linotype" w:eastAsia="Times New Roman" w:hAnsi="Palatino Linotype"/>
                <w:sz w:val="20"/>
                <w:szCs w:val="20"/>
                <w:lang w:val="en-US" w:bidi="hi-IN"/>
              </w:rPr>
            </w:pPr>
            <w:r w:rsidRPr="002E2870">
              <w:rPr>
                <w:rFonts w:ascii="Palatino Linotype" w:eastAsia="Times New Roman" w:hAnsi="Palatino Linotype"/>
                <w:sz w:val="20"/>
                <w:szCs w:val="20"/>
                <w:lang w:val="en-US" w:bidi="hi-IN"/>
              </w:rPr>
              <w:t>9,76,864</w:t>
            </w:r>
          </w:p>
        </w:tc>
        <w:tc>
          <w:tcPr>
            <w:tcW w:w="1245" w:type="dxa"/>
            <w:tcBorders>
              <w:top w:val="nil"/>
              <w:left w:val="nil"/>
              <w:bottom w:val="single" w:sz="4" w:space="0" w:color="000000"/>
              <w:right w:val="single" w:sz="4" w:space="0" w:color="000000"/>
            </w:tcBorders>
            <w:shd w:val="clear" w:color="FFFFFF" w:fill="FFFFFF"/>
            <w:noWrap/>
          </w:tcPr>
          <w:p w:rsidR="00B92080" w:rsidRPr="002E2870" w:rsidRDefault="00B92080" w:rsidP="00DB5405">
            <w:pPr>
              <w:spacing w:line="276" w:lineRule="auto"/>
              <w:ind w:left="174"/>
              <w:jc w:val="right"/>
              <w:rPr>
                <w:rFonts w:ascii="Palatino Linotype" w:eastAsia="Times New Roman" w:hAnsi="Palatino Linotype"/>
                <w:sz w:val="20"/>
                <w:szCs w:val="20"/>
                <w:lang w:val="en-US" w:bidi="hi-IN"/>
              </w:rPr>
            </w:pPr>
            <w:r w:rsidRPr="002E2870">
              <w:rPr>
                <w:rFonts w:ascii="Palatino Linotype" w:eastAsia="Times New Roman" w:hAnsi="Palatino Linotype"/>
                <w:sz w:val="20"/>
                <w:szCs w:val="20"/>
                <w:lang w:val="en-US" w:bidi="hi-IN"/>
              </w:rPr>
              <w:t>11,20,074</w:t>
            </w:r>
          </w:p>
        </w:tc>
        <w:tc>
          <w:tcPr>
            <w:tcW w:w="1355" w:type="dxa"/>
            <w:tcBorders>
              <w:top w:val="nil"/>
              <w:left w:val="nil"/>
              <w:bottom w:val="single" w:sz="4" w:space="0" w:color="000000"/>
              <w:right w:val="single" w:sz="4" w:space="0" w:color="000000"/>
            </w:tcBorders>
            <w:shd w:val="clear" w:color="auto" w:fill="auto"/>
            <w:noWrap/>
          </w:tcPr>
          <w:p w:rsidR="00B92080" w:rsidRPr="002E2870" w:rsidRDefault="00B92080" w:rsidP="00DB5405">
            <w:pPr>
              <w:spacing w:line="276" w:lineRule="auto"/>
              <w:ind w:left="174"/>
              <w:jc w:val="right"/>
              <w:rPr>
                <w:rFonts w:ascii="Palatino Linotype" w:eastAsia="Times New Roman" w:hAnsi="Palatino Linotype"/>
                <w:sz w:val="20"/>
                <w:szCs w:val="20"/>
                <w:lang w:val="en-US" w:bidi="hi-IN"/>
              </w:rPr>
            </w:pPr>
            <w:r w:rsidRPr="002E2870">
              <w:rPr>
                <w:rFonts w:ascii="Palatino Linotype" w:eastAsia="Times New Roman" w:hAnsi="Palatino Linotype"/>
                <w:sz w:val="20"/>
                <w:szCs w:val="20"/>
                <w:lang w:val="en-US" w:bidi="hi-IN"/>
              </w:rPr>
              <w:t xml:space="preserve">14.66 </w:t>
            </w:r>
          </w:p>
        </w:tc>
      </w:tr>
      <w:tr w:rsidR="00B92080" w:rsidRPr="002E2870" w:rsidTr="00DB5405">
        <w:trPr>
          <w:trHeight w:val="275"/>
        </w:trPr>
        <w:tc>
          <w:tcPr>
            <w:tcW w:w="2597" w:type="dxa"/>
            <w:tcBorders>
              <w:top w:val="nil"/>
              <w:left w:val="single" w:sz="4" w:space="0" w:color="000000"/>
              <w:bottom w:val="single" w:sz="4" w:space="0" w:color="000000"/>
              <w:right w:val="single" w:sz="4" w:space="0" w:color="000000"/>
            </w:tcBorders>
            <w:shd w:val="clear" w:color="auto" w:fill="auto"/>
            <w:noWrap/>
          </w:tcPr>
          <w:p w:rsidR="00B92080" w:rsidRPr="002E2870" w:rsidRDefault="00B92080" w:rsidP="00DB5405">
            <w:pPr>
              <w:spacing w:line="276" w:lineRule="auto"/>
              <w:ind w:left="174"/>
              <w:rPr>
                <w:rFonts w:ascii="Palatino Linotype" w:eastAsia="Times New Roman" w:hAnsi="Palatino Linotype"/>
                <w:sz w:val="20"/>
                <w:szCs w:val="20"/>
                <w:lang w:val="en-US" w:bidi="hi-IN"/>
              </w:rPr>
            </w:pPr>
            <w:r w:rsidRPr="002E2870">
              <w:rPr>
                <w:rFonts w:ascii="Palatino Linotype" w:eastAsia="Times New Roman" w:hAnsi="Palatino Linotype"/>
                <w:sz w:val="20"/>
                <w:szCs w:val="20"/>
                <w:lang w:val="en-US" w:bidi="hi-IN"/>
              </w:rPr>
              <w:t>MSEI</w:t>
            </w:r>
          </w:p>
        </w:tc>
        <w:tc>
          <w:tcPr>
            <w:tcW w:w="1468" w:type="dxa"/>
            <w:tcBorders>
              <w:top w:val="nil"/>
              <w:left w:val="nil"/>
              <w:bottom w:val="single" w:sz="4" w:space="0" w:color="000000"/>
              <w:right w:val="single" w:sz="4" w:space="0" w:color="000000"/>
            </w:tcBorders>
            <w:shd w:val="clear" w:color="FFFFFF" w:fill="FFFFFF"/>
            <w:noWrap/>
          </w:tcPr>
          <w:p w:rsidR="00B92080" w:rsidRPr="002E2870" w:rsidRDefault="00B92080" w:rsidP="00DB5405">
            <w:pPr>
              <w:spacing w:line="276" w:lineRule="auto"/>
              <w:ind w:left="174"/>
              <w:jc w:val="right"/>
              <w:rPr>
                <w:rFonts w:ascii="Palatino Linotype" w:eastAsia="Times New Roman" w:hAnsi="Palatino Linotype"/>
                <w:sz w:val="20"/>
                <w:szCs w:val="20"/>
                <w:lang w:val="en-US" w:bidi="hi-IN"/>
              </w:rPr>
            </w:pPr>
            <w:r w:rsidRPr="002E2870">
              <w:rPr>
                <w:rFonts w:ascii="Palatino Linotype" w:eastAsia="Times New Roman" w:hAnsi="Palatino Linotype"/>
                <w:sz w:val="20"/>
                <w:szCs w:val="20"/>
                <w:lang w:val="en-US" w:bidi="hi-IN"/>
              </w:rPr>
              <w:t>5,291</w:t>
            </w:r>
          </w:p>
        </w:tc>
        <w:tc>
          <w:tcPr>
            <w:tcW w:w="1245" w:type="dxa"/>
            <w:tcBorders>
              <w:top w:val="nil"/>
              <w:left w:val="nil"/>
              <w:bottom w:val="single" w:sz="4" w:space="0" w:color="000000"/>
              <w:right w:val="single" w:sz="4" w:space="0" w:color="000000"/>
            </w:tcBorders>
            <w:shd w:val="clear" w:color="FFFFFF" w:fill="FFFFFF"/>
            <w:noWrap/>
          </w:tcPr>
          <w:p w:rsidR="00B92080" w:rsidRPr="002E2870" w:rsidRDefault="00B92080" w:rsidP="00DB5405">
            <w:pPr>
              <w:spacing w:line="276" w:lineRule="auto"/>
              <w:ind w:left="174"/>
              <w:jc w:val="right"/>
              <w:rPr>
                <w:rFonts w:ascii="Palatino Linotype" w:eastAsia="Times New Roman" w:hAnsi="Palatino Linotype"/>
                <w:sz w:val="20"/>
                <w:szCs w:val="20"/>
                <w:lang w:val="en-US" w:bidi="hi-IN"/>
              </w:rPr>
            </w:pPr>
            <w:r w:rsidRPr="002E2870">
              <w:rPr>
                <w:rFonts w:ascii="Palatino Linotype" w:eastAsia="Times New Roman" w:hAnsi="Palatino Linotype"/>
                <w:sz w:val="20"/>
                <w:szCs w:val="20"/>
                <w:lang w:val="en-US" w:bidi="hi-IN"/>
              </w:rPr>
              <w:t>6,889</w:t>
            </w:r>
          </w:p>
        </w:tc>
        <w:tc>
          <w:tcPr>
            <w:tcW w:w="1355" w:type="dxa"/>
            <w:tcBorders>
              <w:top w:val="nil"/>
              <w:left w:val="nil"/>
              <w:bottom w:val="single" w:sz="4" w:space="0" w:color="000000"/>
              <w:right w:val="single" w:sz="4" w:space="0" w:color="000000"/>
            </w:tcBorders>
            <w:shd w:val="clear" w:color="auto" w:fill="auto"/>
            <w:noWrap/>
          </w:tcPr>
          <w:p w:rsidR="00B92080" w:rsidRPr="002E2870" w:rsidRDefault="00B92080" w:rsidP="00DB5405">
            <w:pPr>
              <w:spacing w:line="276" w:lineRule="auto"/>
              <w:ind w:left="174"/>
              <w:jc w:val="right"/>
              <w:rPr>
                <w:rFonts w:ascii="Palatino Linotype" w:eastAsia="Times New Roman" w:hAnsi="Palatino Linotype"/>
                <w:sz w:val="20"/>
                <w:szCs w:val="20"/>
                <w:lang w:val="en-US" w:bidi="hi-IN"/>
              </w:rPr>
            </w:pPr>
            <w:r w:rsidRPr="002E2870">
              <w:rPr>
                <w:rFonts w:ascii="Palatino Linotype" w:eastAsia="Times New Roman" w:hAnsi="Palatino Linotype"/>
                <w:sz w:val="20"/>
                <w:szCs w:val="20"/>
                <w:lang w:val="en-US" w:bidi="hi-IN"/>
              </w:rPr>
              <w:t xml:space="preserve">30.19 </w:t>
            </w:r>
          </w:p>
        </w:tc>
      </w:tr>
      <w:tr w:rsidR="00B92080" w:rsidRPr="002E2870" w:rsidTr="00DB5405">
        <w:trPr>
          <w:trHeight w:val="275"/>
        </w:trPr>
        <w:tc>
          <w:tcPr>
            <w:tcW w:w="6665" w:type="dxa"/>
            <w:gridSpan w:val="4"/>
            <w:tcBorders>
              <w:top w:val="single" w:sz="4" w:space="0" w:color="000000"/>
              <w:left w:val="single" w:sz="4" w:space="0" w:color="000000"/>
              <w:bottom w:val="single" w:sz="4" w:space="0" w:color="000000"/>
              <w:right w:val="single" w:sz="4" w:space="0" w:color="000000"/>
            </w:tcBorders>
            <w:shd w:val="clear" w:color="C6E0B4" w:fill="C6E0B4"/>
            <w:noWrap/>
            <w:vAlign w:val="center"/>
            <w:hideMark/>
          </w:tcPr>
          <w:p w:rsidR="00B92080" w:rsidRPr="002E2870" w:rsidRDefault="00B92080" w:rsidP="00DB5405">
            <w:pPr>
              <w:spacing w:line="276" w:lineRule="auto"/>
              <w:rPr>
                <w:rFonts w:ascii="Palatino Linotype" w:eastAsia="Times New Roman" w:hAnsi="Palatino Linotype"/>
                <w:b/>
                <w:bCs/>
                <w:sz w:val="20"/>
                <w:szCs w:val="20"/>
                <w:lang w:val="en-US" w:bidi="hi-IN"/>
              </w:rPr>
            </w:pPr>
            <w:r w:rsidRPr="002E2870">
              <w:rPr>
                <w:rFonts w:ascii="Palatino Linotype" w:eastAsia="Times New Roman" w:hAnsi="Palatino Linotype"/>
                <w:b/>
                <w:bCs/>
                <w:sz w:val="20"/>
                <w:szCs w:val="20"/>
                <w:lang w:val="en-US" w:bidi="hi-IN"/>
              </w:rPr>
              <w:t>Gross Turnover in Interest Rate Derivatives Segment (</w:t>
            </w:r>
            <w:r w:rsidRPr="002E2870">
              <w:rPr>
                <w:rFonts w:ascii="Times New Roman" w:eastAsia="Times New Roman" w:hAnsi="Times New Roman"/>
                <w:b/>
                <w:bCs/>
                <w:sz w:val="20"/>
                <w:szCs w:val="20"/>
                <w:lang w:val="en-US" w:bidi="hi-IN"/>
              </w:rPr>
              <w:t>₹</w:t>
            </w:r>
            <w:r w:rsidRPr="002E2870">
              <w:rPr>
                <w:rFonts w:ascii="Palatino Linotype" w:eastAsia="Times New Roman" w:hAnsi="Palatino Linotype"/>
                <w:b/>
                <w:bCs/>
                <w:sz w:val="20"/>
                <w:szCs w:val="20"/>
                <w:lang w:val="en-US" w:bidi="hi-IN"/>
              </w:rPr>
              <w:t xml:space="preserve"> crore)</w:t>
            </w:r>
          </w:p>
        </w:tc>
      </w:tr>
      <w:tr w:rsidR="00B92080" w:rsidRPr="002E2870" w:rsidTr="00DB5405">
        <w:trPr>
          <w:trHeight w:val="275"/>
        </w:trPr>
        <w:tc>
          <w:tcPr>
            <w:tcW w:w="2597" w:type="dxa"/>
            <w:tcBorders>
              <w:top w:val="nil"/>
              <w:left w:val="single" w:sz="4" w:space="0" w:color="000000"/>
              <w:bottom w:val="single" w:sz="4" w:space="0" w:color="auto"/>
              <w:right w:val="single" w:sz="4" w:space="0" w:color="000000"/>
            </w:tcBorders>
            <w:shd w:val="clear" w:color="auto" w:fill="auto"/>
            <w:noWrap/>
            <w:vAlign w:val="bottom"/>
            <w:hideMark/>
          </w:tcPr>
          <w:p w:rsidR="00B92080" w:rsidRPr="002E2870" w:rsidRDefault="00B92080" w:rsidP="00DB5405">
            <w:pPr>
              <w:spacing w:line="276" w:lineRule="auto"/>
              <w:ind w:left="174"/>
              <w:rPr>
                <w:rFonts w:ascii="Palatino Linotype" w:eastAsia="Times New Roman" w:hAnsi="Palatino Linotype"/>
                <w:sz w:val="20"/>
                <w:szCs w:val="20"/>
                <w:lang w:val="en-US" w:bidi="hi-IN"/>
              </w:rPr>
            </w:pPr>
            <w:r w:rsidRPr="002E2870">
              <w:rPr>
                <w:rFonts w:ascii="Palatino Linotype" w:eastAsia="Times New Roman" w:hAnsi="Palatino Linotype"/>
                <w:sz w:val="20"/>
                <w:szCs w:val="20"/>
                <w:lang w:val="en-US" w:bidi="hi-IN"/>
              </w:rPr>
              <w:t xml:space="preserve">BSE </w:t>
            </w:r>
          </w:p>
        </w:tc>
        <w:tc>
          <w:tcPr>
            <w:tcW w:w="1468" w:type="dxa"/>
            <w:tcBorders>
              <w:top w:val="nil"/>
              <w:left w:val="nil"/>
              <w:bottom w:val="single" w:sz="4" w:space="0" w:color="auto"/>
              <w:right w:val="single" w:sz="4" w:space="0" w:color="000000"/>
            </w:tcBorders>
            <w:shd w:val="clear" w:color="FFFFFF" w:fill="FFFFFF"/>
            <w:noWrap/>
          </w:tcPr>
          <w:p w:rsidR="00B92080" w:rsidRPr="002E2870" w:rsidRDefault="00B92080" w:rsidP="00DB5405">
            <w:pPr>
              <w:spacing w:line="276" w:lineRule="auto"/>
              <w:ind w:left="174"/>
              <w:jc w:val="right"/>
              <w:rPr>
                <w:rFonts w:ascii="Palatino Linotype" w:eastAsia="Times New Roman" w:hAnsi="Palatino Linotype"/>
                <w:sz w:val="20"/>
                <w:szCs w:val="20"/>
                <w:lang w:val="en-US" w:bidi="hi-IN"/>
              </w:rPr>
            </w:pPr>
            <w:r w:rsidRPr="002E2870">
              <w:rPr>
                <w:rFonts w:ascii="Palatino Linotype" w:eastAsia="Times New Roman" w:hAnsi="Palatino Linotype"/>
                <w:sz w:val="20"/>
                <w:szCs w:val="20"/>
                <w:lang w:val="en-US" w:bidi="hi-IN"/>
              </w:rPr>
              <w:t>1,339</w:t>
            </w:r>
          </w:p>
        </w:tc>
        <w:tc>
          <w:tcPr>
            <w:tcW w:w="1245" w:type="dxa"/>
            <w:tcBorders>
              <w:top w:val="nil"/>
              <w:left w:val="nil"/>
              <w:bottom w:val="single" w:sz="4" w:space="0" w:color="auto"/>
              <w:right w:val="single" w:sz="4" w:space="0" w:color="000000"/>
            </w:tcBorders>
            <w:shd w:val="clear" w:color="FFFFFF" w:fill="FFFFFF"/>
            <w:noWrap/>
          </w:tcPr>
          <w:p w:rsidR="00B92080" w:rsidRPr="002E2870" w:rsidRDefault="00B92080" w:rsidP="00DB5405">
            <w:pPr>
              <w:spacing w:line="276" w:lineRule="auto"/>
              <w:ind w:left="174"/>
              <w:jc w:val="right"/>
              <w:rPr>
                <w:rFonts w:ascii="Palatino Linotype" w:eastAsia="Times New Roman" w:hAnsi="Palatino Linotype"/>
                <w:sz w:val="20"/>
                <w:szCs w:val="20"/>
                <w:lang w:val="en-US" w:bidi="hi-IN"/>
              </w:rPr>
            </w:pPr>
            <w:r w:rsidRPr="002E2870">
              <w:rPr>
                <w:rFonts w:ascii="Palatino Linotype" w:eastAsia="Times New Roman" w:hAnsi="Palatino Linotype"/>
                <w:sz w:val="20"/>
                <w:szCs w:val="20"/>
                <w:lang w:val="en-US" w:bidi="hi-IN"/>
              </w:rPr>
              <w:t>619</w:t>
            </w:r>
          </w:p>
        </w:tc>
        <w:tc>
          <w:tcPr>
            <w:tcW w:w="1355" w:type="dxa"/>
            <w:tcBorders>
              <w:top w:val="nil"/>
              <w:left w:val="nil"/>
              <w:bottom w:val="single" w:sz="4" w:space="0" w:color="auto"/>
              <w:right w:val="single" w:sz="4" w:space="0" w:color="000000"/>
            </w:tcBorders>
            <w:shd w:val="clear" w:color="auto" w:fill="auto"/>
            <w:noWrap/>
          </w:tcPr>
          <w:p w:rsidR="00B92080" w:rsidRPr="002E2870" w:rsidRDefault="00B92080" w:rsidP="00DB5405">
            <w:pPr>
              <w:spacing w:line="276" w:lineRule="auto"/>
              <w:ind w:left="174"/>
              <w:jc w:val="right"/>
              <w:rPr>
                <w:rFonts w:ascii="Palatino Linotype" w:eastAsia="Times New Roman" w:hAnsi="Palatino Linotype"/>
                <w:sz w:val="20"/>
                <w:szCs w:val="20"/>
                <w:lang w:val="en-US" w:bidi="hi-IN"/>
              </w:rPr>
            </w:pPr>
            <w:r w:rsidRPr="002E2870">
              <w:rPr>
                <w:rFonts w:ascii="Palatino Linotype" w:eastAsia="Times New Roman" w:hAnsi="Palatino Linotype"/>
                <w:sz w:val="20"/>
                <w:szCs w:val="20"/>
                <w:lang w:val="en-US" w:bidi="hi-IN"/>
              </w:rPr>
              <w:t xml:space="preserve">-53.80 </w:t>
            </w:r>
          </w:p>
        </w:tc>
      </w:tr>
      <w:tr w:rsidR="00B92080" w:rsidRPr="002E2870" w:rsidTr="00DB5405">
        <w:trPr>
          <w:trHeight w:val="275"/>
        </w:trPr>
        <w:tc>
          <w:tcPr>
            <w:tcW w:w="259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B92080" w:rsidRPr="002E2870" w:rsidRDefault="00B92080" w:rsidP="00DB5405">
            <w:pPr>
              <w:spacing w:line="276" w:lineRule="auto"/>
              <w:ind w:left="174"/>
              <w:rPr>
                <w:rFonts w:ascii="Palatino Linotype" w:eastAsia="Times New Roman" w:hAnsi="Palatino Linotype"/>
                <w:sz w:val="20"/>
                <w:szCs w:val="20"/>
                <w:lang w:val="en-US" w:bidi="hi-IN"/>
              </w:rPr>
            </w:pPr>
            <w:r w:rsidRPr="002E2870">
              <w:rPr>
                <w:rFonts w:ascii="Palatino Linotype" w:eastAsia="Times New Roman" w:hAnsi="Palatino Linotype"/>
                <w:sz w:val="20"/>
                <w:szCs w:val="20"/>
                <w:lang w:val="en-US" w:bidi="hi-IN"/>
              </w:rPr>
              <w:t>NSE</w:t>
            </w:r>
          </w:p>
        </w:tc>
        <w:tc>
          <w:tcPr>
            <w:tcW w:w="1468" w:type="dxa"/>
            <w:tcBorders>
              <w:top w:val="single" w:sz="4" w:space="0" w:color="auto"/>
              <w:left w:val="single" w:sz="4" w:space="0" w:color="auto"/>
              <w:bottom w:val="single" w:sz="4" w:space="0" w:color="auto"/>
              <w:right w:val="single" w:sz="4" w:space="0" w:color="auto"/>
            </w:tcBorders>
            <w:shd w:val="clear" w:color="FFFFFF" w:fill="FFFFFF"/>
            <w:noWrap/>
          </w:tcPr>
          <w:p w:rsidR="00B92080" w:rsidRPr="002E2870" w:rsidRDefault="00B92080" w:rsidP="00DB5405">
            <w:pPr>
              <w:spacing w:line="276" w:lineRule="auto"/>
              <w:ind w:left="174"/>
              <w:jc w:val="right"/>
              <w:rPr>
                <w:rFonts w:ascii="Palatino Linotype" w:eastAsia="Times New Roman" w:hAnsi="Palatino Linotype"/>
                <w:sz w:val="20"/>
                <w:szCs w:val="20"/>
                <w:lang w:val="en-US" w:bidi="hi-IN"/>
              </w:rPr>
            </w:pPr>
            <w:r w:rsidRPr="002E2870">
              <w:rPr>
                <w:rFonts w:ascii="Palatino Linotype" w:eastAsia="Times New Roman" w:hAnsi="Palatino Linotype"/>
                <w:sz w:val="20"/>
                <w:szCs w:val="20"/>
                <w:lang w:val="en-US" w:bidi="hi-IN"/>
              </w:rPr>
              <w:t>8,836</w:t>
            </w:r>
          </w:p>
        </w:tc>
        <w:tc>
          <w:tcPr>
            <w:tcW w:w="1245" w:type="dxa"/>
            <w:tcBorders>
              <w:top w:val="single" w:sz="4" w:space="0" w:color="auto"/>
              <w:left w:val="single" w:sz="4" w:space="0" w:color="auto"/>
              <w:bottom w:val="single" w:sz="4" w:space="0" w:color="auto"/>
              <w:right w:val="single" w:sz="4" w:space="0" w:color="auto"/>
            </w:tcBorders>
            <w:shd w:val="clear" w:color="FFFFFF" w:fill="FFFFFF"/>
            <w:noWrap/>
          </w:tcPr>
          <w:p w:rsidR="00B92080" w:rsidRPr="002E2870" w:rsidRDefault="00B92080" w:rsidP="00DB5405">
            <w:pPr>
              <w:spacing w:line="276" w:lineRule="auto"/>
              <w:ind w:left="174"/>
              <w:jc w:val="right"/>
              <w:rPr>
                <w:rFonts w:ascii="Palatino Linotype" w:eastAsia="Times New Roman" w:hAnsi="Palatino Linotype"/>
                <w:sz w:val="20"/>
                <w:szCs w:val="20"/>
                <w:lang w:val="en-US" w:bidi="hi-IN"/>
              </w:rPr>
            </w:pPr>
            <w:r w:rsidRPr="002E2870">
              <w:rPr>
                <w:rFonts w:ascii="Palatino Linotype" w:eastAsia="Times New Roman" w:hAnsi="Palatino Linotype"/>
                <w:sz w:val="20"/>
                <w:szCs w:val="20"/>
                <w:lang w:val="en-US" w:bidi="hi-IN"/>
              </w:rPr>
              <w:t>7,968</w:t>
            </w:r>
          </w:p>
        </w:tc>
        <w:tc>
          <w:tcPr>
            <w:tcW w:w="1355" w:type="dxa"/>
            <w:tcBorders>
              <w:top w:val="single" w:sz="4" w:space="0" w:color="auto"/>
              <w:left w:val="single" w:sz="4" w:space="0" w:color="auto"/>
              <w:bottom w:val="single" w:sz="4" w:space="0" w:color="auto"/>
              <w:right w:val="single" w:sz="4" w:space="0" w:color="auto"/>
            </w:tcBorders>
            <w:shd w:val="clear" w:color="auto" w:fill="auto"/>
            <w:noWrap/>
          </w:tcPr>
          <w:p w:rsidR="00B92080" w:rsidRPr="002E2870" w:rsidRDefault="00B92080" w:rsidP="00DB5405">
            <w:pPr>
              <w:spacing w:line="276" w:lineRule="auto"/>
              <w:ind w:left="174"/>
              <w:jc w:val="right"/>
              <w:rPr>
                <w:rFonts w:ascii="Palatino Linotype" w:eastAsia="Times New Roman" w:hAnsi="Palatino Linotype"/>
                <w:sz w:val="20"/>
                <w:szCs w:val="20"/>
                <w:lang w:val="en-US" w:bidi="hi-IN"/>
              </w:rPr>
            </w:pPr>
            <w:r w:rsidRPr="002E2870">
              <w:rPr>
                <w:rFonts w:ascii="Palatino Linotype" w:eastAsia="Times New Roman" w:hAnsi="Palatino Linotype"/>
                <w:sz w:val="20"/>
                <w:szCs w:val="20"/>
                <w:lang w:val="en-US" w:bidi="hi-IN"/>
              </w:rPr>
              <w:t xml:space="preserve">-9.82 </w:t>
            </w:r>
          </w:p>
        </w:tc>
      </w:tr>
      <w:tr w:rsidR="00B92080" w:rsidRPr="002E2870" w:rsidTr="00DB5405">
        <w:trPr>
          <w:trHeight w:val="275"/>
        </w:trPr>
        <w:tc>
          <w:tcPr>
            <w:tcW w:w="6665" w:type="dxa"/>
            <w:gridSpan w:val="4"/>
            <w:tcBorders>
              <w:top w:val="single" w:sz="4" w:space="0" w:color="auto"/>
            </w:tcBorders>
            <w:shd w:val="clear" w:color="auto" w:fill="auto"/>
            <w:noWrap/>
            <w:vAlign w:val="bottom"/>
          </w:tcPr>
          <w:p w:rsidR="00B92080" w:rsidRPr="002E2870" w:rsidRDefault="00B92080" w:rsidP="00DB5405">
            <w:pPr>
              <w:spacing w:line="276" w:lineRule="auto"/>
              <w:jc w:val="both"/>
              <w:rPr>
                <w:rFonts w:ascii="Palatino Linotype" w:eastAsia="Palatino Linotype" w:hAnsi="Palatino Linotype" w:cs="Palatino Linotype"/>
                <w:sz w:val="18"/>
                <w:szCs w:val="18"/>
              </w:rPr>
            </w:pPr>
            <w:r w:rsidRPr="002E2870">
              <w:rPr>
                <w:rFonts w:ascii="Palatino Linotype" w:eastAsia="Palatino Linotype" w:hAnsi="Palatino Linotype" w:cs="Palatino Linotype"/>
                <w:sz w:val="18"/>
                <w:szCs w:val="18"/>
              </w:rPr>
              <w:t>Note : * Monthly P/E is calculated as average of daily P/Es of respective months.</w:t>
            </w:r>
          </w:p>
          <w:p w:rsidR="00B92080" w:rsidRPr="002E2870" w:rsidRDefault="00B92080" w:rsidP="00DB5405">
            <w:pPr>
              <w:spacing w:line="276" w:lineRule="auto"/>
              <w:jc w:val="both"/>
              <w:rPr>
                <w:rFonts w:ascii="Palatino Linotype" w:eastAsia="Palatino Linotype" w:hAnsi="Palatino Linotype" w:cs="Palatino Linotype"/>
                <w:b/>
                <w:sz w:val="20"/>
                <w:szCs w:val="20"/>
              </w:rPr>
            </w:pPr>
            <w:r w:rsidRPr="002E2870">
              <w:rPr>
                <w:rFonts w:ascii="Palatino Linotype" w:eastAsia="Palatino Linotype" w:hAnsi="Palatino Linotype" w:cs="Palatino Linotype"/>
                <w:b/>
                <w:sz w:val="18"/>
                <w:szCs w:val="18"/>
              </w:rPr>
              <w:t>Source: NSE, BSE and MSEI</w:t>
            </w:r>
          </w:p>
        </w:tc>
      </w:tr>
    </w:tbl>
    <w:p w:rsidR="00B92080" w:rsidRPr="002E2870" w:rsidRDefault="00B92080" w:rsidP="00B92080">
      <w:pPr>
        <w:spacing w:line="276" w:lineRule="auto"/>
        <w:rPr>
          <w:rFonts w:ascii="Palatino Linotype" w:eastAsia="Palatino Linotype" w:hAnsi="Palatino Linotype" w:cs="Palatino Linotype"/>
          <w:b/>
          <w:sz w:val="22"/>
          <w:szCs w:val="22"/>
          <w:highlight w:val="yellow"/>
        </w:rPr>
      </w:pPr>
      <w:r w:rsidRPr="002E2870">
        <w:rPr>
          <w:rFonts w:ascii="Palatino Linotype" w:eastAsia="Palatino Linotype" w:hAnsi="Palatino Linotype" w:cs="Palatino Linotype"/>
          <w:b/>
          <w:sz w:val="22"/>
          <w:szCs w:val="22"/>
          <w:highlight w:val="yellow"/>
        </w:rPr>
        <w:br w:type="page"/>
      </w:r>
    </w:p>
    <w:p w:rsidR="00B92080" w:rsidRPr="002E2870" w:rsidRDefault="00B92080" w:rsidP="00B92080">
      <w:pPr>
        <w:pBdr>
          <w:top w:val="nil"/>
          <w:left w:val="nil"/>
          <w:bottom w:val="nil"/>
          <w:right w:val="nil"/>
          <w:between w:val="nil"/>
        </w:pBdr>
        <w:spacing w:line="276" w:lineRule="auto"/>
        <w:ind w:left="720" w:hanging="720"/>
        <w:jc w:val="center"/>
        <w:rPr>
          <w:rFonts w:ascii="Palatino Linotype" w:eastAsia="Palatino Linotype" w:hAnsi="Palatino Linotype" w:cs="Palatino Linotype"/>
          <w:b/>
          <w:sz w:val="22"/>
          <w:szCs w:val="22"/>
        </w:rPr>
      </w:pPr>
      <w:r w:rsidRPr="002E2870">
        <w:rPr>
          <w:rFonts w:ascii="Palatino Linotype" w:eastAsia="Palatino Linotype" w:hAnsi="Palatino Linotype" w:cs="Palatino Linotype"/>
          <w:b/>
          <w:sz w:val="22"/>
          <w:szCs w:val="22"/>
        </w:rPr>
        <w:lastRenderedPageBreak/>
        <w:t>Figure 1: Movement of S&amp;P BSE Sensex and Nifty 50 during September 2020</w:t>
      </w:r>
    </w:p>
    <w:p w:rsidR="00B92080" w:rsidRPr="002E2870" w:rsidRDefault="00B92080" w:rsidP="00B92080">
      <w:pPr>
        <w:spacing w:line="276" w:lineRule="auto"/>
        <w:jc w:val="center"/>
        <w:rPr>
          <w:rFonts w:ascii="Palatino Linotype" w:eastAsia="Palatino Linotype" w:hAnsi="Palatino Linotype" w:cs="Palatino Linotype"/>
          <w:bCs/>
          <w:sz w:val="18"/>
          <w:szCs w:val="18"/>
        </w:rPr>
      </w:pPr>
      <w:r w:rsidRPr="002E2870">
        <w:rPr>
          <w:rFonts w:ascii="Palatino Linotype" w:hAnsi="Palatino Linotype"/>
          <w:noProof/>
          <w:lang w:val="en-IN" w:eastAsia="en-IN" w:bidi="hi-IN"/>
        </w:rPr>
        <w:drawing>
          <wp:inline distT="0" distB="0" distL="0" distR="0" wp14:anchorId="25C66C25" wp14:editId="482F8F39">
            <wp:extent cx="5155809" cy="2728595"/>
            <wp:effectExtent l="0" t="0" r="6985" b="14605"/>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rsidR="00B92080" w:rsidRPr="002E2870" w:rsidRDefault="00B92080" w:rsidP="00B92080">
      <w:pPr>
        <w:spacing w:line="276" w:lineRule="auto"/>
        <w:ind w:left="720"/>
        <w:rPr>
          <w:rFonts w:ascii="Palatino Linotype" w:eastAsia="Palatino Linotype" w:hAnsi="Palatino Linotype" w:cs="Palatino Linotype"/>
          <w:bCs/>
          <w:sz w:val="18"/>
          <w:szCs w:val="18"/>
        </w:rPr>
      </w:pPr>
      <w:r w:rsidRPr="002E2870">
        <w:rPr>
          <w:rFonts w:ascii="Palatino Linotype" w:eastAsia="Palatino Linotype" w:hAnsi="Palatino Linotype" w:cs="Palatino Linotype"/>
          <w:bCs/>
          <w:sz w:val="18"/>
          <w:szCs w:val="18"/>
        </w:rPr>
        <w:t xml:space="preserve">Note: The closing values of Nifty 50 and Sensex have been </w:t>
      </w:r>
      <w:r>
        <w:rPr>
          <w:rFonts w:ascii="Palatino Linotype" w:eastAsia="Palatino Linotype" w:hAnsi="Palatino Linotype" w:cs="Palatino Linotype"/>
          <w:bCs/>
          <w:sz w:val="18"/>
          <w:szCs w:val="18"/>
        </w:rPr>
        <w:t>rebased with respective closing values of first day of the month.</w:t>
      </w:r>
    </w:p>
    <w:p w:rsidR="00B92080" w:rsidRPr="002E2870" w:rsidRDefault="00B92080" w:rsidP="00B92080">
      <w:pPr>
        <w:spacing w:line="276" w:lineRule="auto"/>
        <w:rPr>
          <w:rFonts w:ascii="Palatino Linotype" w:eastAsia="Palatino Linotype" w:hAnsi="Palatino Linotype" w:cs="Palatino Linotype"/>
          <w:b/>
          <w:sz w:val="22"/>
          <w:szCs w:val="22"/>
          <w:highlight w:val="yellow"/>
        </w:rPr>
      </w:pPr>
    </w:p>
    <w:p w:rsidR="00B92080" w:rsidRPr="002E2870" w:rsidRDefault="00B92080" w:rsidP="00B92080">
      <w:pPr>
        <w:numPr>
          <w:ilvl w:val="0"/>
          <w:numId w:val="2"/>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2E2870">
        <w:rPr>
          <w:rFonts w:ascii="Palatino Linotype" w:eastAsia="Palatino Linotype" w:hAnsi="Palatino Linotype" w:cs="Palatino Linotype"/>
          <w:sz w:val="22"/>
          <w:szCs w:val="22"/>
        </w:rPr>
        <w:t xml:space="preserve">The market capitalisation of BSE and NSE registered an increase of 0.96 per cent and 0.46 per cent, respectively, over the level at the end of last month.  </w:t>
      </w:r>
    </w:p>
    <w:p w:rsidR="00B92080" w:rsidRPr="002E2870" w:rsidRDefault="00B92080" w:rsidP="00B92080">
      <w:pPr>
        <w:pBdr>
          <w:top w:val="nil"/>
          <w:left w:val="nil"/>
          <w:bottom w:val="nil"/>
          <w:right w:val="nil"/>
          <w:between w:val="nil"/>
        </w:pBdr>
        <w:spacing w:line="276" w:lineRule="auto"/>
        <w:jc w:val="both"/>
        <w:rPr>
          <w:rFonts w:ascii="Palatino Linotype" w:eastAsia="Palatino Linotype" w:hAnsi="Palatino Linotype" w:cs="Palatino Linotype"/>
          <w:sz w:val="22"/>
          <w:szCs w:val="22"/>
          <w:highlight w:val="yellow"/>
        </w:rPr>
      </w:pPr>
    </w:p>
    <w:p w:rsidR="00B92080" w:rsidRPr="002E2870" w:rsidRDefault="00B92080" w:rsidP="00B92080">
      <w:pPr>
        <w:pBdr>
          <w:top w:val="nil"/>
          <w:left w:val="nil"/>
          <w:bottom w:val="nil"/>
          <w:right w:val="nil"/>
          <w:between w:val="nil"/>
        </w:pBdr>
        <w:spacing w:line="276" w:lineRule="auto"/>
        <w:ind w:left="720" w:hanging="720"/>
        <w:jc w:val="center"/>
        <w:rPr>
          <w:rFonts w:ascii="Palatino Linotype" w:eastAsia="Palatino Linotype" w:hAnsi="Palatino Linotype" w:cs="Palatino Linotype"/>
          <w:b/>
          <w:sz w:val="22"/>
          <w:szCs w:val="22"/>
        </w:rPr>
      </w:pPr>
      <w:r w:rsidRPr="002E2870">
        <w:rPr>
          <w:rFonts w:ascii="Palatino Linotype" w:eastAsia="Palatino Linotype" w:hAnsi="Palatino Linotype" w:cs="Palatino Linotype"/>
          <w:b/>
          <w:sz w:val="22"/>
          <w:szCs w:val="22"/>
        </w:rPr>
        <w:t>Figure 2: Trends in Average Daily Values of Nifty 50 and NSE Equity Cash Segment Turnover</w:t>
      </w:r>
    </w:p>
    <w:p w:rsidR="00B92080" w:rsidRPr="002E2870" w:rsidRDefault="00B92080" w:rsidP="00B92080">
      <w:pPr>
        <w:pBdr>
          <w:top w:val="nil"/>
          <w:left w:val="nil"/>
          <w:bottom w:val="nil"/>
          <w:right w:val="nil"/>
          <w:between w:val="nil"/>
        </w:pBdr>
        <w:spacing w:line="276" w:lineRule="auto"/>
        <w:ind w:left="720" w:hanging="720"/>
        <w:jc w:val="center"/>
        <w:rPr>
          <w:rFonts w:ascii="Palatino Linotype" w:eastAsia="Palatino Linotype" w:hAnsi="Palatino Linotype" w:cs="Palatino Linotype"/>
          <w:sz w:val="22"/>
          <w:szCs w:val="22"/>
          <w:highlight w:val="yellow"/>
        </w:rPr>
      </w:pPr>
      <w:r w:rsidRPr="002E2870">
        <w:rPr>
          <w:rFonts w:ascii="Palatino Linotype" w:hAnsi="Palatino Linotype"/>
          <w:noProof/>
          <w:lang w:val="en-IN" w:eastAsia="en-IN" w:bidi="hi-IN"/>
        </w:rPr>
        <w:drawing>
          <wp:inline distT="0" distB="0" distL="0" distR="0" wp14:anchorId="639657FE" wp14:editId="19BAA6C2">
            <wp:extent cx="6100970" cy="2696027"/>
            <wp:effectExtent l="0" t="0" r="14605" b="9525"/>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rsidR="00B92080" w:rsidRPr="002E2870" w:rsidRDefault="00B92080" w:rsidP="00B92080">
      <w:pPr>
        <w:pBdr>
          <w:top w:val="nil"/>
          <w:left w:val="nil"/>
          <w:bottom w:val="nil"/>
          <w:right w:val="nil"/>
          <w:between w:val="nil"/>
        </w:pBdr>
        <w:spacing w:line="276" w:lineRule="auto"/>
        <w:ind w:hanging="720"/>
        <w:jc w:val="center"/>
        <w:rPr>
          <w:rFonts w:ascii="Palatino Linotype" w:eastAsia="Palatino Linotype" w:hAnsi="Palatino Linotype" w:cs="Palatino Linotype"/>
          <w:sz w:val="22"/>
          <w:szCs w:val="22"/>
          <w:highlight w:val="yellow"/>
        </w:rPr>
      </w:pPr>
    </w:p>
    <w:p w:rsidR="00B92080" w:rsidRPr="002E2870" w:rsidRDefault="00B92080" w:rsidP="00B92080">
      <w:pPr>
        <w:numPr>
          <w:ilvl w:val="0"/>
          <w:numId w:val="4"/>
        </w:numPr>
        <w:pBdr>
          <w:top w:val="nil"/>
          <w:left w:val="nil"/>
          <w:bottom w:val="nil"/>
          <w:right w:val="nil"/>
          <w:between w:val="nil"/>
        </w:pBdr>
        <w:spacing w:line="276" w:lineRule="auto"/>
        <w:ind w:left="567" w:hanging="567"/>
        <w:jc w:val="both"/>
        <w:rPr>
          <w:rFonts w:ascii="Palatino Linotype" w:eastAsia="Palatino Linotype" w:hAnsi="Palatino Linotype" w:cs="Palatino Linotype"/>
          <w:b/>
          <w:sz w:val="22"/>
          <w:szCs w:val="22"/>
        </w:rPr>
      </w:pPr>
      <w:r w:rsidRPr="002E2870">
        <w:rPr>
          <w:rFonts w:ascii="Palatino Linotype" w:eastAsia="Palatino Linotype" w:hAnsi="Palatino Linotype" w:cs="Palatino Linotype"/>
          <w:sz w:val="22"/>
          <w:szCs w:val="22"/>
        </w:rPr>
        <w:t xml:space="preserve">During September 2020, the gross turnover in the equity cash segments, both at BSE and NSE, declined by 24.8 per cent and 4.6 per cent, respectively. </w:t>
      </w:r>
    </w:p>
    <w:p w:rsidR="00B92080" w:rsidRPr="002E2870" w:rsidRDefault="00B92080" w:rsidP="00B92080">
      <w:pPr>
        <w:spacing w:line="276" w:lineRule="auto"/>
        <w:rPr>
          <w:rFonts w:ascii="Palatino Linotype" w:eastAsia="Palatino Linotype" w:hAnsi="Palatino Linotype" w:cs="Palatino Linotype"/>
          <w:b/>
          <w:sz w:val="22"/>
          <w:szCs w:val="22"/>
          <w:highlight w:val="yellow"/>
        </w:rPr>
      </w:pPr>
      <w:r w:rsidRPr="002E2870">
        <w:rPr>
          <w:rFonts w:ascii="Palatino Linotype" w:eastAsia="Palatino Linotype" w:hAnsi="Palatino Linotype" w:cs="Palatino Linotype"/>
          <w:b/>
          <w:sz w:val="22"/>
          <w:szCs w:val="22"/>
          <w:highlight w:val="yellow"/>
        </w:rPr>
        <w:br w:type="page"/>
      </w:r>
    </w:p>
    <w:p w:rsidR="00B92080" w:rsidRPr="002E2870" w:rsidRDefault="00B92080" w:rsidP="00B92080">
      <w:pPr>
        <w:pBdr>
          <w:top w:val="nil"/>
          <w:left w:val="nil"/>
          <w:bottom w:val="nil"/>
          <w:right w:val="nil"/>
          <w:between w:val="nil"/>
        </w:pBdr>
        <w:spacing w:line="276" w:lineRule="auto"/>
        <w:jc w:val="center"/>
        <w:rPr>
          <w:rFonts w:ascii="Palatino Linotype" w:eastAsia="Palatino Linotype" w:hAnsi="Palatino Linotype" w:cs="Palatino Linotype"/>
          <w:b/>
          <w:sz w:val="22"/>
          <w:szCs w:val="22"/>
        </w:rPr>
      </w:pPr>
      <w:r w:rsidRPr="002E2870">
        <w:rPr>
          <w:rFonts w:ascii="Palatino Linotype" w:eastAsia="Palatino Linotype" w:hAnsi="Palatino Linotype" w:cs="Palatino Linotype"/>
          <w:b/>
          <w:sz w:val="22"/>
          <w:szCs w:val="22"/>
        </w:rPr>
        <w:lastRenderedPageBreak/>
        <w:t>Figure 3: Trends in Average Daily Values of S&amp;P BSE Sensex and BSE Equity Cash Segment Turnover</w:t>
      </w:r>
    </w:p>
    <w:p w:rsidR="00B92080" w:rsidRPr="002E2870" w:rsidRDefault="00B92080" w:rsidP="00B92080">
      <w:pPr>
        <w:pBdr>
          <w:top w:val="nil"/>
          <w:left w:val="nil"/>
          <w:bottom w:val="nil"/>
          <w:right w:val="nil"/>
          <w:between w:val="nil"/>
        </w:pBdr>
        <w:spacing w:line="276" w:lineRule="auto"/>
        <w:jc w:val="center"/>
        <w:rPr>
          <w:rFonts w:ascii="Palatino Linotype" w:eastAsia="Palatino Linotype" w:hAnsi="Palatino Linotype" w:cs="Palatino Linotype"/>
          <w:b/>
          <w:sz w:val="22"/>
          <w:szCs w:val="22"/>
          <w:highlight w:val="yellow"/>
        </w:rPr>
      </w:pPr>
      <w:r w:rsidRPr="002E2870">
        <w:rPr>
          <w:rFonts w:ascii="Palatino Linotype" w:hAnsi="Palatino Linotype"/>
          <w:noProof/>
          <w:lang w:val="en-IN" w:eastAsia="en-IN" w:bidi="hi-IN"/>
        </w:rPr>
        <w:drawing>
          <wp:inline distT="0" distB="0" distL="0" distR="0" wp14:anchorId="289C2124" wp14:editId="08B0328E">
            <wp:extent cx="6193321" cy="2949819"/>
            <wp:effectExtent l="0" t="0" r="17145" b="3175"/>
            <wp:docPr id="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rsidR="00B92080" w:rsidRPr="002E2870" w:rsidRDefault="00B92080" w:rsidP="00B92080">
      <w:pPr>
        <w:spacing w:line="276" w:lineRule="auto"/>
        <w:jc w:val="both"/>
        <w:rPr>
          <w:rFonts w:ascii="Palatino Linotype" w:eastAsia="Palatino Linotype" w:hAnsi="Palatino Linotype" w:cs="Palatino Linotype"/>
          <w:sz w:val="22"/>
          <w:szCs w:val="22"/>
          <w:highlight w:val="yellow"/>
        </w:rPr>
      </w:pPr>
    </w:p>
    <w:p w:rsidR="00B92080" w:rsidRPr="002E2870" w:rsidRDefault="00B92080" w:rsidP="00B92080">
      <w:pPr>
        <w:numPr>
          <w:ilvl w:val="0"/>
          <w:numId w:val="4"/>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2E2870">
        <w:rPr>
          <w:rFonts w:ascii="Palatino Linotype" w:eastAsia="Palatino Linotype" w:hAnsi="Palatino Linotype" w:cs="Palatino Linotype"/>
          <w:sz w:val="22"/>
          <w:szCs w:val="22"/>
        </w:rPr>
        <w:t xml:space="preserve">During September 2020, majority of the BSE indices posted negative returns, of which S&amp;P BSE Bankex and S&amp;P BSE PSU contracted by 9.7 per cent and 11.8 percent respectively.  S&amp;P BSE Healthcare gained the most during the month with 7.7 per cent rise in the index value.  The average daily volatility and monthly returns of BSE sectoral indices for August 2020 are illustrated </w:t>
      </w:r>
      <w:r>
        <w:rPr>
          <w:rFonts w:ascii="Palatino Linotype" w:eastAsia="Palatino Linotype" w:hAnsi="Palatino Linotype" w:cs="Palatino Linotype"/>
          <w:sz w:val="22"/>
          <w:szCs w:val="22"/>
        </w:rPr>
        <w:t>in Figure </w:t>
      </w:r>
      <w:r w:rsidRPr="002E2870">
        <w:rPr>
          <w:rFonts w:ascii="Palatino Linotype" w:eastAsia="Palatino Linotype" w:hAnsi="Palatino Linotype" w:cs="Palatino Linotype"/>
          <w:sz w:val="22"/>
          <w:szCs w:val="22"/>
        </w:rPr>
        <w:t>4.</w:t>
      </w:r>
    </w:p>
    <w:p w:rsidR="00B92080" w:rsidRPr="002E2870" w:rsidRDefault="00B92080" w:rsidP="00B92080">
      <w:pPr>
        <w:spacing w:line="276" w:lineRule="auto"/>
        <w:jc w:val="both"/>
        <w:rPr>
          <w:rFonts w:ascii="Palatino Linotype" w:eastAsia="Palatino Linotype" w:hAnsi="Palatino Linotype" w:cs="Palatino Linotype"/>
          <w:b/>
          <w:sz w:val="22"/>
          <w:szCs w:val="22"/>
          <w:highlight w:val="yellow"/>
        </w:rPr>
      </w:pPr>
    </w:p>
    <w:p w:rsidR="00B92080" w:rsidRPr="002E2870" w:rsidRDefault="00B92080" w:rsidP="00B92080">
      <w:pPr>
        <w:spacing w:line="276" w:lineRule="auto"/>
        <w:jc w:val="center"/>
        <w:rPr>
          <w:rFonts w:ascii="Palatino Linotype" w:eastAsia="Palatino Linotype" w:hAnsi="Palatino Linotype" w:cs="Palatino Linotype"/>
          <w:b/>
          <w:sz w:val="22"/>
          <w:szCs w:val="22"/>
        </w:rPr>
      </w:pPr>
      <w:r w:rsidRPr="002E2870">
        <w:rPr>
          <w:rFonts w:ascii="Palatino Linotype" w:eastAsia="Palatino Linotype" w:hAnsi="Palatino Linotype" w:cs="Palatino Linotype"/>
          <w:b/>
          <w:sz w:val="22"/>
          <w:szCs w:val="22"/>
        </w:rPr>
        <w:t>Figure 4: Performance of BSE Indices during September 2020 (per cent)</w:t>
      </w:r>
    </w:p>
    <w:p w:rsidR="00B92080" w:rsidRPr="002E2870" w:rsidRDefault="00B92080" w:rsidP="00B92080">
      <w:pPr>
        <w:spacing w:line="276" w:lineRule="auto"/>
        <w:jc w:val="center"/>
        <w:rPr>
          <w:rFonts w:ascii="Palatino Linotype" w:eastAsia="Palatino Linotype" w:hAnsi="Palatino Linotype" w:cs="Palatino Linotype"/>
          <w:b/>
          <w:sz w:val="22"/>
          <w:szCs w:val="22"/>
        </w:rPr>
      </w:pPr>
      <w:r w:rsidRPr="002E2870">
        <w:rPr>
          <w:rFonts w:ascii="Palatino Linotype" w:hAnsi="Palatino Linotype"/>
          <w:noProof/>
          <w:lang w:val="en-IN" w:eastAsia="en-IN" w:bidi="hi-IN"/>
        </w:rPr>
        <w:drawing>
          <wp:inline distT="0" distB="0" distL="0" distR="0" wp14:anchorId="6A902835" wp14:editId="3763630E">
            <wp:extent cx="6097905" cy="2679700"/>
            <wp:effectExtent l="0" t="0" r="17145" b="6350"/>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rsidR="00B92080" w:rsidRPr="002E2870" w:rsidRDefault="00B92080" w:rsidP="00B92080">
      <w:pPr>
        <w:pBdr>
          <w:top w:val="nil"/>
          <w:left w:val="nil"/>
          <w:bottom w:val="nil"/>
          <w:right w:val="nil"/>
          <w:between w:val="nil"/>
        </w:pBdr>
        <w:spacing w:line="276" w:lineRule="auto"/>
        <w:ind w:left="709" w:hanging="720"/>
        <w:rPr>
          <w:rFonts w:ascii="Palatino Linotype" w:eastAsia="Palatino Linotype" w:hAnsi="Palatino Linotype" w:cs="Palatino Linotype"/>
          <w:b/>
          <w:sz w:val="22"/>
          <w:szCs w:val="22"/>
          <w:highlight w:val="yellow"/>
        </w:rPr>
      </w:pPr>
    </w:p>
    <w:p w:rsidR="00B92080" w:rsidRPr="002E2870" w:rsidRDefault="00B92080" w:rsidP="00B92080">
      <w:pPr>
        <w:numPr>
          <w:ilvl w:val="0"/>
          <w:numId w:val="4"/>
        </w:numPr>
        <w:pBdr>
          <w:top w:val="nil"/>
          <w:left w:val="nil"/>
          <w:bottom w:val="nil"/>
          <w:right w:val="nil"/>
          <w:between w:val="nil"/>
        </w:pBdr>
        <w:spacing w:line="276" w:lineRule="auto"/>
        <w:jc w:val="both"/>
        <w:rPr>
          <w:rFonts w:ascii="Palatino Linotype" w:hAnsi="Palatino Linotype"/>
          <w:sz w:val="22"/>
          <w:szCs w:val="22"/>
        </w:rPr>
      </w:pPr>
      <w:r w:rsidRPr="002E2870">
        <w:rPr>
          <w:rFonts w:ascii="Palatino Linotype" w:eastAsia="Palatino Linotype" w:hAnsi="Palatino Linotype" w:cs="Palatino Linotype"/>
          <w:sz w:val="22"/>
          <w:szCs w:val="22"/>
        </w:rPr>
        <w:t xml:space="preserve">Similarly, more than half of the NSE Indices also posted negative returns, of which Nifty Bank and Nifty PSU Bank lost 9.7 per cent and 16.3 per cent, respectively, over August 2020.  Nifty IT posted the best return during the month with 11.3 per cent increase in the index value.  The average daily volatility and monthly returns of NSE sectoral indices for August 2020 are </w:t>
      </w:r>
      <w:r>
        <w:rPr>
          <w:rFonts w:ascii="Palatino Linotype" w:eastAsia="Palatino Linotype" w:hAnsi="Palatino Linotype" w:cs="Palatino Linotype"/>
          <w:sz w:val="22"/>
          <w:szCs w:val="22"/>
        </w:rPr>
        <w:t>illustrated</w:t>
      </w:r>
      <w:r w:rsidRPr="002E2870">
        <w:rPr>
          <w:rFonts w:ascii="Palatino Linotype" w:eastAsia="Palatino Linotype" w:hAnsi="Palatino Linotype" w:cs="Palatino Linotype"/>
          <w:sz w:val="22"/>
          <w:szCs w:val="22"/>
        </w:rPr>
        <w:t xml:space="preserve"> in Figure 5.</w:t>
      </w:r>
    </w:p>
    <w:p w:rsidR="00B92080" w:rsidRPr="002E2870" w:rsidRDefault="00B92080" w:rsidP="00B92080">
      <w:pPr>
        <w:pBdr>
          <w:top w:val="nil"/>
          <w:left w:val="nil"/>
          <w:bottom w:val="nil"/>
          <w:right w:val="nil"/>
          <w:between w:val="nil"/>
        </w:pBdr>
        <w:spacing w:line="276" w:lineRule="auto"/>
        <w:jc w:val="center"/>
        <w:rPr>
          <w:rFonts w:ascii="Palatino Linotype" w:eastAsia="Palatino Linotype" w:hAnsi="Palatino Linotype" w:cs="Palatino Linotype"/>
          <w:b/>
          <w:sz w:val="22"/>
          <w:szCs w:val="22"/>
        </w:rPr>
      </w:pPr>
    </w:p>
    <w:p w:rsidR="00B92080" w:rsidRPr="002E2870" w:rsidRDefault="00B92080" w:rsidP="00B92080">
      <w:pPr>
        <w:rPr>
          <w:rFonts w:ascii="Palatino Linotype" w:eastAsia="Palatino Linotype" w:hAnsi="Palatino Linotype" w:cs="Palatino Linotype"/>
          <w:b/>
          <w:sz w:val="22"/>
          <w:szCs w:val="22"/>
        </w:rPr>
      </w:pPr>
    </w:p>
    <w:p w:rsidR="00B92080" w:rsidRPr="002E2870" w:rsidRDefault="00B92080" w:rsidP="00B92080">
      <w:pPr>
        <w:pBdr>
          <w:top w:val="nil"/>
          <w:left w:val="nil"/>
          <w:bottom w:val="nil"/>
          <w:right w:val="nil"/>
          <w:between w:val="nil"/>
        </w:pBdr>
        <w:spacing w:line="276" w:lineRule="auto"/>
        <w:jc w:val="center"/>
        <w:rPr>
          <w:rFonts w:ascii="Palatino Linotype" w:eastAsia="Palatino Linotype" w:hAnsi="Palatino Linotype" w:cs="Palatino Linotype"/>
          <w:b/>
          <w:sz w:val="22"/>
          <w:szCs w:val="22"/>
        </w:rPr>
      </w:pPr>
      <w:r w:rsidRPr="002E2870">
        <w:rPr>
          <w:rFonts w:ascii="Palatino Linotype" w:eastAsia="Palatino Linotype" w:hAnsi="Palatino Linotype" w:cs="Palatino Linotype"/>
          <w:b/>
          <w:sz w:val="22"/>
          <w:szCs w:val="22"/>
        </w:rPr>
        <w:t>Figure 5: Performance of NSE Indices during September 2020 (per cent)</w:t>
      </w:r>
    </w:p>
    <w:p w:rsidR="00B92080" w:rsidRPr="002E2870" w:rsidRDefault="00B92080" w:rsidP="00B92080">
      <w:pPr>
        <w:pBdr>
          <w:top w:val="nil"/>
          <w:left w:val="nil"/>
          <w:bottom w:val="nil"/>
          <w:right w:val="nil"/>
          <w:between w:val="nil"/>
        </w:pBdr>
        <w:spacing w:line="276" w:lineRule="auto"/>
        <w:jc w:val="center"/>
        <w:rPr>
          <w:rFonts w:ascii="Palatino Linotype" w:eastAsia="Palatino Linotype" w:hAnsi="Palatino Linotype" w:cs="Palatino Linotype"/>
          <w:b/>
          <w:sz w:val="22"/>
          <w:szCs w:val="22"/>
        </w:rPr>
      </w:pPr>
      <w:r w:rsidRPr="002E2870">
        <w:rPr>
          <w:rFonts w:ascii="Palatino Linotype" w:hAnsi="Palatino Linotype"/>
          <w:noProof/>
          <w:lang w:val="en-IN" w:eastAsia="en-IN" w:bidi="hi-IN"/>
        </w:rPr>
        <w:drawing>
          <wp:inline distT="0" distB="0" distL="0" distR="0" wp14:anchorId="7ADBD5D7" wp14:editId="5EA79D6D">
            <wp:extent cx="6099482" cy="2846550"/>
            <wp:effectExtent l="0" t="0" r="15875" b="11430"/>
            <wp:docPr id="5"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rsidR="00B92080" w:rsidRPr="002E2870" w:rsidRDefault="00B92080" w:rsidP="00B92080">
      <w:pPr>
        <w:pBdr>
          <w:top w:val="nil"/>
          <w:left w:val="nil"/>
          <w:bottom w:val="nil"/>
          <w:right w:val="nil"/>
          <w:between w:val="nil"/>
        </w:pBdr>
        <w:spacing w:line="276" w:lineRule="auto"/>
        <w:rPr>
          <w:rFonts w:ascii="Palatino Linotype" w:eastAsia="Palatino Linotype" w:hAnsi="Palatino Linotype" w:cs="Palatino Linotype"/>
          <w:b/>
          <w:sz w:val="22"/>
          <w:szCs w:val="22"/>
          <w:highlight w:val="yellow"/>
        </w:rPr>
      </w:pPr>
    </w:p>
    <w:p w:rsidR="00B92080" w:rsidRPr="002E2870" w:rsidRDefault="00B92080" w:rsidP="00B92080">
      <w:pPr>
        <w:widowControl w:val="0"/>
        <w:numPr>
          <w:ilvl w:val="0"/>
          <w:numId w:val="3"/>
        </w:numPr>
        <w:spacing w:line="276" w:lineRule="auto"/>
        <w:ind w:left="567" w:hanging="567"/>
        <w:rPr>
          <w:rFonts w:ascii="Palatino Linotype" w:eastAsia="Palatino Linotype" w:hAnsi="Palatino Linotype" w:cs="Palatino Linotype"/>
          <w:b/>
          <w:sz w:val="22"/>
          <w:szCs w:val="22"/>
        </w:rPr>
      </w:pPr>
      <w:r w:rsidRPr="002E2870">
        <w:rPr>
          <w:rFonts w:ascii="Palatino Linotype" w:eastAsia="Palatino Linotype" w:hAnsi="Palatino Linotype" w:cs="Palatino Linotype"/>
          <w:b/>
          <w:sz w:val="22"/>
          <w:szCs w:val="22"/>
        </w:rPr>
        <w:t xml:space="preserve">Trends in Depository Accounts </w:t>
      </w:r>
    </w:p>
    <w:p w:rsidR="00B92080" w:rsidRPr="002E2870" w:rsidRDefault="00B92080" w:rsidP="00B92080">
      <w:pPr>
        <w:spacing w:line="276" w:lineRule="auto"/>
        <w:jc w:val="both"/>
        <w:rPr>
          <w:rFonts w:ascii="Palatino Linotype" w:eastAsia="Palatino Linotype" w:hAnsi="Palatino Linotype" w:cs="Palatino Linotype"/>
          <w:sz w:val="22"/>
          <w:szCs w:val="22"/>
          <w:highlight w:val="yellow"/>
        </w:rPr>
      </w:pPr>
    </w:p>
    <w:p w:rsidR="00B92080" w:rsidRPr="002E2870" w:rsidRDefault="00B92080" w:rsidP="00B92080">
      <w:pPr>
        <w:numPr>
          <w:ilvl w:val="0"/>
          <w:numId w:val="4"/>
        </w:numPr>
        <w:pBdr>
          <w:top w:val="nil"/>
          <w:left w:val="nil"/>
          <w:bottom w:val="nil"/>
          <w:right w:val="nil"/>
          <w:between w:val="nil"/>
        </w:pBdr>
        <w:spacing w:line="276" w:lineRule="auto"/>
        <w:ind w:left="567" w:hanging="567"/>
        <w:jc w:val="both"/>
        <w:rPr>
          <w:rFonts w:ascii="Palatino Linotype" w:eastAsia="Palatino Linotype" w:hAnsi="Palatino Linotype" w:cs="Palatino Linotype"/>
          <w:sz w:val="22"/>
          <w:szCs w:val="22"/>
        </w:rPr>
      </w:pPr>
      <w:r w:rsidRPr="002E2870">
        <w:rPr>
          <w:rFonts w:ascii="Palatino Linotype" w:eastAsia="Palatino Linotype" w:hAnsi="Palatino Linotype" w:cs="Palatino Linotype"/>
          <w:sz w:val="22"/>
          <w:szCs w:val="22"/>
        </w:rPr>
        <w:t>At the end of September 2020, there were 205 lakh demat accounts at NSDL and 261 lakh demat accounts at CDSL. Further, till the end of September 2020, 5,633 listed companies were signed up with NSDL and 5,718 listed companies were signed up with CDSL to make their equity holdings available in dematerialised form.</w:t>
      </w:r>
    </w:p>
    <w:p w:rsidR="00B92080" w:rsidRPr="002E2870" w:rsidRDefault="00B92080" w:rsidP="00B92080">
      <w:pPr>
        <w:spacing w:line="276" w:lineRule="auto"/>
        <w:rPr>
          <w:rFonts w:ascii="Palatino Linotype" w:eastAsia="Palatino Linotype" w:hAnsi="Palatino Linotype" w:cs="Palatino Linotype"/>
          <w:b/>
          <w:sz w:val="22"/>
          <w:szCs w:val="22"/>
        </w:rPr>
      </w:pPr>
    </w:p>
    <w:p w:rsidR="00B92080" w:rsidRPr="002E2870" w:rsidRDefault="00B92080" w:rsidP="00B92080">
      <w:pPr>
        <w:widowControl w:val="0"/>
        <w:numPr>
          <w:ilvl w:val="0"/>
          <w:numId w:val="3"/>
        </w:numPr>
        <w:spacing w:line="276" w:lineRule="auto"/>
        <w:ind w:left="454" w:hanging="454"/>
        <w:rPr>
          <w:rFonts w:ascii="Palatino Linotype" w:eastAsia="Palatino Linotype" w:hAnsi="Palatino Linotype" w:cs="Palatino Linotype"/>
          <w:b/>
          <w:sz w:val="22"/>
          <w:szCs w:val="22"/>
        </w:rPr>
      </w:pPr>
      <w:r w:rsidRPr="002E2870">
        <w:rPr>
          <w:rFonts w:ascii="Palatino Linotype" w:eastAsia="Palatino Linotype" w:hAnsi="Palatino Linotype" w:cs="Palatino Linotype"/>
          <w:b/>
          <w:sz w:val="22"/>
          <w:szCs w:val="22"/>
        </w:rPr>
        <w:t>Trends in Derivatives Segment</w:t>
      </w:r>
      <w:r w:rsidRPr="002E2870">
        <w:rPr>
          <w:rFonts w:ascii="Palatino Linotype" w:eastAsia="Palatino Linotype" w:hAnsi="Palatino Linotype" w:cs="Palatino Linotype"/>
          <w:b/>
          <w:sz w:val="22"/>
          <w:szCs w:val="22"/>
        </w:rPr>
        <w:tab/>
      </w:r>
    </w:p>
    <w:p w:rsidR="00B92080" w:rsidRPr="002E2870" w:rsidRDefault="00B92080" w:rsidP="00B92080">
      <w:pPr>
        <w:widowControl w:val="0"/>
        <w:spacing w:line="276" w:lineRule="auto"/>
        <w:jc w:val="both"/>
        <w:rPr>
          <w:rFonts w:ascii="Palatino Linotype" w:eastAsia="Palatino Linotype" w:hAnsi="Palatino Linotype" w:cs="Palatino Linotype"/>
          <w:sz w:val="22"/>
          <w:szCs w:val="22"/>
          <w:highlight w:val="yellow"/>
        </w:rPr>
      </w:pPr>
    </w:p>
    <w:p w:rsidR="00B92080" w:rsidRPr="002E2870" w:rsidRDefault="00B92080" w:rsidP="00B92080">
      <w:pPr>
        <w:widowControl w:val="0"/>
        <w:numPr>
          <w:ilvl w:val="0"/>
          <w:numId w:val="5"/>
        </w:numPr>
        <w:spacing w:line="276" w:lineRule="auto"/>
        <w:ind w:left="567" w:hanging="567"/>
        <w:jc w:val="both"/>
        <w:rPr>
          <w:rFonts w:ascii="Palatino Linotype" w:eastAsia="Palatino Linotype" w:hAnsi="Palatino Linotype" w:cs="Palatino Linotype"/>
          <w:b/>
          <w:sz w:val="22"/>
          <w:szCs w:val="22"/>
        </w:rPr>
      </w:pPr>
      <w:r w:rsidRPr="002E2870">
        <w:rPr>
          <w:rFonts w:ascii="Palatino Linotype" w:eastAsia="Palatino Linotype" w:hAnsi="Palatino Linotype" w:cs="Palatino Linotype"/>
          <w:b/>
          <w:sz w:val="22"/>
          <w:szCs w:val="22"/>
        </w:rPr>
        <w:t>Equity Derivatives</w:t>
      </w:r>
    </w:p>
    <w:p w:rsidR="00B92080" w:rsidRPr="002E2870" w:rsidRDefault="00B92080" w:rsidP="00B92080">
      <w:pPr>
        <w:widowControl w:val="0"/>
        <w:spacing w:line="276" w:lineRule="auto"/>
        <w:jc w:val="both"/>
        <w:rPr>
          <w:rFonts w:ascii="Palatino Linotype" w:eastAsia="Palatino Linotype" w:hAnsi="Palatino Linotype" w:cs="Palatino Linotype"/>
          <w:b/>
          <w:sz w:val="22"/>
          <w:szCs w:val="22"/>
        </w:rPr>
      </w:pPr>
      <w:r w:rsidRPr="002E2870">
        <w:rPr>
          <w:rFonts w:ascii="Palatino Linotype" w:eastAsia="Palatino Linotype" w:hAnsi="Palatino Linotype" w:cs="Palatino Linotype"/>
          <w:b/>
          <w:sz w:val="22"/>
          <w:szCs w:val="22"/>
        </w:rPr>
        <w:t>Table 3: Trends in Equity Derivatives Market</w:t>
      </w:r>
    </w:p>
    <w:tbl>
      <w:tblPr>
        <w:tblW w:w="9780" w:type="dxa"/>
        <w:tblLayout w:type="fixed"/>
        <w:tblCellMar>
          <w:left w:w="0" w:type="dxa"/>
          <w:right w:w="0" w:type="dxa"/>
        </w:tblCellMar>
        <w:tblLook w:val="04A0" w:firstRow="1" w:lastRow="0" w:firstColumn="1" w:lastColumn="0" w:noHBand="0" w:noVBand="1"/>
      </w:tblPr>
      <w:tblGrid>
        <w:gridCol w:w="2122"/>
        <w:gridCol w:w="1306"/>
        <w:gridCol w:w="1307"/>
        <w:gridCol w:w="1307"/>
        <w:gridCol w:w="1183"/>
        <w:gridCol w:w="1134"/>
        <w:gridCol w:w="1421"/>
      </w:tblGrid>
      <w:tr w:rsidR="00B92080" w:rsidRPr="002E2870" w:rsidTr="00DB5405">
        <w:trPr>
          <w:trHeight w:val="255"/>
          <w:tblHeader/>
        </w:trPr>
        <w:tc>
          <w:tcPr>
            <w:tcW w:w="2122" w:type="dxa"/>
            <w:vMerge w:val="restart"/>
            <w:tcBorders>
              <w:top w:val="single" w:sz="4" w:space="0" w:color="auto"/>
              <w:left w:val="single" w:sz="4" w:space="0" w:color="auto"/>
              <w:bottom w:val="single" w:sz="4" w:space="0" w:color="auto"/>
              <w:right w:val="single" w:sz="4" w:space="0" w:color="auto"/>
            </w:tcBorders>
            <w:shd w:val="clear" w:color="8DB3E2" w:fill="8DB3E2"/>
            <w:noWrap/>
            <w:tcMar>
              <w:top w:w="15" w:type="dxa"/>
              <w:left w:w="15" w:type="dxa"/>
              <w:bottom w:w="0" w:type="dxa"/>
              <w:right w:w="15" w:type="dxa"/>
            </w:tcMar>
            <w:vAlign w:val="center"/>
            <w:hideMark/>
          </w:tcPr>
          <w:p w:rsidR="00B92080" w:rsidRPr="002E2870" w:rsidRDefault="00B92080" w:rsidP="00DB5405">
            <w:pPr>
              <w:tabs>
                <w:tab w:val="left" w:pos="408"/>
              </w:tabs>
              <w:rPr>
                <w:rFonts w:ascii="Palatino Linotype" w:hAnsi="Palatino Linotype"/>
                <w:b/>
                <w:bCs/>
                <w:sz w:val="18"/>
                <w:szCs w:val="18"/>
              </w:rPr>
            </w:pPr>
            <w:r w:rsidRPr="002E2870">
              <w:rPr>
                <w:rFonts w:ascii="Palatino Linotype" w:hAnsi="Palatino Linotype"/>
                <w:b/>
                <w:bCs/>
                <w:sz w:val="18"/>
                <w:szCs w:val="18"/>
              </w:rPr>
              <w:t>Description</w:t>
            </w:r>
          </w:p>
        </w:tc>
        <w:tc>
          <w:tcPr>
            <w:tcW w:w="3920" w:type="dxa"/>
            <w:gridSpan w:val="3"/>
            <w:tcBorders>
              <w:top w:val="single" w:sz="4" w:space="0" w:color="auto"/>
              <w:left w:val="single" w:sz="4" w:space="0" w:color="auto"/>
              <w:bottom w:val="single" w:sz="4" w:space="0" w:color="auto"/>
              <w:right w:val="single" w:sz="4" w:space="0" w:color="auto"/>
            </w:tcBorders>
            <w:shd w:val="clear" w:color="8DB3E2" w:fill="8DB3E2"/>
            <w:noWrap/>
            <w:tcMar>
              <w:top w:w="15" w:type="dxa"/>
              <w:left w:w="15" w:type="dxa"/>
              <w:bottom w:w="0" w:type="dxa"/>
              <w:right w:w="15" w:type="dxa"/>
            </w:tcMar>
            <w:vAlign w:val="center"/>
            <w:hideMark/>
          </w:tcPr>
          <w:p w:rsidR="00B92080" w:rsidRPr="002E2870" w:rsidRDefault="00B92080" w:rsidP="00DB5405">
            <w:pPr>
              <w:ind w:right="45"/>
              <w:jc w:val="center"/>
              <w:rPr>
                <w:rFonts w:ascii="Palatino Linotype" w:hAnsi="Palatino Linotype"/>
                <w:b/>
                <w:bCs/>
                <w:sz w:val="18"/>
                <w:szCs w:val="18"/>
              </w:rPr>
            </w:pPr>
            <w:r w:rsidRPr="002E2870">
              <w:rPr>
                <w:rFonts w:ascii="Palatino Linotype" w:hAnsi="Palatino Linotype"/>
                <w:b/>
                <w:bCs/>
                <w:sz w:val="18"/>
                <w:szCs w:val="18"/>
              </w:rPr>
              <w:t>NSE</w:t>
            </w:r>
          </w:p>
        </w:tc>
        <w:tc>
          <w:tcPr>
            <w:tcW w:w="3738" w:type="dxa"/>
            <w:gridSpan w:val="3"/>
            <w:tcBorders>
              <w:top w:val="single" w:sz="4" w:space="0" w:color="auto"/>
              <w:left w:val="single" w:sz="4" w:space="0" w:color="auto"/>
              <w:bottom w:val="single" w:sz="4" w:space="0" w:color="auto"/>
              <w:right w:val="single" w:sz="4" w:space="0" w:color="auto"/>
            </w:tcBorders>
            <w:shd w:val="clear" w:color="8DB3E2" w:fill="8DB3E2"/>
            <w:noWrap/>
            <w:tcMar>
              <w:top w:w="15" w:type="dxa"/>
              <w:left w:w="15" w:type="dxa"/>
              <w:bottom w:w="0" w:type="dxa"/>
              <w:right w:w="15" w:type="dxa"/>
            </w:tcMar>
            <w:vAlign w:val="center"/>
            <w:hideMark/>
          </w:tcPr>
          <w:p w:rsidR="00B92080" w:rsidRPr="002E2870" w:rsidRDefault="00B92080" w:rsidP="00DB5405">
            <w:pPr>
              <w:ind w:right="90"/>
              <w:jc w:val="center"/>
              <w:rPr>
                <w:rFonts w:ascii="Palatino Linotype" w:hAnsi="Palatino Linotype"/>
                <w:b/>
                <w:bCs/>
                <w:sz w:val="18"/>
                <w:szCs w:val="18"/>
              </w:rPr>
            </w:pPr>
            <w:r w:rsidRPr="002E2870">
              <w:rPr>
                <w:rFonts w:ascii="Palatino Linotype" w:hAnsi="Palatino Linotype"/>
                <w:b/>
                <w:bCs/>
                <w:sz w:val="18"/>
                <w:szCs w:val="18"/>
              </w:rPr>
              <w:t>BSE</w:t>
            </w:r>
          </w:p>
        </w:tc>
      </w:tr>
      <w:tr w:rsidR="00B92080" w:rsidRPr="002E2870" w:rsidTr="00DB5405">
        <w:trPr>
          <w:trHeight w:val="765"/>
          <w:tblHeader/>
        </w:trPr>
        <w:tc>
          <w:tcPr>
            <w:tcW w:w="2122" w:type="dxa"/>
            <w:vMerge/>
            <w:tcBorders>
              <w:top w:val="single" w:sz="4" w:space="0" w:color="auto"/>
              <w:left w:val="single" w:sz="4" w:space="0" w:color="auto"/>
              <w:bottom w:val="single" w:sz="4" w:space="0" w:color="auto"/>
              <w:right w:val="single" w:sz="4" w:space="0" w:color="auto"/>
            </w:tcBorders>
            <w:vAlign w:val="center"/>
            <w:hideMark/>
          </w:tcPr>
          <w:p w:rsidR="00B92080" w:rsidRPr="002E2870" w:rsidRDefault="00B92080" w:rsidP="00DB5405">
            <w:pPr>
              <w:tabs>
                <w:tab w:val="left" w:pos="408"/>
              </w:tabs>
              <w:rPr>
                <w:rFonts w:ascii="Palatino Linotype" w:hAnsi="Palatino Linotype"/>
                <w:b/>
                <w:bCs/>
                <w:sz w:val="18"/>
                <w:szCs w:val="18"/>
              </w:rPr>
            </w:pPr>
          </w:p>
        </w:tc>
        <w:tc>
          <w:tcPr>
            <w:tcW w:w="1306" w:type="dxa"/>
            <w:tcBorders>
              <w:top w:val="single" w:sz="4" w:space="0" w:color="auto"/>
              <w:left w:val="single" w:sz="4" w:space="0" w:color="auto"/>
              <w:bottom w:val="single" w:sz="4" w:space="0" w:color="auto"/>
              <w:right w:val="single" w:sz="4" w:space="0" w:color="auto"/>
            </w:tcBorders>
            <w:shd w:val="clear" w:color="8DB3E2" w:fill="8DB3E2"/>
            <w:noWrap/>
            <w:tcMar>
              <w:top w:w="15" w:type="dxa"/>
              <w:left w:w="15" w:type="dxa"/>
              <w:bottom w:w="0" w:type="dxa"/>
              <w:right w:w="15" w:type="dxa"/>
            </w:tcMar>
            <w:vAlign w:val="center"/>
            <w:hideMark/>
          </w:tcPr>
          <w:p w:rsidR="00B92080" w:rsidRPr="002E2870" w:rsidRDefault="00B92080" w:rsidP="00DB5405">
            <w:pPr>
              <w:ind w:right="45"/>
              <w:jc w:val="center"/>
              <w:rPr>
                <w:rFonts w:ascii="Palatino Linotype" w:hAnsi="Palatino Linotype"/>
                <w:b/>
                <w:bCs/>
                <w:sz w:val="18"/>
                <w:szCs w:val="18"/>
              </w:rPr>
            </w:pPr>
            <w:r w:rsidRPr="002E2870">
              <w:rPr>
                <w:rFonts w:ascii="Palatino Linotype" w:eastAsia="Times New Roman" w:hAnsi="Palatino Linotype"/>
                <w:b/>
                <w:bCs/>
                <w:sz w:val="18"/>
                <w:szCs w:val="18"/>
                <w:lang w:val="en-US" w:bidi="hi-IN"/>
              </w:rPr>
              <w:t>Aug-20</w:t>
            </w:r>
          </w:p>
        </w:tc>
        <w:tc>
          <w:tcPr>
            <w:tcW w:w="1307" w:type="dxa"/>
            <w:tcBorders>
              <w:top w:val="single" w:sz="4" w:space="0" w:color="auto"/>
              <w:left w:val="single" w:sz="4" w:space="0" w:color="auto"/>
              <w:bottom w:val="single" w:sz="4" w:space="0" w:color="auto"/>
              <w:right w:val="single" w:sz="4" w:space="0" w:color="auto"/>
            </w:tcBorders>
            <w:shd w:val="clear" w:color="8DB3E2" w:fill="8DB3E2"/>
            <w:noWrap/>
            <w:tcMar>
              <w:top w:w="15" w:type="dxa"/>
              <w:left w:w="15" w:type="dxa"/>
              <w:bottom w:w="0" w:type="dxa"/>
              <w:right w:w="15" w:type="dxa"/>
            </w:tcMar>
            <w:vAlign w:val="center"/>
            <w:hideMark/>
          </w:tcPr>
          <w:p w:rsidR="00B92080" w:rsidRPr="002E2870" w:rsidRDefault="00B92080" w:rsidP="00DB5405">
            <w:pPr>
              <w:ind w:right="45"/>
              <w:jc w:val="center"/>
              <w:rPr>
                <w:rFonts w:ascii="Palatino Linotype" w:hAnsi="Palatino Linotype"/>
                <w:b/>
                <w:bCs/>
                <w:sz w:val="18"/>
                <w:szCs w:val="18"/>
              </w:rPr>
            </w:pPr>
            <w:r w:rsidRPr="002E2870">
              <w:rPr>
                <w:rFonts w:ascii="Palatino Linotype" w:eastAsia="Times New Roman" w:hAnsi="Palatino Linotype"/>
                <w:b/>
                <w:bCs/>
                <w:sz w:val="18"/>
                <w:szCs w:val="18"/>
                <w:lang w:val="en-US" w:bidi="hi-IN"/>
              </w:rPr>
              <w:t>Sept-20</w:t>
            </w:r>
          </w:p>
        </w:tc>
        <w:tc>
          <w:tcPr>
            <w:tcW w:w="1307" w:type="dxa"/>
            <w:tcBorders>
              <w:top w:val="single" w:sz="4" w:space="0" w:color="auto"/>
              <w:left w:val="single" w:sz="4" w:space="0" w:color="auto"/>
              <w:bottom w:val="single" w:sz="4" w:space="0" w:color="auto"/>
              <w:right w:val="single" w:sz="4" w:space="0" w:color="auto"/>
            </w:tcBorders>
            <w:shd w:val="clear" w:color="8DB3E2" w:fill="8DB3E2"/>
            <w:tcMar>
              <w:top w:w="15" w:type="dxa"/>
              <w:left w:w="15" w:type="dxa"/>
              <w:bottom w:w="0" w:type="dxa"/>
              <w:right w:w="15" w:type="dxa"/>
            </w:tcMar>
            <w:vAlign w:val="center"/>
            <w:hideMark/>
          </w:tcPr>
          <w:p w:rsidR="00B92080" w:rsidRPr="002E2870" w:rsidRDefault="00B92080" w:rsidP="00DB5405">
            <w:pPr>
              <w:ind w:right="45"/>
              <w:jc w:val="center"/>
              <w:rPr>
                <w:rFonts w:ascii="Palatino Linotype" w:hAnsi="Palatino Linotype"/>
                <w:b/>
                <w:bCs/>
                <w:sz w:val="18"/>
                <w:szCs w:val="18"/>
              </w:rPr>
            </w:pPr>
            <w:r w:rsidRPr="002E2870">
              <w:rPr>
                <w:rFonts w:ascii="Palatino Linotype" w:hAnsi="Palatino Linotype"/>
                <w:b/>
                <w:bCs/>
                <w:sz w:val="18"/>
                <w:szCs w:val="18"/>
              </w:rPr>
              <w:t>Percentage Change Over Month</w:t>
            </w:r>
          </w:p>
        </w:tc>
        <w:tc>
          <w:tcPr>
            <w:tcW w:w="1183" w:type="dxa"/>
            <w:tcBorders>
              <w:top w:val="single" w:sz="4" w:space="0" w:color="auto"/>
              <w:left w:val="single" w:sz="4" w:space="0" w:color="auto"/>
              <w:bottom w:val="single" w:sz="4" w:space="0" w:color="auto"/>
              <w:right w:val="single" w:sz="4" w:space="0" w:color="auto"/>
            </w:tcBorders>
            <w:shd w:val="clear" w:color="8DB3E2" w:fill="8DB3E2"/>
            <w:noWrap/>
            <w:tcMar>
              <w:top w:w="15" w:type="dxa"/>
              <w:left w:w="15" w:type="dxa"/>
              <w:bottom w:w="0" w:type="dxa"/>
              <w:right w:w="15" w:type="dxa"/>
            </w:tcMar>
            <w:vAlign w:val="center"/>
            <w:hideMark/>
          </w:tcPr>
          <w:p w:rsidR="00B92080" w:rsidRPr="002E2870" w:rsidRDefault="00B92080" w:rsidP="00DB5405">
            <w:pPr>
              <w:ind w:right="90"/>
              <w:jc w:val="center"/>
              <w:rPr>
                <w:rFonts w:ascii="Palatino Linotype" w:hAnsi="Palatino Linotype"/>
                <w:b/>
                <w:bCs/>
                <w:sz w:val="18"/>
                <w:szCs w:val="18"/>
              </w:rPr>
            </w:pPr>
            <w:r w:rsidRPr="002E2870">
              <w:rPr>
                <w:rFonts w:ascii="Palatino Linotype" w:eastAsia="Times New Roman" w:hAnsi="Palatino Linotype"/>
                <w:b/>
                <w:bCs/>
                <w:sz w:val="18"/>
                <w:szCs w:val="18"/>
                <w:lang w:val="en-US" w:bidi="hi-IN"/>
              </w:rPr>
              <w:t>Aug-20</w:t>
            </w:r>
          </w:p>
        </w:tc>
        <w:tc>
          <w:tcPr>
            <w:tcW w:w="1134" w:type="dxa"/>
            <w:tcBorders>
              <w:top w:val="single" w:sz="4" w:space="0" w:color="auto"/>
              <w:left w:val="single" w:sz="4" w:space="0" w:color="auto"/>
              <w:bottom w:val="single" w:sz="4" w:space="0" w:color="auto"/>
              <w:right w:val="single" w:sz="4" w:space="0" w:color="auto"/>
            </w:tcBorders>
            <w:shd w:val="clear" w:color="8DB3E2" w:fill="8DB3E2"/>
            <w:noWrap/>
            <w:tcMar>
              <w:top w:w="15" w:type="dxa"/>
              <w:left w:w="15" w:type="dxa"/>
              <w:bottom w:w="0" w:type="dxa"/>
              <w:right w:w="15" w:type="dxa"/>
            </w:tcMar>
            <w:vAlign w:val="center"/>
            <w:hideMark/>
          </w:tcPr>
          <w:p w:rsidR="00B92080" w:rsidRPr="002E2870" w:rsidRDefault="00B92080" w:rsidP="00DB5405">
            <w:pPr>
              <w:ind w:right="90"/>
              <w:jc w:val="center"/>
              <w:rPr>
                <w:rFonts w:ascii="Palatino Linotype" w:hAnsi="Palatino Linotype"/>
                <w:b/>
                <w:bCs/>
                <w:sz w:val="18"/>
                <w:szCs w:val="18"/>
              </w:rPr>
            </w:pPr>
            <w:r w:rsidRPr="002E2870">
              <w:rPr>
                <w:rFonts w:ascii="Palatino Linotype" w:eastAsia="Times New Roman" w:hAnsi="Palatino Linotype"/>
                <w:b/>
                <w:bCs/>
                <w:sz w:val="18"/>
                <w:szCs w:val="18"/>
                <w:lang w:val="en-US" w:bidi="hi-IN"/>
              </w:rPr>
              <w:t>Sept-20</w:t>
            </w:r>
          </w:p>
        </w:tc>
        <w:tc>
          <w:tcPr>
            <w:tcW w:w="1421" w:type="dxa"/>
            <w:tcBorders>
              <w:top w:val="single" w:sz="4" w:space="0" w:color="auto"/>
              <w:left w:val="single" w:sz="4" w:space="0" w:color="auto"/>
              <w:bottom w:val="single" w:sz="4" w:space="0" w:color="auto"/>
              <w:right w:val="single" w:sz="4" w:space="0" w:color="auto"/>
            </w:tcBorders>
            <w:shd w:val="clear" w:color="8DB3E2" w:fill="8DB3E2"/>
            <w:tcMar>
              <w:top w:w="15" w:type="dxa"/>
              <w:left w:w="15" w:type="dxa"/>
              <w:bottom w:w="0" w:type="dxa"/>
              <w:right w:w="15" w:type="dxa"/>
            </w:tcMar>
            <w:vAlign w:val="center"/>
            <w:hideMark/>
          </w:tcPr>
          <w:p w:rsidR="00B92080" w:rsidRPr="002E2870" w:rsidRDefault="00B92080" w:rsidP="00DB5405">
            <w:pPr>
              <w:ind w:right="90"/>
              <w:jc w:val="center"/>
              <w:rPr>
                <w:rFonts w:ascii="Palatino Linotype" w:hAnsi="Palatino Linotype"/>
                <w:b/>
                <w:bCs/>
                <w:sz w:val="18"/>
                <w:szCs w:val="18"/>
              </w:rPr>
            </w:pPr>
            <w:r w:rsidRPr="002E2870">
              <w:rPr>
                <w:rFonts w:ascii="Palatino Linotype" w:hAnsi="Palatino Linotype"/>
                <w:b/>
                <w:bCs/>
                <w:sz w:val="18"/>
                <w:szCs w:val="18"/>
              </w:rPr>
              <w:t>Percentage Change M-o-M</w:t>
            </w:r>
          </w:p>
        </w:tc>
      </w:tr>
      <w:tr w:rsidR="00B92080" w:rsidRPr="002E2870" w:rsidTr="00DB5405">
        <w:trPr>
          <w:trHeight w:val="255"/>
        </w:trPr>
        <w:tc>
          <w:tcPr>
            <w:tcW w:w="9780" w:type="dxa"/>
            <w:gridSpan w:val="7"/>
            <w:tcBorders>
              <w:top w:val="single" w:sz="4" w:space="0" w:color="auto"/>
              <w:left w:val="single" w:sz="4" w:space="0" w:color="auto"/>
              <w:bottom w:val="single" w:sz="4" w:space="0" w:color="000000"/>
              <w:right w:val="single" w:sz="4" w:space="0" w:color="000000"/>
            </w:tcBorders>
            <w:shd w:val="clear" w:color="FFFFCC" w:fill="FFFFCC"/>
            <w:tcMar>
              <w:top w:w="15" w:type="dxa"/>
              <w:left w:w="15" w:type="dxa"/>
              <w:bottom w:w="0" w:type="dxa"/>
              <w:right w:w="15" w:type="dxa"/>
            </w:tcMar>
            <w:vAlign w:val="center"/>
            <w:hideMark/>
          </w:tcPr>
          <w:p w:rsidR="00B92080" w:rsidRPr="002E2870" w:rsidRDefault="00B92080" w:rsidP="00DB5405">
            <w:pPr>
              <w:tabs>
                <w:tab w:val="left" w:pos="408"/>
              </w:tabs>
              <w:ind w:right="90"/>
              <w:rPr>
                <w:rFonts w:ascii="Palatino Linotype" w:hAnsi="Palatino Linotype"/>
                <w:b/>
                <w:bCs/>
                <w:sz w:val="18"/>
                <w:szCs w:val="18"/>
              </w:rPr>
            </w:pPr>
            <w:r w:rsidRPr="002E2870">
              <w:rPr>
                <w:rFonts w:ascii="Palatino Linotype" w:hAnsi="Palatino Linotype"/>
                <w:b/>
                <w:bCs/>
                <w:sz w:val="18"/>
                <w:szCs w:val="18"/>
              </w:rPr>
              <w:t>A. Turnover (</w:t>
            </w:r>
            <w:r w:rsidRPr="002E2870">
              <w:rPr>
                <w:rFonts w:ascii="Times New Roman" w:hAnsi="Times New Roman"/>
                <w:b/>
                <w:bCs/>
                <w:sz w:val="18"/>
                <w:szCs w:val="18"/>
              </w:rPr>
              <w:t>₹</w:t>
            </w:r>
            <w:r w:rsidRPr="002E2870">
              <w:rPr>
                <w:rFonts w:ascii="Palatino Linotype" w:hAnsi="Palatino Linotype" w:cs="Tahoma"/>
                <w:b/>
                <w:bCs/>
                <w:sz w:val="18"/>
                <w:szCs w:val="18"/>
              </w:rPr>
              <w:t xml:space="preserve"> </w:t>
            </w:r>
            <w:r w:rsidRPr="002E2870">
              <w:rPr>
                <w:rFonts w:ascii="Palatino Linotype" w:hAnsi="Palatino Linotype"/>
                <w:b/>
                <w:bCs/>
                <w:sz w:val="18"/>
                <w:szCs w:val="18"/>
              </w:rPr>
              <w:t>crore)</w:t>
            </w:r>
          </w:p>
        </w:tc>
      </w:tr>
      <w:tr w:rsidR="00B92080" w:rsidRPr="002E2870" w:rsidTr="00DB5405">
        <w:trPr>
          <w:trHeight w:val="255"/>
        </w:trPr>
        <w:tc>
          <w:tcPr>
            <w:tcW w:w="2122" w:type="dxa"/>
            <w:tcBorders>
              <w:top w:val="single" w:sz="4" w:space="0" w:color="000000"/>
              <w:left w:val="single" w:sz="4" w:space="0" w:color="auto"/>
              <w:bottom w:val="nil"/>
              <w:right w:val="single" w:sz="4" w:space="0" w:color="000000"/>
            </w:tcBorders>
            <w:shd w:val="clear" w:color="C6D9F0" w:fill="C6D9F0"/>
            <w:noWrap/>
            <w:tcMar>
              <w:top w:w="15" w:type="dxa"/>
              <w:left w:w="15" w:type="dxa"/>
              <w:bottom w:w="0" w:type="dxa"/>
              <w:right w:w="15" w:type="dxa"/>
            </w:tcMar>
            <w:vAlign w:val="center"/>
            <w:hideMark/>
          </w:tcPr>
          <w:p w:rsidR="00B92080" w:rsidRPr="002E2870" w:rsidRDefault="00B92080" w:rsidP="00DB5405">
            <w:pPr>
              <w:tabs>
                <w:tab w:val="left" w:pos="408"/>
              </w:tabs>
              <w:rPr>
                <w:rFonts w:ascii="Palatino Linotype" w:hAnsi="Palatino Linotype"/>
                <w:sz w:val="18"/>
                <w:szCs w:val="18"/>
              </w:rPr>
            </w:pPr>
            <w:r w:rsidRPr="002E2870">
              <w:rPr>
                <w:rFonts w:ascii="Palatino Linotype" w:hAnsi="Palatino Linotype"/>
                <w:sz w:val="18"/>
                <w:szCs w:val="18"/>
              </w:rPr>
              <w:t xml:space="preserve">(i) </w:t>
            </w:r>
            <w:r w:rsidRPr="002E2870">
              <w:rPr>
                <w:rFonts w:ascii="Palatino Linotype" w:hAnsi="Palatino Linotype"/>
                <w:sz w:val="18"/>
                <w:szCs w:val="18"/>
              </w:rPr>
              <w:tab/>
              <w:t>Index Futures</w:t>
            </w:r>
          </w:p>
        </w:tc>
        <w:tc>
          <w:tcPr>
            <w:tcW w:w="1306" w:type="dxa"/>
            <w:tcBorders>
              <w:top w:val="single" w:sz="4" w:space="0" w:color="000000"/>
              <w:left w:val="nil"/>
              <w:bottom w:val="nil"/>
              <w:right w:val="single" w:sz="4" w:space="0" w:color="auto"/>
            </w:tcBorders>
            <w:shd w:val="clear" w:color="auto" w:fill="auto"/>
            <w:noWrap/>
            <w:tcMar>
              <w:top w:w="15" w:type="dxa"/>
              <w:left w:w="15" w:type="dxa"/>
              <w:bottom w:w="0" w:type="dxa"/>
              <w:right w:w="15" w:type="dxa"/>
            </w:tcMar>
          </w:tcPr>
          <w:p w:rsidR="00B92080" w:rsidRPr="002E2870" w:rsidRDefault="00B92080" w:rsidP="00DB5405">
            <w:pPr>
              <w:ind w:right="45"/>
              <w:jc w:val="right"/>
              <w:rPr>
                <w:rFonts w:ascii="Palatino Linotype" w:hAnsi="Palatino Linotype"/>
                <w:sz w:val="18"/>
                <w:szCs w:val="18"/>
              </w:rPr>
            </w:pPr>
            <w:r w:rsidRPr="002E2870">
              <w:rPr>
                <w:rFonts w:ascii="Palatino Linotype" w:hAnsi="Palatino Linotype"/>
                <w:sz w:val="18"/>
                <w:szCs w:val="18"/>
              </w:rPr>
              <w:t>6,21,182.6</w:t>
            </w:r>
          </w:p>
        </w:tc>
        <w:tc>
          <w:tcPr>
            <w:tcW w:w="1307" w:type="dxa"/>
            <w:tcBorders>
              <w:top w:val="single" w:sz="4" w:space="0" w:color="000000"/>
              <w:left w:val="nil"/>
              <w:bottom w:val="nil"/>
              <w:right w:val="nil"/>
            </w:tcBorders>
            <w:shd w:val="clear" w:color="auto" w:fill="auto"/>
            <w:noWrap/>
            <w:tcMar>
              <w:top w:w="15" w:type="dxa"/>
              <w:left w:w="15" w:type="dxa"/>
              <w:bottom w:w="0" w:type="dxa"/>
              <w:right w:w="15" w:type="dxa"/>
            </w:tcMar>
          </w:tcPr>
          <w:p w:rsidR="00B92080" w:rsidRPr="002E2870" w:rsidRDefault="00B92080" w:rsidP="00DB5405">
            <w:pPr>
              <w:ind w:right="45"/>
              <w:jc w:val="right"/>
              <w:rPr>
                <w:rFonts w:ascii="Palatino Linotype" w:hAnsi="Palatino Linotype"/>
                <w:sz w:val="18"/>
                <w:szCs w:val="18"/>
              </w:rPr>
            </w:pPr>
            <w:r w:rsidRPr="002E2870">
              <w:rPr>
                <w:rFonts w:ascii="Palatino Linotype" w:hAnsi="Palatino Linotype"/>
                <w:sz w:val="18"/>
                <w:szCs w:val="18"/>
              </w:rPr>
              <w:t>7,40,669.3</w:t>
            </w:r>
          </w:p>
        </w:tc>
        <w:tc>
          <w:tcPr>
            <w:tcW w:w="1307" w:type="dxa"/>
            <w:tcBorders>
              <w:top w:val="single" w:sz="4" w:space="0" w:color="auto"/>
              <w:left w:val="single" w:sz="4" w:space="0" w:color="auto"/>
              <w:bottom w:val="nil"/>
              <w:right w:val="single" w:sz="4" w:space="0" w:color="auto"/>
            </w:tcBorders>
            <w:shd w:val="clear" w:color="auto" w:fill="auto"/>
            <w:noWrap/>
            <w:tcMar>
              <w:top w:w="15" w:type="dxa"/>
              <w:left w:w="15" w:type="dxa"/>
              <w:bottom w:w="0" w:type="dxa"/>
              <w:right w:w="15" w:type="dxa"/>
            </w:tcMar>
          </w:tcPr>
          <w:p w:rsidR="00B92080" w:rsidRPr="002E2870" w:rsidRDefault="00B92080" w:rsidP="00DB5405">
            <w:pPr>
              <w:ind w:right="45"/>
              <w:jc w:val="right"/>
              <w:rPr>
                <w:rFonts w:ascii="Palatino Linotype" w:hAnsi="Palatino Linotype"/>
                <w:sz w:val="18"/>
                <w:szCs w:val="18"/>
              </w:rPr>
            </w:pPr>
            <w:r w:rsidRPr="002E2870">
              <w:rPr>
                <w:rFonts w:ascii="Palatino Linotype" w:hAnsi="Palatino Linotype"/>
                <w:sz w:val="18"/>
                <w:szCs w:val="18"/>
              </w:rPr>
              <w:t>19.2</w:t>
            </w:r>
          </w:p>
        </w:tc>
        <w:tc>
          <w:tcPr>
            <w:tcW w:w="1183" w:type="dxa"/>
            <w:tcBorders>
              <w:top w:val="single" w:sz="4" w:space="0" w:color="000000"/>
              <w:left w:val="nil"/>
              <w:bottom w:val="nil"/>
              <w:right w:val="single" w:sz="4" w:space="0" w:color="auto"/>
            </w:tcBorders>
            <w:shd w:val="clear" w:color="auto" w:fill="auto"/>
            <w:tcMar>
              <w:top w:w="15" w:type="dxa"/>
              <w:left w:w="15" w:type="dxa"/>
              <w:bottom w:w="0" w:type="dxa"/>
              <w:right w:w="15" w:type="dxa"/>
            </w:tcMar>
          </w:tcPr>
          <w:p w:rsidR="00B92080" w:rsidRPr="002E2870" w:rsidRDefault="00B92080" w:rsidP="00DB5405">
            <w:pPr>
              <w:ind w:right="90"/>
              <w:jc w:val="right"/>
              <w:rPr>
                <w:rFonts w:ascii="Palatino Linotype" w:hAnsi="Palatino Linotype"/>
                <w:sz w:val="18"/>
                <w:szCs w:val="18"/>
              </w:rPr>
            </w:pPr>
            <w:r w:rsidRPr="002E2870">
              <w:rPr>
                <w:rFonts w:ascii="Palatino Linotype" w:hAnsi="Palatino Linotype"/>
                <w:sz w:val="18"/>
                <w:szCs w:val="18"/>
              </w:rPr>
              <w:t>536.5</w:t>
            </w:r>
          </w:p>
        </w:tc>
        <w:tc>
          <w:tcPr>
            <w:tcW w:w="1134" w:type="dxa"/>
            <w:tcBorders>
              <w:top w:val="single" w:sz="4" w:space="0" w:color="000000"/>
              <w:left w:val="nil"/>
              <w:bottom w:val="nil"/>
              <w:right w:val="nil"/>
            </w:tcBorders>
            <w:shd w:val="clear" w:color="auto" w:fill="auto"/>
            <w:tcMar>
              <w:top w:w="15" w:type="dxa"/>
              <w:left w:w="15" w:type="dxa"/>
              <w:bottom w:w="0" w:type="dxa"/>
              <w:right w:w="15" w:type="dxa"/>
            </w:tcMar>
          </w:tcPr>
          <w:p w:rsidR="00B92080" w:rsidRPr="002E2870" w:rsidRDefault="00B92080" w:rsidP="00DB5405">
            <w:pPr>
              <w:ind w:right="90"/>
              <w:jc w:val="right"/>
              <w:rPr>
                <w:rFonts w:ascii="Palatino Linotype" w:hAnsi="Palatino Linotype"/>
                <w:sz w:val="18"/>
                <w:szCs w:val="18"/>
              </w:rPr>
            </w:pPr>
            <w:r w:rsidRPr="002E2870">
              <w:rPr>
                <w:rFonts w:ascii="Palatino Linotype" w:hAnsi="Palatino Linotype"/>
                <w:sz w:val="18"/>
                <w:szCs w:val="18"/>
              </w:rPr>
              <w:t>786.6</w:t>
            </w:r>
          </w:p>
        </w:tc>
        <w:tc>
          <w:tcPr>
            <w:tcW w:w="1421" w:type="dxa"/>
            <w:tcBorders>
              <w:top w:val="single" w:sz="4" w:space="0" w:color="auto"/>
              <w:left w:val="single" w:sz="4" w:space="0" w:color="auto"/>
              <w:bottom w:val="nil"/>
              <w:right w:val="single" w:sz="4" w:space="0" w:color="auto"/>
            </w:tcBorders>
            <w:shd w:val="clear" w:color="auto" w:fill="auto"/>
            <w:noWrap/>
            <w:tcMar>
              <w:top w:w="15" w:type="dxa"/>
              <w:left w:w="15" w:type="dxa"/>
              <w:bottom w:w="0" w:type="dxa"/>
              <w:right w:w="15" w:type="dxa"/>
            </w:tcMar>
          </w:tcPr>
          <w:p w:rsidR="00B92080" w:rsidRPr="002E2870" w:rsidRDefault="00B92080" w:rsidP="00DB5405">
            <w:pPr>
              <w:ind w:right="90"/>
              <w:jc w:val="right"/>
              <w:rPr>
                <w:rFonts w:ascii="Palatino Linotype" w:hAnsi="Palatino Linotype"/>
                <w:sz w:val="18"/>
                <w:szCs w:val="18"/>
              </w:rPr>
            </w:pPr>
            <w:r w:rsidRPr="002E2870">
              <w:rPr>
                <w:rFonts w:ascii="Palatino Linotype" w:hAnsi="Palatino Linotype"/>
                <w:sz w:val="18"/>
                <w:szCs w:val="18"/>
              </w:rPr>
              <w:t>46.6</w:t>
            </w:r>
          </w:p>
        </w:tc>
      </w:tr>
      <w:tr w:rsidR="00B92080" w:rsidRPr="002E2870" w:rsidTr="00DB5405">
        <w:trPr>
          <w:trHeight w:val="255"/>
        </w:trPr>
        <w:tc>
          <w:tcPr>
            <w:tcW w:w="2122" w:type="dxa"/>
            <w:tcBorders>
              <w:top w:val="nil"/>
              <w:left w:val="single" w:sz="4" w:space="0" w:color="auto"/>
              <w:bottom w:val="nil"/>
              <w:right w:val="single" w:sz="4" w:space="0" w:color="000000"/>
            </w:tcBorders>
            <w:shd w:val="clear" w:color="C6D9F0" w:fill="C6D9F0"/>
            <w:noWrap/>
            <w:tcMar>
              <w:top w:w="15" w:type="dxa"/>
              <w:left w:w="15" w:type="dxa"/>
              <w:bottom w:w="0" w:type="dxa"/>
              <w:right w:w="15" w:type="dxa"/>
            </w:tcMar>
            <w:vAlign w:val="center"/>
            <w:hideMark/>
          </w:tcPr>
          <w:p w:rsidR="00B92080" w:rsidRPr="002E2870" w:rsidRDefault="00B92080" w:rsidP="00DB5405">
            <w:pPr>
              <w:tabs>
                <w:tab w:val="left" w:pos="408"/>
              </w:tabs>
              <w:rPr>
                <w:rFonts w:ascii="Palatino Linotype" w:hAnsi="Palatino Linotype"/>
                <w:sz w:val="18"/>
                <w:szCs w:val="18"/>
              </w:rPr>
            </w:pPr>
            <w:r w:rsidRPr="002E2870">
              <w:rPr>
                <w:rFonts w:ascii="Palatino Linotype" w:hAnsi="Palatino Linotype"/>
                <w:sz w:val="18"/>
                <w:szCs w:val="18"/>
              </w:rPr>
              <w:t xml:space="preserve">(ii) </w:t>
            </w:r>
            <w:r w:rsidRPr="002E2870">
              <w:rPr>
                <w:rFonts w:ascii="Palatino Linotype" w:hAnsi="Palatino Linotype"/>
                <w:sz w:val="18"/>
                <w:szCs w:val="18"/>
              </w:rPr>
              <w:tab/>
              <w:t>Options on Index</w:t>
            </w:r>
          </w:p>
        </w:tc>
        <w:tc>
          <w:tcPr>
            <w:tcW w:w="1306" w:type="dxa"/>
            <w:tcBorders>
              <w:top w:val="nil"/>
              <w:left w:val="nil"/>
              <w:bottom w:val="nil"/>
              <w:right w:val="single" w:sz="4" w:space="0" w:color="auto"/>
            </w:tcBorders>
            <w:shd w:val="clear" w:color="auto" w:fill="auto"/>
            <w:noWrap/>
            <w:tcMar>
              <w:top w:w="15" w:type="dxa"/>
              <w:left w:w="15" w:type="dxa"/>
              <w:bottom w:w="0" w:type="dxa"/>
              <w:right w:w="15" w:type="dxa"/>
            </w:tcMar>
          </w:tcPr>
          <w:p w:rsidR="00B92080" w:rsidRPr="002E2870" w:rsidRDefault="00B92080" w:rsidP="00DB5405">
            <w:pPr>
              <w:ind w:right="45"/>
              <w:jc w:val="right"/>
              <w:rPr>
                <w:rFonts w:ascii="Palatino Linotype" w:hAnsi="Palatino Linotype"/>
                <w:sz w:val="18"/>
                <w:szCs w:val="18"/>
              </w:rPr>
            </w:pPr>
          </w:p>
        </w:tc>
        <w:tc>
          <w:tcPr>
            <w:tcW w:w="1307" w:type="dxa"/>
            <w:tcBorders>
              <w:top w:val="nil"/>
              <w:left w:val="nil"/>
              <w:bottom w:val="nil"/>
              <w:right w:val="nil"/>
            </w:tcBorders>
            <w:shd w:val="clear" w:color="auto" w:fill="auto"/>
            <w:noWrap/>
            <w:tcMar>
              <w:top w:w="15" w:type="dxa"/>
              <w:left w:w="15" w:type="dxa"/>
              <w:bottom w:w="0" w:type="dxa"/>
              <w:right w:w="15" w:type="dxa"/>
            </w:tcMar>
          </w:tcPr>
          <w:p w:rsidR="00B92080" w:rsidRPr="002E2870" w:rsidRDefault="00B92080" w:rsidP="00DB5405">
            <w:pPr>
              <w:ind w:right="45"/>
              <w:jc w:val="right"/>
              <w:rPr>
                <w:rFonts w:ascii="Palatino Linotype" w:hAnsi="Palatino Linotype"/>
                <w:sz w:val="18"/>
                <w:szCs w:val="18"/>
              </w:rPr>
            </w:pPr>
          </w:p>
        </w:tc>
        <w:tc>
          <w:tcPr>
            <w:tcW w:w="1307" w:type="dxa"/>
            <w:tcBorders>
              <w:top w:val="nil"/>
              <w:left w:val="single" w:sz="4" w:space="0" w:color="auto"/>
              <w:bottom w:val="nil"/>
              <w:right w:val="single" w:sz="4" w:space="0" w:color="auto"/>
            </w:tcBorders>
            <w:shd w:val="clear" w:color="auto" w:fill="auto"/>
            <w:noWrap/>
            <w:tcMar>
              <w:top w:w="15" w:type="dxa"/>
              <w:left w:w="15" w:type="dxa"/>
              <w:bottom w:w="0" w:type="dxa"/>
              <w:right w:w="15" w:type="dxa"/>
            </w:tcMar>
          </w:tcPr>
          <w:p w:rsidR="00B92080" w:rsidRPr="002E2870" w:rsidRDefault="00B92080" w:rsidP="00DB5405">
            <w:pPr>
              <w:ind w:right="45"/>
              <w:jc w:val="right"/>
              <w:rPr>
                <w:rFonts w:ascii="Palatino Linotype" w:hAnsi="Palatino Linotype"/>
                <w:sz w:val="18"/>
                <w:szCs w:val="18"/>
              </w:rPr>
            </w:pPr>
          </w:p>
        </w:tc>
        <w:tc>
          <w:tcPr>
            <w:tcW w:w="1183" w:type="dxa"/>
            <w:tcBorders>
              <w:top w:val="nil"/>
              <w:left w:val="nil"/>
              <w:bottom w:val="nil"/>
              <w:right w:val="single" w:sz="4" w:space="0" w:color="auto"/>
            </w:tcBorders>
            <w:shd w:val="clear" w:color="auto" w:fill="auto"/>
            <w:noWrap/>
            <w:tcMar>
              <w:top w:w="15" w:type="dxa"/>
              <w:left w:w="15" w:type="dxa"/>
              <w:bottom w:w="0" w:type="dxa"/>
              <w:right w:w="15" w:type="dxa"/>
            </w:tcMar>
          </w:tcPr>
          <w:p w:rsidR="00B92080" w:rsidRPr="002E2870" w:rsidRDefault="00B92080" w:rsidP="00DB5405">
            <w:pPr>
              <w:ind w:right="90"/>
              <w:jc w:val="right"/>
              <w:rPr>
                <w:rFonts w:ascii="Palatino Linotype" w:hAnsi="Palatino Linotype"/>
                <w:sz w:val="18"/>
                <w:szCs w:val="18"/>
              </w:rPr>
            </w:pPr>
          </w:p>
        </w:tc>
        <w:tc>
          <w:tcPr>
            <w:tcW w:w="1134" w:type="dxa"/>
            <w:tcBorders>
              <w:top w:val="nil"/>
              <w:left w:val="nil"/>
              <w:bottom w:val="nil"/>
              <w:right w:val="nil"/>
            </w:tcBorders>
            <w:shd w:val="clear" w:color="auto" w:fill="auto"/>
            <w:noWrap/>
            <w:tcMar>
              <w:top w:w="15" w:type="dxa"/>
              <w:left w:w="15" w:type="dxa"/>
              <w:bottom w:w="0" w:type="dxa"/>
              <w:right w:w="15" w:type="dxa"/>
            </w:tcMar>
          </w:tcPr>
          <w:p w:rsidR="00B92080" w:rsidRPr="002E2870" w:rsidRDefault="00B92080" w:rsidP="00DB5405">
            <w:pPr>
              <w:ind w:right="90"/>
              <w:jc w:val="right"/>
              <w:rPr>
                <w:rFonts w:ascii="Palatino Linotype" w:hAnsi="Palatino Linotype"/>
                <w:sz w:val="18"/>
                <w:szCs w:val="18"/>
              </w:rPr>
            </w:pPr>
          </w:p>
        </w:tc>
        <w:tc>
          <w:tcPr>
            <w:tcW w:w="1421" w:type="dxa"/>
            <w:tcBorders>
              <w:top w:val="nil"/>
              <w:left w:val="single" w:sz="4" w:space="0" w:color="auto"/>
              <w:bottom w:val="nil"/>
              <w:right w:val="single" w:sz="4" w:space="0" w:color="auto"/>
            </w:tcBorders>
            <w:shd w:val="clear" w:color="auto" w:fill="auto"/>
            <w:noWrap/>
            <w:tcMar>
              <w:top w:w="15" w:type="dxa"/>
              <w:left w:w="15" w:type="dxa"/>
              <w:bottom w:w="0" w:type="dxa"/>
              <w:right w:w="15" w:type="dxa"/>
            </w:tcMar>
          </w:tcPr>
          <w:p w:rsidR="00B92080" w:rsidRPr="002E2870" w:rsidRDefault="00B92080" w:rsidP="00DB5405">
            <w:pPr>
              <w:ind w:right="90"/>
              <w:jc w:val="right"/>
              <w:rPr>
                <w:rFonts w:ascii="Palatino Linotype" w:hAnsi="Palatino Linotype"/>
                <w:sz w:val="18"/>
                <w:szCs w:val="18"/>
              </w:rPr>
            </w:pPr>
          </w:p>
        </w:tc>
      </w:tr>
      <w:tr w:rsidR="00B92080" w:rsidRPr="002E2870" w:rsidTr="00DB5405">
        <w:trPr>
          <w:trHeight w:val="255"/>
        </w:trPr>
        <w:tc>
          <w:tcPr>
            <w:tcW w:w="2122" w:type="dxa"/>
            <w:tcBorders>
              <w:top w:val="nil"/>
              <w:left w:val="single" w:sz="4" w:space="0" w:color="auto"/>
              <w:bottom w:val="nil"/>
              <w:right w:val="single" w:sz="4" w:space="0" w:color="000000"/>
            </w:tcBorders>
            <w:shd w:val="clear" w:color="C6D9F0" w:fill="C6D9F0"/>
            <w:noWrap/>
            <w:tcMar>
              <w:top w:w="15" w:type="dxa"/>
              <w:left w:w="15" w:type="dxa"/>
              <w:bottom w:w="0" w:type="dxa"/>
              <w:right w:w="15" w:type="dxa"/>
            </w:tcMar>
            <w:vAlign w:val="center"/>
            <w:hideMark/>
          </w:tcPr>
          <w:p w:rsidR="00B92080" w:rsidRPr="002E2870" w:rsidRDefault="00B92080" w:rsidP="00DB5405">
            <w:pPr>
              <w:tabs>
                <w:tab w:val="left" w:pos="408"/>
              </w:tabs>
              <w:rPr>
                <w:rFonts w:ascii="Palatino Linotype" w:hAnsi="Palatino Linotype"/>
                <w:i/>
                <w:iCs/>
                <w:sz w:val="18"/>
                <w:szCs w:val="18"/>
              </w:rPr>
            </w:pPr>
            <w:r w:rsidRPr="002E2870">
              <w:rPr>
                <w:rFonts w:ascii="Palatino Linotype" w:hAnsi="Palatino Linotype"/>
                <w:i/>
                <w:iCs/>
                <w:sz w:val="18"/>
                <w:szCs w:val="18"/>
              </w:rPr>
              <w:tab/>
              <w:t>Put</w:t>
            </w:r>
          </w:p>
        </w:tc>
        <w:tc>
          <w:tcPr>
            <w:tcW w:w="1306" w:type="dxa"/>
            <w:tcBorders>
              <w:top w:val="nil"/>
              <w:left w:val="nil"/>
              <w:bottom w:val="nil"/>
              <w:right w:val="single" w:sz="4" w:space="0" w:color="auto"/>
            </w:tcBorders>
            <w:shd w:val="clear" w:color="auto" w:fill="auto"/>
            <w:noWrap/>
            <w:tcMar>
              <w:top w:w="15" w:type="dxa"/>
              <w:left w:w="15" w:type="dxa"/>
              <w:bottom w:w="0" w:type="dxa"/>
              <w:right w:w="15" w:type="dxa"/>
            </w:tcMar>
          </w:tcPr>
          <w:p w:rsidR="00B92080" w:rsidRPr="002E2870" w:rsidRDefault="00B92080" w:rsidP="00DB5405">
            <w:pPr>
              <w:ind w:right="45"/>
              <w:jc w:val="right"/>
              <w:rPr>
                <w:rFonts w:ascii="Palatino Linotype" w:hAnsi="Palatino Linotype"/>
                <w:sz w:val="18"/>
                <w:szCs w:val="18"/>
              </w:rPr>
            </w:pPr>
            <w:r w:rsidRPr="002E2870">
              <w:rPr>
                <w:rFonts w:ascii="Palatino Linotype" w:hAnsi="Palatino Linotype"/>
                <w:sz w:val="18"/>
                <w:szCs w:val="18"/>
              </w:rPr>
              <w:t>1,67,24,302.9</w:t>
            </w:r>
          </w:p>
        </w:tc>
        <w:tc>
          <w:tcPr>
            <w:tcW w:w="1307" w:type="dxa"/>
            <w:tcBorders>
              <w:top w:val="nil"/>
              <w:left w:val="nil"/>
              <w:bottom w:val="nil"/>
              <w:right w:val="nil"/>
            </w:tcBorders>
            <w:shd w:val="clear" w:color="auto" w:fill="auto"/>
            <w:noWrap/>
            <w:tcMar>
              <w:top w:w="15" w:type="dxa"/>
              <w:left w:w="15" w:type="dxa"/>
              <w:bottom w:w="0" w:type="dxa"/>
              <w:right w:w="15" w:type="dxa"/>
            </w:tcMar>
          </w:tcPr>
          <w:p w:rsidR="00B92080" w:rsidRPr="002E2870" w:rsidRDefault="00B92080" w:rsidP="00DB5405">
            <w:pPr>
              <w:ind w:right="45"/>
              <w:jc w:val="right"/>
              <w:rPr>
                <w:rFonts w:ascii="Palatino Linotype" w:hAnsi="Palatino Linotype"/>
                <w:sz w:val="18"/>
                <w:szCs w:val="18"/>
              </w:rPr>
            </w:pPr>
            <w:r w:rsidRPr="002E2870">
              <w:rPr>
                <w:rFonts w:ascii="Palatino Linotype" w:hAnsi="Palatino Linotype"/>
                <w:sz w:val="18"/>
                <w:szCs w:val="18"/>
              </w:rPr>
              <w:t>2,01,83,965.6</w:t>
            </w:r>
          </w:p>
        </w:tc>
        <w:tc>
          <w:tcPr>
            <w:tcW w:w="1307" w:type="dxa"/>
            <w:tcBorders>
              <w:top w:val="nil"/>
              <w:left w:val="single" w:sz="4" w:space="0" w:color="auto"/>
              <w:bottom w:val="nil"/>
              <w:right w:val="single" w:sz="4" w:space="0" w:color="auto"/>
            </w:tcBorders>
            <w:shd w:val="clear" w:color="auto" w:fill="auto"/>
            <w:noWrap/>
            <w:tcMar>
              <w:top w:w="15" w:type="dxa"/>
              <w:left w:w="15" w:type="dxa"/>
              <w:bottom w:w="0" w:type="dxa"/>
              <w:right w:w="15" w:type="dxa"/>
            </w:tcMar>
          </w:tcPr>
          <w:p w:rsidR="00B92080" w:rsidRPr="002E2870" w:rsidRDefault="00B92080" w:rsidP="00DB5405">
            <w:pPr>
              <w:ind w:right="45"/>
              <w:jc w:val="right"/>
              <w:rPr>
                <w:rFonts w:ascii="Palatino Linotype" w:hAnsi="Palatino Linotype"/>
                <w:sz w:val="18"/>
                <w:szCs w:val="18"/>
              </w:rPr>
            </w:pPr>
            <w:r w:rsidRPr="002E2870">
              <w:rPr>
                <w:rFonts w:ascii="Palatino Linotype" w:hAnsi="Palatino Linotype"/>
                <w:sz w:val="18"/>
                <w:szCs w:val="18"/>
              </w:rPr>
              <w:t>20.7</w:t>
            </w:r>
          </w:p>
        </w:tc>
        <w:tc>
          <w:tcPr>
            <w:tcW w:w="1183" w:type="dxa"/>
            <w:tcBorders>
              <w:top w:val="nil"/>
              <w:left w:val="nil"/>
              <w:bottom w:val="nil"/>
              <w:right w:val="single" w:sz="4" w:space="0" w:color="auto"/>
            </w:tcBorders>
            <w:shd w:val="clear" w:color="auto" w:fill="auto"/>
            <w:noWrap/>
            <w:tcMar>
              <w:top w:w="15" w:type="dxa"/>
              <w:left w:w="15" w:type="dxa"/>
              <w:bottom w:w="0" w:type="dxa"/>
              <w:right w:w="15" w:type="dxa"/>
            </w:tcMar>
          </w:tcPr>
          <w:p w:rsidR="00B92080" w:rsidRPr="002E2870" w:rsidRDefault="00B92080" w:rsidP="00DB5405">
            <w:pPr>
              <w:ind w:right="90"/>
              <w:jc w:val="right"/>
              <w:rPr>
                <w:rFonts w:ascii="Palatino Linotype" w:hAnsi="Palatino Linotype"/>
                <w:sz w:val="18"/>
                <w:szCs w:val="18"/>
              </w:rPr>
            </w:pPr>
            <w:r w:rsidRPr="002E2870">
              <w:rPr>
                <w:rFonts w:ascii="Palatino Linotype" w:hAnsi="Palatino Linotype"/>
                <w:sz w:val="18"/>
                <w:szCs w:val="18"/>
              </w:rPr>
              <w:t>8,00,072.4</w:t>
            </w:r>
          </w:p>
        </w:tc>
        <w:tc>
          <w:tcPr>
            <w:tcW w:w="1134" w:type="dxa"/>
            <w:tcBorders>
              <w:top w:val="nil"/>
              <w:left w:val="nil"/>
              <w:bottom w:val="nil"/>
              <w:right w:val="nil"/>
            </w:tcBorders>
            <w:shd w:val="clear" w:color="auto" w:fill="auto"/>
            <w:noWrap/>
            <w:tcMar>
              <w:top w:w="15" w:type="dxa"/>
              <w:left w:w="15" w:type="dxa"/>
              <w:bottom w:w="0" w:type="dxa"/>
              <w:right w:w="15" w:type="dxa"/>
            </w:tcMar>
          </w:tcPr>
          <w:p w:rsidR="00B92080" w:rsidRPr="002E2870" w:rsidRDefault="00B92080" w:rsidP="00DB5405">
            <w:pPr>
              <w:ind w:right="90"/>
              <w:jc w:val="right"/>
              <w:rPr>
                <w:rFonts w:ascii="Palatino Linotype" w:hAnsi="Palatino Linotype"/>
                <w:sz w:val="18"/>
                <w:szCs w:val="18"/>
              </w:rPr>
            </w:pPr>
            <w:r w:rsidRPr="002E2870">
              <w:rPr>
                <w:rFonts w:ascii="Palatino Linotype" w:hAnsi="Palatino Linotype"/>
                <w:sz w:val="18"/>
                <w:szCs w:val="18"/>
              </w:rPr>
              <w:t>7,32,822.9</w:t>
            </w:r>
          </w:p>
        </w:tc>
        <w:tc>
          <w:tcPr>
            <w:tcW w:w="1421" w:type="dxa"/>
            <w:tcBorders>
              <w:top w:val="nil"/>
              <w:left w:val="single" w:sz="4" w:space="0" w:color="auto"/>
              <w:bottom w:val="nil"/>
              <w:right w:val="single" w:sz="4" w:space="0" w:color="auto"/>
            </w:tcBorders>
            <w:shd w:val="clear" w:color="auto" w:fill="auto"/>
            <w:noWrap/>
            <w:tcMar>
              <w:top w:w="15" w:type="dxa"/>
              <w:left w:w="15" w:type="dxa"/>
              <w:bottom w:w="0" w:type="dxa"/>
              <w:right w:w="15" w:type="dxa"/>
            </w:tcMar>
          </w:tcPr>
          <w:p w:rsidR="00B92080" w:rsidRPr="002E2870" w:rsidRDefault="00B92080" w:rsidP="00DB5405">
            <w:pPr>
              <w:ind w:right="90"/>
              <w:jc w:val="right"/>
              <w:rPr>
                <w:rFonts w:ascii="Palatino Linotype" w:hAnsi="Palatino Linotype"/>
                <w:sz w:val="18"/>
                <w:szCs w:val="18"/>
              </w:rPr>
            </w:pPr>
            <w:r w:rsidRPr="002E2870">
              <w:rPr>
                <w:rFonts w:ascii="Palatino Linotype" w:hAnsi="Palatino Linotype"/>
                <w:sz w:val="18"/>
                <w:szCs w:val="18"/>
              </w:rPr>
              <w:t>(8.4)</w:t>
            </w:r>
          </w:p>
        </w:tc>
      </w:tr>
      <w:tr w:rsidR="00B92080" w:rsidRPr="002E2870" w:rsidTr="00DB5405">
        <w:trPr>
          <w:trHeight w:val="255"/>
        </w:trPr>
        <w:tc>
          <w:tcPr>
            <w:tcW w:w="2122" w:type="dxa"/>
            <w:tcBorders>
              <w:top w:val="nil"/>
              <w:left w:val="single" w:sz="4" w:space="0" w:color="auto"/>
              <w:bottom w:val="nil"/>
              <w:right w:val="single" w:sz="4" w:space="0" w:color="000000"/>
            </w:tcBorders>
            <w:shd w:val="clear" w:color="C6D9F0" w:fill="C6D9F0"/>
            <w:noWrap/>
            <w:tcMar>
              <w:top w:w="15" w:type="dxa"/>
              <w:left w:w="15" w:type="dxa"/>
              <w:bottom w:w="0" w:type="dxa"/>
              <w:right w:w="15" w:type="dxa"/>
            </w:tcMar>
            <w:vAlign w:val="center"/>
            <w:hideMark/>
          </w:tcPr>
          <w:p w:rsidR="00B92080" w:rsidRPr="002E2870" w:rsidRDefault="00B92080" w:rsidP="00DB5405">
            <w:pPr>
              <w:tabs>
                <w:tab w:val="left" w:pos="408"/>
              </w:tabs>
              <w:rPr>
                <w:rFonts w:ascii="Palatino Linotype" w:hAnsi="Palatino Linotype"/>
                <w:i/>
                <w:iCs/>
                <w:sz w:val="18"/>
                <w:szCs w:val="18"/>
              </w:rPr>
            </w:pPr>
            <w:r w:rsidRPr="002E2870">
              <w:rPr>
                <w:rFonts w:ascii="Palatino Linotype" w:hAnsi="Palatino Linotype"/>
                <w:i/>
                <w:iCs/>
                <w:sz w:val="18"/>
                <w:szCs w:val="18"/>
              </w:rPr>
              <w:tab/>
              <w:t>Call</w:t>
            </w:r>
          </w:p>
        </w:tc>
        <w:tc>
          <w:tcPr>
            <w:tcW w:w="1306" w:type="dxa"/>
            <w:tcBorders>
              <w:top w:val="nil"/>
              <w:left w:val="nil"/>
              <w:bottom w:val="nil"/>
              <w:right w:val="single" w:sz="4" w:space="0" w:color="auto"/>
            </w:tcBorders>
            <w:shd w:val="clear" w:color="auto" w:fill="auto"/>
            <w:noWrap/>
            <w:tcMar>
              <w:top w:w="15" w:type="dxa"/>
              <w:left w:w="15" w:type="dxa"/>
              <w:bottom w:w="0" w:type="dxa"/>
              <w:right w:w="15" w:type="dxa"/>
            </w:tcMar>
          </w:tcPr>
          <w:p w:rsidR="00B92080" w:rsidRPr="002E2870" w:rsidRDefault="00B92080" w:rsidP="00DB5405">
            <w:pPr>
              <w:ind w:right="45"/>
              <w:jc w:val="right"/>
              <w:rPr>
                <w:rFonts w:ascii="Palatino Linotype" w:hAnsi="Palatino Linotype"/>
                <w:sz w:val="18"/>
                <w:szCs w:val="18"/>
              </w:rPr>
            </w:pPr>
            <w:r w:rsidRPr="002E2870">
              <w:rPr>
                <w:rFonts w:ascii="Palatino Linotype" w:hAnsi="Palatino Linotype"/>
                <w:sz w:val="18"/>
                <w:szCs w:val="18"/>
              </w:rPr>
              <w:t>1,86,50,461.9</w:t>
            </w:r>
          </w:p>
        </w:tc>
        <w:tc>
          <w:tcPr>
            <w:tcW w:w="1307" w:type="dxa"/>
            <w:tcBorders>
              <w:top w:val="nil"/>
              <w:left w:val="nil"/>
              <w:bottom w:val="nil"/>
              <w:right w:val="nil"/>
            </w:tcBorders>
            <w:shd w:val="clear" w:color="auto" w:fill="auto"/>
            <w:noWrap/>
            <w:tcMar>
              <w:top w:w="15" w:type="dxa"/>
              <w:left w:w="15" w:type="dxa"/>
              <w:bottom w:w="0" w:type="dxa"/>
              <w:right w:w="15" w:type="dxa"/>
            </w:tcMar>
          </w:tcPr>
          <w:p w:rsidR="00B92080" w:rsidRPr="002E2870" w:rsidRDefault="00B92080" w:rsidP="00DB5405">
            <w:pPr>
              <w:ind w:right="45"/>
              <w:jc w:val="right"/>
              <w:rPr>
                <w:rFonts w:ascii="Palatino Linotype" w:hAnsi="Palatino Linotype"/>
                <w:sz w:val="18"/>
                <w:szCs w:val="18"/>
              </w:rPr>
            </w:pPr>
            <w:r w:rsidRPr="002E2870">
              <w:rPr>
                <w:rFonts w:ascii="Palatino Linotype" w:hAnsi="Palatino Linotype"/>
                <w:sz w:val="18"/>
                <w:szCs w:val="18"/>
              </w:rPr>
              <w:t>2,27,65,319.6</w:t>
            </w:r>
          </w:p>
        </w:tc>
        <w:tc>
          <w:tcPr>
            <w:tcW w:w="1307" w:type="dxa"/>
            <w:tcBorders>
              <w:top w:val="nil"/>
              <w:left w:val="single" w:sz="4" w:space="0" w:color="auto"/>
              <w:bottom w:val="nil"/>
              <w:right w:val="single" w:sz="4" w:space="0" w:color="auto"/>
            </w:tcBorders>
            <w:shd w:val="clear" w:color="auto" w:fill="auto"/>
            <w:noWrap/>
            <w:tcMar>
              <w:top w:w="15" w:type="dxa"/>
              <w:left w:w="15" w:type="dxa"/>
              <w:bottom w:w="0" w:type="dxa"/>
              <w:right w:w="15" w:type="dxa"/>
            </w:tcMar>
          </w:tcPr>
          <w:p w:rsidR="00B92080" w:rsidRPr="002E2870" w:rsidRDefault="00B92080" w:rsidP="00DB5405">
            <w:pPr>
              <w:ind w:right="45"/>
              <w:jc w:val="right"/>
              <w:rPr>
                <w:rFonts w:ascii="Palatino Linotype" w:hAnsi="Palatino Linotype"/>
                <w:sz w:val="18"/>
                <w:szCs w:val="18"/>
              </w:rPr>
            </w:pPr>
            <w:r w:rsidRPr="002E2870">
              <w:rPr>
                <w:rFonts w:ascii="Palatino Linotype" w:hAnsi="Palatino Linotype"/>
                <w:sz w:val="18"/>
                <w:szCs w:val="18"/>
              </w:rPr>
              <w:t>22.1</w:t>
            </w:r>
          </w:p>
        </w:tc>
        <w:tc>
          <w:tcPr>
            <w:tcW w:w="1183" w:type="dxa"/>
            <w:tcBorders>
              <w:top w:val="nil"/>
              <w:left w:val="nil"/>
              <w:bottom w:val="nil"/>
              <w:right w:val="single" w:sz="4" w:space="0" w:color="auto"/>
            </w:tcBorders>
            <w:shd w:val="clear" w:color="auto" w:fill="auto"/>
            <w:noWrap/>
            <w:tcMar>
              <w:top w:w="15" w:type="dxa"/>
              <w:left w:w="15" w:type="dxa"/>
              <w:bottom w:w="0" w:type="dxa"/>
              <w:right w:w="15" w:type="dxa"/>
            </w:tcMar>
          </w:tcPr>
          <w:p w:rsidR="00B92080" w:rsidRPr="002E2870" w:rsidRDefault="00B92080" w:rsidP="00DB5405">
            <w:pPr>
              <w:ind w:right="90"/>
              <w:jc w:val="right"/>
              <w:rPr>
                <w:rFonts w:ascii="Palatino Linotype" w:hAnsi="Palatino Linotype"/>
                <w:sz w:val="18"/>
                <w:szCs w:val="18"/>
              </w:rPr>
            </w:pPr>
            <w:r w:rsidRPr="002E2870">
              <w:rPr>
                <w:rFonts w:ascii="Palatino Linotype" w:hAnsi="Palatino Linotype"/>
                <w:sz w:val="18"/>
                <w:szCs w:val="18"/>
              </w:rPr>
              <w:t>10,47,508.0</w:t>
            </w:r>
          </w:p>
        </w:tc>
        <w:tc>
          <w:tcPr>
            <w:tcW w:w="1134" w:type="dxa"/>
            <w:tcBorders>
              <w:top w:val="nil"/>
              <w:left w:val="nil"/>
              <w:bottom w:val="nil"/>
              <w:right w:val="nil"/>
            </w:tcBorders>
            <w:shd w:val="clear" w:color="auto" w:fill="auto"/>
            <w:noWrap/>
            <w:tcMar>
              <w:top w:w="15" w:type="dxa"/>
              <w:left w:w="15" w:type="dxa"/>
              <w:bottom w:w="0" w:type="dxa"/>
              <w:right w:w="15" w:type="dxa"/>
            </w:tcMar>
          </w:tcPr>
          <w:p w:rsidR="00B92080" w:rsidRPr="002E2870" w:rsidRDefault="00B92080" w:rsidP="00DB5405">
            <w:pPr>
              <w:ind w:right="90"/>
              <w:jc w:val="right"/>
              <w:rPr>
                <w:rFonts w:ascii="Palatino Linotype" w:hAnsi="Palatino Linotype"/>
                <w:sz w:val="18"/>
                <w:szCs w:val="18"/>
              </w:rPr>
            </w:pPr>
            <w:r w:rsidRPr="002E2870">
              <w:rPr>
                <w:rFonts w:ascii="Palatino Linotype" w:hAnsi="Palatino Linotype"/>
                <w:sz w:val="18"/>
                <w:szCs w:val="18"/>
              </w:rPr>
              <w:t>19,92,957.1</w:t>
            </w:r>
          </w:p>
        </w:tc>
        <w:tc>
          <w:tcPr>
            <w:tcW w:w="1421" w:type="dxa"/>
            <w:tcBorders>
              <w:top w:val="nil"/>
              <w:left w:val="single" w:sz="4" w:space="0" w:color="auto"/>
              <w:bottom w:val="nil"/>
              <w:right w:val="single" w:sz="4" w:space="0" w:color="auto"/>
            </w:tcBorders>
            <w:shd w:val="clear" w:color="auto" w:fill="auto"/>
            <w:noWrap/>
            <w:tcMar>
              <w:top w:w="15" w:type="dxa"/>
              <w:left w:w="15" w:type="dxa"/>
              <w:bottom w:w="0" w:type="dxa"/>
              <w:right w:w="15" w:type="dxa"/>
            </w:tcMar>
          </w:tcPr>
          <w:p w:rsidR="00B92080" w:rsidRPr="002E2870" w:rsidRDefault="00B92080" w:rsidP="00DB5405">
            <w:pPr>
              <w:ind w:right="90"/>
              <w:jc w:val="right"/>
              <w:rPr>
                <w:rFonts w:ascii="Palatino Linotype" w:hAnsi="Palatino Linotype"/>
                <w:sz w:val="18"/>
                <w:szCs w:val="18"/>
              </w:rPr>
            </w:pPr>
            <w:r w:rsidRPr="002E2870">
              <w:rPr>
                <w:rFonts w:ascii="Palatino Linotype" w:hAnsi="Palatino Linotype"/>
                <w:sz w:val="18"/>
                <w:szCs w:val="18"/>
              </w:rPr>
              <w:t>90.3</w:t>
            </w:r>
          </w:p>
        </w:tc>
      </w:tr>
      <w:tr w:rsidR="00B92080" w:rsidRPr="002E2870" w:rsidTr="00DB5405">
        <w:trPr>
          <w:trHeight w:val="255"/>
        </w:trPr>
        <w:tc>
          <w:tcPr>
            <w:tcW w:w="2122" w:type="dxa"/>
            <w:tcBorders>
              <w:top w:val="nil"/>
              <w:left w:val="single" w:sz="4" w:space="0" w:color="auto"/>
              <w:bottom w:val="nil"/>
              <w:right w:val="single" w:sz="4" w:space="0" w:color="000000"/>
            </w:tcBorders>
            <w:shd w:val="clear" w:color="C6D9F0" w:fill="C6D9F0"/>
            <w:noWrap/>
            <w:tcMar>
              <w:top w:w="15" w:type="dxa"/>
              <w:left w:w="15" w:type="dxa"/>
              <w:bottom w:w="0" w:type="dxa"/>
              <w:right w:w="15" w:type="dxa"/>
            </w:tcMar>
            <w:vAlign w:val="center"/>
            <w:hideMark/>
          </w:tcPr>
          <w:p w:rsidR="00B92080" w:rsidRPr="002E2870" w:rsidRDefault="00B92080" w:rsidP="00DB5405">
            <w:pPr>
              <w:tabs>
                <w:tab w:val="left" w:pos="408"/>
              </w:tabs>
              <w:rPr>
                <w:rFonts w:ascii="Palatino Linotype" w:hAnsi="Palatino Linotype"/>
                <w:sz w:val="18"/>
                <w:szCs w:val="18"/>
              </w:rPr>
            </w:pPr>
            <w:r w:rsidRPr="002E2870">
              <w:rPr>
                <w:rFonts w:ascii="Palatino Linotype" w:hAnsi="Palatino Linotype"/>
                <w:sz w:val="18"/>
                <w:szCs w:val="18"/>
              </w:rPr>
              <w:t xml:space="preserve">(iii) </w:t>
            </w:r>
            <w:r w:rsidRPr="002E2870">
              <w:rPr>
                <w:rFonts w:ascii="Palatino Linotype" w:hAnsi="Palatino Linotype"/>
                <w:sz w:val="18"/>
                <w:szCs w:val="18"/>
              </w:rPr>
              <w:tab/>
              <w:t>Stock Futures</w:t>
            </w:r>
          </w:p>
        </w:tc>
        <w:tc>
          <w:tcPr>
            <w:tcW w:w="1306" w:type="dxa"/>
            <w:tcBorders>
              <w:top w:val="nil"/>
              <w:left w:val="nil"/>
              <w:bottom w:val="nil"/>
              <w:right w:val="single" w:sz="4" w:space="0" w:color="auto"/>
            </w:tcBorders>
            <w:shd w:val="clear" w:color="auto" w:fill="auto"/>
            <w:noWrap/>
            <w:tcMar>
              <w:top w:w="15" w:type="dxa"/>
              <w:left w:w="15" w:type="dxa"/>
              <w:bottom w:w="0" w:type="dxa"/>
              <w:right w:w="15" w:type="dxa"/>
            </w:tcMar>
          </w:tcPr>
          <w:p w:rsidR="00B92080" w:rsidRPr="002E2870" w:rsidRDefault="00B92080" w:rsidP="00DB5405">
            <w:pPr>
              <w:ind w:right="45"/>
              <w:jc w:val="right"/>
              <w:rPr>
                <w:rFonts w:ascii="Palatino Linotype" w:hAnsi="Palatino Linotype"/>
                <w:sz w:val="18"/>
                <w:szCs w:val="18"/>
              </w:rPr>
            </w:pPr>
            <w:r w:rsidRPr="002E2870">
              <w:rPr>
                <w:rFonts w:ascii="Palatino Linotype" w:hAnsi="Palatino Linotype"/>
                <w:sz w:val="18"/>
                <w:szCs w:val="18"/>
              </w:rPr>
              <w:t>14,78,176.0</w:t>
            </w:r>
          </w:p>
        </w:tc>
        <w:tc>
          <w:tcPr>
            <w:tcW w:w="1307" w:type="dxa"/>
            <w:tcBorders>
              <w:top w:val="nil"/>
              <w:left w:val="nil"/>
              <w:bottom w:val="nil"/>
              <w:right w:val="nil"/>
            </w:tcBorders>
            <w:shd w:val="clear" w:color="auto" w:fill="auto"/>
            <w:noWrap/>
            <w:tcMar>
              <w:top w:w="15" w:type="dxa"/>
              <w:left w:w="15" w:type="dxa"/>
              <w:bottom w:w="0" w:type="dxa"/>
              <w:right w:w="15" w:type="dxa"/>
            </w:tcMar>
          </w:tcPr>
          <w:p w:rsidR="00B92080" w:rsidRPr="002E2870" w:rsidRDefault="00B92080" w:rsidP="00DB5405">
            <w:pPr>
              <w:ind w:right="45"/>
              <w:jc w:val="right"/>
              <w:rPr>
                <w:rFonts w:ascii="Palatino Linotype" w:hAnsi="Palatino Linotype"/>
                <w:sz w:val="18"/>
                <w:szCs w:val="18"/>
              </w:rPr>
            </w:pPr>
            <w:r w:rsidRPr="002E2870">
              <w:rPr>
                <w:rFonts w:ascii="Palatino Linotype" w:hAnsi="Palatino Linotype"/>
                <w:sz w:val="18"/>
                <w:szCs w:val="18"/>
              </w:rPr>
              <w:t>15,35,447.6</w:t>
            </w:r>
          </w:p>
        </w:tc>
        <w:tc>
          <w:tcPr>
            <w:tcW w:w="1307" w:type="dxa"/>
            <w:tcBorders>
              <w:top w:val="nil"/>
              <w:left w:val="single" w:sz="4" w:space="0" w:color="auto"/>
              <w:bottom w:val="nil"/>
              <w:right w:val="single" w:sz="4" w:space="0" w:color="auto"/>
            </w:tcBorders>
            <w:shd w:val="clear" w:color="auto" w:fill="auto"/>
            <w:noWrap/>
            <w:tcMar>
              <w:top w:w="15" w:type="dxa"/>
              <w:left w:w="15" w:type="dxa"/>
              <w:bottom w:w="0" w:type="dxa"/>
              <w:right w:w="15" w:type="dxa"/>
            </w:tcMar>
          </w:tcPr>
          <w:p w:rsidR="00B92080" w:rsidRPr="002E2870" w:rsidRDefault="00B92080" w:rsidP="00DB5405">
            <w:pPr>
              <w:ind w:right="45"/>
              <w:jc w:val="right"/>
              <w:rPr>
                <w:rFonts w:ascii="Palatino Linotype" w:hAnsi="Palatino Linotype"/>
                <w:sz w:val="18"/>
                <w:szCs w:val="18"/>
              </w:rPr>
            </w:pPr>
            <w:r w:rsidRPr="002E2870">
              <w:rPr>
                <w:rFonts w:ascii="Palatino Linotype" w:hAnsi="Palatino Linotype"/>
                <w:sz w:val="18"/>
                <w:szCs w:val="18"/>
              </w:rPr>
              <w:t>3.9</w:t>
            </w:r>
          </w:p>
        </w:tc>
        <w:tc>
          <w:tcPr>
            <w:tcW w:w="1183" w:type="dxa"/>
            <w:tcBorders>
              <w:top w:val="nil"/>
              <w:left w:val="nil"/>
              <w:bottom w:val="nil"/>
              <w:right w:val="single" w:sz="4" w:space="0" w:color="auto"/>
            </w:tcBorders>
            <w:shd w:val="clear" w:color="auto" w:fill="auto"/>
            <w:noWrap/>
            <w:tcMar>
              <w:top w:w="15" w:type="dxa"/>
              <w:left w:w="15" w:type="dxa"/>
              <w:bottom w:w="0" w:type="dxa"/>
              <w:right w:w="15" w:type="dxa"/>
            </w:tcMar>
          </w:tcPr>
          <w:p w:rsidR="00B92080" w:rsidRPr="002E2870" w:rsidRDefault="00B92080" w:rsidP="00DB5405">
            <w:pPr>
              <w:ind w:right="90"/>
              <w:jc w:val="right"/>
              <w:rPr>
                <w:rFonts w:ascii="Palatino Linotype" w:hAnsi="Palatino Linotype"/>
                <w:sz w:val="18"/>
                <w:szCs w:val="18"/>
              </w:rPr>
            </w:pPr>
            <w:r w:rsidRPr="002E2870">
              <w:rPr>
                <w:rFonts w:ascii="Palatino Linotype" w:hAnsi="Palatino Linotype"/>
                <w:sz w:val="18"/>
                <w:szCs w:val="18"/>
              </w:rPr>
              <w:t>0.0</w:t>
            </w:r>
          </w:p>
        </w:tc>
        <w:tc>
          <w:tcPr>
            <w:tcW w:w="1134" w:type="dxa"/>
            <w:tcBorders>
              <w:top w:val="nil"/>
              <w:left w:val="nil"/>
              <w:bottom w:val="nil"/>
              <w:right w:val="nil"/>
            </w:tcBorders>
            <w:shd w:val="clear" w:color="auto" w:fill="auto"/>
            <w:noWrap/>
            <w:tcMar>
              <w:top w:w="15" w:type="dxa"/>
              <w:left w:w="15" w:type="dxa"/>
              <w:bottom w:w="0" w:type="dxa"/>
              <w:right w:w="15" w:type="dxa"/>
            </w:tcMar>
          </w:tcPr>
          <w:p w:rsidR="00B92080" w:rsidRPr="002E2870" w:rsidRDefault="00B92080" w:rsidP="00DB5405">
            <w:pPr>
              <w:ind w:right="90"/>
              <w:jc w:val="right"/>
              <w:rPr>
                <w:rFonts w:ascii="Palatino Linotype" w:hAnsi="Palatino Linotype"/>
                <w:sz w:val="18"/>
                <w:szCs w:val="18"/>
              </w:rPr>
            </w:pPr>
            <w:r w:rsidRPr="002E2870">
              <w:rPr>
                <w:rFonts w:ascii="Palatino Linotype" w:hAnsi="Palatino Linotype"/>
                <w:sz w:val="18"/>
                <w:szCs w:val="18"/>
              </w:rPr>
              <w:t>0.0</w:t>
            </w:r>
          </w:p>
        </w:tc>
        <w:tc>
          <w:tcPr>
            <w:tcW w:w="1421" w:type="dxa"/>
            <w:tcBorders>
              <w:top w:val="nil"/>
              <w:left w:val="single" w:sz="4" w:space="0" w:color="auto"/>
              <w:bottom w:val="nil"/>
              <w:right w:val="single" w:sz="4" w:space="0" w:color="auto"/>
            </w:tcBorders>
            <w:shd w:val="clear" w:color="auto" w:fill="auto"/>
            <w:noWrap/>
            <w:tcMar>
              <w:top w:w="15" w:type="dxa"/>
              <w:left w:w="15" w:type="dxa"/>
              <w:bottom w:w="0" w:type="dxa"/>
              <w:right w:w="15" w:type="dxa"/>
            </w:tcMar>
          </w:tcPr>
          <w:p w:rsidR="00B92080" w:rsidRPr="002E2870" w:rsidRDefault="00B92080" w:rsidP="00DB5405">
            <w:pPr>
              <w:ind w:right="90"/>
              <w:jc w:val="right"/>
              <w:rPr>
                <w:rFonts w:ascii="Palatino Linotype" w:hAnsi="Palatino Linotype"/>
                <w:sz w:val="18"/>
                <w:szCs w:val="18"/>
              </w:rPr>
            </w:pPr>
            <w:r w:rsidRPr="002E2870">
              <w:rPr>
                <w:rFonts w:ascii="Palatino Linotype" w:hAnsi="Palatino Linotype"/>
                <w:sz w:val="18"/>
                <w:szCs w:val="18"/>
              </w:rPr>
              <w:t>0.0</w:t>
            </w:r>
          </w:p>
        </w:tc>
      </w:tr>
      <w:tr w:rsidR="00B92080" w:rsidRPr="002E2870" w:rsidTr="00DB5405">
        <w:trPr>
          <w:trHeight w:val="255"/>
        </w:trPr>
        <w:tc>
          <w:tcPr>
            <w:tcW w:w="2122" w:type="dxa"/>
            <w:tcBorders>
              <w:top w:val="nil"/>
              <w:left w:val="single" w:sz="4" w:space="0" w:color="auto"/>
              <w:bottom w:val="nil"/>
              <w:right w:val="single" w:sz="4" w:space="0" w:color="000000"/>
            </w:tcBorders>
            <w:shd w:val="clear" w:color="C6D9F0" w:fill="C6D9F0"/>
            <w:noWrap/>
            <w:tcMar>
              <w:top w:w="15" w:type="dxa"/>
              <w:left w:w="15" w:type="dxa"/>
              <w:bottom w:w="0" w:type="dxa"/>
              <w:right w:w="15" w:type="dxa"/>
            </w:tcMar>
            <w:vAlign w:val="center"/>
            <w:hideMark/>
          </w:tcPr>
          <w:p w:rsidR="00B92080" w:rsidRPr="002E2870" w:rsidRDefault="00B92080" w:rsidP="00DB5405">
            <w:pPr>
              <w:tabs>
                <w:tab w:val="left" w:pos="408"/>
              </w:tabs>
              <w:rPr>
                <w:rFonts w:ascii="Palatino Linotype" w:hAnsi="Palatino Linotype"/>
                <w:sz w:val="18"/>
                <w:szCs w:val="18"/>
              </w:rPr>
            </w:pPr>
            <w:r w:rsidRPr="002E2870">
              <w:rPr>
                <w:rFonts w:ascii="Palatino Linotype" w:hAnsi="Palatino Linotype"/>
                <w:sz w:val="18"/>
                <w:szCs w:val="18"/>
              </w:rPr>
              <w:t xml:space="preserve">(iv) </w:t>
            </w:r>
            <w:r w:rsidRPr="002E2870">
              <w:rPr>
                <w:rFonts w:ascii="Palatino Linotype" w:hAnsi="Palatino Linotype"/>
                <w:sz w:val="18"/>
                <w:szCs w:val="18"/>
              </w:rPr>
              <w:tab/>
              <w:t>Options on Stock</w:t>
            </w:r>
          </w:p>
        </w:tc>
        <w:tc>
          <w:tcPr>
            <w:tcW w:w="1306" w:type="dxa"/>
            <w:tcBorders>
              <w:top w:val="nil"/>
              <w:left w:val="nil"/>
              <w:bottom w:val="nil"/>
              <w:right w:val="single" w:sz="4" w:space="0" w:color="auto"/>
            </w:tcBorders>
            <w:shd w:val="clear" w:color="auto" w:fill="auto"/>
            <w:noWrap/>
            <w:tcMar>
              <w:top w:w="15" w:type="dxa"/>
              <w:left w:w="15" w:type="dxa"/>
              <w:bottom w:w="0" w:type="dxa"/>
              <w:right w:w="15" w:type="dxa"/>
            </w:tcMar>
          </w:tcPr>
          <w:p w:rsidR="00B92080" w:rsidRPr="002E2870" w:rsidRDefault="00B92080" w:rsidP="00DB5405">
            <w:pPr>
              <w:ind w:right="45"/>
              <w:jc w:val="right"/>
              <w:rPr>
                <w:rFonts w:ascii="Palatino Linotype" w:hAnsi="Palatino Linotype"/>
                <w:sz w:val="18"/>
                <w:szCs w:val="18"/>
              </w:rPr>
            </w:pPr>
          </w:p>
        </w:tc>
        <w:tc>
          <w:tcPr>
            <w:tcW w:w="1307" w:type="dxa"/>
            <w:tcBorders>
              <w:top w:val="nil"/>
              <w:left w:val="nil"/>
              <w:bottom w:val="nil"/>
              <w:right w:val="nil"/>
            </w:tcBorders>
            <w:shd w:val="clear" w:color="auto" w:fill="auto"/>
            <w:noWrap/>
            <w:tcMar>
              <w:top w:w="15" w:type="dxa"/>
              <w:left w:w="15" w:type="dxa"/>
              <w:bottom w:w="0" w:type="dxa"/>
              <w:right w:w="15" w:type="dxa"/>
            </w:tcMar>
          </w:tcPr>
          <w:p w:rsidR="00B92080" w:rsidRPr="002E2870" w:rsidRDefault="00B92080" w:rsidP="00DB5405">
            <w:pPr>
              <w:ind w:right="45"/>
              <w:jc w:val="right"/>
              <w:rPr>
                <w:rFonts w:ascii="Palatino Linotype" w:hAnsi="Palatino Linotype"/>
                <w:sz w:val="18"/>
                <w:szCs w:val="18"/>
              </w:rPr>
            </w:pPr>
          </w:p>
        </w:tc>
        <w:tc>
          <w:tcPr>
            <w:tcW w:w="1307" w:type="dxa"/>
            <w:tcBorders>
              <w:top w:val="nil"/>
              <w:left w:val="single" w:sz="4" w:space="0" w:color="auto"/>
              <w:bottom w:val="nil"/>
              <w:right w:val="single" w:sz="4" w:space="0" w:color="auto"/>
            </w:tcBorders>
            <w:shd w:val="clear" w:color="auto" w:fill="auto"/>
            <w:noWrap/>
            <w:tcMar>
              <w:top w:w="15" w:type="dxa"/>
              <w:left w:w="15" w:type="dxa"/>
              <w:bottom w:w="0" w:type="dxa"/>
              <w:right w:w="15" w:type="dxa"/>
            </w:tcMar>
          </w:tcPr>
          <w:p w:rsidR="00B92080" w:rsidRPr="002E2870" w:rsidRDefault="00B92080" w:rsidP="00DB5405">
            <w:pPr>
              <w:ind w:right="45"/>
              <w:jc w:val="right"/>
              <w:rPr>
                <w:rFonts w:ascii="Palatino Linotype" w:hAnsi="Palatino Linotype"/>
                <w:sz w:val="18"/>
                <w:szCs w:val="18"/>
              </w:rPr>
            </w:pPr>
          </w:p>
        </w:tc>
        <w:tc>
          <w:tcPr>
            <w:tcW w:w="1183" w:type="dxa"/>
            <w:tcBorders>
              <w:top w:val="nil"/>
              <w:left w:val="nil"/>
              <w:bottom w:val="nil"/>
              <w:right w:val="single" w:sz="4" w:space="0" w:color="auto"/>
            </w:tcBorders>
            <w:shd w:val="clear" w:color="auto" w:fill="auto"/>
            <w:noWrap/>
            <w:tcMar>
              <w:top w:w="15" w:type="dxa"/>
              <w:left w:w="15" w:type="dxa"/>
              <w:bottom w:w="0" w:type="dxa"/>
              <w:right w:w="15" w:type="dxa"/>
            </w:tcMar>
          </w:tcPr>
          <w:p w:rsidR="00B92080" w:rsidRPr="002E2870" w:rsidRDefault="00B92080" w:rsidP="00DB5405">
            <w:pPr>
              <w:ind w:right="90"/>
              <w:jc w:val="right"/>
              <w:rPr>
                <w:rFonts w:ascii="Palatino Linotype" w:hAnsi="Palatino Linotype"/>
                <w:sz w:val="18"/>
                <w:szCs w:val="18"/>
              </w:rPr>
            </w:pPr>
          </w:p>
        </w:tc>
        <w:tc>
          <w:tcPr>
            <w:tcW w:w="1134" w:type="dxa"/>
            <w:tcBorders>
              <w:top w:val="nil"/>
              <w:left w:val="nil"/>
              <w:bottom w:val="nil"/>
              <w:right w:val="nil"/>
            </w:tcBorders>
            <w:shd w:val="clear" w:color="auto" w:fill="auto"/>
            <w:noWrap/>
            <w:tcMar>
              <w:top w:w="15" w:type="dxa"/>
              <w:left w:w="15" w:type="dxa"/>
              <w:bottom w:w="0" w:type="dxa"/>
              <w:right w:w="15" w:type="dxa"/>
            </w:tcMar>
          </w:tcPr>
          <w:p w:rsidR="00B92080" w:rsidRPr="002E2870" w:rsidRDefault="00B92080" w:rsidP="00DB5405">
            <w:pPr>
              <w:ind w:right="90"/>
              <w:jc w:val="right"/>
              <w:rPr>
                <w:rFonts w:ascii="Palatino Linotype" w:hAnsi="Palatino Linotype"/>
                <w:sz w:val="18"/>
                <w:szCs w:val="18"/>
              </w:rPr>
            </w:pPr>
          </w:p>
        </w:tc>
        <w:tc>
          <w:tcPr>
            <w:tcW w:w="1421" w:type="dxa"/>
            <w:tcBorders>
              <w:top w:val="nil"/>
              <w:left w:val="single" w:sz="4" w:space="0" w:color="auto"/>
              <w:bottom w:val="nil"/>
              <w:right w:val="single" w:sz="4" w:space="0" w:color="auto"/>
            </w:tcBorders>
            <w:shd w:val="clear" w:color="auto" w:fill="auto"/>
            <w:noWrap/>
            <w:tcMar>
              <w:top w:w="15" w:type="dxa"/>
              <w:left w:w="15" w:type="dxa"/>
              <w:bottom w:w="0" w:type="dxa"/>
              <w:right w:w="15" w:type="dxa"/>
            </w:tcMar>
          </w:tcPr>
          <w:p w:rsidR="00B92080" w:rsidRPr="002E2870" w:rsidRDefault="00B92080" w:rsidP="00DB5405">
            <w:pPr>
              <w:ind w:right="90"/>
              <w:jc w:val="right"/>
              <w:rPr>
                <w:rFonts w:ascii="Palatino Linotype" w:hAnsi="Palatino Linotype"/>
                <w:sz w:val="18"/>
                <w:szCs w:val="18"/>
              </w:rPr>
            </w:pPr>
          </w:p>
        </w:tc>
      </w:tr>
      <w:tr w:rsidR="00B92080" w:rsidRPr="002E2870" w:rsidTr="00DB5405">
        <w:trPr>
          <w:trHeight w:val="255"/>
        </w:trPr>
        <w:tc>
          <w:tcPr>
            <w:tcW w:w="2122" w:type="dxa"/>
            <w:tcBorders>
              <w:top w:val="nil"/>
              <w:left w:val="single" w:sz="4" w:space="0" w:color="auto"/>
              <w:bottom w:val="nil"/>
              <w:right w:val="single" w:sz="4" w:space="0" w:color="000000"/>
            </w:tcBorders>
            <w:shd w:val="clear" w:color="C6D9F0" w:fill="C6D9F0"/>
            <w:noWrap/>
            <w:tcMar>
              <w:top w:w="15" w:type="dxa"/>
              <w:left w:w="15" w:type="dxa"/>
              <w:bottom w:w="0" w:type="dxa"/>
              <w:right w:w="15" w:type="dxa"/>
            </w:tcMar>
            <w:vAlign w:val="center"/>
            <w:hideMark/>
          </w:tcPr>
          <w:p w:rsidR="00B92080" w:rsidRPr="002E2870" w:rsidRDefault="00B92080" w:rsidP="00DB5405">
            <w:pPr>
              <w:tabs>
                <w:tab w:val="left" w:pos="408"/>
              </w:tabs>
              <w:rPr>
                <w:rFonts w:ascii="Palatino Linotype" w:hAnsi="Palatino Linotype"/>
                <w:i/>
                <w:iCs/>
                <w:sz w:val="18"/>
                <w:szCs w:val="18"/>
              </w:rPr>
            </w:pPr>
            <w:r w:rsidRPr="002E2870">
              <w:rPr>
                <w:rFonts w:ascii="Palatino Linotype" w:hAnsi="Palatino Linotype"/>
                <w:i/>
                <w:iCs/>
                <w:sz w:val="18"/>
                <w:szCs w:val="18"/>
              </w:rPr>
              <w:tab/>
              <w:t>Put</w:t>
            </w:r>
          </w:p>
        </w:tc>
        <w:tc>
          <w:tcPr>
            <w:tcW w:w="1306" w:type="dxa"/>
            <w:tcBorders>
              <w:top w:val="nil"/>
              <w:left w:val="nil"/>
              <w:bottom w:val="nil"/>
              <w:right w:val="single" w:sz="4" w:space="0" w:color="auto"/>
            </w:tcBorders>
            <w:shd w:val="clear" w:color="auto" w:fill="auto"/>
            <w:noWrap/>
            <w:tcMar>
              <w:top w:w="15" w:type="dxa"/>
              <w:left w:w="15" w:type="dxa"/>
              <w:bottom w:w="0" w:type="dxa"/>
              <w:right w:w="15" w:type="dxa"/>
            </w:tcMar>
          </w:tcPr>
          <w:p w:rsidR="00B92080" w:rsidRPr="002E2870" w:rsidRDefault="00B92080" w:rsidP="00DB5405">
            <w:pPr>
              <w:ind w:right="45"/>
              <w:jc w:val="right"/>
              <w:rPr>
                <w:rFonts w:ascii="Palatino Linotype" w:hAnsi="Palatino Linotype"/>
                <w:sz w:val="18"/>
                <w:szCs w:val="18"/>
              </w:rPr>
            </w:pPr>
            <w:r w:rsidRPr="002E2870">
              <w:rPr>
                <w:rFonts w:ascii="Palatino Linotype" w:hAnsi="Palatino Linotype"/>
                <w:sz w:val="18"/>
                <w:szCs w:val="18"/>
              </w:rPr>
              <w:t>5,84,505.2</w:t>
            </w:r>
          </w:p>
        </w:tc>
        <w:tc>
          <w:tcPr>
            <w:tcW w:w="1307" w:type="dxa"/>
            <w:tcBorders>
              <w:top w:val="nil"/>
              <w:left w:val="nil"/>
              <w:bottom w:val="nil"/>
              <w:right w:val="nil"/>
            </w:tcBorders>
            <w:shd w:val="clear" w:color="auto" w:fill="auto"/>
            <w:noWrap/>
            <w:tcMar>
              <w:top w:w="15" w:type="dxa"/>
              <w:left w:w="15" w:type="dxa"/>
              <w:bottom w:w="0" w:type="dxa"/>
              <w:right w:w="15" w:type="dxa"/>
            </w:tcMar>
          </w:tcPr>
          <w:p w:rsidR="00B92080" w:rsidRPr="002E2870" w:rsidRDefault="00B92080" w:rsidP="00DB5405">
            <w:pPr>
              <w:ind w:right="45"/>
              <w:jc w:val="right"/>
              <w:rPr>
                <w:rFonts w:ascii="Palatino Linotype" w:hAnsi="Palatino Linotype"/>
                <w:sz w:val="18"/>
                <w:szCs w:val="18"/>
              </w:rPr>
            </w:pPr>
            <w:r w:rsidRPr="002E2870">
              <w:rPr>
                <w:rFonts w:ascii="Palatino Linotype" w:hAnsi="Palatino Linotype"/>
                <w:sz w:val="18"/>
                <w:szCs w:val="18"/>
              </w:rPr>
              <w:t>6,52,074.1</w:t>
            </w:r>
          </w:p>
        </w:tc>
        <w:tc>
          <w:tcPr>
            <w:tcW w:w="1307" w:type="dxa"/>
            <w:tcBorders>
              <w:top w:val="nil"/>
              <w:left w:val="single" w:sz="4" w:space="0" w:color="auto"/>
              <w:bottom w:val="nil"/>
              <w:right w:val="single" w:sz="4" w:space="0" w:color="auto"/>
            </w:tcBorders>
            <w:shd w:val="clear" w:color="auto" w:fill="auto"/>
            <w:noWrap/>
            <w:tcMar>
              <w:top w:w="15" w:type="dxa"/>
              <w:left w:w="15" w:type="dxa"/>
              <w:bottom w:w="0" w:type="dxa"/>
              <w:right w:w="15" w:type="dxa"/>
            </w:tcMar>
          </w:tcPr>
          <w:p w:rsidR="00B92080" w:rsidRPr="002E2870" w:rsidRDefault="00B92080" w:rsidP="00DB5405">
            <w:pPr>
              <w:ind w:right="45"/>
              <w:jc w:val="right"/>
              <w:rPr>
                <w:rFonts w:ascii="Palatino Linotype" w:hAnsi="Palatino Linotype"/>
                <w:sz w:val="18"/>
                <w:szCs w:val="18"/>
              </w:rPr>
            </w:pPr>
            <w:r w:rsidRPr="002E2870">
              <w:rPr>
                <w:rFonts w:ascii="Palatino Linotype" w:hAnsi="Palatino Linotype"/>
                <w:sz w:val="18"/>
                <w:szCs w:val="18"/>
              </w:rPr>
              <w:t>11.6</w:t>
            </w:r>
          </w:p>
        </w:tc>
        <w:tc>
          <w:tcPr>
            <w:tcW w:w="1183" w:type="dxa"/>
            <w:tcBorders>
              <w:top w:val="nil"/>
              <w:left w:val="nil"/>
              <w:bottom w:val="nil"/>
              <w:right w:val="single" w:sz="4" w:space="0" w:color="auto"/>
            </w:tcBorders>
            <w:shd w:val="clear" w:color="auto" w:fill="auto"/>
            <w:noWrap/>
            <w:tcMar>
              <w:top w:w="15" w:type="dxa"/>
              <w:left w:w="15" w:type="dxa"/>
              <w:bottom w:w="0" w:type="dxa"/>
              <w:right w:w="15" w:type="dxa"/>
            </w:tcMar>
          </w:tcPr>
          <w:p w:rsidR="00B92080" w:rsidRPr="002E2870" w:rsidRDefault="00B92080" w:rsidP="00DB5405">
            <w:pPr>
              <w:ind w:right="90"/>
              <w:jc w:val="right"/>
              <w:rPr>
                <w:rFonts w:ascii="Palatino Linotype" w:hAnsi="Palatino Linotype"/>
                <w:sz w:val="18"/>
                <w:szCs w:val="18"/>
              </w:rPr>
            </w:pPr>
            <w:r w:rsidRPr="002E2870">
              <w:rPr>
                <w:rFonts w:ascii="Palatino Linotype" w:hAnsi="Palatino Linotype"/>
                <w:sz w:val="18"/>
                <w:szCs w:val="18"/>
              </w:rPr>
              <w:t>0.0</w:t>
            </w:r>
          </w:p>
        </w:tc>
        <w:tc>
          <w:tcPr>
            <w:tcW w:w="1134" w:type="dxa"/>
            <w:tcBorders>
              <w:top w:val="nil"/>
              <w:left w:val="nil"/>
              <w:bottom w:val="nil"/>
              <w:right w:val="nil"/>
            </w:tcBorders>
            <w:shd w:val="clear" w:color="auto" w:fill="auto"/>
            <w:noWrap/>
            <w:tcMar>
              <w:top w:w="15" w:type="dxa"/>
              <w:left w:w="15" w:type="dxa"/>
              <w:bottom w:w="0" w:type="dxa"/>
              <w:right w:w="15" w:type="dxa"/>
            </w:tcMar>
          </w:tcPr>
          <w:p w:rsidR="00B92080" w:rsidRPr="002E2870" w:rsidRDefault="00B92080" w:rsidP="00DB5405">
            <w:pPr>
              <w:ind w:right="90"/>
              <w:jc w:val="right"/>
              <w:rPr>
                <w:rFonts w:ascii="Palatino Linotype" w:hAnsi="Palatino Linotype"/>
                <w:sz w:val="18"/>
                <w:szCs w:val="18"/>
              </w:rPr>
            </w:pPr>
            <w:r w:rsidRPr="002E2870">
              <w:rPr>
                <w:rFonts w:ascii="Palatino Linotype" w:hAnsi="Palatino Linotype"/>
                <w:sz w:val="18"/>
                <w:szCs w:val="18"/>
              </w:rPr>
              <w:t>0.0</w:t>
            </w:r>
          </w:p>
        </w:tc>
        <w:tc>
          <w:tcPr>
            <w:tcW w:w="1421" w:type="dxa"/>
            <w:tcBorders>
              <w:top w:val="nil"/>
              <w:left w:val="single" w:sz="4" w:space="0" w:color="auto"/>
              <w:bottom w:val="nil"/>
              <w:right w:val="single" w:sz="4" w:space="0" w:color="auto"/>
            </w:tcBorders>
            <w:shd w:val="clear" w:color="auto" w:fill="auto"/>
            <w:noWrap/>
            <w:tcMar>
              <w:top w:w="15" w:type="dxa"/>
              <w:left w:w="15" w:type="dxa"/>
              <w:bottom w:w="0" w:type="dxa"/>
              <w:right w:w="15" w:type="dxa"/>
            </w:tcMar>
          </w:tcPr>
          <w:p w:rsidR="00B92080" w:rsidRPr="002E2870" w:rsidRDefault="00B92080" w:rsidP="00DB5405">
            <w:pPr>
              <w:ind w:right="90"/>
              <w:jc w:val="right"/>
              <w:rPr>
                <w:rFonts w:ascii="Palatino Linotype" w:hAnsi="Palatino Linotype"/>
                <w:sz w:val="18"/>
                <w:szCs w:val="18"/>
              </w:rPr>
            </w:pPr>
            <w:r w:rsidRPr="002E2870">
              <w:rPr>
                <w:rFonts w:ascii="Palatino Linotype" w:hAnsi="Palatino Linotype"/>
                <w:sz w:val="18"/>
                <w:szCs w:val="18"/>
              </w:rPr>
              <w:t>0.0</w:t>
            </w:r>
          </w:p>
        </w:tc>
      </w:tr>
      <w:tr w:rsidR="00B92080" w:rsidRPr="002E2870" w:rsidTr="00DB5405">
        <w:trPr>
          <w:trHeight w:val="255"/>
        </w:trPr>
        <w:tc>
          <w:tcPr>
            <w:tcW w:w="2122" w:type="dxa"/>
            <w:tcBorders>
              <w:top w:val="nil"/>
              <w:left w:val="single" w:sz="4" w:space="0" w:color="auto"/>
              <w:bottom w:val="single" w:sz="4" w:space="0" w:color="000000"/>
              <w:right w:val="single" w:sz="4" w:space="0" w:color="000000"/>
            </w:tcBorders>
            <w:shd w:val="clear" w:color="C6D9F0" w:fill="C6D9F0"/>
            <w:noWrap/>
            <w:tcMar>
              <w:top w:w="15" w:type="dxa"/>
              <w:left w:w="15" w:type="dxa"/>
              <w:bottom w:w="0" w:type="dxa"/>
              <w:right w:w="15" w:type="dxa"/>
            </w:tcMar>
            <w:vAlign w:val="center"/>
            <w:hideMark/>
          </w:tcPr>
          <w:p w:rsidR="00B92080" w:rsidRPr="002E2870" w:rsidRDefault="00B92080" w:rsidP="00DB5405">
            <w:pPr>
              <w:tabs>
                <w:tab w:val="left" w:pos="408"/>
              </w:tabs>
              <w:rPr>
                <w:rFonts w:ascii="Palatino Linotype" w:hAnsi="Palatino Linotype"/>
                <w:i/>
                <w:iCs/>
                <w:sz w:val="18"/>
                <w:szCs w:val="18"/>
              </w:rPr>
            </w:pPr>
            <w:r w:rsidRPr="002E2870">
              <w:rPr>
                <w:rFonts w:ascii="Palatino Linotype" w:hAnsi="Palatino Linotype"/>
                <w:i/>
                <w:iCs/>
                <w:sz w:val="18"/>
                <w:szCs w:val="18"/>
              </w:rPr>
              <w:tab/>
              <w:t>Call</w:t>
            </w:r>
          </w:p>
        </w:tc>
        <w:tc>
          <w:tcPr>
            <w:tcW w:w="1306" w:type="dxa"/>
            <w:tcBorders>
              <w:top w:val="nil"/>
              <w:left w:val="nil"/>
              <w:bottom w:val="single" w:sz="4" w:space="0" w:color="000000"/>
              <w:right w:val="single" w:sz="4" w:space="0" w:color="auto"/>
            </w:tcBorders>
            <w:shd w:val="clear" w:color="auto" w:fill="auto"/>
            <w:noWrap/>
            <w:tcMar>
              <w:top w:w="15" w:type="dxa"/>
              <w:left w:w="15" w:type="dxa"/>
              <w:bottom w:w="0" w:type="dxa"/>
              <w:right w:w="15" w:type="dxa"/>
            </w:tcMar>
          </w:tcPr>
          <w:p w:rsidR="00B92080" w:rsidRPr="002E2870" w:rsidRDefault="00B92080" w:rsidP="00DB5405">
            <w:pPr>
              <w:ind w:right="45"/>
              <w:jc w:val="right"/>
              <w:rPr>
                <w:rFonts w:ascii="Palatino Linotype" w:hAnsi="Palatino Linotype"/>
                <w:sz w:val="18"/>
                <w:szCs w:val="18"/>
              </w:rPr>
            </w:pPr>
            <w:r w:rsidRPr="002E2870">
              <w:rPr>
                <w:rFonts w:ascii="Palatino Linotype" w:hAnsi="Palatino Linotype"/>
                <w:sz w:val="18"/>
                <w:szCs w:val="18"/>
              </w:rPr>
              <w:t>13,70,741.0</w:t>
            </w:r>
          </w:p>
        </w:tc>
        <w:tc>
          <w:tcPr>
            <w:tcW w:w="1307" w:type="dxa"/>
            <w:tcBorders>
              <w:top w:val="nil"/>
              <w:left w:val="nil"/>
              <w:bottom w:val="single" w:sz="4" w:space="0" w:color="000000"/>
              <w:right w:val="nil"/>
            </w:tcBorders>
            <w:shd w:val="clear" w:color="auto" w:fill="auto"/>
            <w:noWrap/>
            <w:tcMar>
              <w:top w:w="15" w:type="dxa"/>
              <w:left w:w="15" w:type="dxa"/>
              <w:bottom w:w="0" w:type="dxa"/>
              <w:right w:w="15" w:type="dxa"/>
            </w:tcMar>
          </w:tcPr>
          <w:p w:rsidR="00B92080" w:rsidRPr="002E2870" w:rsidRDefault="00B92080" w:rsidP="00DB5405">
            <w:pPr>
              <w:ind w:right="45"/>
              <w:jc w:val="right"/>
              <w:rPr>
                <w:rFonts w:ascii="Palatino Linotype" w:hAnsi="Palatino Linotype"/>
                <w:sz w:val="18"/>
                <w:szCs w:val="18"/>
              </w:rPr>
            </w:pPr>
            <w:r w:rsidRPr="002E2870">
              <w:rPr>
                <w:rFonts w:ascii="Palatino Linotype" w:hAnsi="Palatino Linotype"/>
                <w:sz w:val="18"/>
                <w:szCs w:val="18"/>
              </w:rPr>
              <w:t>15,77,042.2</w:t>
            </w:r>
          </w:p>
        </w:tc>
        <w:tc>
          <w:tcPr>
            <w:tcW w:w="1307"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tcPr>
          <w:p w:rsidR="00B92080" w:rsidRPr="002E2870" w:rsidRDefault="00B92080" w:rsidP="00DB5405">
            <w:pPr>
              <w:ind w:right="45"/>
              <w:jc w:val="right"/>
              <w:rPr>
                <w:rFonts w:ascii="Palatino Linotype" w:hAnsi="Palatino Linotype"/>
                <w:sz w:val="18"/>
                <w:szCs w:val="18"/>
              </w:rPr>
            </w:pPr>
            <w:r w:rsidRPr="002E2870">
              <w:rPr>
                <w:rFonts w:ascii="Palatino Linotype" w:hAnsi="Palatino Linotype"/>
                <w:sz w:val="18"/>
                <w:szCs w:val="18"/>
              </w:rPr>
              <w:t>15.1</w:t>
            </w:r>
          </w:p>
        </w:tc>
        <w:tc>
          <w:tcPr>
            <w:tcW w:w="1183" w:type="dxa"/>
            <w:tcBorders>
              <w:top w:val="nil"/>
              <w:left w:val="nil"/>
              <w:bottom w:val="single" w:sz="4" w:space="0" w:color="000000"/>
              <w:right w:val="single" w:sz="4" w:space="0" w:color="auto"/>
            </w:tcBorders>
            <w:shd w:val="clear" w:color="auto" w:fill="auto"/>
            <w:noWrap/>
            <w:tcMar>
              <w:top w:w="15" w:type="dxa"/>
              <w:left w:w="15" w:type="dxa"/>
              <w:bottom w:w="0" w:type="dxa"/>
              <w:right w:w="15" w:type="dxa"/>
            </w:tcMar>
          </w:tcPr>
          <w:p w:rsidR="00B92080" w:rsidRPr="002E2870" w:rsidRDefault="00B92080" w:rsidP="00DB5405">
            <w:pPr>
              <w:ind w:right="90"/>
              <w:jc w:val="right"/>
              <w:rPr>
                <w:rFonts w:ascii="Palatino Linotype" w:hAnsi="Palatino Linotype"/>
                <w:sz w:val="18"/>
                <w:szCs w:val="18"/>
              </w:rPr>
            </w:pPr>
            <w:r w:rsidRPr="002E2870">
              <w:rPr>
                <w:rFonts w:ascii="Palatino Linotype" w:hAnsi="Palatino Linotype"/>
                <w:sz w:val="18"/>
                <w:szCs w:val="18"/>
              </w:rPr>
              <w:t>0.0</w:t>
            </w:r>
          </w:p>
        </w:tc>
        <w:tc>
          <w:tcPr>
            <w:tcW w:w="1134" w:type="dxa"/>
            <w:tcBorders>
              <w:top w:val="nil"/>
              <w:left w:val="nil"/>
              <w:bottom w:val="nil"/>
              <w:right w:val="nil"/>
            </w:tcBorders>
            <w:shd w:val="clear" w:color="auto" w:fill="auto"/>
            <w:noWrap/>
            <w:tcMar>
              <w:top w:w="15" w:type="dxa"/>
              <w:left w:w="15" w:type="dxa"/>
              <w:bottom w:w="0" w:type="dxa"/>
              <w:right w:w="15" w:type="dxa"/>
            </w:tcMar>
          </w:tcPr>
          <w:p w:rsidR="00B92080" w:rsidRPr="002E2870" w:rsidRDefault="00B92080" w:rsidP="00DB5405">
            <w:pPr>
              <w:ind w:right="90"/>
              <w:jc w:val="right"/>
              <w:rPr>
                <w:rFonts w:ascii="Palatino Linotype" w:hAnsi="Palatino Linotype"/>
                <w:sz w:val="18"/>
                <w:szCs w:val="18"/>
              </w:rPr>
            </w:pPr>
            <w:r w:rsidRPr="002E2870">
              <w:rPr>
                <w:rFonts w:ascii="Palatino Linotype" w:hAnsi="Palatino Linotype"/>
                <w:sz w:val="18"/>
                <w:szCs w:val="18"/>
              </w:rPr>
              <w:t>0.0</w:t>
            </w:r>
          </w:p>
        </w:tc>
        <w:tc>
          <w:tcPr>
            <w:tcW w:w="1421"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tcPr>
          <w:p w:rsidR="00B92080" w:rsidRPr="002E2870" w:rsidRDefault="00B92080" w:rsidP="00DB5405">
            <w:pPr>
              <w:ind w:right="90"/>
              <w:jc w:val="right"/>
              <w:rPr>
                <w:rFonts w:ascii="Palatino Linotype" w:hAnsi="Palatino Linotype"/>
                <w:sz w:val="18"/>
                <w:szCs w:val="18"/>
              </w:rPr>
            </w:pPr>
            <w:r w:rsidRPr="002E2870">
              <w:rPr>
                <w:rFonts w:ascii="Palatino Linotype" w:hAnsi="Palatino Linotype"/>
                <w:sz w:val="18"/>
                <w:szCs w:val="18"/>
              </w:rPr>
              <w:t>0.0</w:t>
            </w:r>
          </w:p>
        </w:tc>
      </w:tr>
      <w:tr w:rsidR="00B92080" w:rsidRPr="002E2870" w:rsidTr="00DB5405">
        <w:trPr>
          <w:trHeight w:val="255"/>
        </w:trPr>
        <w:tc>
          <w:tcPr>
            <w:tcW w:w="2122" w:type="dxa"/>
            <w:tcBorders>
              <w:top w:val="nil"/>
              <w:left w:val="single" w:sz="4" w:space="0" w:color="auto"/>
              <w:bottom w:val="nil"/>
              <w:right w:val="single" w:sz="4" w:space="0" w:color="000000"/>
            </w:tcBorders>
            <w:shd w:val="clear" w:color="C6D9F0" w:fill="95B3D7"/>
            <w:noWrap/>
            <w:tcMar>
              <w:top w:w="15" w:type="dxa"/>
              <w:left w:w="15" w:type="dxa"/>
              <w:bottom w:w="0" w:type="dxa"/>
              <w:right w:w="15" w:type="dxa"/>
            </w:tcMar>
            <w:vAlign w:val="center"/>
            <w:hideMark/>
          </w:tcPr>
          <w:p w:rsidR="00B92080" w:rsidRPr="002E2870" w:rsidRDefault="00B92080" w:rsidP="00DB5405">
            <w:pPr>
              <w:tabs>
                <w:tab w:val="left" w:pos="408"/>
              </w:tabs>
              <w:rPr>
                <w:rFonts w:ascii="Palatino Linotype" w:hAnsi="Palatino Linotype"/>
                <w:b/>
                <w:bCs/>
                <w:sz w:val="18"/>
                <w:szCs w:val="18"/>
              </w:rPr>
            </w:pPr>
            <w:r w:rsidRPr="002E2870">
              <w:rPr>
                <w:rFonts w:ascii="Palatino Linotype" w:hAnsi="Palatino Linotype"/>
                <w:b/>
                <w:bCs/>
                <w:sz w:val="18"/>
                <w:szCs w:val="18"/>
              </w:rPr>
              <w:t xml:space="preserve"> Total</w:t>
            </w:r>
          </w:p>
        </w:tc>
        <w:tc>
          <w:tcPr>
            <w:tcW w:w="1306" w:type="dxa"/>
            <w:tcBorders>
              <w:top w:val="nil"/>
              <w:left w:val="nil"/>
              <w:bottom w:val="nil"/>
              <w:right w:val="single" w:sz="4" w:space="0" w:color="000000"/>
            </w:tcBorders>
            <w:shd w:val="clear" w:color="C6D9F0" w:fill="95B3D7"/>
            <w:noWrap/>
            <w:tcMar>
              <w:top w:w="15" w:type="dxa"/>
              <w:left w:w="15" w:type="dxa"/>
              <w:bottom w:w="0" w:type="dxa"/>
              <w:right w:w="15" w:type="dxa"/>
            </w:tcMar>
            <w:vAlign w:val="center"/>
          </w:tcPr>
          <w:p w:rsidR="00B92080" w:rsidRPr="002E2870" w:rsidRDefault="00B92080" w:rsidP="00DB5405">
            <w:pPr>
              <w:ind w:right="45"/>
              <w:jc w:val="right"/>
              <w:rPr>
                <w:rFonts w:ascii="Palatino Linotype" w:hAnsi="Palatino Linotype"/>
                <w:b/>
                <w:bCs/>
                <w:sz w:val="18"/>
                <w:szCs w:val="18"/>
              </w:rPr>
            </w:pPr>
            <w:r w:rsidRPr="002E2870">
              <w:rPr>
                <w:rFonts w:ascii="Palatino Linotype" w:hAnsi="Palatino Linotype"/>
                <w:b/>
                <w:bCs/>
                <w:sz w:val="18"/>
                <w:szCs w:val="18"/>
              </w:rPr>
              <w:t>3,94,29,369.5</w:t>
            </w:r>
          </w:p>
        </w:tc>
        <w:tc>
          <w:tcPr>
            <w:tcW w:w="1307" w:type="dxa"/>
            <w:tcBorders>
              <w:top w:val="nil"/>
              <w:left w:val="nil"/>
              <w:bottom w:val="nil"/>
              <w:right w:val="single" w:sz="4" w:space="0" w:color="000000"/>
            </w:tcBorders>
            <w:shd w:val="clear" w:color="C6D9F0" w:fill="95B3D7"/>
            <w:noWrap/>
            <w:tcMar>
              <w:top w:w="15" w:type="dxa"/>
              <w:left w:w="15" w:type="dxa"/>
              <w:bottom w:w="0" w:type="dxa"/>
              <w:right w:w="15" w:type="dxa"/>
            </w:tcMar>
            <w:vAlign w:val="center"/>
          </w:tcPr>
          <w:p w:rsidR="00B92080" w:rsidRPr="002E2870" w:rsidRDefault="00B92080" w:rsidP="00DB5405">
            <w:pPr>
              <w:ind w:right="45"/>
              <w:jc w:val="right"/>
              <w:rPr>
                <w:rFonts w:ascii="Palatino Linotype" w:hAnsi="Palatino Linotype"/>
                <w:b/>
                <w:bCs/>
                <w:sz w:val="18"/>
                <w:szCs w:val="18"/>
              </w:rPr>
            </w:pPr>
            <w:r w:rsidRPr="002E2870">
              <w:rPr>
                <w:rFonts w:ascii="Palatino Linotype" w:hAnsi="Palatino Linotype"/>
                <w:b/>
                <w:bCs/>
                <w:sz w:val="18"/>
                <w:szCs w:val="18"/>
              </w:rPr>
              <w:t>4,74,54,518.4</w:t>
            </w:r>
          </w:p>
        </w:tc>
        <w:tc>
          <w:tcPr>
            <w:tcW w:w="1307" w:type="dxa"/>
            <w:tcBorders>
              <w:top w:val="single" w:sz="4" w:space="0" w:color="auto"/>
              <w:left w:val="nil"/>
              <w:bottom w:val="nil"/>
              <w:right w:val="single" w:sz="4" w:space="0" w:color="auto"/>
            </w:tcBorders>
            <w:shd w:val="clear" w:color="000000" w:fill="95B3D7"/>
            <w:noWrap/>
            <w:tcMar>
              <w:top w:w="15" w:type="dxa"/>
              <w:left w:w="15" w:type="dxa"/>
              <w:bottom w:w="0" w:type="dxa"/>
              <w:right w:w="15" w:type="dxa"/>
            </w:tcMar>
            <w:vAlign w:val="center"/>
          </w:tcPr>
          <w:p w:rsidR="00B92080" w:rsidRPr="002E2870" w:rsidRDefault="00B92080" w:rsidP="00DB5405">
            <w:pPr>
              <w:ind w:right="45"/>
              <w:jc w:val="right"/>
              <w:rPr>
                <w:rFonts w:ascii="Palatino Linotype" w:hAnsi="Palatino Linotype"/>
                <w:b/>
                <w:bCs/>
                <w:sz w:val="18"/>
                <w:szCs w:val="18"/>
              </w:rPr>
            </w:pPr>
            <w:r w:rsidRPr="002E2870">
              <w:rPr>
                <w:rFonts w:ascii="Palatino Linotype" w:hAnsi="Palatino Linotype"/>
                <w:b/>
                <w:bCs/>
                <w:sz w:val="18"/>
                <w:szCs w:val="18"/>
              </w:rPr>
              <w:t>20.4</w:t>
            </w:r>
          </w:p>
        </w:tc>
        <w:tc>
          <w:tcPr>
            <w:tcW w:w="1183" w:type="dxa"/>
            <w:tcBorders>
              <w:top w:val="nil"/>
              <w:left w:val="single" w:sz="4" w:space="0" w:color="auto"/>
              <w:bottom w:val="nil"/>
              <w:right w:val="single" w:sz="4" w:space="0" w:color="000000"/>
            </w:tcBorders>
            <w:shd w:val="clear" w:color="C6D9F0" w:fill="95B3D7"/>
            <w:noWrap/>
            <w:tcMar>
              <w:top w:w="15" w:type="dxa"/>
              <w:left w:w="15" w:type="dxa"/>
              <w:bottom w:w="0" w:type="dxa"/>
              <w:right w:w="15" w:type="dxa"/>
            </w:tcMar>
            <w:vAlign w:val="center"/>
          </w:tcPr>
          <w:p w:rsidR="00B92080" w:rsidRPr="002E2870" w:rsidRDefault="00B92080" w:rsidP="00DB5405">
            <w:pPr>
              <w:ind w:right="90"/>
              <w:jc w:val="right"/>
              <w:rPr>
                <w:rFonts w:ascii="Palatino Linotype" w:hAnsi="Palatino Linotype"/>
                <w:b/>
                <w:bCs/>
                <w:sz w:val="18"/>
                <w:szCs w:val="18"/>
              </w:rPr>
            </w:pPr>
            <w:r w:rsidRPr="002E2870">
              <w:rPr>
                <w:rFonts w:ascii="Palatino Linotype" w:hAnsi="Palatino Linotype"/>
                <w:b/>
                <w:bCs/>
                <w:sz w:val="18"/>
                <w:szCs w:val="18"/>
              </w:rPr>
              <w:t>18,48,116.9</w:t>
            </w:r>
          </w:p>
        </w:tc>
        <w:tc>
          <w:tcPr>
            <w:tcW w:w="1134" w:type="dxa"/>
            <w:tcBorders>
              <w:top w:val="single" w:sz="4" w:space="0" w:color="000000"/>
              <w:left w:val="nil"/>
              <w:bottom w:val="nil"/>
              <w:right w:val="single" w:sz="4" w:space="0" w:color="000000"/>
            </w:tcBorders>
            <w:shd w:val="clear" w:color="C6D9F0" w:fill="95B3D7"/>
            <w:noWrap/>
            <w:tcMar>
              <w:top w:w="15" w:type="dxa"/>
              <w:left w:w="15" w:type="dxa"/>
              <w:bottom w:w="0" w:type="dxa"/>
              <w:right w:w="15" w:type="dxa"/>
            </w:tcMar>
            <w:vAlign w:val="center"/>
          </w:tcPr>
          <w:p w:rsidR="00B92080" w:rsidRPr="002E2870" w:rsidRDefault="00B92080" w:rsidP="00DB5405">
            <w:pPr>
              <w:ind w:right="90"/>
              <w:jc w:val="right"/>
              <w:rPr>
                <w:rFonts w:ascii="Palatino Linotype" w:hAnsi="Palatino Linotype"/>
                <w:b/>
                <w:bCs/>
                <w:sz w:val="18"/>
                <w:szCs w:val="18"/>
              </w:rPr>
            </w:pPr>
            <w:r w:rsidRPr="002E2870">
              <w:rPr>
                <w:rFonts w:ascii="Palatino Linotype" w:hAnsi="Palatino Linotype"/>
                <w:b/>
                <w:bCs/>
                <w:sz w:val="18"/>
                <w:szCs w:val="18"/>
              </w:rPr>
              <w:t>27,26,566.6</w:t>
            </w:r>
          </w:p>
        </w:tc>
        <w:tc>
          <w:tcPr>
            <w:tcW w:w="1421" w:type="dxa"/>
            <w:tcBorders>
              <w:top w:val="nil"/>
              <w:left w:val="nil"/>
              <w:bottom w:val="nil"/>
              <w:right w:val="single" w:sz="4" w:space="0" w:color="auto"/>
            </w:tcBorders>
            <w:shd w:val="clear" w:color="C6D9F0" w:fill="95B3D7"/>
            <w:noWrap/>
            <w:tcMar>
              <w:top w:w="15" w:type="dxa"/>
              <w:left w:w="15" w:type="dxa"/>
              <w:bottom w:w="0" w:type="dxa"/>
              <w:right w:w="15" w:type="dxa"/>
            </w:tcMar>
            <w:vAlign w:val="center"/>
          </w:tcPr>
          <w:p w:rsidR="00B92080" w:rsidRPr="002E2870" w:rsidRDefault="00B92080" w:rsidP="00DB5405">
            <w:pPr>
              <w:ind w:right="90"/>
              <w:jc w:val="right"/>
              <w:rPr>
                <w:rFonts w:ascii="Palatino Linotype" w:hAnsi="Palatino Linotype"/>
                <w:b/>
                <w:bCs/>
                <w:sz w:val="18"/>
                <w:szCs w:val="18"/>
              </w:rPr>
            </w:pPr>
            <w:r w:rsidRPr="002E2870">
              <w:rPr>
                <w:rFonts w:ascii="Palatino Linotype" w:hAnsi="Palatino Linotype"/>
                <w:b/>
                <w:bCs/>
                <w:sz w:val="18"/>
                <w:szCs w:val="18"/>
              </w:rPr>
              <w:t>47.5</w:t>
            </w:r>
          </w:p>
        </w:tc>
      </w:tr>
      <w:tr w:rsidR="00B92080" w:rsidRPr="002E2870" w:rsidTr="00DB5405">
        <w:trPr>
          <w:trHeight w:val="255"/>
        </w:trPr>
        <w:tc>
          <w:tcPr>
            <w:tcW w:w="9780" w:type="dxa"/>
            <w:gridSpan w:val="7"/>
            <w:tcBorders>
              <w:top w:val="single" w:sz="4" w:space="0" w:color="auto"/>
              <w:left w:val="single" w:sz="4" w:space="0" w:color="auto"/>
              <w:bottom w:val="single" w:sz="4" w:space="0" w:color="auto"/>
              <w:right w:val="single" w:sz="4" w:space="0" w:color="000000"/>
            </w:tcBorders>
            <w:shd w:val="clear" w:color="FFFFCC" w:fill="FFFFCC"/>
            <w:tcMar>
              <w:top w:w="15" w:type="dxa"/>
              <w:left w:w="15" w:type="dxa"/>
              <w:bottom w:w="0" w:type="dxa"/>
              <w:right w:w="15" w:type="dxa"/>
            </w:tcMar>
            <w:vAlign w:val="center"/>
            <w:hideMark/>
          </w:tcPr>
          <w:p w:rsidR="00B92080" w:rsidRPr="002E2870" w:rsidRDefault="00B92080" w:rsidP="00DB5405">
            <w:pPr>
              <w:tabs>
                <w:tab w:val="left" w:pos="408"/>
              </w:tabs>
              <w:ind w:right="90"/>
              <w:rPr>
                <w:rFonts w:ascii="Palatino Linotype" w:hAnsi="Palatino Linotype"/>
                <w:b/>
                <w:bCs/>
                <w:sz w:val="18"/>
                <w:szCs w:val="18"/>
              </w:rPr>
            </w:pPr>
            <w:r w:rsidRPr="002E2870">
              <w:rPr>
                <w:rFonts w:ascii="Palatino Linotype" w:hAnsi="Palatino Linotype"/>
                <w:b/>
                <w:bCs/>
                <w:sz w:val="18"/>
                <w:szCs w:val="18"/>
              </w:rPr>
              <w:t xml:space="preserve">B. No. of Contracts </w:t>
            </w:r>
          </w:p>
        </w:tc>
      </w:tr>
      <w:tr w:rsidR="00B92080" w:rsidRPr="002E2870" w:rsidTr="00DB5405">
        <w:trPr>
          <w:trHeight w:val="255"/>
        </w:trPr>
        <w:tc>
          <w:tcPr>
            <w:tcW w:w="2122" w:type="dxa"/>
            <w:tcBorders>
              <w:top w:val="nil"/>
              <w:left w:val="single" w:sz="4" w:space="0" w:color="auto"/>
              <w:right w:val="nil"/>
            </w:tcBorders>
            <w:shd w:val="clear" w:color="C6D9F0" w:fill="C6D9F0"/>
            <w:noWrap/>
            <w:tcMar>
              <w:top w:w="15" w:type="dxa"/>
              <w:left w:w="15" w:type="dxa"/>
              <w:bottom w:w="0" w:type="dxa"/>
              <w:right w:w="15" w:type="dxa"/>
            </w:tcMar>
            <w:vAlign w:val="center"/>
            <w:hideMark/>
          </w:tcPr>
          <w:p w:rsidR="00B92080" w:rsidRPr="002E2870" w:rsidRDefault="00B92080" w:rsidP="00DB5405">
            <w:pPr>
              <w:tabs>
                <w:tab w:val="left" w:pos="408"/>
              </w:tabs>
              <w:rPr>
                <w:rFonts w:ascii="Palatino Linotype" w:hAnsi="Palatino Linotype"/>
                <w:sz w:val="18"/>
                <w:szCs w:val="18"/>
              </w:rPr>
            </w:pPr>
            <w:r w:rsidRPr="002E2870">
              <w:rPr>
                <w:rFonts w:ascii="Palatino Linotype" w:hAnsi="Palatino Linotype"/>
                <w:sz w:val="18"/>
                <w:szCs w:val="18"/>
              </w:rPr>
              <w:t xml:space="preserve">(i) </w:t>
            </w:r>
            <w:r w:rsidRPr="002E2870">
              <w:rPr>
                <w:rFonts w:ascii="Palatino Linotype" w:hAnsi="Palatino Linotype"/>
                <w:sz w:val="18"/>
                <w:szCs w:val="18"/>
              </w:rPr>
              <w:tab/>
              <w:t>Index Futures</w:t>
            </w:r>
          </w:p>
        </w:tc>
        <w:tc>
          <w:tcPr>
            <w:tcW w:w="1306" w:type="dxa"/>
            <w:tcBorders>
              <w:top w:val="nil"/>
              <w:left w:val="single" w:sz="4" w:space="0" w:color="auto"/>
              <w:bottom w:val="nil"/>
              <w:right w:val="single" w:sz="4" w:space="0" w:color="auto"/>
            </w:tcBorders>
            <w:shd w:val="clear" w:color="auto" w:fill="auto"/>
            <w:noWrap/>
            <w:tcMar>
              <w:top w:w="15" w:type="dxa"/>
              <w:left w:w="15" w:type="dxa"/>
              <w:bottom w:w="0" w:type="dxa"/>
              <w:right w:w="15" w:type="dxa"/>
            </w:tcMar>
            <w:vAlign w:val="center"/>
          </w:tcPr>
          <w:p w:rsidR="00B92080" w:rsidRPr="002E2870" w:rsidRDefault="00B92080" w:rsidP="00DB5405">
            <w:pPr>
              <w:ind w:right="45"/>
              <w:jc w:val="right"/>
              <w:rPr>
                <w:rFonts w:ascii="Palatino Linotype" w:hAnsi="Palatino Linotype"/>
                <w:sz w:val="18"/>
                <w:szCs w:val="18"/>
              </w:rPr>
            </w:pPr>
            <w:r w:rsidRPr="002E2870">
              <w:rPr>
                <w:rFonts w:ascii="Palatino Linotype" w:hAnsi="Palatino Linotype"/>
                <w:sz w:val="18"/>
                <w:szCs w:val="18"/>
              </w:rPr>
              <w:t>92,11,071</w:t>
            </w:r>
          </w:p>
        </w:tc>
        <w:tc>
          <w:tcPr>
            <w:tcW w:w="1307" w:type="dxa"/>
            <w:tcBorders>
              <w:top w:val="nil"/>
              <w:left w:val="nil"/>
              <w:bottom w:val="nil"/>
              <w:right w:val="single" w:sz="4" w:space="0" w:color="auto"/>
            </w:tcBorders>
            <w:shd w:val="clear" w:color="auto" w:fill="auto"/>
            <w:noWrap/>
            <w:tcMar>
              <w:top w:w="15" w:type="dxa"/>
              <w:left w:w="15" w:type="dxa"/>
              <w:bottom w:w="0" w:type="dxa"/>
              <w:right w:w="15" w:type="dxa"/>
            </w:tcMar>
            <w:vAlign w:val="center"/>
          </w:tcPr>
          <w:p w:rsidR="00B92080" w:rsidRPr="002E2870" w:rsidRDefault="00B92080" w:rsidP="00DB5405">
            <w:pPr>
              <w:ind w:right="45"/>
              <w:jc w:val="right"/>
              <w:rPr>
                <w:rFonts w:ascii="Palatino Linotype" w:hAnsi="Palatino Linotype"/>
                <w:sz w:val="18"/>
                <w:szCs w:val="18"/>
              </w:rPr>
            </w:pPr>
            <w:r w:rsidRPr="002E2870">
              <w:rPr>
                <w:rFonts w:ascii="Palatino Linotype" w:hAnsi="Palatino Linotype"/>
                <w:sz w:val="18"/>
                <w:szCs w:val="18"/>
              </w:rPr>
              <w:t>1,11,61,701</w:t>
            </w:r>
          </w:p>
        </w:tc>
        <w:tc>
          <w:tcPr>
            <w:tcW w:w="1307" w:type="dxa"/>
            <w:tcBorders>
              <w:top w:val="nil"/>
              <w:left w:val="nil"/>
              <w:bottom w:val="nil"/>
              <w:right w:val="single" w:sz="4" w:space="0" w:color="auto"/>
            </w:tcBorders>
            <w:shd w:val="clear" w:color="auto" w:fill="auto"/>
            <w:noWrap/>
            <w:tcMar>
              <w:top w:w="15" w:type="dxa"/>
              <w:left w:w="15" w:type="dxa"/>
              <w:bottom w:w="0" w:type="dxa"/>
              <w:right w:w="15" w:type="dxa"/>
            </w:tcMar>
            <w:vAlign w:val="center"/>
          </w:tcPr>
          <w:p w:rsidR="00B92080" w:rsidRPr="002E2870" w:rsidRDefault="00B92080" w:rsidP="00DB5405">
            <w:pPr>
              <w:ind w:right="45"/>
              <w:jc w:val="right"/>
              <w:rPr>
                <w:rFonts w:ascii="Palatino Linotype" w:hAnsi="Palatino Linotype"/>
                <w:sz w:val="18"/>
                <w:szCs w:val="18"/>
              </w:rPr>
            </w:pPr>
            <w:r w:rsidRPr="002E2870">
              <w:rPr>
                <w:rFonts w:ascii="Palatino Linotype" w:hAnsi="Palatino Linotype"/>
                <w:sz w:val="18"/>
                <w:szCs w:val="18"/>
              </w:rPr>
              <w:t>21.2</w:t>
            </w:r>
          </w:p>
        </w:tc>
        <w:tc>
          <w:tcPr>
            <w:tcW w:w="1183" w:type="dxa"/>
            <w:tcBorders>
              <w:top w:val="nil"/>
              <w:left w:val="nil"/>
              <w:bottom w:val="nil"/>
              <w:right w:val="single" w:sz="4" w:space="0" w:color="auto"/>
            </w:tcBorders>
            <w:shd w:val="clear" w:color="auto" w:fill="auto"/>
            <w:noWrap/>
            <w:tcMar>
              <w:top w:w="15" w:type="dxa"/>
              <w:left w:w="15" w:type="dxa"/>
              <w:bottom w:w="0" w:type="dxa"/>
              <w:right w:w="15" w:type="dxa"/>
            </w:tcMar>
            <w:vAlign w:val="center"/>
          </w:tcPr>
          <w:p w:rsidR="00B92080" w:rsidRPr="002E2870" w:rsidRDefault="00B92080" w:rsidP="00DB5405">
            <w:pPr>
              <w:ind w:right="90"/>
              <w:jc w:val="right"/>
              <w:rPr>
                <w:rFonts w:ascii="Palatino Linotype" w:hAnsi="Palatino Linotype"/>
                <w:sz w:val="18"/>
                <w:szCs w:val="18"/>
              </w:rPr>
            </w:pPr>
            <w:r w:rsidRPr="002E2870">
              <w:rPr>
                <w:rFonts w:ascii="Palatino Linotype" w:hAnsi="Palatino Linotype"/>
                <w:sz w:val="18"/>
                <w:szCs w:val="18"/>
              </w:rPr>
              <w:t>6,025</w:t>
            </w:r>
          </w:p>
        </w:tc>
        <w:tc>
          <w:tcPr>
            <w:tcW w:w="1134" w:type="dxa"/>
            <w:tcBorders>
              <w:top w:val="nil"/>
              <w:left w:val="nil"/>
              <w:bottom w:val="nil"/>
              <w:right w:val="single" w:sz="4" w:space="0" w:color="auto"/>
            </w:tcBorders>
            <w:shd w:val="clear" w:color="auto" w:fill="auto"/>
            <w:noWrap/>
            <w:tcMar>
              <w:top w:w="15" w:type="dxa"/>
              <w:left w:w="15" w:type="dxa"/>
              <w:bottom w:w="0" w:type="dxa"/>
              <w:right w:w="15" w:type="dxa"/>
            </w:tcMar>
            <w:vAlign w:val="center"/>
          </w:tcPr>
          <w:p w:rsidR="00B92080" w:rsidRPr="002E2870" w:rsidRDefault="00B92080" w:rsidP="00DB5405">
            <w:pPr>
              <w:ind w:right="90"/>
              <w:jc w:val="right"/>
              <w:rPr>
                <w:rFonts w:ascii="Palatino Linotype" w:hAnsi="Palatino Linotype"/>
                <w:sz w:val="18"/>
                <w:szCs w:val="18"/>
              </w:rPr>
            </w:pPr>
            <w:r w:rsidRPr="002E2870">
              <w:rPr>
                <w:rFonts w:ascii="Palatino Linotype" w:hAnsi="Palatino Linotype"/>
                <w:sz w:val="18"/>
                <w:szCs w:val="18"/>
              </w:rPr>
              <w:t>8,832</w:t>
            </w:r>
          </w:p>
        </w:tc>
        <w:tc>
          <w:tcPr>
            <w:tcW w:w="1421" w:type="dxa"/>
            <w:tcBorders>
              <w:top w:val="nil"/>
              <w:left w:val="nil"/>
              <w:bottom w:val="nil"/>
              <w:right w:val="single" w:sz="4" w:space="0" w:color="auto"/>
            </w:tcBorders>
            <w:shd w:val="clear" w:color="auto" w:fill="auto"/>
            <w:noWrap/>
            <w:tcMar>
              <w:top w:w="15" w:type="dxa"/>
              <w:left w:w="15" w:type="dxa"/>
              <w:bottom w:w="0" w:type="dxa"/>
              <w:right w:w="15" w:type="dxa"/>
            </w:tcMar>
            <w:vAlign w:val="center"/>
          </w:tcPr>
          <w:p w:rsidR="00B92080" w:rsidRPr="002E2870" w:rsidRDefault="00B92080" w:rsidP="00DB5405">
            <w:pPr>
              <w:ind w:right="90"/>
              <w:jc w:val="right"/>
              <w:rPr>
                <w:rFonts w:ascii="Palatino Linotype" w:hAnsi="Palatino Linotype"/>
                <w:sz w:val="18"/>
                <w:szCs w:val="18"/>
              </w:rPr>
            </w:pPr>
            <w:r w:rsidRPr="002E2870">
              <w:rPr>
                <w:rFonts w:ascii="Palatino Linotype" w:hAnsi="Palatino Linotype"/>
                <w:sz w:val="18"/>
                <w:szCs w:val="18"/>
              </w:rPr>
              <w:t>46.6</w:t>
            </w:r>
          </w:p>
        </w:tc>
      </w:tr>
      <w:tr w:rsidR="00B92080" w:rsidRPr="002E2870" w:rsidTr="00DB5405">
        <w:trPr>
          <w:trHeight w:val="255"/>
        </w:trPr>
        <w:tc>
          <w:tcPr>
            <w:tcW w:w="2122" w:type="dxa"/>
            <w:tcBorders>
              <w:top w:val="nil"/>
              <w:left w:val="single" w:sz="4" w:space="0" w:color="auto"/>
              <w:bottom w:val="nil"/>
              <w:right w:val="nil"/>
            </w:tcBorders>
            <w:shd w:val="clear" w:color="C6D9F0" w:fill="C6D9F0"/>
            <w:noWrap/>
            <w:tcMar>
              <w:top w:w="15" w:type="dxa"/>
              <w:left w:w="15" w:type="dxa"/>
              <w:bottom w:w="0" w:type="dxa"/>
              <w:right w:w="15" w:type="dxa"/>
            </w:tcMar>
            <w:vAlign w:val="center"/>
            <w:hideMark/>
          </w:tcPr>
          <w:p w:rsidR="00B92080" w:rsidRPr="002E2870" w:rsidRDefault="00B92080" w:rsidP="00DB5405">
            <w:pPr>
              <w:tabs>
                <w:tab w:val="left" w:pos="408"/>
              </w:tabs>
              <w:rPr>
                <w:rFonts w:ascii="Palatino Linotype" w:hAnsi="Palatino Linotype"/>
                <w:sz w:val="18"/>
                <w:szCs w:val="18"/>
              </w:rPr>
            </w:pPr>
            <w:r w:rsidRPr="002E2870">
              <w:rPr>
                <w:rFonts w:ascii="Palatino Linotype" w:hAnsi="Palatino Linotype"/>
                <w:sz w:val="18"/>
                <w:szCs w:val="18"/>
              </w:rPr>
              <w:t xml:space="preserve">(ii) </w:t>
            </w:r>
            <w:r w:rsidRPr="002E2870">
              <w:rPr>
                <w:rFonts w:ascii="Palatino Linotype" w:hAnsi="Palatino Linotype"/>
                <w:sz w:val="18"/>
                <w:szCs w:val="18"/>
              </w:rPr>
              <w:tab/>
              <w:t>Options on Index</w:t>
            </w:r>
          </w:p>
        </w:tc>
        <w:tc>
          <w:tcPr>
            <w:tcW w:w="1306" w:type="dxa"/>
            <w:tcBorders>
              <w:top w:val="nil"/>
              <w:left w:val="single" w:sz="4" w:space="0" w:color="auto"/>
              <w:bottom w:val="nil"/>
              <w:right w:val="single" w:sz="4" w:space="0" w:color="auto"/>
            </w:tcBorders>
            <w:shd w:val="clear" w:color="auto" w:fill="auto"/>
            <w:noWrap/>
            <w:tcMar>
              <w:top w:w="15" w:type="dxa"/>
              <w:left w:w="15" w:type="dxa"/>
              <w:bottom w:w="0" w:type="dxa"/>
              <w:right w:w="15" w:type="dxa"/>
            </w:tcMar>
            <w:vAlign w:val="center"/>
          </w:tcPr>
          <w:p w:rsidR="00B92080" w:rsidRPr="002E2870" w:rsidRDefault="00B92080" w:rsidP="00DB5405">
            <w:pPr>
              <w:ind w:right="45"/>
              <w:jc w:val="right"/>
              <w:rPr>
                <w:rFonts w:ascii="Palatino Linotype" w:hAnsi="Palatino Linotype"/>
                <w:sz w:val="18"/>
                <w:szCs w:val="18"/>
              </w:rPr>
            </w:pPr>
          </w:p>
        </w:tc>
        <w:tc>
          <w:tcPr>
            <w:tcW w:w="1307" w:type="dxa"/>
            <w:tcBorders>
              <w:top w:val="nil"/>
              <w:left w:val="nil"/>
              <w:bottom w:val="nil"/>
              <w:right w:val="single" w:sz="4" w:space="0" w:color="auto"/>
            </w:tcBorders>
            <w:shd w:val="clear" w:color="auto" w:fill="auto"/>
            <w:noWrap/>
            <w:tcMar>
              <w:top w:w="15" w:type="dxa"/>
              <w:left w:w="15" w:type="dxa"/>
              <w:bottom w:w="0" w:type="dxa"/>
              <w:right w:w="15" w:type="dxa"/>
            </w:tcMar>
            <w:vAlign w:val="center"/>
          </w:tcPr>
          <w:p w:rsidR="00B92080" w:rsidRPr="002E2870" w:rsidRDefault="00B92080" w:rsidP="00DB5405">
            <w:pPr>
              <w:ind w:right="45"/>
              <w:jc w:val="right"/>
              <w:rPr>
                <w:rFonts w:ascii="Palatino Linotype" w:hAnsi="Palatino Linotype"/>
                <w:sz w:val="18"/>
                <w:szCs w:val="18"/>
              </w:rPr>
            </w:pPr>
          </w:p>
        </w:tc>
        <w:tc>
          <w:tcPr>
            <w:tcW w:w="1307" w:type="dxa"/>
            <w:tcBorders>
              <w:top w:val="nil"/>
              <w:left w:val="nil"/>
              <w:bottom w:val="nil"/>
              <w:right w:val="single" w:sz="4" w:space="0" w:color="auto"/>
            </w:tcBorders>
            <w:shd w:val="clear" w:color="auto" w:fill="auto"/>
            <w:noWrap/>
            <w:tcMar>
              <w:top w:w="15" w:type="dxa"/>
              <w:left w:w="15" w:type="dxa"/>
              <w:bottom w:w="0" w:type="dxa"/>
              <w:right w:w="15" w:type="dxa"/>
            </w:tcMar>
            <w:vAlign w:val="center"/>
          </w:tcPr>
          <w:p w:rsidR="00B92080" w:rsidRPr="002E2870" w:rsidRDefault="00B92080" w:rsidP="00DB5405">
            <w:pPr>
              <w:ind w:right="45"/>
              <w:jc w:val="right"/>
              <w:rPr>
                <w:rFonts w:ascii="Palatino Linotype" w:hAnsi="Palatino Linotype"/>
                <w:sz w:val="18"/>
                <w:szCs w:val="18"/>
              </w:rPr>
            </w:pPr>
          </w:p>
        </w:tc>
        <w:tc>
          <w:tcPr>
            <w:tcW w:w="1183" w:type="dxa"/>
            <w:tcBorders>
              <w:top w:val="nil"/>
              <w:left w:val="nil"/>
              <w:bottom w:val="nil"/>
              <w:right w:val="single" w:sz="4" w:space="0" w:color="auto"/>
            </w:tcBorders>
            <w:shd w:val="clear" w:color="auto" w:fill="auto"/>
            <w:noWrap/>
            <w:tcMar>
              <w:top w:w="15" w:type="dxa"/>
              <w:left w:w="15" w:type="dxa"/>
              <w:bottom w:w="0" w:type="dxa"/>
              <w:right w:w="15" w:type="dxa"/>
            </w:tcMar>
            <w:vAlign w:val="center"/>
          </w:tcPr>
          <w:p w:rsidR="00B92080" w:rsidRPr="002E2870" w:rsidRDefault="00B92080" w:rsidP="00DB5405">
            <w:pPr>
              <w:ind w:right="90"/>
              <w:jc w:val="right"/>
              <w:rPr>
                <w:rFonts w:ascii="Palatino Linotype" w:hAnsi="Palatino Linotype"/>
                <w:sz w:val="18"/>
                <w:szCs w:val="18"/>
              </w:rPr>
            </w:pPr>
          </w:p>
        </w:tc>
        <w:tc>
          <w:tcPr>
            <w:tcW w:w="1134" w:type="dxa"/>
            <w:tcBorders>
              <w:top w:val="nil"/>
              <w:left w:val="nil"/>
              <w:bottom w:val="nil"/>
              <w:right w:val="single" w:sz="4" w:space="0" w:color="auto"/>
            </w:tcBorders>
            <w:shd w:val="clear" w:color="auto" w:fill="auto"/>
            <w:noWrap/>
            <w:tcMar>
              <w:top w:w="15" w:type="dxa"/>
              <w:left w:w="15" w:type="dxa"/>
              <w:bottom w:w="0" w:type="dxa"/>
              <w:right w:w="15" w:type="dxa"/>
            </w:tcMar>
            <w:vAlign w:val="center"/>
          </w:tcPr>
          <w:p w:rsidR="00B92080" w:rsidRPr="002E2870" w:rsidRDefault="00B92080" w:rsidP="00DB5405">
            <w:pPr>
              <w:ind w:right="90"/>
              <w:jc w:val="right"/>
              <w:rPr>
                <w:rFonts w:ascii="Palatino Linotype" w:hAnsi="Palatino Linotype"/>
                <w:sz w:val="18"/>
                <w:szCs w:val="18"/>
              </w:rPr>
            </w:pPr>
          </w:p>
        </w:tc>
        <w:tc>
          <w:tcPr>
            <w:tcW w:w="1421" w:type="dxa"/>
            <w:tcBorders>
              <w:top w:val="nil"/>
              <w:left w:val="nil"/>
              <w:bottom w:val="nil"/>
              <w:right w:val="single" w:sz="4" w:space="0" w:color="auto"/>
            </w:tcBorders>
            <w:shd w:val="clear" w:color="auto" w:fill="auto"/>
            <w:noWrap/>
            <w:tcMar>
              <w:top w:w="15" w:type="dxa"/>
              <w:left w:w="15" w:type="dxa"/>
              <w:bottom w:w="0" w:type="dxa"/>
              <w:right w:w="15" w:type="dxa"/>
            </w:tcMar>
            <w:vAlign w:val="center"/>
          </w:tcPr>
          <w:p w:rsidR="00B92080" w:rsidRPr="002E2870" w:rsidRDefault="00B92080" w:rsidP="00DB5405">
            <w:pPr>
              <w:ind w:right="90"/>
              <w:jc w:val="right"/>
              <w:rPr>
                <w:rFonts w:ascii="Palatino Linotype" w:hAnsi="Palatino Linotype"/>
                <w:sz w:val="18"/>
                <w:szCs w:val="18"/>
              </w:rPr>
            </w:pPr>
          </w:p>
        </w:tc>
      </w:tr>
      <w:tr w:rsidR="00B92080" w:rsidRPr="002E2870" w:rsidTr="00DB5405">
        <w:trPr>
          <w:trHeight w:val="255"/>
        </w:trPr>
        <w:tc>
          <w:tcPr>
            <w:tcW w:w="2122" w:type="dxa"/>
            <w:tcBorders>
              <w:top w:val="nil"/>
              <w:left w:val="single" w:sz="4" w:space="0" w:color="000000"/>
              <w:bottom w:val="nil"/>
              <w:right w:val="nil"/>
            </w:tcBorders>
            <w:shd w:val="clear" w:color="C6D9F0" w:fill="C6D9F0"/>
            <w:noWrap/>
            <w:tcMar>
              <w:top w:w="15" w:type="dxa"/>
              <w:left w:w="15" w:type="dxa"/>
              <w:bottom w:w="0" w:type="dxa"/>
              <w:right w:w="15" w:type="dxa"/>
            </w:tcMar>
            <w:vAlign w:val="center"/>
            <w:hideMark/>
          </w:tcPr>
          <w:p w:rsidR="00B92080" w:rsidRPr="002E2870" w:rsidRDefault="00B92080" w:rsidP="00DB5405">
            <w:pPr>
              <w:tabs>
                <w:tab w:val="left" w:pos="408"/>
              </w:tabs>
              <w:rPr>
                <w:rFonts w:ascii="Palatino Linotype" w:hAnsi="Palatino Linotype"/>
                <w:i/>
                <w:iCs/>
                <w:sz w:val="18"/>
                <w:szCs w:val="18"/>
              </w:rPr>
            </w:pPr>
            <w:r w:rsidRPr="002E2870">
              <w:rPr>
                <w:rFonts w:ascii="Palatino Linotype" w:hAnsi="Palatino Linotype"/>
                <w:i/>
                <w:iCs/>
                <w:sz w:val="18"/>
                <w:szCs w:val="18"/>
              </w:rPr>
              <w:tab/>
              <w:t>Put</w:t>
            </w:r>
          </w:p>
        </w:tc>
        <w:tc>
          <w:tcPr>
            <w:tcW w:w="1306" w:type="dxa"/>
            <w:tcBorders>
              <w:top w:val="nil"/>
              <w:left w:val="single" w:sz="4" w:space="0" w:color="auto"/>
              <w:bottom w:val="nil"/>
              <w:right w:val="single" w:sz="4" w:space="0" w:color="auto"/>
            </w:tcBorders>
            <w:shd w:val="clear" w:color="auto" w:fill="auto"/>
            <w:noWrap/>
            <w:tcMar>
              <w:top w:w="15" w:type="dxa"/>
              <w:left w:w="15" w:type="dxa"/>
              <w:bottom w:w="0" w:type="dxa"/>
              <w:right w:w="15" w:type="dxa"/>
            </w:tcMar>
            <w:vAlign w:val="center"/>
          </w:tcPr>
          <w:p w:rsidR="00B92080" w:rsidRPr="002E2870" w:rsidRDefault="00B92080" w:rsidP="00DB5405">
            <w:pPr>
              <w:ind w:right="45"/>
              <w:jc w:val="right"/>
              <w:rPr>
                <w:rFonts w:ascii="Palatino Linotype" w:hAnsi="Palatino Linotype"/>
                <w:sz w:val="18"/>
                <w:szCs w:val="18"/>
              </w:rPr>
            </w:pPr>
            <w:r w:rsidRPr="002E2870">
              <w:rPr>
                <w:rFonts w:ascii="Palatino Linotype" w:hAnsi="Palatino Linotype"/>
                <w:sz w:val="18"/>
                <w:szCs w:val="18"/>
              </w:rPr>
              <w:t>24,87,76,124</w:t>
            </w:r>
          </w:p>
        </w:tc>
        <w:tc>
          <w:tcPr>
            <w:tcW w:w="1307" w:type="dxa"/>
            <w:tcBorders>
              <w:top w:val="nil"/>
              <w:left w:val="nil"/>
              <w:bottom w:val="nil"/>
              <w:right w:val="single" w:sz="4" w:space="0" w:color="auto"/>
            </w:tcBorders>
            <w:shd w:val="clear" w:color="auto" w:fill="auto"/>
            <w:noWrap/>
            <w:tcMar>
              <w:top w:w="15" w:type="dxa"/>
              <w:left w:w="15" w:type="dxa"/>
              <w:bottom w:w="0" w:type="dxa"/>
              <w:right w:w="15" w:type="dxa"/>
            </w:tcMar>
            <w:vAlign w:val="center"/>
          </w:tcPr>
          <w:p w:rsidR="00B92080" w:rsidRPr="002E2870" w:rsidRDefault="00B92080" w:rsidP="00DB5405">
            <w:pPr>
              <w:ind w:right="45"/>
              <w:jc w:val="right"/>
              <w:rPr>
                <w:rFonts w:ascii="Palatino Linotype" w:hAnsi="Palatino Linotype"/>
                <w:sz w:val="18"/>
                <w:szCs w:val="18"/>
              </w:rPr>
            </w:pPr>
            <w:r w:rsidRPr="002E2870">
              <w:rPr>
                <w:rFonts w:ascii="Palatino Linotype" w:hAnsi="Palatino Linotype"/>
                <w:sz w:val="18"/>
                <w:szCs w:val="18"/>
              </w:rPr>
              <w:t>30,64,27,676</w:t>
            </w:r>
          </w:p>
        </w:tc>
        <w:tc>
          <w:tcPr>
            <w:tcW w:w="1307" w:type="dxa"/>
            <w:tcBorders>
              <w:top w:val="nil"/>
              <w:left w:val="nil"/>
              <w:bottom w:val="nil"/>
              <w:right w:val="single" w:sz="4" w:space="0" w:color="auto"/>
            </w:tcBorders>
            <w:shd w:val="clear" w:color="auto" w:fill="auto"/>
            <w:noWrap/>
            <w:tcMar>
              <w:top w:w="15" w:type="dxa"/>
              <w:left w:w="15" w:type="dxa"/>
              <w:bottom w:w="0" w:type="dxa"/>
              <w:right w:w="15" w:type="dxa"/>
            </w:tcMar>
            <w:vAlign w:val="center"/>
          </w:tcPr>
          <w:p w:rsidR="00B92080" w:rsidRPr="002E2870" w:rsidRDefault="00B92080" w:rsidP="00DB5405">
            <w:pPr>
              <w:ind w:right="45"/>
              <w:jc w:val="right"/>
              <w:rPr>
                <w:rFonts w:ascii="Palatino Linotype" w:hAnsi="Palatino Linotype"/>
                <w:sz w:val="18"/>
                <w:szCs w:val="18"/>
              </w:rPr>
            </w:pPr>
            <w:r w:rsidRPr="002E2870">
              <w:rPr>
                <w:rFonts w:ascii="Palatino Linotype" w:hAnsi="Palatino Linotype"/>
                <w:sz w:val="18"/>
                <w:szCs w:val="18"/>
              </w:rPr>
              <w:t>23.2</w:t>
            </w:r>
          </w:p>
        </w:tc>
        <w:tc>
          <w:tcPr>
            <w:tcW w:w="1183" w:type="dxa"/>
            <w:tcBorders>
              <w:top w:val="nil"/>
              <w:left w:val="nil"/>
              <w:bottom w:val="nil"/>
              <w:right w:val="single" w:sz="4" w:space="0" w:color="auto"/>
            </w:tcBorders>
            <w:shd w:val="clear" w:color="auto" w:fill="auto"/>
            <w:noWrap/>
            <w:tcMar>
              <w:top w:w="15" w:type="dxa"/>
              <w:left w:w="15" w:type="dxa"/>
              <w:bottom w:w="0" w:type="dxa"/>
              <w:right w:w="15" w:type="dxa"/>
            </w:tcMar>
            <w:vAlign w:val="center"/>
          </w:tcPr>
          <w:p w:rsidR="00B92080" w:rsidRPr="002E2870" w:rsidRDefault="00B92080" w:rsidP="00DB5405">
            <w:pPr>
              <w:ind w:right="90"/>
              <w:jc w:val="right"/>
              <w:rPr>
                <w:rFonts w:ascii="Palatino Linotype" w:hAnsi="Palatino Linotype"/>
                <w:sz w:val="18"/>
                <w:szCs w:val="18"/>
              </w:rPr>
            </w:pPr>
            <w:r w:rsidRPr="002E2870">
              <w:rPr>
                <w:rFonts w:ascii="Palatino Linotype" w:hAnsi="Palatino Linotype"/>
                <w:sz w:val="18"/>
                <w:szCs w:val="18"/>
              </w:rPr>
              <w:t>1,03,61,093</w:t>
            </w:r>
          </w:p>
        </w:tc>
        <w:tc>
          <w:tcPr>
            <w:tcW w:w="1134" w:type="dxa"/>
            <w:tcBorders>
              <w:top w:val="nil"/>
              <w:left w:val="nil"/>
              <w:bottom w:val="nil"/>
              <w:right w:val="single" w:sz="4" w:space="0" w:color="auto"/>
            </w:tcBorders>
            <w:shd w:val="clear" w:color="auto" w:fill="auto"/>
            <w:noWrap/>
            <w:tcMar>
              <w:top w:w="15" w:type="dxa"/>
              <w:left w:w="15" w:type="dxa"/>
              <w:bottom w:w="0" w:type="dxa"/>
              <w:right w:w="15" w:type="dxa"/>
            </w:tcMar>
            <w:vAlign w:val="center"/>
          </w:tcPr>
          <w:p w:rsidR="00B92080" w:rsidRPr="002E2870" w:rsidRDefault="00B92080" w:rsidP="00DB5405">
            <w:pPr>
              <w:ind w:right="90"/>
              <w:jc w:val="right"/>
              <w:rPr>
                <w:rFonts w:ascii="Palatino Linotype" w:hAnsi="Palatino Linotype"/>
                <w:sz w:val="18"/>
                <w:szCs w:val="18"/>
              </w:rPr>
            </w:pPr>
            <w:r w:rsidRPr="002E2870">
              <w:rPr>
                <w:rFonts w:ascii="Palatino Linotype" w:hAnsi="Palatino Linotype"/>
                <w:sz w:val="18"/>
                <w:szCs w:val="18"/>
              </w:rPr>
              <w:t>89,75,662</w:t>
            </w:r>
          </w:p>
        </w:tc>
        <w:tc>
          <w:tcPr>
            <w:tcW w:w="1421" w:type="dxa"/>
            <w:tcBorders>
              <w:top w:val="nil"/>
              <w:left w:val="nil"/>
              <w:bottom w:val="nil"/>
              <w:right w:val="single" w:sz="4" w:space="0" w:color="auto"/>
            </w:tcBorders>
            <w:shd w:val="clear" w:color="auto" w:fill="auto"/>
            <w:noWrap/>
            <w:tcMar>
              <w:top w:w="15" w:type="dxa"/>
              <w:left w:w="15" w:type="dxa"/>
              <w:bottom w:w="0" w:type="dxa"/>
              <w:right w:w="15" w:type="dxa"/>
            </w:tcMar>
            <w:vAlign w:val="center"/>
          </w:tcPr>
          <w:p w:rsidR="00B92080" w:rsidRPr="002E2870" w:rsidRDefault="00B92080" w:rsidP="00DB5405">
            <w:pPr>
              <w:ind w:right="90"/>
              <w:jc w:val="right"/>
              <w:rPr>
                <w:rFonts w:ascii="Palatino Linotype" w:hAnsi="Palatino Linotype"/>
                <w:sz w:val="18"/>
                <w:szCs w:val="18"/>
              </w:rPr>
            </w:pPr>
            <w:r w:rsidRPr="002E2870">
              <w:rPr>
                <w:rFonts w:ascii="Palatino Linotype" w:hAnsi="Palatino Linotype"/>
                <w:sz w:val="18"/>
                <w:szCs w:val="18"/>
              </w:rPr>
              <w:t>(13.4)</w:t>
            </w:r>
          </w:p>
        </w:tc>
      </w:tr>
      <w:tr w:rsidR="00B92080" w:rsidRPr="002E2870" w:rsidTr="00DB5405">
        <w:trPr>
          <w:trHeight w:val="255"/>
        </w:trPr>
        <w:tc>
          <w:tcPr>
            <w:tcW w:w="2122" w:type="dxa"/>
            <w:tcBorders>
              <w:top w:val="nil"/>
              <w:left w:val="single" w:sz="4" w:space="0" w:color="000000"/>
              <w:bottom w:val="nil"/>
              <w:right w:val="nil"/>
            </w:tcBorders>
            <w:shd w:val="clear" w:color="C6D9F0" w:fill="C6D9F0"/>
            <w:noWrap/>
            <w:tcMar>
              <w:top w:w="15" w:type="dxa"/>
              <w:left w:w="15" w:type="dxa"/>
              <w:bottom w:w="0" w:type="dxa"/>
              <w:right w:w="15" w:type="dxa"/>
            </w:tcMar>
            <w:vAlign w:val="center"/>
            <w:hideMark/>
          </w:tcPr>
          <w:p w:rsidR="00B92080" w:rsidRPr="002E2870" w:rsidRDefault="00B92080" w:rsidP="00DB5405">
            <w:pPr>
              <w:tabs>
                <w:tab w:val="left" w:pos="408"/>
              </w:tabs>
              <w:rPr>
                <w:rFonts w:ascii="Palatino Linotype" w:hAnsi="Palatino Linotype"/>
                <w:i/>
                <w:iCs/>
                <w:sz w:val="18"/>
                <w:szCs w:val="18"/>
              </w:rPr>
            </w:pPr>
            <w:r w:rsidRPr="002E2870">
              <w:rPr>
                <w:rFonts w:ascii="Palatino Linotype" w:hAnsi="Palatino Linotype"/>
                <w:i/>
                <w:iCs/>
                <w:sz w:val="18"/>
                <w:szCs w:val="18"/>
              </w:rPr>
              <w:tab/>
              <w:t>Call</w:t>
            </w:r>
          </w:p>
        </w:tc>
        <w:tc>
          <w:tcPr>
            <w:tcW w:w="1306" w:type="dxa"/>
            <w:tcBorders>
              <w:top w:val="nil"/>
              <w:left w:val="single" w:sz="4" w:space="0" w:color="auto"/>
              <w:bottom w:val="nil"/>
              <w:right w:val="single" w:sz="4" w:space="0" w:color="auto"/>
            </w:tcBorders>
            <w:shd w:val="clear" w:color="auto" w:fill="auto"/>
            <w:noWrap/>
            <w:tcMar>
              <w:top w:w="15" w:type="dxa"/>
              <w:left w:w="15" w:type="dxa"/>
              <w:bottom w:w="0" w:type="dxa"/>
              <w:right w:w="15" w:type="dxa"/>
            </w:tcMar>
            <w:vAlign w:val="center"/>
          </w:tcPr>
          <w:p w:rsidR="00B92080" w:rsidRPr="002E2870" w:rsidRDefault="00B92080" w:rsidP="00DB5405">
            <w:pPr>
              <w:ind w:right="45"/>
              <w:jc w:val="right"/>
              <w:rPr>
                <w:rFonts w:ascii="Palatino Linotype" w:hAnsi="Palatino Linotype"/>
                <w:sz w:val="18"/>
                <w:szCs w:val="18"/>
              </w:rPr>
            </w:pPr>
            <w:r w:rsidRPr="002E2870">
              <w:rPr>
                <w:rFonts w:ascii="Palatino Linotype" w:hAnsi="Palatino Linotype"/>
                <w:sz w:val="18"/>
                <w:szCs w:val="18"/>
              </w:rPr>
              <w:t>27,29,55,256</w:t>
            </w:r>
          </w:p>
        </w:tc>
        <w:tc>
          <w:tcPr>
            <w:tcW w:w="1307" w:type="dxa"/>
            <w:tcBorders>
              <w:top w:val="nil"/>
              <w:left w:val="nil"/>
              <w:bottom w:val="nil"/>
              <w:right w:val="single" w:sz="4" w:space="0" w:color="auto"/>
            </w:tcBorders>
            <w:shd w:val="clear" w:color="auto" w:fill="auto"/>
            <w:noWrap/>
            <w:tcMar>
              <w:top w:w="15" w:type="dxa"/>
              <w:left w:w="15" w:type="dxa"/>
              <w:bottom w:w="0" w:type="dxa"/>
              <w:right w:w="15" w:type="dxa"/>
            </w:tcMar>
            <w:vAlign w:val="center"/>
          </w:tcPr>
          <w:p w:rsidR="00B92080" w:rsidRPr="002E2870" w:rsidRDefault="00B92080" w:rsidP="00DB5405">
            <w:pPr>
              <w:ind w:right="45"/>
              <w:jc w:val="right"/>
              <w:rPr>
                <w:rFonts w:ascii="Palatino Linotype" w:hAnsi="Palatino Linotype"/>
                <w:sz w:val="18"/>
                <w:szCs w:val="18"/>
              </w:rPr>
            </w:pPr>
            <w:r w:rsidRPr="002E2870">
              <w:rPr>
                <w:rFonts w:ascii="Palatino Linotype" w:hAnsi="Palatino Linotype"/>
                <w:sz w:val="18"/>
                <w:szCs w:val="18"/>
              </w:rPr>
              <w:t>33,56,41,868</w:t>
            </w:r>
          </w:p>
        </w:tc>
        <w:tc>
          <w:tcPr>
            <w:tcW w:w="1307" w:type="dxa"/>
            <w:tcBorders>
              <w:top w:val="nil"/>
              <w:left w:val="nil"/>
              <w:bottom w:val="nil"/>
              <w:right w:val="single" w:sz="4" w:space="0" w:color="auto"/>
            </w:tcBorders>
            <w:shd w:val="clear" w:color="auto" w:fill="auto"/>
            <w:noWrap/>
            <w:tcMar>
              <w:top w:w="15" w:type="dxa"/>
              <w:left w:w="15" w:type="dxa"/>
              <w:bottom w:w="0" w:type="dxa"/>
              <w:right w:w="15" w:type="dxa"/>
            </w:tcMar>
            <w:vAlign w:val="center"/>
          </w:tcPr>
          <w:p w:rsidR="00B92080" w:rsidRPr="002E2870" w:rsidRDefault="00B92080" w:rsidP="00DB5405">
            <w:pPr>
              <w:ind w:right="45"/>
              <w:jc w:val="right"/>
              <w:rPr>
                <w:rFonts w:ascii="Palatino Linotype" w:hAnsi="Palatino Linotype"/>
                <w:sz w:val="18"/>
                <w:szCs w:val="18"/>
              </w:rPr>
            </w:pPr>
            <w:r w:rsidRPr="002E2870">
              <w:rPr>
                <w:rFonts w:ascii="Palatino Linotype" w:hAnsi="Palatino Linotype"/>
                <w:sz w:val="18"/>
                <w:szCs w:val="18"/>
              </w:rPr>
              <w:t>23.0</w:t>
            </w:r>
          </w:p>
        </w:tc>
        <w:tc>
          <w:tcPr>
            <w:tcW w:w="1183" w:type="dxa"/>
            <w:tcBorders>
              <w:top w:val="nil"/>
              <w:left w:val="nil"/>
              <w:bottom w:val="nil"/>
              <w:right w:val="single" w:sz="4" w:space="0" w:color="auto"/>
            </w:tcBorders>
            <w:shd w:val="clear" w:color="auto" w:fill="auto"/>
            <w:noWrap/>
            <w:tcMar>
              <w:top w:w="15" w:type="dxa"/>
              <w:left w:w="15" w:type="dxa"/>
              <w:bottom w:w="0" w:type="dxa"/>
              <w:right w:w="15" w:type="dxa"/>
            </w:tcMar>
            <w:vAlign w:val="center"/>
          </w:tcPr>
          <w:p w:rsidR="00B92080" w:rsidRPr="002E2870" w:rsidRDefault="00B92080" w:rsidP="00DB5405">
            <w:pPr>
              <w:ind w:right="90"/>
              <w:jc w:val="right"/>
              <w:rPr>
                <w:rFonts w:ascii="Palatino Linotype" w:hAnsi="Palatino Linotype"/>
                <w:sz w:val="18"/>
                <w:szCs w:val="18"/>
              </w:rPr>
            </w:pPr>
            <w:r w:rsidRPr="002E2870">
              <w:rPr>
                <w:rFonts w:ascii="Palatino Linotype" w:hAnsi="Palatino Linotype"/>
                <w:sz w:val="18"/>
                <w:szCs w:val="18"/>
              </w:rPr>
              <w:t>1,10,23,986</w:t>
            </w:r>
          </w:p>
        </w:tc>
        <w:tc>
          <w:tcPr>
            <w:tcW w:w="1134" w:type="dxa"/>
            <w:tcBorders>
              <w:top w:val="nil"/>
              <w:left w:val="nil"/>
              <w:bottom w:val="nil"/>
              <w:right w:val="single" w:sz="4" w:space="0" w:color="auto"/>
            </w:tcBorders>
            <w:shd w:val="clear" w:color="auto" w:fill="auto"/>
            <w:noWrap/>
            <w:tcMar>
              <w:top w:w="15" w:type="dxa"/>
              <w:left w:w="15" w:type="dxa"/>
              <w:bottom w:w="0" w:type="dxa"/>
              <w:right w:w="15" w:type="dxa"/>
            </w:tcMar>
            <w:vAlign w:val="center"/>
          </w:tcPr>
          <w:p w:rsidR="00B92080" w:rsidRPr="002E2870" w:rsidRDefault="00B92080" w:rsidP="00DB5405">
            <w:pPr>
              <w:ind w:right="90"/>
              <w:jc w:val="right"/>
              <w:rPr>
                <w:rFonts w:ascii="Palatino Linotype" w:hAnsi="Palatino Linotype"/>
                <w:sz w:val="18"/>
                <w:szCs w:val="18"/>
              </w:rPr>
            </w:pPr>
            <w:r w:rsidRPr="002E2870">
              <w:rPr>
                <w:rFonts w:ascii="Palatino Linotype" w:hAnsi="Palatino Linotype"/>
                <w:sz w:val="18"/>
                <w:szCs w:val="18"/>
              </w:rPr>
              <w:t>2,08,20,481</w:t>
            </w:r>
          </w:p>
        </w:tc>
        <w:tc>
          <w:tcPr>
            <w:tcW w:w="1421" w:type="dxa"/>
            <w:tcBorders>
              <w:top w:val="nil"/>
              <w:left w:val="nil"/>
              <w:bottom w:val="nil"/>
              <w:right w:val="single" w:sz="4" w:space="0" w:color="auto"/>
            </w:tcBorders>
            <w:shd w:val="clear" w:color="auto" w:fill="auto"/>
            <w:noWrap/>
            <w:tcMar>
              <w:top w:w="15" w:type="dxa"/>
              <w:left w:w="15" w:type="dxa"/>
              <w:bottom w:w="0" w:type="dxa"/>
              <w:right w:w="15" w:type="dxa"/>
            </w:tcMar>
            <w:vAlign w:val="center"/>
          </w:tcPr>
          <w:p w:rsidR="00B92080" w:rsidRPr="002E2870" w:rsidRDefault="00B92080" w:rsidP="00DB5405">
            <w:pPr>
              <w:ind w:right="90"/>
              <w:jc w:val="right"/>
              <w:rPr>
                <w:rFonts w:ascii="Palatino Linotype" w:hAnsi="Palatino Linotype"/>
                <w:sz w:val="18"/>
                <w:szCs w:val="18"/>
              </w:rPr>
            </w:pPr>
            <w:r w:rsidRPr="002E2870">
              <w:rPr>
                <w:rFonts w:ascii="Palatino Linotype" w:hAnsi="Palatino Linotype"/>
                <w:sz w:val="18"/>
                <w:szCs w:val="18"/>
              </w:rPr>
              <w:t>88.9</w:t>
            </w:r>
          </w:p>
        </w:tc>
      </w:tr>
      <w:tr w:rsidR="00B92080" w:rsidRPr="002E2870" w:rsidTr="00DB5405">
        <w:trPr>
          <w:trHeight w:val="255"/>
        </w:trPr>
        <w:tc>
          <w:tcPr>
            <w:tcW w:w="2122" w:type="dxa"/>
            <w:tcBorders>
              <w:top w:val="nil"/>
              <w:left w:val="single" w:sz="4" w:space="0" w:color="000000"/>
              <w:bottom w:val="nil"/>
              <w:right w:val="nil"/>
            </w:tcBorders>
            <w:shd w:val="clear" w:color="C6D9F0" w:fill="C6D9F0"/>
            <w:noWrap/>
            <w:tcMar>
              <w:top w:w="15" w:type="dxa"/>
              <w:left w:w="15" w:type="dxa"/>
              <w:bottom w:w="0" w:type="dxa"/>
              <w:right w:w="15" w:type="dxa"/>
            </w:tcMar>
            <w:vAlign w:val="center"/>
            <w:hideMark/>
          </w:tcPr>
          <w:p w:rsidR="00B92080" w:rsidRPr="002E2870" w:rsidRDefault="00B92080" w:rsidP="00DB5405">
            <w:pPr>
              <w:tabs>
                <w:tab w:val="left" w:pos="408"/>
              </w:tabs>
              <w:rPr>
                <w:rFonts w:ascii="Palatino Linotype" w:hAnsi="Palatino Linotype"/>
                <w:sz w:val="18"/>
                <w:szCs w:val="18"/>
              </w:rPr>
            </w:pPr>
            <w:r w:rsidRPr="002E2870">
              <w:rPr>
                <w:rFonts w:ascii="Palatino Linotype" w:hAnsi="Palatino Linotype"/>
                <w:sz w:val="18"/>
                <w:szCs w:val="18"/>
              </w:rPr>
              <w:lastRenderedPageBreak/>
              <w:t xml:space="preserve">(iii) </w:t>
            </w:r>
            <w:r w:rsidRPr="002E2870">
              <w:rPr>
                <w:rFonts w:ascii="Palatino Linotype" w:hAnsi="Palatino Linotype"/>
                <w:sz w:val="18"/>
                <w:szCs w:val="18"/>
              </w:rPr>
              <w:tab/>
              <w:t>Stock Futures</w:t>
            </w:r>
          </w:p>
        </w:tc>
        <w:tc>
          <w:tcPr>
            <w:tcW w:w="1306" w:type="dxa"/>
            <w:tcBorders>
              <w:top w:val="nil"/>
              <w:left w:val="single" w:sz="4" w:space="0" w:color="auto"/>
              <w:bottom w:val="nil"/>
              <w:right w:val="single" w:sz="4" w:space="0" w:color="auto"/>
            </w:tcBorders>
            <w:shd w:val="clear" w:color="auto" w:fill="auto"/>
            <w:noWrap/>
            <w:tcMar>
              <w:top w:w="15" w:type="dxa"/>
              <w:left w:w="15" w:type="dxa"/>
              <w:bottom w:w="0" w:type="dxa"/>
              <w:right w:w="15" w:type="dxa"/>
            </w:tcMar>
            <w:vAlign w:val="center"/>
          </w:tcPr>
          <w:p w:rsidR="00B92080" w:rsidRPr="002E2870" w:rsidRDefault="00B92080" w:rsidP="00DB5405">
            <w:pPr>
              <w:ind w:right="45"/>
              <w:jc w:val="right"/>
              <w:rPr>
                <w:rFonts w:ascii="Palatino Linotype" w:hAnsi="Palatino Linotype"/>
                <w:sz w:val="18"/>
                <w:szCs w:val="18"/>
              </w:rPr>
            </w:pPr>
            <w:r w:rsidRPr="002E2870">
              <w:rPr>
                <w:rFonts w:ascii="Palatino Linotype" w:hAnsi="Palatino Linotype"/>
                <w:sz w:val="18"/>
                <w:szCs w:val="18"/>
              </w:rPr>
              <w:t>2,05,82,172</w:t>
            </w:r>
          </w:p>
        </w:tc>
        <w:tc>
          <w:tcPr>
            <w:tcW w:w="1307" w:type="dxa"/>
            <w:tcBorders>
              <w:top w:val="nil"/>
              <w:left w:val="nil"/>
              <w:bottom w:val="nil"/>
              <w:right w:val="single" w:sz="4" w:space="0" w:color="auto"/>
            </w:tcBorders>
            <w:shd w:val="clear" w:color="auto" w:fill="auto"/>
            <w:noWrap/>
            <w:tcMar>
              <w:top w:w="15" w:type="dxa"/>
              <w:left w:w="15" w:type="dxa"/>
              <w:bottom w:w="0" w:type="dxa"/>
              <w:right w:w="15" w:type="dxa"/>
            </w:tcMar>
            <w:vAlign w:val="center"/>
          </w:tcPr>
          <w:p w:rsidR="00B92080" w:rsidRPr="002E2870" w:rsidRDefault="00B92080" w:rsidP="00DB5405">
            <w:pPr>
              <w:ind w:right="45"/>
              <w:jc w:val="right"/>
              <w:rPr>
                <w:rFonts w:ascii="Palatino Linotype" w:hAnsi="Palatino Linotype"/>
                <w:sz w:val="18"/>
                <w:szCs w:val="18"/>
              </w:rPr>
            </w:pPr>
            <w:r w:rsidRPr="002E2870">
              <w:rPr>
                <w:rFonts w:ascii="Palatino Linotype" w:hAnsi="Palatino Linotype"/>
                <w:sz w:val="18"/>
                <w:szCs w:val="18"/>
              </w:rPr>
              <w:t>2,06,22,408</w:t>
            </w:r>
          </w:p>
        </w:tc>
        <w:tc>
          <w:tcPr>
            <w:tcW w:w="1307" w:type="dxa"/>
            <w:tcBorders>
              <w:top w:val="nil"/>
              <w:left w:val="nil"/>
              <w:bottom w:val="nil"/>
              <w:right w:val="single" w:sz="4" w:space="0" w:color="auto"/>
            </w:tcBorders>
            <w:shd w:val="clear" w:color="auto" w:fill="auto"/>
            <w:noWrap/>
            <w:tcMar>
              <w:top w:w="15" w:type="dxa"/>
              <w:left w:w="15" w:type="dxa"/>
              <w:bottom w:w="0" w:type="dxa"/>
              <w:right w:w="15" w:type="dxa"/>
            </w:tcMar>
            <w:vAlign w:val="center"/>
          </w:tcPr>
          <w:p w:rsidR="00B92080" w:rsidRPr="002E2870" w:rsidRDefault="00B92080" w:rsidP="00DB5405">
            <w:pPr>
              <w:ind w:right="45"/>
              <w:jc w:val="right"/>
              <w:rPr>
                <w:rFonts w:ascii="Palatino Linotype" w:hAnsi="Palatino Linotype"/>
                <w:sz w:val="18"/>
                <w:szCs w:val="18"/>
              </w:rPr>
            </w:pPr>
            <w:r w:rsidRPr="002E2870">
              <w:rPr>
                <w:rFonts w:ascii="Palatino Linotype" w:hAnsi="Palatino Linotype"/>
                <w:sz w:val="18"/>
                <w:szCs w:val="18"/>
              </w:rPr>
              <w:t>0.2</w:t>
            </w:r>
          </w:p>
        </w:tc>
        <w:tc>
          <w:tcPr>
            <w:tcW w:w="1183" w:type="dxa"/>
            <w:tcBorders>
              <w:top w:val="nil"/>
              <w:left w:val="nil"/>
              <w:bottom w:val="nil"/>
              <w:right w:val="single" w:sz="4" w:space="0" w:color="auto"/>
            </w:tcBorders>
            <w:shd w:val="clear" w:color="auto" w:fill="auto"/>
            <w:noWrap/>
            <w:tcMar>
              <w:top w:w="15" w:type="dxa"/>
              <w:left w:w="15" w:type="dxa"/>
              <w:bottom w:w="0" w:type="dxa"/>
              <w:right w:w="15" w:type="dxa"/>
            </w:tcMar>
          </w:tcPr>
          <w:p w:rsidR="00B92080" w:rsidRPr="002E2870" w:rsidRDefault="00B92080" w:rsidP="00DB5405">
            <w:pPr>
              <w:ind w:right="90"/>
              <w:jc w:val="right"/>
              <w:rPr>
                <w:rFonts w:ascii="Palatino Linotype" w:hAnsi="Palatino Linotype"/>
                <w:sz w:val="18"/>
                <w:szCs w:val="18"/>
              </w:rPr>
            </w:pPr>
            <w:r w:rsidRPr="002E2870">
              <w:rPr>
                <w:rFonts w:ascii="Palatino Linotype" w:hAnsi="Palatino Linotype"/>
                <w:sz w:val="18"/>
                <w:szCs w:val="18"/>
              </w:rPr>
              <w:t>0.0</w:t>
            </w:r>
          </w:p>
        </w:tc>
        <w:tc>
          <w:tcPr>
            <w:tcW w:w="1134" w:type="dxa"/>
            <w:tcBorders>
              <w:top w:val="nil"/>
              <w:left w:val="nil"/>
              <w:bottom w:val="nil"/>
              <w:right w:val="single" w:sz="4" w:space="0" w:color="auto"/>
            </w:tcBorders>
            <w:shd w:val="clear" w:color="auto" w:fill="auto"/>
            <w:noWrap/>
            <w:tcMar>
              <w:top w:w="15" w:type="dxa"/>
              <w:left w:w="15" w:type="dxa"/>
              <w:bottom w:w="0" w:type="dxa"/>
              <w:right w:w="15" w:type="dxa"/>
            </w:tcMar>
          </w:tcPr>
          <w:p w:rsidR="00B92080" w:rsidRPr="002E2870" w:rsidRDefault="00B92080" w:rsidP="00DB5405">
            <w:pPr>
              <w:ind w:right="90"/>
              <w:jc w:val="right"/>
              <w:rPr>
                <w:rFonts w:ascii="Palatino Linotype" w:hAnsi="Palatino Linotype"/>
                <w:sz w:val="18"/>
                <w:szCs w:val="18"/>
              </w:rPr>
            </w:pPr>
            <w:r w:rsidRPr="002E2870">
              <w:rPr>
                <w:rFonts w:ascii="Palatino Linotype" w:hAnsi="Palatino Linotype"/>
                <w:sz w:val="18"/>
                <w:szCs w:val="18"/>
              </w:rPr>
              <w:t>0.0</w:t>
            </w:r>
          </w:p>
        </w:tc>
        <w:tc>
          <w:tcPr>
            <w:tcW w:w="1421" w:type="dxa"/>
            <w:tcBorders>
              <w:top w:val="nil"/>
              <w:left w:val="nil"/>
              <w:bottom w:val="nil"/>
              <w:right w:val="single" w:sz="4" w:space="0" w:color="auto"/>
            </w:tcBorders>
            <w:shd w:val="clear" w:color="auto" w:fill="auto"/>
            <w:noWrap/>
            <w:tcMar>
              <w:top w:w="15" w:type="dxa"/>
              <w:left w:w="15" w:type="dxa"/>
              <w:bottom w:w="0" w:type="dxa"/>
              <w:right w:w="15" w:type="dxa"/>
            </w:tcMar>
          </w:tcPr>
          <w:p w:rsidR="00B92080" w:rsidRPr="002E2870" w:rsidRDefault="00B92080" w:rsidP="00DB5405">
            <w:pPr>
              <w:ind w:right="90"/>
              <w:jc w:val="right"/>
              <w:rPr>
                <w:rFonts w:ascii="Palatino Linotype" w:hAnsi="Palatino Linotype"/>
                <w:sz w:val="18"/>
                <w:szCs w:val="18"/>
              </w:rPr>
            </w:pPr>
            <w:r w:rsidRPr="002E2870">
              <w:rPr>
                <w:rFonts w:ascii="Palatino Linotype" w:hAnsi="Palatino Linotype"/>
                <w:sz w:val="18"/>
                <w:szCs w:val="18"/>
              </w:rPr>
              <w:t>0.0</w:t>
            </w:r>
          </w:p>
        </w:tc>
      </w:tr>
      <w:tr w:rsidR="00B92080" w:rsidRPr="002E2870" w:rsidTr="00DB5405">
        <w:trPr>
          <w:trHeight w:val="255"/>
        </w:trPr>
        <w:tc>
          <w:tcPr>
            <w:tcW w:w="2122" w:type="dxa"/>
            <w:tcBorders>
              <w:top w:val="nil"/>
              <w:left w:val="single" w:sz="4" w:space="0" w:color="000000"/>
              <w:bottom w:val="nil"/>
              <w:right w:val="nil"/>
            </w:tcBorders>
            <w:shd w:val="clear" w:color="C6D9F0" w:fill="C6D9F0"/>
            <w:noWrap/>
            <w:tcMar>
              <w:top w:w="15" w:type="dxa"/>
              <w:left w:w="15" w:type="dxa"/>
              <w:bottom w:w="0" w:type="dxa"/>
              <w:right w:w="15" w:type="dxa"/>
            </w:tcMar>
            <w:vAlign w:val="center"/>
            <w:hideMark/>
          </w:tcPr>
          <w:p w:rsidR="00B92080" w:rsidRPr="002E2870" w:rsidRDefault="00B92080" w:rsidP="00DB5405">
            <w:pPr>
              <w:tabs>
                <w:tab w:val="left" w:pos="408"/>
              </w:tabs>
              <w:rPr>
                <w:rFonts w:ascii="Palatino Linotype" w:hAnsi="Palatino Linotype"/>
                <w:sz w:val="18"/>
                <w:szCs w:val="18"/>
              </w:rPr>
            </w:pPr>
            <w:r w:rsidRPr="002E2870">
              <w:rPr>
                <w:rFonts w:ascii="Palatino Linotype" w:hAnsi="Palatino Linotype"/>
                <w:sz w:val="18"/>
                <w:szCs w:val="18"/>
              </w:rPr>
              <w:t xml:space="preserve">(iv) </w:t>
            </w:r>
            <w:r w:rsidRPr="002E2870">
              <w:rPr>
                <w:rFonts w:ascii="Palatino Linotype" w:hAnsi="Palatino Linotype"/>
                <w:sz w:val="18"/>
                <w:szCs w:val="18"/>
              </w:rPr>
              <w:tab/>
              <w:t>Options on Stock</w:t>
            </w:r>
          </w:p>
        </w:tc>
        <w:tc>
          <w:tcPr>
            <w:tcW w:w="1306" w:type="dxa"/>
            <w:tcBorders>
              <w:top w:val="nil"/>
              <w:left w:val="single" w:sz="4" w:space="0" w:color="auto"/>
              <w:bottom w:val="nil"/>
              <w:right w:val="single" w:sz="4" w:space="0" w:color="auto"/>
            </w:tcBorders>
            <w:shd w:val="clear" w:color="auto" w:fill="auto"/>
            <w:noWrap/>
            <w:tcMar>
              <w:top w:w="15" w:type="dxa"/>
              <w:left w:w="15" w:type="dxa"/>
              <w:bottom w:w="0" w:type="dxa"/>
              <w:right w:w="15" w:type="dxa"/>
            </w:tcMar>
            <w:vAlign w:val="center"/>
          </w:tcPr>
          <w:p w:rsidR="00B92080" w:rsidRPr="002E2870" w:rsidRDefault="00B92080" w:rsidP="00DB5405">
            <w:pPr>
              <w:ind w:right="45"/>
              <w:jc w:val="right"/>
              <w:rPr>
                <w:rFonts w:ascii="Palatino Linotype" w:hAnsi="Palatino Linotype"/>
                <w:sz w:val="18"/>
                <w:szCs w:val="18"/>
              </w:rPr>
            </w:pPr>
          </w:p>
        </w:tc>
        <w:tc>
          <w:tcPr>
            <w:tcW w:w="1307" w:type="dxa"/>
            <w:tcBorders>
              <w:top w:val="nil"/>
              <w:left w:val="nil"/>
              <w:bottom w:val="nil"/>
              <w:right w:val="single" w:sz="4" w:space="0" w:color="auto"/>
            </w:tcBorders>
            <w:shd w:val="clear" w:color="auto" w:fill="auto"/>
            <w:noWrap/>
            <w:tcMar>
              <w:top w:w="15" w:type="dxa"/>
              <w:left w:w="15" w:type="dxa"/>
              <w:bottom w:w="0" w:type="dxa"/>
              <w:right w:w="15" w:type="dxa"/>
            </w:tcMar>
            <w:vAlign w:val="center"/>
          </w:tcPr>
          <w:p w:rsidR="00B92080" w:rsidRPr="002E2870" w:rsidRDefault="00B92080" w:rsidP="00DB5405">
            <w:pPr>
              <w:ind w:right="45"/>
              <w:jc w:val="right"/>
              <w:rPr>
                <w:rFonts w:ascii="Palatino Linotype" w:hAnsi="Palatino Linotype"/>
                <w:sz w:val="18"/>
                <w:szCs w:val="18"/>
              </w:rPr>
            </w:pPr>
          </w:p>
        </w:tc>
        <w:tc>
          <w:tcPr>
            <w:tcW w:w="1307" w:type="dxa"/>
            <w:tcBorders>
              <w:top w:val="nil"/>
              <w:left w:val="nil"/>
              <w:bottom w:val="nil"/>
              <w:right w:val="single" w:sz="4" w:space="0" w:color="auto"/>
            </w:tcBorders>
            <w:shd w:val="clear" w:color="auto" w:fill="auto"/>
            <w:noWrap/>
            <w:tcMar>
              <w:top w:w="15" w:type="dxa"/>
              <w:left w:w="15" w:type="dxa"/>
              <w:bottom w:w="0" w:type="dxa"/>
              <w:right w:w="15" w:type="dxa"/>
            </w:tcMar>
            <w:vAlign w:val="center"/>
          </w:tcPr>
          <w:p w:rsidR="00B92080" w:rsidRPr="002E2870" w:rsidRDefault="00B92080" w:rsidP="00DB5405">
            <w:pPr>
              <w:ind w:right="45"/>
              <w:jc w:val="right"/>
              <w:rPr>
                <w:rFonts w:ascii="Palatino Linotype" w:hAnsi="Palatino Linotype"/>
                <w:sz w:val="18"/>
                <w:szCs w:val="18"/>
              </w:rPr>
            </w:pPr>
          </w:p>
        </w:tc>
        <w:tc>
          <w:tcPr>
            <w:tcW w:w="1183" w:type="dxa"/>
            <w:tcBorders>
              <w:top w:val="nil"/>
              <w:left w:val="nil"/>
              <w:bottom w:val="nil"/>
              <w:right w:val="single" w:sz="4" w:space="0" w:color="auto"/>
            </w:tcBorders>
            <w:shd w:val="clear" w:color="auto" w:fill="auto"/>
            <w:noWrap/>
            <w:tcMar>
              <w:top w:w="15" w:type="dxa"/>
              <w:left w:w="15" w:type="dxa"/>
              <w:bottom w:w="0" w:type="dxa"/>
              <w:right w:w="15" w:type="dxa"/>
            </w:tcMar>
            <w:vAlign w:val="center"/>
          </w:tcPr>
          <w:p w:rsidR="00B92080" w:rsidRPr="002E2870" w:rsidRDefault="00B92080" w:rsidP="00DB5405">
            <w:pPr>
              <w:ind w:right="90"/>
              <w:jc w:val="right"/>
              <w:rPr>
                <w:rFonts w:ascii="Palatino Linotype" w:hAnsi="Palatino Linotype"/>
                <w:sz w:val="18"/>
                <w:szCs w:val="18"/>
              </w:rPr>
            </w:pPr>
          </w:p>
        </w:tc>
        <w:tc>
          <w:tcPr>
            <w:tcW w:w="1134" w:type="dxa"/>
            <w:tcBorders>
              <w:top w:val="nil"/>
              <w:left w:val="nil"/>
              <w:bottom w:val="nil"/>
              <w:right w:val="single" w:sz="4" w:space="0" w:color="auto"/>
            </w:tcBorders>
            <w:shd w:val="clear" w:color="auto" w:fill="auto"/>
            <w:noWrap/>
            <w:tcMar>
              <w:top w:w="15" w:type="dxa"/>
              <w:left w:w="15" w:type="dxa"/>
              <w:bottom w:w="0" w:type="dxa"/>
              <w:right w:w="15" w:type="dxa"/>
            </w:tcMar>
            <w:vAlign w:val="center"/>
          </w:tcPr>
          <w:p w:rsidR="00B92080" w:rsidRPr="002E2870" w:rsidRDefault="00B92080" w:rsidP="00DB5405">
            <w:pPr>
              <w:ind w:right="90"/>
              <w:jc w:val="right"/>
              <w:rPr>
                <w:rFonts w:ascii="Palatino Linotype" w:hAnsi="Palatino Linotype"/>
                <w:sz w:val="18"/>
                <w:szCs w:val="18"/>
              </w:rPr>
            </w:pPr>
          </w:p>
        </w:tc>
        <w:tc>
          <w:tcPr>
            <w:tcW w:w="1421" w:type="dxa"/>
            <w:tcBorders>
              <w:top w:val="nil"/>
              <w:left w:val="nil"/>
              <w:bottom w:val="nil"/>
              <w:right w:val="single" w:sz="4" w:space="0" w:color="auto"/>
            </w:tcBorders>
            <w:shd w:val="clear" w:color="auto" w:fill="auto"/>
            <w:noWrap/>
            <w:tcMar>
              <w:top w:w="15" w:type="dxa"/>
              <w:left w:w="15" w:type="dxa"/>
              <w:bottom w:w="0" w:type="dxa"/>
              <w:right w:w="15" w:type="dxa"/>
            </w:tcMar>
            <w:vAlign w:val="center"/>
          </w:tcPr>
          <w:p w:rsidR="00B92080" w:rsidRPr="002E2870" w:rsidRDefault="00B92080" w:rsidP="00DB5405">
            <w:pPr>
              <w:ind w:right="90"/>
              <w:jc w:val="right"/>
              <w:rPr>
                <w:rFonts w:ascii="Palatino Linotype" w:hAnsi="Palatino Linotype"/>
                <w:sz w:val="18"/>
                <w:szCs w:val="18"/>
              </w:rPr>
            </w:pPr>
          </w:p>
        </w:tc>
      </w:tr>
      <w:tr w:rsidR="00B92080" w:rsidRPr="002E2870" w:rsidTr="00DB5405">
        <w:trPr>
          <w:trHeight w:val="255"/>
        </w:trPr>
        <w:tc>
          <w:tcPr>
            <w:tcW w:w="2122" w:type="dxa"/>
            <w:tcBorders>
              <w:top w:val="nil"/>
              <w:left w:val="single" w:sz="4" w:space="0" w:color="000000"/>
              <w:bottom w:val="nil"/>
              <w:right w:val="nil"/>
            </w:tcBorders>
            <w:shd w:val="clear" w:color="C6D9F0" w:fill="C6D9F0"/>
            <w:noWrap/>
            <w:tcMar>
              <w:top w:w="15" w:type="dxa"/>
              <w:left w:w="15" w:type="dxa"/>
              <w:bottom w:w="0" w:type="dxa"/>
              <w:right w:w="15" w:type="dxa"/>
            </w:tcMar>
            <w:vAlign w:val="center"/>
            <w:hideMark/>
          </w:tcPr>
          <w:p w:rsidR="00B92080" w:rsidRPr="002E2870" w:rsidRDefault="00B92080" w:rsidP="00DB5405">
            <w:pPr>
              <w:tabs>
                <w:tab w:val="left" w:pos="408"/>
              </w:tabs>
              <w:rPr>
                <w:rFonts w:ascii="Palatino Linotype" w:hAnsi="Palatino Linotype"/>
                <w:i/>
                <w:iCs/>
                <w:sz w:val="18"/>
                <w:szCs w:val="18"/>
              </w:rPr>
            </w:pPr>
            <w:r w:rsidRPr="002E2870">
              <w:rPr>
                <w:rFonts w:ascii="Palatino Linotype" w:hAnsi="Palatino Linotype"/>
                <w:i/>
                <w:iCs/>
                <w:sz w:val="18"/>
                <w:szCs w:val="18"/>
              </w:rPr>
              <w:tab/>
              <w:t>Put</w:t>
            </w:r>
          </w:p>
        </w:tc>
        <w:tc>
          <w:tcPr>
            <w:tcW w:w="1306" w:type="dxa"/>
            <w:tcBorders>
              <w:top w:val="nil"/>
              <w:left w:val="single" w:sz="4" w:space="0" w:color="auto"/>
              <w:bottom w:val="nil"/>
              <w:right w:val="single" w:sz="4" w:space="0" w:color="auto"/>
            </w:tcBorders>
            <w:shd w:val="clear" w:color="auto" w:fill="auto"/>
            <w:noWrap/>
            <w:tcMar>
              <w:top w:w="15" w:type="dxa"/>
              <w:left w:w="15" w:type="dxa"/>
              <w:bottom w:w="0" w:type="dxa"/>
              <w:right w:w="15" w:type="dxa"/>
            </w:tcMar>
            <w:vAlign w:val="center"/>
          </w:tcPr>
          <w:p w:rsidR="00B92080" w:rsidRPr="002E2870" w:rsidRDefault="00B92080" w:rsidP="00DB5405">
            <w:pPr>
              <w:ind w:right="45"/>
              <w:jc w:val="right"/>
              <w:rPr>
                <w:rFonts w:ascii="Palatino Linotype" w:hAnsi="Palatino Linotype"/>
                <w:sz w:val="18"/>
                <w:szCs w:val="18"/>
              </w:rPr>
            </w:pPr>
            <w:r w:rsidRPr="002E2870">
              <w:rPr>
                <w:rFonts w:ascii="Palatino Linotype" w:hAnsi="Palatino Linotype"/>
                <w:sz w:val="18"/>
                <w:szCs w:val="18"/>
              </w:rPr>
              <w:t>81,10,037</w:t>
            </w:r>
          </w:p>
        </w:tc>
        <w:tc>
          <w:tcPr>
            <w:tcW w:w="1307" w:type="dxa"/>
            <w:tcBorders>
              <w:top w:val="nil"/>
              <w:left w:val="nil"/>
              <w:bottom w:val="nil"/>
              <w:right w:val="single" w:sz="4" w:space="0" w:color="auto"/>
            </w:tcBorders>
            <w:shd w:val="clear" w:color="auto" w:fill="auto"/>
            <w:noWrap/>
            <w:tcMar>
              <w:top w:w="15" w:type="dxa"/>
              <w:left w:w="15" w:type="dxa"/>
              <w:bottom w:w="0" w:type="dxa"/>
              <w:right w:w="15" w:type="dxa"/>
            </w:tcMar>
            <w:vAlign w:val="center"/>
          </w:tcPr>
          <w:p w:rsidR="00B92080" w:rsidRPr="002E2870" w:rsidRDefault="00B92080" w:rsidP="00DB5405">
            <w:pPr>
              <w:ind w:right="45"/>
              <w:jc w:val="right"/>
              <w:rPr>
                <w:rFonts w:ascii="Palatino Linotype" w:hAnsi="Palatino Linotype"/>
                <w:sz w:val="18"/>
                <w:szCs w:val="18"/>
              </w:rPr>
            </w:pPr>
            <w:r w:rsidRPr="002E2870">
              <w:rPr>
                <w:rFonts w:ascii="Palatino Linotype" w:hAnsi="Palatino Linotype"/>
                <w:sz w:val="18"/>
                <w:szCs w:val="18"/>
              </w:rPr>
              <w:t>84,57,379</w:t>
            </w:r>
          </w:p>
        </w:tc>
        <w:tc>
          <w:tcPr>
            <w:tcW w:w="1307" w:type="dxa"/>
            <w:tcBorders>
              <w:top w:val="nil"/>
              <w:left w:val="nil"/>
              <w:bottom w:val="nil"/>
              <w:right w:val="single" w:sz="4" w:space="0" w:color="auto"/>
            </w:tcBorders>
            <w:shd w:val="clear" w:color="auto" w:fill="auto"/>
            <w:noWrap/>
            <w:tcMar>
              <w:top w:w="15" w:type="dxa"/>
              <w:left w:w="15" w:type="dxa"/>
              <w:bottom w:w="0" w:type="dxa"/>
              <w:right w:w="15" w:type="dxa"/>
            </w:tcMar>
            <w:vAlign w:val="center"/>
          </w:tcPr>
          <w:p w:rsidR="00B92080" w:rsidRPr="002E2870" w:rsidRDefault="00B92080" w:rsidP="00DB5405">
            <w:pPr>
              <w:ind w:right="45"/>
              <w:jc w:val="right"/>
              <w:rPr>
                <w:rFonts w:ascii="Palatino Linotype" w:hAnsi="Palatino Linotype"/>
                <w:sz w:val="18"/>
                <w:szCs w:val="18"/>
              </w:rPr>
            </w:pPr>
            <w:r w:rsidRPr="002E2870">
              <w:rPr>
                <w:rFonts w:ascii="Palatino Linotype" w:hAnsi="Palatino Linotype"/>
                <w:sz w:val="18"/>
                <w:szCs w:val="18"/>
              </w:rPr>
              <w:t>4.3</w:t>
            </w:r>
          </w:p>
        </w:tc>
        <w:tc>
          <w:tcPr>
            <w:tcW w:w="1183" w:type="dxa"/>
            <w:tcBorders>
              <w:top w:val="nil"/>
              <w:left w:val="nil"/>
              <w:bottom w:val="nil"/>
              <w:right w:val="single" w:sz="4" w:space="0" w:color="auto"/>
            </w:tcBorders>
            <w:shd w:val="clear" w:color="auto" w:fill="auto"/>
            <w:noWrap/>
            <w:tcMar>
              <w:top w:w="15" w:type="dxa"/>
              <w:left w:w="15" w:type="dxa"/>
              <w:bottom w:w="0" w:type="dxa"/>
              <w:right w:w="15" w:type="dxa"/>
            </w:tcMar>
          </w:tcPr>
          <w:p w:rsidR="00B92080" w:rsidRPr="002E2870" w:rsidRDefault="00B92080" w:rsidP="00DB5405">
            <w:pPr>
              <w:ind w:right="90"/>
              <w:jc w:val="right"/>
              <w:rPr>
                <w:rFonts w:ascii="Palatino Linotype" w:hAnsi="Palatino Linotype"/>
                <w:sz w:val="18"/>
                <w:szCs w:val="18"/>
              </w:rPr>
            </w:pPr>
            <w:r w:rsidRPr="002E2870">
              <w:rPr>
                <w:rFonts w:ascii="Palatino Linotype" w:hAnsi="Palatino Linotype"/>
                <w:sz w:val="18"/>
                <w:szCs w:val="18"/>
              </w:rPr>
              <w:t>-</w:t>
            </w:r>
          </w:p>
        </w:tc>
        <w:tc>
          <w:tcPr>
            <w:tcW w:w="1134" w:type="dxa"/>
            <w:tcBorders>
              <w:top w:val="nil"/>
              <w:left w:val="nil"/>
              <w:bottom w:val="nil"/>
              <w:right w:val="single" w:sz="4" w:space="0" w:color="auto"/>
            </w:tcBorders>
            <w:shd w:val="clear" w:color="auto" w:fill="auto"/>
            <w:noWrap/>
            <w:tcMar>
              <w:top w:w="15" w:type="dxa"/>
              <w:left w:w="15" w:type="dxa"/>
              <w:bottom w:w="0" w:type="dxa"/>
              <w:right w:w="15" w:type="dxa"/>
            </w:tcMar>
          </w:tcPr>
          <w:p w:rsidR="00B92080" w:rsidRPr="002E2870" w:rsidRDefault="00B92080" w:rsidP="00DB5405">
            <w:pPr>
              <w:ind w:right="90"/>
              <w:jc w:val="right"/>
              <w:rPr>
                <w:rFonts w:ascii="Palatino Linotype" w:hAnsi="Palatino Linotype"/>
                <w:sz w:val="18"/>
                <w:szCs w:val="18"/>
              </w:rPr>
            </w:pPr>
            <w:r w:rsidRPr="002E2870">
              <w:rPr>
                <w:rFonts w:ascii="Palatino Linotype" w:hAnsi="Palatino Linotype"/>
                <w:sz w:val="18"/>
                <w:szCs w:val="18"/>
              </w:rPr>
              <w:t>-</w:t>
            </w:r>
          </w:p>
        </w:tc>
        <w:tc>
          <w:tcPr>
            <w:tcW w:w="1421" w:type="dxa"/>
            <w:tcBorders>
              <w:top w:val="nil"/>
              <w:left w:val="nil"/>
              <w:bottom w:val="nil"/>
              <w:right w:val="single" w:sz="4" w:space="0" w:color="auto"/>
            </w:tcBorders>
            <w:shd w:val="clear" w:color="auto" w:fill="auto"/>
            <w:noWrap/>
            <w:tcMar>
              <w:top w:w="15" w:type="dxa"/>
              <w:left w:w="15" w:type="dxa"/>
              <w:bottom w:w="0" w:type="dxa"/>
              <w:right w:w="15" w:type="dxa"/>
            </w:tcMar>
            <w:vAlign w:val="center"/>
          </w:tcPr>
          <w:p w:rsidR="00B92080" w:rsidRPr="002E2870" w:rsidRDefault="00B92080" w:rsidP="00DB5405">
            <w:pPr>
              <w:ind w:right="90"/>
              <w:jc w:val="right"/>
              <w:rPr>
                <w:rFonts w:ascii="Palatino Linotype" w:hAnsi="Palatino Linotype"/>
                <w:sz w:val="18"/>
                <w:szCs w:val="18"/>
              </w:rPr>
            </w:pPr>
            <w:r w:rsidRPr="002E2870">
              <w:rPr>
                <w:rFonts w:ascii="Palatino Linotype" w:hAnsi="Palatino Linotype"/>
                <w:sz w:val="18"/>
                <w:szCs w:val="18"/>
              </w:rPr>
              <w:t>-</w:t>
            </w:r>
          </w:p>
        </w:tc>
      </w:tr>
      <w:tr w:rsidR="00B92080" w:rsidRPr="002E2870" w:rsidTr="00DB5405">
        <w:trPr>
          <w:trHeight w:val="255"/>
        </w:trPr>
        <w:tc>
          <w:tcPr>
            <w:tcW w:w="2122" w:type="dxa"/>
            <w:tcBorders>
              <w:top w:val="nil"/>
              <w:left w:val="single" w:sz="4" w:space="0" w:color="000000"/>
              <w:bottom w:val="single" w:sz="4" w:space="0" w:color="000000"/>
              <w:right w:val="nil"/>
            </w:tcBorders>
            <w:shd w:val="clear" w:color="C6D9F0" w:fill="C6D9F0"/>
            <w:noWrap/>
            <w:tcMar>
              <w:top w:w="15" w:type="dxa"/>
              <w:left w:w="15" w:type="dxa"/>
              <w:bottom w:w="0" w:type="dxa"/>
              <w:right w:w="15" w:type="dxa"/>
            </w:tcMar>
            <w:vAlign w:val="center"/>
            <w:hideMark/>
          </w:tcPr>
          <w:p w:rsidR="00B92080" w:rsidRPr="002E2870" w:rsidRDefault="00B92080" w:rsidP="00DB5405">
            <w:pPr>
              <w:tabs>
                <w:tab w:val="left" w:pos="408"/>
              </w:tabs>
              <w:rPr>
                <w:rFonts w:ascii="Palatino Linotype" w:hAnsi="Palatino Linotype"/>
                <w:i/>
                <w:iCs/>
                <w:sz w:val="18"/>
                <w:szCs w:val="18"/>
              </w:rPr>
            </w:pPr>
            <w:r w:rsidRPr="002E2870">
              <w:rPr>
                <w:rFonts w:ascii="Palatino Linotype" w:hAnsi="Palatino Linotype"/>
                <w:i/>
                <w:iCs/>
                <w:sz w:val="18"/>
                <w:szCs w:val="18"/>
              </w:rPr>
              <w:tab/>
              <w:t>Call</w:t>
            </w:r>
          </w:p>
        </w:tc>
        <w:tc>
          <w:tcPr>
            <w:tcW w:w="1306"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tcPr>
          <w:p w:rsidR="00B92080" w:rsidRPr="002E2870" w:rsidRDefault="00B92080" w:rsidP="00DB5405">
            <w:pPr>
              <w:ind w:right="45"/>
              <w:jc w:val="right"/>
              <w:rPr>
                <w:rFonts w:ascii="Palatino Linotype" w:hAnsi="Palatino Linotype"/>
                <w:sz w:val="18"/>
                <w:szCs w:val="18"/>
              </w:rPr>
            </w:pPr>
            <w:r w:rsidRPr="002E2870">
              <w:rPr>
                <w:rFonts w:ascii="Palatino Linotype" w:hAnsi="Palatino Linotype"/>
                <w:sz w:val="18"/>
                <w:szCs w:val="18"/>
              </w:rPr>
              <w:t>1,75,35,138</w:t>
            </w:r>
          </w:p>
        </w:tc>
        <w:tc>
          <w:tcPr>
            <w:tcW w:w="130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tcPr>
          <w:p w:rsidR="00B92080" w:rsidRPr="002E2870" w:rsidRDefault="00B92080" w:rsidP="00DB5405">
            <w:pPr>
              <w:ind w:right="45"/>
              <w:jc w:val="right"/>
              <w:rPr>
                <w:rFonts w:ascii="Palatino Linotype" w:hAnsi="Palatino Linotype"/>
                <w:sz w:val="18"/>
                <w:szCs w:val="18"/>
              </w:rPr>
            </w:pPr>
            <w:r w:rsidRPr="002E2870">
              <w:rPr>
                <w:rFonts w:ascii="Palatino Linotype" w:hAnsi="Palatino Linotype"/>
                <w:sz w:val="18"/>
                <w:szCs w:val="18"/>
              </w:rPr>
              <w:t>1,85,81,654</w:t>
            </w:r>
          </w:p>
        </w:tc>
        <w:tc>
          <w:tcPr>
            <w:tcW w:w="130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tcPr>
          <w:p w:rsidR="00B92080" w:rsidRPr="002E2870" w:rsidRDefault="00B92080" w:rsidP="00DB5405">
            <w:pPr>
              <w:ind w:right="45"/>
              <w:jc w:val="right"/>
              <w:rPr>
                <w:rFonts w:ascii="Palatino Linotype" w:hAnsi="Palatino Linotype"/>
                <w:sz w:val="18"/>
                <w:szCs w:val="18"/>
              </w:rPr>
            </w:pPr>
            <w:r w:rsidRPr="002E2870">
              <w:rPr>
                <w:rFonts w:ascii="Palatino Linotype" w:hAnsi="Palatino Linotype"/>
                <w:sz w:val="18"/>
                <w:szCs w:val="18"/>
              </w:rPr>
              <w:t>6.0</w:t>
            </w:r>
          </w:p>
        </w:tc>
        <w:tc>
          <w:tcPr>
            <w:tcW w:w="1183"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tcPr>
          <w:p w:rsidR="00B92080" w:rsidRPr="002E2870" w:rsidRDefault="00B92080" w:rsidP="00DB5405">
            <w:pPr>
              <w:ind w:right="90"/>
              <w:jc w:val="right"/>
              <w:rPr>
                <w:rFonts w:ascii="Palatino Linotype" w:hAnsi="Palatino Linotype"/>
                <w:sz w:val="18"/>
                <w:szCs w:val="18"/>
              </w:rPr>
            </w:pPr>
            <w:r w:rsidRPr="002E2870">
              <w:rPr>
                <w:rFonts w:ascii="Palatino Linotype" w:hAnsi="Palatino Linotype"/>
                <w:sz w:val="18"/>
                <w:szCs w:val="18"/>
              </w:rPr>
              <w:t>-</w:t>
            </w:r>
          </w:p>
        </w:tc>
        <w:tc>
          <w:tcPr>
            <w:tcW w:w="113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tcPr>
          <w:p w:rsidR="00B92080" w:rsidRPr="002E2870" w:rsidRDefault="00B92080" w:rsidP="00DB5405">
            <w:pPr>
              <w:ind w:right="90"/>
              <w:jc w:val="right"/>
              <w:rPr>
                <w:rFonts w:ascii="Palatino Linotype" w:hAnsi="Palatino Linotype"/>
                <w:sz w:val="18"/>
                <w:szCs w:val="18"/>
              </w:rPr>
            </w:pPr>
            <w:r w:rsidRPr="002E2870">
              <w:rPr>
                <w:rFonts w:ascii="Palatino Linotype" w:hAnsi="Palatino Linotype"/>
                <w:sz w:val="18"/>
                <w:szCs w:val="18"/>
              </w:rPr>
              <w:t>-</w:t>
            </w:r>
          </w:p>
        </w:tc>
        <w:tc>
          <w:tcPr>
            <w:tcW w:w="1421"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tcPr>
          <w:p w:rsidR="00B92080" w:rsidRPr="002E2870" w:rsidRDefault="00B92080" w:rsidP="00DB5405">
            <w:pPr>
              <w:ind w:right="90"/>
              <w:jc w:val="right"/>
              <w:rPr>
                <w:rFonts w:ascii="Palatino Linotype" w:hAnsi="Palatino Linotype"/>
                <w:sz w:val="18"/>
                <w:szCs w:val="18"/>
              </w:rPr>
            </w:pPr>
            <w:r w:rsidRPr="002E2870">
              <w:rPr>
                <w:rFonts w:ascii="Palatino Linotype" w:hAnsi="Palatino Linotype"/>
                <w:sz w:val="18"/>
                <w:szCs w:val="18"/>
              </w:rPr>
              <w:t>-</w:t>
            </w:r>
          </w:p>
        </w:tc>
      </w:tr>
      <w:tr w:rsidR="00B92080" w:rsidRPr="002E2870" w:rsidTr="00DB5405">
        <w:trPr>
          <w:trHeight w:val="255"/>
        </w:trPr>
        <w:tc>
          <w:tcPr>
            <w:tcW w:w="2122" w:type="dxa"/>
            <w:tcBorders>
              <w:top w:val="nil"/>
              <w:left w:val="single" w:sz="4" w:space="0" w:color="000000"/>
              <w:bottom w:val="single" w:sz="4" w:space="0" w:color="000000"/>
              <w:right w:val="single" w:sz="4" w:space="0" w:color="000000"/>
            </w:tcBorders>
            <w:shd w:val="clear" w:color="C6D9F0" w:fill="95B3D7"/>
            <w:noWrap/>
            <w:tcMar>
              <w:top w:w="15" w:type="dxa"/>
              <w:left w:w="15" w:type="dxa"/>
              <w:bottom w:w="0" w:type="dxa"/>
              <w:right w:w="15" w:type="dxa"/>
            </w:tcMar>
            <w:vAlign w:val="center"/>
            <w:hideMark/>
          </w:tcPr>
          <w:p w:rsidR="00B92080" w:rsidRPr="002E2870" w:rsidRDefault="00B92080" w:rsidP="00DB5405">
            <w:pPr>
              <w:tabs>
                <w:tab w:val="left" w:pos="408"/>
              </w:tabs>
              <w:rPr>
                <w:rFonts w:ascii="Palatino Linotype" w:hAnsi="Palatino Linotype"/>
                <w:b/>
                <w:bCs/>
                <w:sz w:val="18"/>
                <w:szCs w:val="18"/>
              </w:rPr>
            </w:pPr>
            <w:r w:rsidRPr="002E2870">
              <w:rPr>
                <w:rFonts w:ascii="Palatino Linotype" w:hAnsi="Palatino Linotype"/>
                <w:b/>
                <w:bCs/>
                <w:sz w:val="18"/>
                <w:szCs w:val="18"/>
              </w:rPr>
              <w:t>Total</w:t>
            </w:r>
          </w:p>
        </w:tc>
        <w:tc>
          <w:tcPr>
            <w:tcW w:w="1306" w:type="dxa"/>
            <w:tcBorders>
              <w:top w:val="nil"/>
              <w:left w:val="nil"/>
              <w:bottom w:val="single" w:sz="4" w:space="0" w:color="000000"/>
              <w:right w:val="single" w:sz="4" w:space="0" w:color="000000"/>
            </w:tcBorders>
            <w:shd w:val="clear" w:color="C6D9F0" w:fill="95B3D7"/>
            <w:noWrap/>
            <w:tcMar>
              <w:top w:w="15" w:type="dxa"/>
              <w:left w:w="15" w:type="dxa"/>
              <w:bottom w:w="0" w:type="dxa"/>
              <w:right w:w="15" w:type="dxa"/>
            </w:tcMar>
            <w:vAlign w:val="center"/>
          </w:tcPr>
          <w:p w:rsidR="00B92080" w:rsidRPr="002E2870" w:rsidRDefault="00B92080" w:rsidP="00DB5405">
            <w:pPr>
              <w:ind w:right="45"/>
              <w:jc w:val="right"/>
              <w:rPr>
                <w:rFonts w:ascii="Palatino Linotype" w:hAnsi="Palatino Linotype"/>
                <w:b/>
                <w:bCs/>
                <w:sz w:val="18"/>
                <w:szCs w:val="18"/>
              </w:rPr>
            </w:pPr>
            <w:r w:rsidRPr="002E2870">
              <w:rPr>
                <w:rFonts w:ascii="Palatino Linotype" w:hAnsi="Palatino Linotype"/>
                <w:b/>
                <w:bCs/>
                <w:sz w:val="18"/>
                <w:szCs w:val="18"/>
              </w:rPr>
              <w:t>57,71,69,798</w:t>
            </w:r>
          </w:p>
        </w:tc>
        <w:tc>
          <w:tcPr>
            <w:tcW w:w="1307" w:type="dxa"/>
            <w:tcBorders>
              <w:top w:val="nil"/>
              <w:left w:val="nil"/>
              <w:bottom w:val="single" w:sz="4" w:space="0" w:color="000000"/>
              <w:right w:val="single" w:sz="4" w:space="0" w:color="000000"/>
            </w:tcBorders>
            <w:shd w:val="clear" w:color="C6D9F0" w:fill="95B3D7"/>
            <w:noWrap/>
            <w:tcMar>
              <w:top w:w="15" w:type="dxa"/>
              <w:left w:w="15" w:type="dxa"/>
              <w:bottom w:w="0" w:type="dxa"/>
              <w:right w:w="15" w:type="dxa"/>
            </w:tcMar>
            <w:vAlign w:val="center"/>
          </w:tcPr>
          <w:p w:rsidR="00B92080" w:rsidRPr="002E2870" w:rsidRDefault="00B92080" w:rsidP="00DB5405">
            <w:pPr>
              <w:ind w:right="45"/>
              <w:jc w:val="right"/>
              <w:rPr>
                <w:rFonts w:ascii="Palatino Linotype" w:hAnsi="Palatino Linotype"/>
                <w:b/>
                <w:bCs/>
                <w:sz w:val="18"/>
                <w:szCs w:val="18"/>
              </w:rPr>
            </w:pPr>
            <w:r w:rsidRPr="002E2870">
              <w:rPr>
                <w:rFonts w:ascii="Palatino Linotype" w:hAnsi="Palatino Linotype"/>
                <w:b/>
                <w:bCs/>
                <w:sz w:val="18"/>
                <w:szCs w:val="18"/>
              </w:rPr>
              <w:t>70,08,92,686</w:t>
            </w:r>
          </w:p>
        </w:tc>
        <w:tc>
          <w:tcPr>
            <w:tcW w:w="1307" w:type="dxa"/>
            <w:tcBorders>
              <w:top w:val="nil"/>
              <w:left w:val="nil"/>
              <w:bottom w:val="single" w:sz="4" w:space="0" w:color="000000"/>
              <w:right w:val="single" w:sz="4" w:space="0" w:color="000000"/>
            </w:tcBorders>
            <w:shd w:val="clear" w:color="C6D9F0" w:fill="95B3D7"/>
            <w:noWrap/>
            <w:tcMar>
              <w:top w:w="15" w:type="dxa"/>
              <w:left w:w="15" w:type="dxa"/>
              <w:bottom w:w="0" w:type="dxa"/>
              <w:right w:w="15" w:type="dxa"/>
            </w:tcMar>
            <w:vAlign w:val="center"/>
          </w:tcPr>
          <w:p w:rsidR="00B92080" w:rsidRPr="002E2870" w:rsidRDefault="00B92080" w:rsidP="00DB5405">
            <w:pPr>
              <w:ind w:right="45"/>
              <w:jc w:val="right"/>
              <w:rPr>
                <w:rFonts w:ascii="Palatino Linotype" w:hAnsi="Palatino Linotype"/>
                <w:b/>
                <w:bCs/>
                <w:sz w:val="18"/>
                <w:szCs w:val="18"/>
              </w:rPr>
            </w:pPr>
            <w:r w:rsidRPr="002E2870">
              <w:rPr>
                <w:rFonts w:ascii="Palatino Linotype" w:hAnsi="Palatino Linotype"/>
                <w:b/>
                <w:bCs/>
                <w:sz w:val="18"/>
                <w:szCs w:val="18"/>
              </w:rPr>
              <w:t>21.4</w:t>
            </w:r>
          </w:p>
        </w:tc>
        <w:tc>
          <w:tcPr>
            <w:tcW w:w="1183" w:type="dxa"/>
            <w:tcBorders>
              <w:top w:val="nil"/>
              <w:left w:val="nil"/>
              <w:bottom w:val="single" w:sz="4" w:space="0" w:color="000000"/>
              <w:right w:val="single" w:sz="4" w:space="0" w:color="000000"/>
            </w:tcBorders>
            <w:shd w:val="clear" w:color="C6D9F0" w:fill="95B3D7"/>
            <w:noWrap/>
            <w:tcMar>
              <w:top w:w="15" w:type="dxa"/>
              <w:left w:w="15" w:type="dxa"/>
              <w:bottom w:w="0" w:type="dxa"/>
              <w:right w:w="15" w:type="dxa"/>
            </w:tcMar>
            <w:vAlign w:val="center"/>
          </w:tcPr>
          <w:p w:rsidR="00B92080" w:rsidRPr="002E2870" w:rsidRDefault="00B92080" w:rsidP="00DB5405">
            <w:pPr>
              <w:ind w:right="90"/>
              <w:jc w:val="right"/>
              <w:rPr>
                <w:rFonts w:ascii="Palatino Linotype" w:hAnsi="Palatino Linotype"/>
                <w:b/>
                <w:bCs/>
                <w:sz w:val="18"/>
                <w:szCs w:val="18"/>
              </w:rPr>
            </w:pPr>
            <w:r w:rsidRPr="002E2870">
              <w:rPr>
                <w:rFonts w:ascii="Palatino Linotype" w:hAnsi="Palatino Linotype"/>
                <w:b/>
                <w:bCs/>
                <w:sz w:val="18"/>
                <w:szCs w:val="18"/>
              </w:rPr>
              <w:t>2,13,91,104</w:t>
            </w:r>
          </w:p>
        </w:tc>
        <w:tc>
          <w:tcPr>
            <w:tcW w:w="1134" w:type="dxa"/>
            <w:tcBorders>
              <w:top w:val="nil"/>
              <w:left w:val="nil"/>
              <w:bottom w:val="single" w:sz="4" w:space="0" w:color="000000"/>
              <w:right w:val="nil"/>
            </w:tcBorders>
            <w:shd w:val="clear" w:color="C6D9F0" w:fill="95B3D7"/>
            <w:noWrap/>
            <w:tcMar>
              <w:top w:w="15" w:type="dxa"/>
              <w:left w:w="15" w:type="dxa"/>
              <w:bottom w:w="0" w:type="dxa"/>
              <w:right w:w="15" w:type="dxa"/>
            </w:tcMar>
            <w:vAlign w:val="center"/>
          </w:tcPr>
          <w:p w:rsidR="00B92080" w:rsidRPr="002E2870" w:rsidRDefault="00B92080" w:rsidP="00DB5405">
            <w:pPr>
              <w:ind w:right="90"/>
              <w:jc w:val="right"/>
              <w:rPr>
                <w:rFonts w:ascii="Palatino Linotype" w:hAnsi="Palatino Linotype"/>
                <w:b/>
                <w:bCs/>
                <w:sz w:val="18"/>
                <w:szCs w:val="18"/>
              </w:rPr>
            </w:pPr>
            <w:r w:rsidRPr="002E2870">
              <w:rPr>
                <w:rFonts w:ascii="Palatino Linotype" w:hAnsi="Palatino Linotype"/>
                <w:b/>
                <w:bCs/>
                <w:sz w:val="18"/>
                <w:szCs w:val="18"/>
              </w:rPr>
              <w:t>2,98,04,975</w:t>
            </w:r>
          </w:p>
        </w:tc>
        <w:tc>
          <w:tcPr>
            <w:tcW w:w="1421" w:type="dxa"/>
            <w:tcBorders>
              <w:top w:val="nil"/>
              <w:left w:val="single" w:sz="4" w:space="0" w:color="auto"/>
              <w:bottom w:val="single" w:sz="4" w:space="0" w:color="auto"/>
              <w:right w:val="single" w:sz="4" w:space="0" w:color="auto"/>
            </w:tcBorders>
            <w:shd w:val="clear" w:color="000000" w:fill="95B3D7"/>
            <w:noWrap/>
            <w:tcMar>
              <w:top w:w="15" w:type="dxa"/>
              <w:left w:w="15" w:type="dxa"/>
              <w:bottom w:w="0" w:type="dxa"/>
              <w:right w:w="15" w:type="dxa"/>
            </w:tcMar>
            <w:vAlign w:val="center"/>
          </w:tcPr>
          <w:p w:rsidR="00B92080" w:rsidRPr="002E2870" w:rsidRDefault="00B92080" w:rsidP="00DB5405">
            <w:pPr>
              <w:ind w:right="90"/>
              <w:jc w:val="right"/>
              <w:rPr>
                <w:rFonts w:ascii="Palatino Linotype" w:hAnsi="Palatino Linotype"/>
                <w:b/>
                <w:bCs/>
                <w:sz w:val="18"/>
                <w:szCs w:val="18"/>
              </w:rPr>
            </w:pPr>
            <w:r w:rsidRPr="002E2870">
              <w:rPr>
                <w:rFonts w:ascii="Palatino Linotype" w:hAnsi="Palatino Linotype"/>
                <w:b/>
                <w:bCs/>
                <w:sz w:val="18"/>
                <w:szCs w:val="18"/>
              </w:rPr>
              <w:t>39.3</w:t>
            </w:r>
          </w:p>
        </w:tc>
      </w:tr>
      <w:tr w:rsidR="00B92080" w:rsidRPr="002E2870" w:rsidTr="00DB5405">
        <w:trPr>
          <w:trHeight w:val="255"/>
        </w:trPr>
        <w:tc>
          <w:tcPr>
            <w:tcW w:w="9780" w:type="dxa"/>
            <w:gridSpan w:val="7"/>
            <w:tcBorders>
              <w:top w:val="single" w:sz="4" w:space="0" w:color="000000"/>
              <w:left w:val="single" w:sz="4" w:space="0" w:color="000000"/>
              <w:bottom w:val="single" w:sz="4" w:space="0" w:color="000000"/>
              <w:right w:val="single" w:sz="4" w:space="0" w:color="000000"/>
            </w:tcBorders>
            <w:shd w:val="clear" w:color="FFFFCC" w:fill="FFFFCC"/>
            <w:tcMar>
              <w:top w:w="15" w:type="dxa"/>
              <w:left w:w="15" w:type="dxa"/>
              <w:bottom w:w="0" w:type="dxa"/>
              <w:right w:w="15" w:type="dxa"/>
            </w:tcMar>
            <w:vAlign w:val="center"/>
            <w:hideMark/>
          </w:tcPr>
          <w:p w:rsidR="00B92080" w:rsidRPr="002E2870" w:rsidRDefault="00B92080" w:rsidP="00DB5405">
            <w:pPr>
              <w:tabs>
                <w:tab w:val="left" w:pos="408"/>
              </w:tabs>
              <w:ind w:right="90"/>
              <w:rPr>
                <w:rFonts w:ascii="Palatino Linotype" w:hAnsi="Palatino Linotype"/>
                <w:b/>
                <w:bCs/>
                <w:sz w:val="18"/>
                <w:szCs w:val="18"/>
              </w:rPr>
            </w:pPr>
            <w:r w:rsidRPr="002E2870">
              <w:rPr>
                <w:rFonts w:ascii="Palatino Linotype" w:hAnsi="Palatino Linotype"/>
                <w:b/>
                <w:bCs/>
                <w:sz w:val="18"/>
                <w:szCs w:val="18"/>
              </w:rPr>
              <w:t xml:space="preserve">C. Open Interest in Terms of Value ( </w:t>
            </w:r>
            <w:r w:rsidRPr="002E2870">
              <w:rPr>
                <w:rFonts w:ascii="Times New Roman" w:hAnsi="Times New Roman"/>
                <w:b/>
                <w:bCs/>
                <w:sz w:val="18"/>
                <w:szCs w:val="18"/>
              </w:rPr>
              <w:t>₹</w:t>
            </w:r>
            <w:r w:rsidRPr="002E2870">
              <w:rPr>
                <w:rFonts w:ascii="Palatino Linotype" w:hAnsi="Palatino Linotype" w:cs="Tahoma"/>
                <w:b/>
                <w:bCs/>
                <w:sz w:val="18"/>
                <w:szCs w:val="18"/>
              </w:rPr>
              <w:t xml:space="preserve"> </w:t>
            </w:r>
            <w:r w:rsidRPr="002E2870">
              <w:rPr>
                <w:rFonts w:ascii="Palatino Linotype" w:hAnsi="Palatino Linotype"/>
                <w:b/>
                <w:bCs/>
                <w:sz w:val="18"/>
                <w:szCs w:val="18"/>
              </w:rPr>
              <w:t>crore)</w:t>
            </w:r>
          </w:p>
        </w:tc>
      </w:tr>
      <w:tr w:rsidR="00B92080" w:rsidRPr="002E2870" w:rsidTr="00DB5405">
        <w:trPr>
          <w:trHeight w:val="255"/>
        </w:trPr>
        <w:tc>
          <w:tcPr>
            <w:tcW w:w="2122" w:type="dxa"/>
            <w:tcBorders>
              <w:top w:val="nil"/>
              <w:left w:val="single" w:sz="4" w:space="0" w:color="000000"/>
              <w:bottom w:val="nil"/>
              <w:right w:val="single" w:sz="4" w:space="0" w:color="000000"/>
            </w:tcBorders>
            <w:shd w:val="clear" w:color="C6D9F0" w:fill="C6D9F0"/>
            <w:noWrap/>
            <w:tcMar>
              <w:top w:w="15" w:type="dxa"/>
              <w:left w:w="15" w:type="dxa"/>
              <w:bottom w:w="0" w:type="dxa"/>
              <w:right w:w="15" w:type="dxa"/>
            </w:tcMar>
            <w:vAlign w:val="center"/>
            <w:hideMark/>
          </w:tcPr>
          <w:p w:rsidR="00B92080" w:rsidRPr="002E2870" w:rsidRDefault="00B92080" w:rsidP="00DB5405">
            <w:pPr>
              <w:tabs>
                <w:tab w:val="left" w:pos="408"/>
              </w:tabs>
              <w:rPr>
                <w:rFonts w:ascii="Palatino Linotype" w:hAnsi="Palatino Linotype"/>
                <w:sz w:val="18"/>
                <w:szCs w:val="18"/>
              </w:rPr>
            </w:pPr>
            <w:r w:rsidRPr="002E2870">
              <w:rPr>
                <w:rFonts w:ascii="Palatino Linotype" w:hAnsi="Palatino Linotype"/>
                <w:sz w:val="18"/>
                <w:szCs w:val="18"/>
              </w:rPr>
              <w:t xml:space="preserve">(i) </w:t>
            </w:r>
            <w:r w:rsidRPr="002E2870">
              <w:rPr>
                <w:rFonts w:ascii="Palatino Linotype" w:hAnsi="Palatino Linotype"/>
                <w:sz w:val="18"/>
                <w:szCs w:val="18"/>
              </w:rPr>
              <w:tab/>
              <w:t>Index Futures</w:t>
            </w:r>
          </w:p>
        </w:tc>
        <w:tc>
          <w:tcPr>
            <w:tcW w:w="1306" w:type="dxa"/>
            <w:tcBorders>
              <w:top w:val="nil"/>
              <w:left w:val="nil"/>
              <w:bottom w:val="nil"/>
              <w:right w:val="single" w:sz="4" w:space="0" w:color="000000"/>
            </w:tcBorders>
            <w:shd w:val="clear" w:color="auto" w:fill="auto"/>
            <w:noWrap/>
            <w:tcMar>
              <w:top w:w="15" w:type="dxa"/>
              <w:left w:w="15" w:type="dxa"/>
              <w:bottom w:w="0" w:type="dxa"/>
              <w:right w:w="15" w:type="dxa"/>
            </w:tcMar>
            <w:vAlign w:val="center"/>
          </w:tcPr>
          <w:p w:rsidR="00B92080" w:rsidRPr="002E2870" w:rsidRDefault="00B92080" w:rsidP="00DB5405">
            <w:pPr>
              <w:ind w:right="45"/>
              <w:jc w:val="right"/>
              <w:rPr>
                <w:rFonts w:ascii="Palatino Linotype" w:hAnsi="Palatino Linotype"/>
                <w:sz w:val="18"/>
                <w:szCs w:val="18"/>
              </w:rPr>
            </w:pPr>
            <w:r w:rsidRPr="002E2870">
              <w:rPr>
                <w:rFonts w:ascii="Palatino Linotype" w:hAnsi="Palatino Linotype"/>
                <w:sz w:val="18"/>
                <w:szCs w:val="18"/>
              </w:rPr>
              <w:t>17,072.7</w:t>
            </w:r>
          </w:p>
        </w:tc>
        <w:tc>
          <w:tcPr>
            <w:tcW w:w="1307" w:type="dxa"/>
            <w:tcBorders>
              <w:top w:val="nil"/>
              <w:left w:val="nil"/>
              <w:bottom w:val="nil"/>
              <w:right w:val="single" w:sz="4" w:space="0" w:color="000000"/>
            </w:tcBorders>
            <w:shd w:val="clear" w:color="auto" w:fill="auto"/>
            <w:noWrap/>
            <w:tcMar>
              <w:top w:w="15" w:type="dxa"/>
              <w:left w:w="15" w:type="dxa"/>
              <w:bottom w:w="0" w:type="dxa"/>
              <w:right w:w="15" w:type="dxa"/>
            </w:tcMar>
            <w:vAlign w:val="center"/>
          </w:tcPr>
          <w:p w:rsidR="00B92080" w:rsidRPr="002E2870" w:rsidRDefault="00B92080" w:rsidP="00DB5405">
            <w:pPr>
              <w:ind w:right="45"/>
              <w:jc w:val="right"/>
              <w:rPr>
                <w:rFonts w:ascii="Palatino Linotype" w:hAnsi="Palatino Linotype"/>
                <w:sz w:val="18"/>
                <w:szCs w:val="18"/>
              </w:rPr>
            </w:pPr>
            <w:r w:rsidRPr="002E2870">
              <w:rPr>
                <w:rFonts w:ascii="Palatino Linotype" w:hAnsi="Palatino Linotype"/>
                <w:sz w:val="18"/>
                <w:szCs w:val="18"/>
              </w:rPr>
              <w:t>14,865.3</w:t>
            </w:r>
          </w:p>
        </w:tc>
        <w:tc>
          <w:tcPr>
            <w:tcW w:w="1307" w:type="dxa"/>
            <w:tcBorders>
              <w:top w:val="nil"/>
              <w:left w:val="nil"/>
              <w:bottom w:val="nil"/>
              <w:right w:val="single" w:sz="4" w:space="0" w:color="000000"/>
            </w:tcBorders>
            <w:shd w:val="clear" w:color="auto" w:fill="auto"/>
            <w:noWrap/>
            <w:tcMar>
              <w:top w:w="15" w:type="dxa"/>
              <w:left w:w="15" w:type="dxa"/>
              <w:bottom w:w="0" w:type="dxa"/>
              <w:right w:w="15" w:type="dxa"/>
            </w:tcMar>
            <w:vAlign w:val="center"/>
          </w:tcPr>
          <w:p w:rsidR="00B92080" w:rsidRPr="002E2870" w:rsidRDefault="00B92080" w:rsidP="00DB5405">
            <w:pPr>
              <w:ind w:right="45"/>
              <w:jc w:val="right"/>
              <w:rPr>
                <w:rFonts w:ascii="Palatino Linotype" w:hAnsi="Palatino Linotype"/>
                <w:sz w:val="18"/>
                <w:szCs w:val="18"/>
              </w:rPr>
            </w:pPr>
            <w:r w:rsidRPr="002E2870">
              <w:rPr>
                <w:rFonts w:ascii="Palatino Linotype" w:hAnsi="Palatino Linotype"/>
                <w:sz w:val="18"/>
                <w:szCs w:val="18"/>
              </w:rPr>
              <w:t>-12.9</w:t>
            </w:r>
          </w:p>
        </w:tc>
        <w:tc>
          <w:tcPr>
            <w:tcW w:w="1183" w:type="dxa"/>
            <w:tcBorders>
              <w:top w:val="nil"/>
              <w:left w:val="nil"/>
              <w:bottom w:val="nil"/>
              <w:right w:val="single" w:sz="4" w:space="0" w:color="000000"/>
            </w:tcBorders>
            <w:shd w:val="clear" w:color="auto" w:fill="auto"/>
            <w:noWrap/>
            <w:tcMar>
              <w:top w:w="15" w:type="dxa"/>
              <w:left w:w="15" w:type="dxa"/>
              <w:bottom w:w="0" w:type="dxa"/>
              <w:right w:w="15" w:type="dxa"/>
            </w:tcMar>
            <w:vAlign w:val="center"/>
          </w:tcPr>
          <w:p w:rsidR="00B92080" w:rsidRPr="002E2870" w:rsidRDefault="00B92080" w:rsidP="00DB5405">
            <w:pPr>
              <w:ind w:right="90"/>
              <w:jc w:val="right"/>
              <w:rPr>
                <w:rFonts w:ascii="Palatino Linotype" w:hAnsi="Palatino Linotype"/>
                <w:sz w:val="18"/>
                <w:szCs w:val="18"/>
              </w:rPr>
            </w:pPr>
            <w:r w:rsidRPr="002E2870">
              <w:rPr>
                <w:rFonts w:ascii="Palatino Linotype" w:hAnsi="Palatino Linotype"/>
                <w:sz w:val="18"/>
                <w:szCs w:val="18"/>
              </w:rPr>
              <w:t>10.2</w:t>
            </w:r>
          </w:p>
        </w:tc>
        <w:tc>
          <w:tcPr>
            <w:tcW w:w="1134" w:type="dxa"/>
            <w:tcBorders>
              <w:top w:val="nil"/>
              <w:left w:val="nil"/>
              <w:bottom w:val="nil"/>
              <w:right w:val="single" w:sz="4" w:space="0" w:color="000000"/>
            </w:tcBorders>
            <w:shd w:val="clear" w:color="auto" w:fill="auto"/>
            <w:noWrap/>
            <w:tcMar>
              <w:top w:w="15" w:type="dxa"/>
              <w:left w:w="15" w:type="dxa"/>
              <w:bottom w:w="0" w:type="dxa"/>
              <w:right w:w="15" w:type="dxa"/>
            </w:tcMar>
            <w:vAlign w:val="center"/>
          </w:tcPr>
          <w:p w:rsidR="00B92080" w:rsidRPr="002E2870" w:rsidRDefault="00B92080" w:rsidP="00DB5405">
            <w:pPr>
              <w:ind w:right="90"/>
              <w:jc w:val="right"/>
              <w:rPr>
                <w:rFonts w:ascii="Palatino Linotype" w:hAnsi="Palatino Linotype"/>
                <w:sz w:val="18"/>
                <w:szCs w:val="18"/>
              </w:rPr>
            </w:pPr>
            <w:r w:rsidRPr="002E2870">
              <w:rPr>
                <w:rFonts w:ascii="Palatino Linotype" w:hAnsi="Palatino Linotype"/>
                <w:sz w:val="18"/>
                <w:szCs w:val="18"/>
              </w:rPr>
              <w:t>10.4</w:t>
            </w:r>
          </w:p>
        </w:tc>
        <w:tc>
          <w:tcPr>
            <w:tcW w:w="1421" w:type="dxa"/>
            <w:tcBorders>
              <w:top w:val="nil"/>
              <w:left w:val="nil"/>
              <w:bottom w:val="nil"/>
              <w:right w:val="single" w:sz="4" w:space="0" w:color="auto"/>
            </w:tcBorders>
            <w:shd w:val="clear" w:color="auto" w:fill="auto"/>
            <w:noWrap/>
            <w:tcMar>
              <w:top w:w="15" w:type="dxa"/>
              <w:left w:w="15" w:type="dxa"/>
              <w:bottom w:w="0" w:type="dxa"/>
              <w:right w:w="15" w:type="dxa"/>
            </w:tcMar>
            <w:vAlign w:val="center"/>
          </w:tcPr>
          <w:p w:rsidR="00B92080" w:rsidRPr="002E2870" w:rsidRDefault="00B92080" w:rsidP="00DB5405">
            <w:pPr>
              <w:ind w:right="90"/>
              <w:jc w:val="right"/>
              <w:rPr>
                <w:rFonts w:ascii="Palatino Linotype" w:hAnsi="Palatino Linotype"/>
                <w:sz w:val="18"/>
                <w:szCs w:val="18"/>
              </w:rPr>
            </w:pPr>
            <w:r w:rsidRPr="002E2870">
              <w:rPr>
                <w:rFonts w:ascii="Palatino Linotype" w:hAnsi="Palatino Linotype"/>
                <w:sz w:val="18"/>
                <w:szCs w:val="18"/>
              </w:rPr>
              <w:t>1.7</w:t>
            </w:r>
          </w:p>
        </w:tc>
      </w:tr>
      <w:tr w:rsidR="00B92080" w:rsidRPr="002E2870" w:rsidTr="00DB5405">
        <w:trPr>
          <w:trHeight w:val="255"/>
        </w:trPr>
        <w:tc>
          <w:tcPr>
            <w:tcW w:w="2122" w:type="dxa"/>
            <w:tcBorders>
              <w:top w:val="nil"/>
              <w:left w:val="single" w:sz="4" w:space="0" w:color="000000"/>
              <w:bottom w:val="nil"/>
              <w:right w:val="single" w:sz="4" w:space="0" w:color="000000"/>
            </w:tcBorders>
            <w:shd w:val="clear" w:color="C6D9F0" w:fill="C6D9F0"/>
            <w:noWrap/>
            <w:tcMar>
              <w:top w:w="15" w:type="dxa"/>
              <w:left w:w="15" w:type="dxa"/>
              <w:bottom w:w="0" w:type="dxa"/>
              <w:right w:w="15" w:type="dxa"/>
            </w:tcMar>
            <w:vAlign w:val="center"/>
            <w:hideMark/>
          </w:tcPr>
          <w:p w:rsidR="00B92080" w:rsidRPr="002E2870" w:rsidRDefault="00B92080" w:rsidP="00DB5405">
            <w:pPr>
              <w:tabs>
                <w:tab w:val="left" w:pos="408"/>
              </w:tabs>
              <w:rPr>
                <w:rFonts w:ascii="Palatino Linotype" w:hAnsi="Palatino Linotype"/>
                <w:sz w:val="18"/>
                <w:szCs w:val="18"/>
              </w:rPr>
            </w:pPr>
            <w:r w:rsidRPr="002E2870">
              <w:rPr>
                <w:rFonts w:ascii="Palatino Linotype" w:hAnsi="Palatino Linotype"/>
                <w:sz w:val="18"/>
                <w:szCs w:val="18"/>
              </w:rPr>
              <w:t xml:space="preserve">(ii) </w:t>
            </w:r>
            <w:r w:rsidRPr="002E2870">
              <w:rPr>
                <w:rFonts w:ascii="Palatino Linotype" w:hAnsi="Palatino Linotype"/>
                <w:sz w:val="18"/>
                <w:szCs w:val="18"/>
              </w:rPr>
              <w:tab/>
              <w:t>Options on Index</w:t>
            </w:r>
          </w:p>
        </w:tc>
        <w:tc>
          <w:tcPr>
            <w:tcW w:w="1306" w:type="dxa"/>
            <w:tcBorders>
              <w:top w:val="nil"/>
              <w:left w:val="nil"/>
              <w:bottom w:val="nil"/>
              <w:right w:val="single" w:sz="4" w:space="0" w:color="auto"/>
            </w:tcBorders>
            <w:shd w:val="clear" w:color="auto" w:fill="auto"/>
            <w:noWrap/>
            <w:tcMar>
              <w:top w:w="15" w:type="dxa"/>
              <w:left w:w="15" w:type="dxa"/>
              <w:bottom w:w="0" w:type="dxa"/>
              <w:right w:w="15" w:type="dxa"/>
            </w:tcMar>
            <w:vAlign w:val="center"/>
          </w:tcPr>
          <w:p w:rsidR="00B92080" w:rsidRPr="002E2870" w:rsidRDefault="00B92080" w:rsidP="00DB5405">
            <w:pPr>
              <w:ind w:right="45"/>
              <w:jc w:val="right"/>
              <w:rPr>
                <w:rFonts w:ascii="Palatino Linotype" w:hAnsi="Palatino Linotype"/>
                <w:sz w:val="18"/>
                <w:szCs w:val="18"/>
              </w:rPr>
            </w:pPr>
          </w:p>
        </w:tc>
        <w:tc>
          <w:tcPr>
            <w:tcW w:w="1307" w:type="dxa"/>
            <w:tcBorders>
              <w:top w:val="nil"/>
              <w:left w:val="nil"/>
              <w:bottom w:val="nil"/>
              <w:right w:val="single" w:sz="4" w:space="0" w:color="auto"/>
            </w:tcBorders>
            <w:shd w:val="clear" w:color="auto" w:fill="auto"/>
            <w:noWrap/>
            <w:tcMar>
              <w:top w:w="15" w:type="dxa"/>
              <w:left w:w="15" w:type="dxa"/>
              <w:bottom w:w="0" w:type="dxa"/>
              <w:right w:w="15" w:type="dxa"/>
            </w:tcMar>
            <w:vAlign w:val="center"/>
          </w:tcPr>
          <w:p w:rsidR="00B92080" w:rsidRPr="002E2870" w:rsidRDefault="00B92080" w:rsidP="00DB5405">
            <w:pPr>
              <w:ind w:right="45"/>
              <w:jc w:val="right"/>
              <w:rPr>
                <w:rFonts w:ascii="Palatino Linotype" w:hAnsi="Palatino Linotype"/>
                <w:sz w:val="18"/>
                <w:szCs w:val="18"/>
              </w:rPr>
            </w:pPr>
          </w:p>
        </w:tc>
        <w:tc>
          <w:tcPr>
            <w:tcW w:w="1307" w:type="dxa"/>
            <w:tcBorders>
              <w:top w:val="nil"/>
              <w:left w:val="nil"/>
              <w:bottom w:val="nil"/>
              <w:right w:val="single" w:sz="4" w:space="0" w:color="000000"/>
            </w:tcBorders>
            <w:shd w:val="clear" w:color="auto" w:fill="auto"/>
            <w:noWrap/>
            <w:tcMar>
              <w:top w:w="15" w:type="dxa"/>
              <w:left w:w="15" w:type="dxa"/>
              <w:bottom w:w="0" w:type="dxa"/>
              <w:right w:w="15" w:type="dxa"/>
            </w:tcMar>
            <w:vAlign w:val="center"/>
          </w:tcPr>
          <w:p w:rsidR="00B92080" w:rsidRPr="002E2870" w:rsidRDefault="00B92080" w:rsidP="00DB5405">
            <w:pPr>
              <w:ind w:right="45"/>
              <w:jc w:val="right"/>
              <w:rPr>
                <w:rFonts w:ascii="Palatino Linotype" w:hAnsi="Palatino Linotype"/>
                <w:sz w:val="18"/>
                <w:szCs w:val="18"/>
              </w:rPr>
            </w:pPr>
          </w:p>
        </w:tc>
        <w:tc>
          <w:tcPr>
            <w:tcW w:w="1183" w:type="dxa"/>
            <w:tcBorders>
              <w:top w:val="nil"/>
              <w:left w:val="nil"/>
              <w:bottom w:val="nil"/>
              <w:right w:val="single" w:sz="4" w:space="0" w:color="000000"/>
            </w:tcBorders>
            <w:shd w:val="clear" w:color="auto" w:fill="auto"/>
            <w:noWrap/>
            <w:tcMar>
              <w:top w:w="15" w:type="dxa"/>
              <w:left w:w="15" w:type="dxa"/>
              <w:bottom w:w="0" w:type="dxa"/>
              <w:right w:w="15" w:type="dxa"/>
            </w:tcMar>
            <w:vAlign w:val="center"/>
          </w:tcPr>
          <w:p w:rsidR="00B92080" w:rsidRPr="002E2870" w:rsidRDefault="00B92080" w:rsidP="00DB5405">
            <w:pPr>
              <w:ind w:right="90"/>
              <w:jc w:val="right"/>
              <w:rPr>
                <w:rFonts w:ascii="Palatino Linotype" w:hAnsi="Palatino Linotype"/>
                <w:sz w:val="18"/>
                <w:szCs w:val="18"/>
              </w:rPr>
            </w:pPr>
          </w:p>
        </w:tc>
        <w:tc>
          <w:tcPr>
            <w:tcW w:w="1134" w:type="dxa"/>
            <w:tcBorders>
              <w:top w:val="nil"/>
              <w:left w:val="nil"/>
              <w:bottom w:val="nil"/>
              <w:right w:val="single" w:sz="4" w:space="0" w:color="000000"/>
            </w:tcBorders>
            <w:shd w:val="clear" w:color="auto" w:fill="auto"/>
            <w:noWrap/>
            <w:tcMar>
              <w:top w:w="15" w:type="dxa"/>
              <w:left w:w="15" w:type="dxa"/>
              <w:bottom w:w="0" w:type="dxa"/>
              <w:right w:w="15" w:type="dxa"/>
            </w:tcMar>
            <w:vAlign w:val="center"/>
          </w:tcPr>
          <w:p w:rsidR="00B92080" w:rsidRPr="002E2870" w:rsidRDefault="00B92080" w:rsidP="00DB5405">
            <w:pPr>
              <w:ind w:right="90"/>
              <w:jc w:val="right"/>
              <w:rPr>
                <w:rFonts w:ascii="Palatino Linotype" w:hAnsi="Palatino Linotype"/>
                <w:sz w:val="18"/>
                <w:szCs w:val="18"/>
              </w:rPr>
            </w:pPr>
          </w:p>
        </w:tc>
        <w:tc>
          <w:tcPr>
            <w:tcW w:w="1421" w:type="dxa"/>
            <w:tcBorders>
              <w:top w:val="nil"/>
              <w:left w:val="nil"/>
              <w:bottom w:val="nil"/>
              <w:right w:val="single" w:sz="4" w:space="0" w:color="auto"/>
            </w:tcBorders>
            <w:shd w:val="clear" w:color="auto" w:fill="auto"/>
            <w:noWrap/>
            <w:tcMar>
              <w:top w:w="15" w:type="dxa"/>
              <w:left w:w="15" w:type="dxa"/>
              <w:bottom w:w="0" w:type="dxa"/>
              <w:right w:w="15" w:type="dxa"/>
            </w:tcMar>
            <w:vAlign w:val="center"/>
          </w:tcPr>
          <w:p w:rsidR="00B92080" w:rsidRPr="002E2870" w:rsidRDefault="00B92080" w:rsidP="00DB5405">
            <w:pPr>
              <w:ind w:right="90"/>
              <w:jc w:val="right"/>
              <w:rPr>
                <w:rFonts w:ascii="Palatino Linotype" w:hAnsi="Palatino Linotype"/>
                <w:sz w:val="18"/>
                <w:szCs w:val="18"/>
              </w:rPr>
            </w:pPr>
          </w:p>
        </w:tc>
      </w:tr>
      <w:tr w:rsidR="00B92080" w:rsidRPr="002E2870" w:rsidTr="00DB5405">
        <w:trPr>
          <w:trHeight w:val="255"/>
        </w:trPr>
        <w:tc>
          <w:tcPr>
            <w:tcW w:w="2122" w:type="dxa"/>
            <w:tcBorders>
              <w:top w:val="nil"/>
              <w:left w:val="single" w:sz="4" w:space="0" w:color="000000"/>
              <w:bottom w:val="nil"/>
              <w:right w:val="single" w:sz="4" w:space="0" w:color="000000"/>
            </w:tcBorders>
            <w:shd w:val="clear" w:color="C6D9F0" w:fill="C6D9F0"/>
            <w:noWrap/>
            <w:tcMar>
              <w:top w:w="15" w:type="dxa"/>
              <w:left w:w="15" w:type="dxa"/>
              <w:bottom w:w="0" w:type="dxa"/>
              <w:right w:w="15" w:type="dxa"/>
            </w:tcMar>
            <w:vAlign w:val="center"/>
            <w:hideMark/>
          </w:tcPr>
          <w:p w:rsidR="00B92080" w:rsidRPr="002E2870" w:rsidRDefault="00B92080" w:rsidP="00DB5405">
            <w:pPr>
              <w:tabs>
                <w:tab w:val="left" w:pos="408"/>
              </w:tabs>
              <w:rPr>
                <w:rFonts w:ascii="Palatino Linotype" w:hAnsi="Palatino Linotype"/>
                <w:i/>
                <w:iCs/>
                <w:sz w:val="18"/>
                <w:szCs w:val="18"/>
              </w:rPr>
            </w:pPr>
            <w:r w:rsidRPr="002E2870">
              <w:rPr>
                <w:rFonts w:ascii="Palatino Linotype" w:hAnsi="Palatino Linotype"/>
                <w:i/>
                <w:iCs/>
                <w:sz w:val="18"/>
                <w:szCs w:val="18"/>
              </w:rPr>
              <w:tab/>
              <w:t>Put</w:t>
            </w:r>
          </w:p>
        </w:tc>
        <w:tc>
          <w:tcPr>
            <w:tcW w:w="1306" w:type="dxa"/>
            <w:tcBorders>
              <w:top w:val="nil"/>
              <w:left w:val="nil"/>
              <w:bottom w:val="nil"/>
              <w:right w:val="single" w:sz="4" w:space="0" w:color="auto"/>
            </w:tcBorders>
            <w:shd w:val="clear" w:color="auto" w:fill="auto"/>
            <w:noWrap/>
            <w:tcMar>
              <w:top w:w="15" w:type="dxa"/>
              <w:left w:w="15" w:type="dxa"/>
              <w:bottom w:w="0" w:type="dxa"/>
              <w:right w:w="15" w:type="dxa"/>
            </w:tcMar>
            <w:vAlign w:val="center"/>
          </w:tcPr>
          <w:p w:rsidR="00B92080" w:rsidRPr="002E2870" w:rsidRDefault="00B92080" w:rsidP="00DB5405">
            <w:pPr>
              <w:ind w:right="45"/>
              <w:jc w:val="right"/>
              <w:rPr>
                <w:rFonts w:ascii="Palatino Linotype" w:hAnsi="Palatino Linotype"/>
                <w:sz w:val="18"/>
                <w:szCs w:val="18"/>
              </w:rPr>
            </w:pPr>
            <w:r w:rsidRPr="002E2870">
              <w:rPr>
                <w:rFonts w:ascii="Palatino Linotype" w:hAnsi="Palatino Linotype"/>
                <w:sz w:val="18"/>
                <w:szCs w:val="18"/>
              </w:rPr>
              <w:t>90,472.0</w:t>
            </w:r>
          </w:p>
        </w:tc>
        <w:tc>
          <w:tcPr>
            <w:tcW w:w="1307" w:type="dxa"/>
            <w:tcBorders>
              <w:top w:val="nil"/>
              <w:left w:val="nil"/>
              <w:bottom w:val="nil"/>
              <w:right w:val="single" w:sz="4" w:space="0" w:color="auto"/>
            </w:tcBorders>
            <w:shd w:val="clear" w:color="auto" w:fill="auto"/>
            <w:noWrap/>
            <w:tcMar>
              <w:top w:w="15" w:type="dxa"/>
              <w:left w:w="15" w:type="dxa"/>
              <w:bottom w:w="0" w:type="dxa"/>
              <w:right w:w="15" w:type="dxa"/>
            </w:tcMar>
            <w:vAlign w:val="center"/>
          </w:tcPr>
          <w:p w:rsidR="00B92080" w:rsidRPr="002E2870" w:rsidRDefault="00B92080" w:rsidP="00DB5405">
            <w:pPr>
              <w:ind w:right="45"/>
              <w:jc w:val="right"/>
              <w:rPr>
                <w:rFonts w:ascii="Palatino Linotype" w:hAnsi="Palatino Linotype"/>
                <w:sz w:val="18"/>
                <w:szCs w:val="18"/>
              </w:rPr>
            </w:pPr>
            <w:r w:rsidRPr="002E2870">
              <w:rPr>
                <w:rFonts w:ascii="Palatino Linotype" w:hAnsi="Palatino Linotype"/>
                <w:sz w:val="18"/>
                <w:szCs w:val="18"/>
              </w:rPr>
              <w:t>1,19,407.9</w:t>
            </w:r>
          </w:p>
        </w:tc>
        <w:tc>
          <w:tcPr>
            <w:tcW w:w="1307" w:type="dxa"/>
            <w:tcBorders>
              <w:top w:val="nil"/>
              <w:left w:val="nil"/>
              <w:bottom w:val="nil"/>
              <w:right w:val="single" w:sz="4" w:space="0" w:color="000000"/>
            </w:tcBorders>
            <w:shd w:val="clear" w:color="auto" w:fill="auto"/>
            <w:noWrap/>
            <w:tcMar>
              <w:top w:w="15" w:type="dxa"/>
              <w:left w:w="15" w:type="dxa"/>
              <w:bottom w:w="0" w:type="dxa"/>
              <w:right w:w="15" w:type="dxa"/>
            </w:tcMar>
            <w:vAlign w:val="center"/>
          </w:tcPr>
          <w:p w:rsidR="00B92080" w:rsidRPr="002E2870" w:rsidRDefault="00B92080" w:rsidP="00DB5405">
            <w:pPr>
              <w:ind w:right="45"/>
              <w:jc w:val="right"/>
              <w:rPr>
                <w:rFonts w:ascii="Palatino Linotype" w:hAnsi="Palatino Linotype"/>
                <w:sz w:val="18"/>
                <w:szCs w:val="18"/>
              </w:rPr>
            </w:pPr>
            <w:r w:rsidRPr="002E2870">
              <w:rPr>
                <w:rFonts w:ascii="Palatino Linotype" w:hAnsi="Palatino Linotype"/>
                <w:sz w:val="18"/>
                <w:szCs w:val="18"/>
              </w:rPr>
              <w:t>32.0</w:t>
            </w:r>
          </w:p>
        </w:tc>
        <w:tc>
          <w:tcPr>
            <w:tcW w:w="1183" w:type="dxa"/>
            <w:tcBorders>
              <w:top w:val="nil"/>
              <w:left w:val="nil"/>
              <w:bottom w:val="nil"/>
              <w:right w:val="single" w:sz="4" w:space="0" w:color="000000"/>
            </w:tcBorders>
            <w:shd w:val="clear" w:color="auto" w:fill="auto"/>
            <w:noWrap/>
            <w:tcMar>
              <w:top w:w="15" w:type="dxa"/>
              <w:left w:w="15" w:type="dxa"/>
              <w:bottom w:w="0" w:type="dxa"/>
              <w:right w:w="15" w:type="dxa"/>
            </w:tcMar>
            <w:vAlign w:val="center"/>
          </w:tcPr>
          <w:p w:rsidR="00B92080" w:rsidRPr="002E2870" w:rsidRDefault="00B92080" w:rsidP="00DB5405">
            <w:pPr>
              <w:ind w:right="90"/>
              <w:jc w:val="right"/>
              <w:rPr>
                <w:rFonts w:ascii="Palatino Linotype" w:hAnsi="Palatino Linotype"/>
                <w:sz w:val="18"/>
                <w:szCs w:val="18"/>
              </w:rPr>
            </w:pPr>
            <w:r w:rsidRPr="002E2870">
              <w:rPr>
                <w:rFonts w:ascii="Palatino Linotype" w:hAnsi="Palatino Linotype"/>
                <w:sz w:val="18"/>
                <w:szCs w:val="18"/>
              </w:rPr>
              <w:t>358.2</w:t>
            </w:r>
          </w:p>
        </w:tc>
        <w:tc>
          <w:tcPr>
            <w:tcW w:w="1134" w:type="dxa"/>
            <w:tcBorders>
              <w:top w:val="nil"/>
              <w:left w:val="nil"/>
              <w:bottom w:val="nil"/>
              <w:right w:val="single" w:sz="4" w:space="0" w:color="000000"/>
            </w:tcBorders>
            <w:shd w:val="clear" w:color="auto" w:fill="auto"/>
            <w:noWrap/>
            <w:tcMar>
              <w:top w:w="15" w:type="dxa"/>
              <w:left w:w="15" w:type="dxa"/>
              <w:bottom w:w="0" w:type="dxa"/>
              <w:right w:w="15" w:type="dxa"/>
            </w:tcMar>
            <w:vAlign w:val="center"/>
          </w:tcPr>
          <w:p w:rsidR="00B92080" w:rsidRPr="002E2870" w:rsidRDefault="00B92080" w:rsidP="00DB5405">
            <w:pPr>
              <w:ind w:right="90"/>
              <w:jc w:val="right"/>
              <w:rPr>
                <w:rFonts w:ascii="Palatino Linotype" w:hAnsi="Palatino Linotype"/>
                <w:sz w:val="18"/>
                <w:szCs w:val="18"/>
              </w:rPr>
            </w:pPr>
            <w:r w:rsidRPr="002E2870">
              <w:rPr>
                <w:rFonts w:ascii="Palatino Linotype" w:hAnsi="Palatino Linotype"/>
                <w:sz w:val="18"/>
                <w:szCs w:val="18"/>
              </w:rPr>
              <w:t>49.9</w:t>
            </w:r>
          </w:p>
        </w:tc>
        <w:tc>
          <w:tcPr>
            <w:tcW w:w="1421" w:type="dxa"/>
            <w:tcBorders>
              <w:top w:val="nil"/>
              <w:left w:val="nil"/>
              <w:bottom w:val="nil"/>
              <w:right w:val="single" w:sz="4" w:space="0" w:color="auto"/>
            </w:tcBorders>
            <w:shd w:val="clear" w:color="auto" w:fill="auto"/>
            <w:noWrap/>
            <w:tcMar>
              <w:top w:w="15" w:type="dxa"/>
              <w:left w:w="15" w:type="dxa"/>
              <w:bottom w:w="0" w:type="dxa"/>
              <w:right w:w="15" w:type="dxa"/>
            </w:tcMar>
            <w:vAlign w:val="center"/>
          </w:tcPr>
          <w:p w:rsidR="00B92080" w:rsidRPr="002E2870" w:rsidRDefault="00B92080" w:rsidP="00DB5405">
            <w:pPr>
              <w:ind w:right="90"/>
              <w:jc w:val="right"/>
              <w:rPr>
                <w:rFonts w:ascii="Palatino Linotype" w:hAnsi="Palatino Linotype"/>
                <w:sz w:val="18"/>
                <w:szCs w:val="18"/>
              </w:rPr>
            </w:pPr>
            <w:r w:rsidRPr="002E2870">
              <w:rPr>
                <w:rFonts w:ascii="Palatino Linotype" w:hAnsi="Palatino Linotype"/>
                <w:sz w:val="18"/>
                <w:szCs w:val="18"/>
              </w:rPr>
              <w:t>-86.1</w:t>
            </w:r>
          </w:p>
        </w:tc>
      </w:tr>
      <w:tr w:rsidR="00B92080" w:rsidRPr="002E2870" w:rsidTr="00DB5405">
        <w:trPr>
          <w:trHeight w:val="255"/>
        </w:trPr>
        <w:tc>
          <w:tcPr>
            <w:tcW w:w="2122" w:type="dxa"/>
            <w:tcBorders>
              <w:top w:val="nil"/>
              <w:left w:val="single" w:sz="4" w:space="0" w:color="000000"/>
              <w:bottom w:val="nil"/>
              <w:right w:val="single" w:sz="4" w:space="0" w:color="000000"/>
            </w:tcBorders>
            <w:shd w:val="clear" w:color="C6D9F0" w:fill="C6D9F0"/>
            <w:noWrap/>
            <w:tcMar>
              <w:top w:w="15" w:type="dxa"/>
              <w:left w:w="15" w:type="dxa"/>
              <w:bottom w:w="0" w:type="dxa"/>
              <w:right w:w="15" w:type="dxa"/>
            </w:tcMar>
            <w:vAlign w:val="center"/>
            <w:hideMark/>
          </w:tcPr>
          <w:p w:rsidR="00B92080" w:rsidRPr="002E2870" w:rsidRDefault="00B92080" w:rsidP="00DB5405">
            <w:pPr>
              <w:tabs>
                <w:tab w:val="left" w:pos="408"/>
              </w:tabs>
              <w:rPr>
                <w:rFonts w:ascii="Palatino Linotype" w:hAnsi="Palatino Linotype"/>
                <w:i/>
                <w:iCs/>
                <w:sz w:val="18"/>
                <w:szCs w:val="18"/>
              </w:rPr>
            </w:pPr>
            <w:r w:rsidRPr="002E2870">
              <w:rPr>
                <w:rFonts w:ascii="Palatino Linotype" w:hAnsi="Palatino Linotype"/>
                <w:i/>
                <w:iCs/>
                <w:sz w:val="18"/>
                <w:szCs w:val="18"/>
              </w:rPr>
              <w:tab/>
              <w:t>Call</w:t>
            </w:r>
          </w:p>
        </w:tc>
        <w:tc>
          <w:tcPr>
            <w:tcW w:w="1306" w:type="dxa"/>
            <w:tcBorders>
              <w:top w:val="nil"/>
              <w:left w:val="nil"/>
              <w:bottom w:val="nil"/>
              <w:right w:val="single" w:sz="4" w:space="0" w:color="auto"/>
            </w:tcBorders>
            <w:shd w:val="clear" w:color="auto" w:fill="auto"/>
            <w:noWrap/>
            <w:tcMar>
              <w:top w:w="15" w:type="dxa"/>
              <w:left w:w="15" w:type="dxa"/>
              <w:bottom w:w="0" w:type="dxa"/>
              <w:right w:w="15" w:type="dxa"/>
            </w:tcMar>
            <w:vAlign w:val="center"/>
          </w:tcPr>
          <w:p w:rsidR="00B92080" w:rsidRPr="002E2870" w:rsidRDefault="00B92080" w:rsidP="00DB5405">
            <w:pPr>
              <w:ind w:right="45"/>
              <w:jc w:val="right"/>
              <w:rPr>
                <w:rFonts w:ascii="Palatino Linotype" w:hAnsi="Palatino Linotype"/>
                <w:sz w:val="18"/>
                <w:szCs w:val="18"/>
              </w:rPr>
            </w:pPr>
            <w:r w:rsidRPr="002E2870">
              <w:rPr>
                <w:rFonts w:ascii="Palatino Linotype" w:hAnsi="Palatino Linotype"/>
                <w:sz w:val="18"/>
                <w:szCs w:val="18"/>
              </w:rPr>
              <w:t>87,794.2</w:t>
            </w:r>
          </w:p>
        </w:tc>
        <w:tc>
          <w:tcPr>
            <w:tcW w:w="1307" w:type="dxa"/>
            <w:tcBorders>
              <w:top w:val="nil"/>
              <w:left w:val="nil"/>
              <w:bottom w:val="nil"/>
              <w:right w:val="single" w:sz="4" w:space="0" w:color="auto"/>
            </w:tcBorders>
            <w:shd w:val="clear" w:color="auto" w:fill="auto"/>
            <w:noWrap/>
            <w:tcMar>
              <w:top w:w="15" w:type="dxa"/>
              <w:left w:w="15" w:type="dxa"/>
              <w:bottom w:w="0" w:type="dxa"/>
              <w:right w:w="15" w:type="dxa"/>
            </w:tcMar>
            <w:vAlign w:val="center"/>
          </w:tcPr>
          <w:p w:rsidR="00B92080" w:rsidRPr="002E2870" w:rsidRDefault="00B92080" w:rsidP="00DB5405">
            <w:pPr>
              <w:ind w:right="45"/>
              <w:jc w:val="right"/>
              <w:rPr>
                <w:rFonts w:ascii="Palatino Linotype" w:hAnsi="Palatino Linotype"/>
                <w:sz w:val="18"/>
                <w:szCs w:val="18"/>
              </w:rPr>
            </w:pPr>
            <w:r w:rsidRPr="002E2870">
              <w:rPr>
                <w:rFonts w:ascii="Palatino Linotype" w:hAnsi="Palatino Linotype"/>
                <w:sz w:val="18"/>
                <w:szCs w:val="18"/>
              </w:rPr>
              <w:t>96,299.6</w:t>
            </w:r>
          </w:p>
        </w:tc>
        <w:tc>
          <w:tcPr>
            <w:tcW w:w="1307" w:type="dxa"/>
            <w:tcBorders>
              <w:top w:val="nil"/>
              <w:left w:val="nil"/>
              <w:bottom w:val="nil"/>
              <w:right w:val="single" w:sz="4" w:space="0" w:color="000000"/>
            </w:tcBorders>
            <w:shd w:val="clear" w:color="auto" w:fill="auto"/>
            <w:noWrap/>
            <w:tcMar>
              <w:top w:w="15" w:type="dxa"/>
              <w:left w:w="15" w:type="dxa"/>
              <w:bottom w:w="0" w:type="dxa"/>
              <w:right w:w="15" w:type="dxa"/>
            </w:tcMar>
            <w:vAlign w:val="center"/>
          </w:tcPr>
          <w:p w:rsidR="00B92080" w:rsidRPr="002E2870" w:rsidRDefault="00B92080" w:rsidP="00DB5405">
            <w:pPr>
              <w:ind w:right="45"/>
              <w:jc w:val="right"/>
              <w:rPr>
                <w:rFonts w:ascii="Palatino Linotype" w:hAnsi="Palatino Linotype"/>
                <w:sz w:val="18"/>
                <w:szCs w:val="18"/>
              </w:rPr>
            </w:pPr>
            <w:r w:rsidRPr="002E2870">
              <w:rPr>
                <w:rFonts w:ascii="Palatino Linotype" w:hAnsi="Palatino Linotype"/>
                <w:sz w:val="18"/>
                <w:szCs w:val="18"/>
              </w:rPr>
              <w:t>9.7</w:t>
            </w:r>
          </w:p>
        </w:tc>
        <w:tc>
          <w:tcPr>
            <w:tcW w:w="1183" w:type="dxa"/>
            <w:tcBorders>
              <w:top w:val="nil"/>
              <w:left w:val="nil"/>
              <w:bottom w:val="nil"/>
              <w:right w:val="single" w:sz="4" w:space="0" w:color="000000"/>
            </w:tcBorders>
            <w:shd w:val="clear" w:color="auto" w:fill="auto"/>
            <w:noWrap/>
            <w:tcMar>
              <w:top w:w="15" w:type="dxa"/>
              <w:left w:w="15" w:type="dxa"/>
              <w:bottom w:w="0" w:type="dxa"/>
              <w:right w:w="15" w:type="dxa"/>
            </w:tcMar>
            <w:vAlign w:val="center"/>
          </w:tcPr>
          <w:p w:rsidR="00B92080" w:rsidRPr="002E2870" w:rsidRDefault="00B92080" w:rsidP="00DB5405">
            <w:pPr>
              <w:ind w:right="90"/>
              <w:jc w:val="right"/>
              <w:rPr>
                <w:rFonts w:ascii="Palatino Linotype" w:hAnsi="Palatino Linotype"/>
                <w:sz w:val="18"/>
                <w:szCs w:val="18"/>
              </w:rPr>
            </w:pPr>
            <w:r w:rsidRPr="002E2870">
              <w:rPr>
                <w:rFonts w:ascii="Palatino Linotype" w:hAnsi="Palatino Linotype"/>
                <w:sz w:val="18"/>
                <w:szCs w:val="18"/>
              </w:rPr>
              <w:t>366.7</w:t>
            </w:r>
          </w:p>
        </w:tc>
        <w:tc>
          <w:tcPr>
            <w:tcW w:w="1134" w:type="dxa"/>
            <w:tcBorders>
              <w:top w:val="nil"/>
              <w:left w:val="nil"/>
              <w:bottom w:val="nil"/>
              <w:right w:val="single" w:sz="4" w:space="0" w:color="000000"/>
            </w:tcBorders>
            <w:shd w:val="clear" w:color="auto" w:fill="auto"/>
            <w:noWrap/>
            <w:tcMar>
              <w:top w:w="15" w:type="dxa"/>
              <w:left w:w="15" w:type="dxa"/>
              <w:bottom w:w="0" w:type="dxa"/>
              <w:right w:w="15" w:type="dxa"/>
            </w:tcMar>
            <w:vAlign w:val="center"/>
          </w:tcPr>
          <w:p w:rsidR="00B92080" w:rsidRPr="002E2870" w:rsidRDefault="00B92080" w:rsidP="00DB5405">
            <w:pPr>
              <w:ind w:right="90"/>
              <w:jc w:val="right"/>
              <w:rPr>
                <w:rFonts w:ascii="Palatino Linotype" w:hAnsi="Palatino Linotype"/>
                <w:sz w:val="18"/>
                <w:szCs w:val="18"/>
              </w:rPr>
            </w:pPr>
            <w:r w:rsidRPr="002E2870">
              <w:rPr>
                <w:rFonts w:ascii="Palatino Linotype" w:hAnsi="Palatino Linotype"/>
                <w:sz w:val="18"/>
                <w:szCs w:val="18"/>
              </w:rPr>
              <w:t>257.9</w:t>
            </w:r>
          </w:p>
        </w:tc>
        <w:tc>
          <w:tcPr>
            <w:tcW w:w="1421" w:type="dxa"/>
            <w:tcBorders>
              <w:top w:val="nil"/>
              <w:left w:val="nil"/>
              <w:bottom w:val="nil"/>
              <w:right w:val="single" w:sz="4" w:space="0" w:color="auto"/>
            </w:tcBorders>
            <w:shd w:val="clear" w:color="auto" w:fill="auto"/>
            <w:noWrap/>
            <w:tcMar>
              <w:top w:w="15" w:type="dxa"/>
              <w:left w:w="15" w:type="dxa"/>
              <w:bottom w:w="0" w:type="dxa"/>
              <w:right w:w="15" w:type="dxa"/>
            </w:tcMar>
            <w:vAlign w:val="center"/>
          </w:tcPr>
          <w:p w:rsidR="00B92080" w:rsidRPr="002E2870" w:rsidRDefault="00B92080" w:rsidP="00DB5405">
            <w:pPr>
              <w:ind w:right="90"/>
              <w:jc w:val="right"/>
              <w:rPr>
                <w:rFonts w:ascii="Palatino Linotype" w:hAnsi="Palatino Linotype"/>
                <w:sz w:val="18"/>
                <w:szCs w:val="18"/>
              </w:rPr>
            </w:pPr>
            <w:r w:rsidRPr="002E2870">
              <w:rPr>
                <w:rFonts w:ascii="Palatino Linotype" w:hAnsi="Palatino Linotype"/>
                <w:sz w:val="18"/>
                <w:szCs w:val="18"/>
              </w:rPr>
              <w:t>-29.7</w:t>
            </w:r>
          </w:p>
        </w:tc>
      </w:tr>
      <w:tr w:rsidR="00B92080" w:rsidRPr="002E2870" w:rsidTr="00DB5405">
        <w:trPr>
          <w:trHeight w:val="255"/>
        </w:trPr>
        <w:tc>
          <w:tcPr>
            <w:tcW w:w="2122" w:type="dxa"/>
            <w:tcBorders>
              <w:top w:val="nil"/>
              <w:left w:val="single" w:sz="4" w:space="0" w:color="000000"/>
              <w:bottom w:val="nil"/>
              <w:right w:val="single" w:sz="4" w:space="0" w:color="000000"/>
            </w:tcBorders>
            <w:shd w:val="clear" w:color="C6D9F0" w:fill="C6D9F0"/>
            <w:noWrap/>
            <w:tcMar>
              <w:top w:w="15" w:type="dxa"/>
              <w:left w:w="15" w:type="dxa"/>
              <w:bottom w:w="0" w:type="dxa"/>
              <w:right w:w="15" w:type="dxa"/>
            </w:tcMar>
            <w:vAlign w:val="center"/>
            <w:hideMark/>
          </w:tcPr>
          <w:p w:rsidR="00B92080" w:rsidRPr="002E2870" w:rsidRDefault="00B92080" w:rsidP="00DB5405">
            <w:pPr>
              <w:tabs>
                <w:tab w:val="left" w:pos="408"/>
              </w:tabs>
              <w:rPr>
                <w:rFonts w:ascii="Palatino Linotype" w:hAnsi="Palatino Linotype"/>
                <w:sz w:val="18"/>
                <w:szCs w:val="18"/>
              </w:rPr>
            </w:pPr>
            <w:r w:rsidRPr="002E2870">
              <w:rPr>
                <w:rFonts w:ascii="Palatino Linotype" w:hAnsi="Palatino Linotype"/>
                <w:sz w:val="18"/>
                <w:szCs w:val="18"/>
              </w:rPr>
              <w:t xml:space="preserve">(iii) </w:t>
            </w:r>
            <w:r w:rsidRPr="002E2870">
              <w:rPr>
                <w:rFonts w:ascii="Palatino Linotype" w:hAnsi="Palatino Linotype"/>
                <w:sz w:val="18"/>
                <w:szCs w:val="18"/>
              </w:rPr>
              <w:tab/>
              <w:t>Stock Futures</w:t>
            </w:r>
          </w:p>
        </w:tc>
        <w:tc>
          <w:tcPr>
            <w:tcW w:w="1306" w:type="dxa"/>
            <w:tcBorders>
              <w:top w:val="nil"/>
              <w:left w:val="nil"/>
              <w:bottom w:val="nil"/>
              <w:right w:val="single" w:sz="4" w:space="0" w:color="auto"/>
            </w:tcBorders>
            <w:shd w:val="clear" w:color="auto" w:fill="auto"/>
            <w:noWrap/>
            <w:tcMar>
              <w:top w:w="15" w:type="dxa"/>
              <w:left w:w="15" w:type="dxa"/>
              <w:bottom w:w="0" w:type="dxa"/>
              <w:right w:w="15" w:type="dxa"/>
            </w:tcMar>
            <w:vAlign w:val="center"/>
          </w:tcPr>
          <w:p w:rsidR="00B92080" w:rsidRPr="002E2870" w:rsidRDefault="00B92080" w:rsidP="00DB5405">
            <w:pPr>
              <w:ind w:right="45"/>
              <w:jc w:val="right"/>
              <w:rPr>
                <w:rFonts w:ascii="Palatino Linotype" w:hAnsi="Palatino Linotype"/>
                <w:sz w:val="18"/>
                <w:szCs w:val="18"/>
              </w:rPr>
            </w:pPr>
            <w:r w:rsidRPr="002E2870">
              <w:rPr>
                <w:rFonts w:ascii="Palatino Linotype" w:hAnsi="Palatino Linotype"/>
                <w:sz w:val="18"/>
                <w:szCs w:val="18"/>
              </w:rPr>
              <w:t>1,02,148.3</w:t>
            </w:r>
          </w:p>
        </w:tc>
        <w:tc>
          <w:tcPr>
            <w:tcW w:w="1307" w:type="dxa"/>
            <w:tcBorders>
              <w:top w:val="nil"/>
              <w:left w:val="nil"/>
              <w:bottom w:val="nil"/>
              <w:right w:val="single" w:sz="4" w:space="0" w:color="auto"/>
            </w:tcBorders>
            <w:shd w:val="clear" w:color="auto" w:fill="auto"/>
            <w:noWrap/>
            <w:tcMar>
              <w:top w:w="15" w:type="dxa"/>
              <w:left w:w="15" w:type="dxa"/>
              <w:bottom w:w="0" w:type="dxa"/>
              <w:right w:w="15" w:type="dxa"/>
            </w:tcMar>
            <w:vAlign w:val="center"/>
          </w:tcPr>
          <w:p w:rsidR="00B92080" w:rsidRPr="002E2870" w:rsidRDefault="00B92080" w:rsidP="00DB5405">
            <w:pPr>
              <w:ind w:right="45"/>
              <w:jc w:val="right"/>
              <w:rPr>
                <w:rFonts w:ascii="Palatino Linotype" w:hAnsi="Palatino Linotype"/>
                <w:sz w:val="18"/>
                <w:szCs w:val="18"/>
              </w:rPr>
            </w:pPr>
            <w:r w:rsidRPr="002E2870">
              <w:rPr>
                <w:rFonts w:ascii="Palatino Linotype" w:hAnsi="Palatino Linotype"/>
                <w:sz w:val="18"/>
                <w:szCs w:val="18"/>
              </w:rPr>
              <w:t>98,206.5</w:t>
            </w:r>
          </w:p>
        </w:tc>
        <w:tc>
          <w:tcPr>
            <w:tcW w:w="1307" w:type="dxa"/>
            <w:tcBorders>
              <w:top w:val="nil"/>
              <w:left w:val="nil"/>
              <w:bottom w:val="nil"/>
              <w:right w:val="single" w:sz="4" w:space="0" w:color="000000"/>
            </w:tcBorders>
            <w:shd w:val="clear" w:color="auto" w:fill="auto"/>
            <w:noWrap/>
            <w:tcMar>
              <w:top w:w="15" w:type="dxa"/>
              <w:left w:w="15" w:type="dxa"/>
              <w:bottom w:w="0" w:type="dxa"/>
              <w:right w:w="15" w:type="dxa"/>
            </w:tcMar>
            <w:vAlign w:val="center"/>
          </w:tcPr>
          <w:p w:rsidR="00B92080" w:rsidRPr="002E2870" w:rsidRDefault="00B92080" w:rsidP="00DB5405">
            <w:pPr>
              <w:ind w:right="45"/>
              <w:jc w:val="right"/>
              <w:rPr>
                <w:rFonts w:ascii="Palatino Linotype" w:hAnsi="Palatino Linotype"/>
                <w:sz w:val="18"/>
                <w:szCs w:val="18"/>
              </w:rPr>
            </w:pPr>
            <w:r w:rsidRPr="002E2870">
              <w:rPr>
                <w:rFonts w:ascii="Palatino Linotype" w:hAnsi="Palatino Linotype"/>
                <w:sz w:val="18"/>
                <w:szCs w:val="18"/>
              </w:rPr>
              <w:t>-3.9</w:t>
            </w:r>
          </w:p>
        </w:tc>
        <w:tc>
          <w:tcPr>
            <w:tcW w:w="1183" w:type="dxa"/>
            <w:tcBorders>
              <w:top w:val="nil"/>
              <w:left w:val="nil"/>
              <w:bottom w:val="nil"/>
              <w:right w:val="single" w:sz="4" w:space="0" w:color="000000"/>
            </w:tcBorders>
            <w:shd w:val="clear" w:color="auto" w:fill="auto"/>
            <w:noWrap/>
            <w:tcMar>
              <w:top w:w="15" w:type="dxa"/>
              <w:left w:w="15" w:type="dxa"/>
              <w:bottom w:w="0" w:type="dxa"/>
              <w:right w:w="15" w:type="dxa"/>
            </w:tcMar>
          </w:tcPr>
          <w:p w:rsidR="00B92080" w:rsidRPr="002E2870" w:rsidRDefault="00B92080" w:rsidP="00DB5405">
            <w:pPr>
              <w:ind w:right="90"/>
              <w:jc w:val="right"/>
              <w:rPr>
                <w:rFonts w:ascii="Palatino Linotype" w:hAnsi="Palatino Linotype"/>
                <w:sz w:val="18"/>
                <w:szCs w:val="18"/>
              </w:rPr>
            </w:pPr>
            <w:r w:rsidRPr="002E2870">
              <w:rPr>
                <w:rFonts w:ascii="Palatino Linotype" w:hAnsi="Palatino Linotype"/>
                <w:sz w:val="18"/>
                <w:szCs w:val="18"/>
              </w:rPr>
              <w:t>0.0</w:t>
            </w:r>
          </w:p>
        </w:tc>
        <w:tc>
          <w:tcPr>
            <w:tcW w:w="1134" w:type="dxa"/>
            <w:tcBorders>
              <w:top w:val="nil"/>
              <w:left w:val="nil"/>
              <w:bottom w:val="nil"/>
              <w:right w:val="single" w:sz="4" w:space="0" w:color="000000"/>
            </w:tcBorders>
            <w:shd w:val="clear" w:color="auto" w:fill="auto"/>
            <w:noWrap/>
            <w:tcMar>
              <w:top w:w="15" w:type="dxa"/>
              <w:left w:w="15" w:type="dxa"/>
              <w:bottom w:w="0" w:type="dxa"/>
              <w:right w:w="15" w:type="dxa"/>
            </w:tcMar>
          </w:tcPr>
          <w:p w:rsidR="00B92080" w:rsidRPr="002E2870" w:rsidRDefault="00B92080" w:rsidP="00DB5405">
            <w:pPr>
              <w:ind w:right="90"/>
              <w:jc w:val="right"/>
              <w:rPr>
                <w:rFonts w:ascii="Palatino Linotype" w:hAnsi="Palatino Linotype"/>
                <w:sz w:val="18"/>
                <w:szCs w:val="18"/>
              </w:rPr>
            </w:pPr>
            <w:r w:rsidRPr="002E2870">
              <w:rPr>
                <w:rFonts w:ascii="Palatino Linotype" w:hAnsi="Palatino Linotype"/>
                <w:sz w:val="18"/>
                <w:szCs w:val="18"/>
              </w:rPr>
              <w:t>0.0</w:t>
            </w:r>
          </w:p>
        </w:tc>
        <w:tc>
          <w:tcPr>
            <w:tcW w:w="1421" w:type="dxa"/>
            <w:tcBorders>
              <w:top w:val="nil"/>
              <w:left w:val="nil"/>
              <w:bottom w:val="nil"/>
              <w:right w:val="single" w:sz="4" w:space="0" w:color="auto"/>
            </w:tcBorders>
            <w:shd w:val="clear" w:color="auto" w:fill="auto"/>
            <w:noWrap/>
            <w:tcMar>
              <w:top w:w="15" w:type="dxa"/>
              <w:left w:w="15" w:type="dxa"/>
              <w:bottom w:w="0" w:type="dxa"/>
              <w:right w:w="15" w:type="dxa"/>
            </w:tcMar>
          </w:tcPr>
          <w:p w:rsidR="00B92080" w:rsidRPr="002E2870" w:rsidRDefault="00B92080" w:rsidP="00DB5405">
            <w:pPr>
              <w:ind w:right="90"/>
              <w:jc w:val="right"/>
              <w:rPr>
                <w:rFonts w:ascii="Palatino Linotype" w:hAnsi="Palatino Linotype"/>
                <w:sz w:val="18"/>
                <w:szCs w:val="18"/>
              </w:rPr>
            </w:pPr>
            <w:r w:rsidRPr="002E2870">
              <w:rPr>
                <w:rFonts w:ascii="Palatino Linotype" w:hAnsi="Palatino Linotype"/>
                <w:sz w:val="18"/>
                <w:szCs w:val="18"/>
              </w:rPr>
              <w:t>0.0</w:t>
            </w:r>
          </w:p>
        </w:tc>
      </w:tr>
      <w:tr w:rsidR="00B92080" w:rsidRPr="002E2870" w:rsidTr="00DB5405">
        <w:trPr>
          <w:trHeight w:val="255"/>
        </w:trPr>
        <w:tc>
          <w:tcPr>
            <w:tcW w:w="2122" w:type="dxa"/>
            <w:tcBorders>
              <w:top w:val="nil"/>
              <w:left w:val="single" w:sz="4" w:space="0" w:color="000000"/>
              <w:bottom w:val="nil"/>
              <w:right w:val="single" w:sz="4" w:space="0" w:color="000000"/>
            </w:tcBorders>
            <w:shd w:val="clear" w:color="C6D9F0" w:fill="C6D9F0"/>
            <w:noWrap/>
            <w:tcMar>
              <w:top w:w="15" w:type="dxa"/>
              <w:left w:w="15" w:type="dxa"/>
              <w:bottom w:w="0" w:type="dxa"/>
              <w:right w:w="15" w:type="dxa"/>
            </w:tcMar>
            <w:vAlign w:val="center"/>
            <w:hideMark/>
          </w:tcPr>
          <w:p w:rsidR="00B92080" w:rsidRPr="002E2870" w:rsidRDefault="00B92080" w:rsidP="00DB5405">
            <w:pPr>
              <w:tabs>
                <w:tab w:val="left" w:pos="408"/>
              </w:tabs>
              <w:rPr>
                <w:rFonts w:ascii="Palatino Linotype" w:hAnsi="Palatino Linotype"/>
                <w:sz w:val="18"/>
                <w:szCs w:val="18"/>
              </w:rPr>
            </w:pPr>
            <w:r w:rsidRPr="002E2870">
              <w:rPr>
                <w:rFonts w:ascii="Palatino Linotype" w:hAnsi="Palatino Linotype"/>
                <w:sz w:val="18"/>
                <w:szCs w:val="18"/>
              </w:rPr>
              <w:t xml:space="preserve">(iv) </w:t>
            </w:r>
            <w:r w:rsidRPr="002E2870">
              <w:rPr>
                <w:rFonts w:ascii="Palatino Linotype" w:hAnsi="Palatino Linotype"/>
                <w:sz w:val="18"/>
                <w:szCs w:val="18"/>
              </w:rPr>
              <w:tab/>
              <w:t>Options on Stock</w:t>
            </w:r>
          </w:p>
        </w:tc>
        <w:tc>
          <w:tcPr>
            <w:tcW w:w="1306" w:type="dxa"/>
            <w:tcBorders>
              <w:top w:val="nil"/>
              <w:left w:val="nil"/>
              <w:bottom w:val="nil"/>
              <w:right w:val="single" w:sz="4" w:space="0" w:color="auto"/>
            </w:tcBorders>
            <w:shd w:val="clear" w:color="auto" w:fill="auto"/>
            <w:noWrap/>
            <w:tcMar>
              <w:top w:w="15" w:type="dxa"/>
              <w:left w:w="15" w:type="dxa"/>
              <w:bottom w:w="0" w:type="dxa"/>
              <w:right w:w="15" w:type="dxa"/>
            </w:tcMar>
            <w:vAlign w:val="center"/>
          </w:tcPr>
          <w:p w:rsidR="00B92080" w:rsidRPr="002E2870" w:rsidRDefault="00B92080" w:rsidP="00DB5405">
            <w:pPr>
              <w:ind w:right="45"/>
              <w:jc w:val="right"/>
              <w:rPr>
                <w:rFonts w:ascii="Palatino Linotype" w:hAnsi="Palatino Linotype"/>
                <w:sz w:val="18"/>
                <w:szCs w:val="18"/>
              </w:rPr>
            </w:pPr>
          </w:p>
        </w:tc>
        <w:tc>
          <w:tcPr>
            <w:tcW w:w="1307" w:type="dxa"/>
            <w:tcBorders>
              <w:top w:val="nil"/>
              <w:left w:val="nil"/>
              <w:bottom w:val="nil"/>
              <w:right w:val="single" w:sz="4" w:space="0" w:color="auto"/>
            </w:tcBorders>
            <w:shd w:val="clear" w:color="auto" w:fill="auto"/>
            <w:noWrap/>
            <w:tcMar>
              <w:top w:w="15" w:type="dxa"/>
              <w:left w:w="15" w:type="dxa"/>
              <w:bottom w:w="0" w:type="dxa"/>
              <w:right w:w="15" w:type="dxa"/>
            </w:tcMar>
            <w:vAlign w:val="center"/>
          </w:tcPr>
          <w:p w:rsidR="00B92080" w:rsidRPr="002E2870" w:rsidRDefault="00B92080" w:rsidP="00DB5405">
            <w:pPr>
              <w:ind w:right="45"/>
              <w:jc w:val="right"/>
              <w:rPr>
                <w:rFonts w:ascii="Palatino Linotype" w:hAnsi="Palatino Linotype"/>
                <w:sz w:val="18"/>
                <w:szCs w:val="18"/>
              </w:rPr>
            </w:pPr>
          </w:p>
        </w:tc>
        <w:tc>
          <w:tcPr>
            <w:tcW w:w="1307" w:type="dxa"/>
            <w:tcBorders>
              <w:top w:val="nil"/>
              <w:left w:val="nil"/>
              <w:bottom w:val="nil"/>
              <w:right w:val="single" w:sz="4" w:space="0" w:color="000000"/>
            </w:tcBorders>
            <w:shd w:val="clear" w:color="auto" w:fill="auto"/>
            <w:noWrap/>
            <w:tcMar>
              <w:top w:w="15" w:type="dxa"/>
              <w:left w:w="15" w:type="dxa"/>
              <w:bottom w:w="0" w:type="dxa"/>
              <w:right w:w="15" w:type="dxa"/>
            </w:tcMar>
            <w:vAlign w:val="center"/>
          </w:tcPr>
          <w:p w:rsidR="00B92080" w:rsidRPr="002E2870" w:rsidRDefault="00B92080" w:rsidP="00DB5405">
            <w:pPr>
              <w:ind w:right="45"/>
              <w:jc w:val="right"/>
              <w:rPr>
                <w:rFonts w:ascii="Palatino Linotype" w:hAnsi="Palatino Linotype"/>
                <w:sz w:val="18"/>
                <w:szCs w:val="18"/>
              </w:rPr>
            </w:pPr>
          </w:p>
        </w:tc>
        <w:tc>
          <w:tcPr>
            <w:tcW w:w="1183" w:type="dxa"/>
            <w:tcBorders>
              <w:top w:val="nil"/>
              <w:left w:val="nil"/>
              <w:bottom w:val="nil"/>
              <w:right w:val="single" w:sz="4" w:space="0" w:color="000000"/>
            </w:tcBorders>
            <w:shd w:val="clear" w:color="auto" w:fill="auto"/>
            <w:noWrap/>
            <w:tcMar>
              <w:top w:w="15" w:type="dxa"/>
              <w:left w:w="15" w:type="dxa"/>
              <w:bottom w:w="0" w:type="dxa"/>
              <w:right w:w="15" w:type="dxa"/>
            </w:tcMar>
            <w:vAlign w:val="center"/>
          </w:tcPr>
          <w:p w:rsidR="00B92080" w:rsidRPr="002E2870" w:rsidRDefault="00B92080" w:rsidP="00DB5405">
            <w:pPr>
              <w:ind w:right="90"/>
              <w:jc w:val="right"/>
              <w:rPr>
                <w:rFonts w:ascii="Palatino Linotype" w:hAnsi="Palatino Linotype"/>
                <w:sz w:val="18"/>
                <w:szCs w:val="18"/>
              </w:rPr>
            </w:pPr>
          </w:p>
        </w:tc>
        <w:tc>
          <w:tcPr>
            <w:tcW w:w="1134" w:type="dxa"/>
            <w:tcBorders>
              <w:top w:val="nil"/>
              <w:left w:val="nil"/>
              <w:bottom w:val="nil"/>
              <w:right w:val="single" w:sz="4" w:space="0" w:color="000000"/>
            </w:tcBorders>
            <w:shd w:val="clear" w:color="auto" w:fill="auto"/>
            <w:noWrap/>
            <w:tcMar>
              <w:top w:w="15" w:type="dxa"/>
              <w:left w:w="15" w:type="dxa"/>
              <w:bottom w:w="0" w:type="dxa"/>
              <w:right w:w="15" w:type="dxa"/>
            </w:tcMar>
            <w:vAlign w:val="center"/>
          </w:tcPr>
          <w:p w:rsidR="00B92080" w:rsidRPr="002E2870" w:rsidRDefault="00B92080" w:rsidP="00DB5405">
            <w:pPr>
              <w:ind w:right="90"/>
              <w:jc w:val="right"/>
              <w:rPr>
                <w:rFonts w:ascii="Palatino Linotype" w:hAnsi="Palatino Linotype"/>
                <w:sz w:val="18"/>
                <w:szCs w:val="18"/>
              </w:rPr>
            </w:pPr>
          </w:p>
        </w:tc>
        <w:tc>
          <w:tcPr>
            <w:tcW w:w="1421" w:type="dxa"/>
            <w:tcBorders>
              <w:top w:val="nil"/>
              <w:left w:val="nil"/>
              <w:bottom w:val="nil"/>
              <w:right w:val="single" w:sz="4" w:space="0" w:color="auto"/>
            </w:tcBorders>
            <w:shd w:val="clear" w:color="auto" w:fill="auto"/>
            <w:noWrap/>
            <w:tcMar>
              <w:top w:w="15" w:type="dxa"/>
              <w:left w:w="15" w:type="dxa"/>
              <w:bottom w:w="0" w:type="dxa"/>
              <w:right w:w="15" w:type="dxa"/>
            </w:tcMar>
            <w:vAlign w:val="center"/>
          </w:tcPr>
          <w:p w:rsidR="00B92080" w:rsidRPr="002E2870" w:rsidRDefault="00B92080" w:rsidP="00DB5405">
            <w:pPr>
              <w:ind w:right="90"/>
              <w:jc w:val="right"/>
              <w:rPr>
                <w:rFonts w:ascii="Palatino Linotype" w:hAnsi="Palatino Linotype"/>
                <w:sz w:val="18"/>
                <w:szCs w:val="18"/>
              </w:rPr>
            </w:pPr>
          </w:p>
        </w:tc>
      </w:tr>
      <w:tr w:rsidR="00B92080" w:rsidRPr="002E2870" w:rsidTr="00DB5405">
        <w:trPr>
          <w:trHeight w:val="255"/>
        </w:trPr>
        <w:tc>
          <w:tcPr>
            <w:tcW w:w="2122" w:type="dxa"/>
            <w:tcBorders>
              <w:top w:val="nil"/>
              <w:left w:val="single" w:sz="4" w:space="0" w:color="000000"/>
              <w:bottom w:val="nil"/>
              <w:right w:val="single" w:sz="4" w:space="0" w:color="000000"/>
            </w:tcBorders>
            <w:shd w:val="clear" w:color="C6D9F0" w:fill="C6D9F0"/>
            <w:noWrap/>
            <w:tcMar>
              <w:top w:w="15" w:type="dxa"/>
              <w:left w:w="15" w:type="dxa"/>
              <w:bottom w:w="0" w:type="dxa"/>
              <w:right w:w="15" w:type="dxa"/>
            </w:tcMar>
            <w:vAlign w:val="center"/>
            <w:hideMark/>
          </w:tcPr>
          <w:p w:rsidR="00B92080" w:rsidRPr="002E2870" w:rsidRDefault="00B92080" w:rsidP="00DB5405">
            <w:pPr>
              <w:tabs>
                <w:tab w:val="left" w:pos="408"/>
              </w:tabs>
              <w:rPr>
                <w:rFonts w:ascii="Palatino Linotype" w:hAnsi="Palatino Linotype"/>
                <w:i/>
                <w:iCs/>
                <w:sz w:val="18"/>
                <w:szCs w:val="18"/>
              </w:rPr>
            </w:pPr>
            <w:r w:rsidRPr="002E2870">
              <w:rPr>
                <w:rFonts w:ascii="Palatino Linotype" w:hAnsi="Palatino Linotype"/>
                <w:i/>
                <w:iCs/>
                <w:sz w:val="18"/>
                <w:szCs w:val="18"/>
              </w:rPr>
              <w:tab/>
              <w:t>Put</w:t>
            </w:r>
          </w:p>
        </w:tc>
        <w:tc>
          <w:tcPr>
            <w:tcW w:w="1306" w:type="dxa"/>
            <w:tcBorders>
              <w:top w:val="nil"/>
              <w:left w:val="nil"/>
              <w:bottom w:val="nil"/>
              <w:right w:val="single" w:sz="4" w:space="0" w:color="auto"/>
            </w:tcBorders>
            <w:shd w:val="clear" w:color="auto" w:fill="auto"/>
            <w:noWrap/>
            <w:tcMar>
              <w:top w:w="15" w:type="dxa"/>
              <w:left w:w="15" w:type="dxa"/>
              <w:bottom w:w="0" w:type="dxa"/>
              <w:right w:w="15" w:type="dxa"/>
            </w:tcMar>
            <w:vAlign w:val="center"/>
          </w:tcPr>
          <w:p w:rsidR="00B92080" w:rsidRPr="002E2870" w:rsidRDefault="00B92080" w:rsidP="00DB5405">
            <w:pPr>
              <w:ind w:right="45"/>
              <w:jc w:val="right"/>
              <w:rPr>
                <w:rFonts w:ascii="Palatino Linotype" w:hAnsi="Palatino Linotype"/>
                <w:sz w:val="18"/>
                <w:szCs w:val="18"/>
              </w:rPr>
            </w:pPr>
            <w:r w:rsidRPr="002E2870">
              <w:rPr>
                <w:rFonts w:ascii="Palatino Linotype" w:hAnsi="Palatino Linotype"/>
                <w:sz w:val="18"/>
                <w:szCs w:val="18"/>
              </w:rPr>
              <w:t>15,317.4</w:t>
            </w:r>
          </w:p>
        </w:tc>
        <w:tc>
          <w:tcPr>
            <w:tcW w:w="1307" w:type="dxa"/>
            <w:tcBorders>
              <w:top w:val="nil"/>
              <w:left w:val="nil"/>
              <w:bottom w:val="nil"/>
              <w:right w:val="single" w:sz="4" w:space="0" w:color="auto"/>
            </w:tcBorders>
            <w:shd w:val="clear" w:color="auto" w:fill="auto"/>
            <w:noWrap/>
            <w:tcMar>
              <w:top w:w="15" w:type="dxa"/>
              <w:left w:w="15" w:type="dxa"/>
              <w:bottom w:w="0" w:type="dxa"/>
              <w:right w:w="15" w:type="dxa"/>
            </w:tcMar>
            <w:vAlign w:val="center"/>
          </w:tcPr>
          <w:p w:rsidR="00B92080" w:rsidRPr="002E2870" w:rsidRDefault="00B92080" w:rsidP="00DB5405">
            <w:pPr>
              <w:ind w:right="45"/>
              <w:jc w:val="right"/>
              <w:rPr>
                <w:rFonts w:ascii="Palatino Linotype" w:hAnsi="Palatino Linotype"/>
                <w:sz w:val="18"/>
                <w:szCs w:val="18"/>
              </w:rPr>
            </w:pPr>
            <w:r w:rsidRPr="002E2870">
              <w:rPr>
                <w:rFonts w:ascii="Palatino Linotype" w:hAnsi="Palatino Linotype"/>
                <w:sz w:val="18"/>
                <w:szCs w:val="18"/>
              </w:rPr>
              <w:t>15,405.0</w:t>
            </w:r>
          </w:p>
        </w:tc>
        <w:tc>
          <w:tcPr>
            <w:tcW w:w="1307" w:type="dxa"/>
            <w:tcBorders>
              <w:top w:val="nil"/>
              <w:left w:val="nil"/>
              <w:bottom w:val="nil"/>
              <w:right w:val="single" w:sz="4" w:space="0" w:color="000000"/>
            </w:tcBorders>
            <w:shd w:val="clear" w:color="auto" w:fill="auto"/>
            <w:noWrap/>
            <w:tcMar>
              <w:top w:w="15" w:type="dxa"/>
              <w:left w:w="15" w:type="dxa"/>
              <w:bottom w:w="0" w:type="dxa"/>
              <w:right w:w="15" w:type="dxa"/>
            </w:tcMar>
            <w:vAlign w:val="center"/>
          </w:tcPr>
          <w:p w:rsidR="00B92080" w:rsidRPr="002E2870" w:rsidRDefault="00B92080" w:rsidP="00DB5405">
            <w:pPr>
              <w:ind w:right="45"/>
              <w:jc w:val="right"/>
              <w:rPr>
                <w:rFonts w:ascii="Palatino Linotype" w:hAnsi="Palatino Linotype"/>
                <w:sz w:val="18"/>
                <w:szCs w:val="18"/>
              </w:rPr>
            </w:pPr>
            <w:r w:rsidRPr="002E2870">
              <w:rPr>
                <w:rFonts w:ascii="Palatino Linotype" w:hAnsi="Palatino Linotype"/>
                <w:sz w:val="18"/>
                <w:szCs w:val="18"/>
              </w:rPr>
              <w:t>0.6</w:t>
            </w:r>
          </w:p>
        </w:tc>
        <w:tc>
          <w:tcPr>
            <w:tcW w:w="1183" w:type="dxa"/>
            <w:tcBorders>
              <w:top w:val="nil"/>
              <w:left w:val="nil"/>
              <w:bottom w:val="nil"/>
              <w:right w:val="single" w:sz="4" w:space="0" w:color="000000"/>
            </w:tcBorders>
            <w:shd w:val="clear" w:color="auto" w:fill="auto"/>
            <w:noWrap/>
            <w:tcMar>
              <w:top w:w="15" w:type="dxa"/>
              <w:left w:w="15" w:type="dxa"/>
              <w:bottom w:w="0" w:type="dxa"/>
              <w:right w:w="15" w:type="dxa"/>
            </w:tcMar>
          </w:tcPr>
          <w:p w:rsidR="00B92080" w:rsidRPr="002E2870" w:rsidRDefault="00B92080" w:rsidP="00DB5405">
            <w:pPr>
              <w:ind w:right="90"/>
              <w:jc w:val="right"/>
              <w:rPr>
                <w:rFonts w:ascii="Palatino Linotype" w:hAnsi="Palatino Linotype"/>
                <w:sz w:val="18"/>
                <w:szCs w:val="18"/>
              </w:rPr>
            </w:pPr>
            <w:r w:rsidRPr="002E2870">
              <w:rPr>
                <w:rFonts w:ascii="Palatino Linotype" w:hAnsi="Palatino Linotype"/>
                <w:sz w:val="18"/>
                <w:szCs w:val="18"/>
              </w:rPr>
              <w:t>0.0</w:t>
            </w:r>
          </w:p>
        </w:tc>
        <w:tc>
          <w:tcPr>
            <w:tcW w:w="1134" w:type="dxa"/>
            <w:tcBorders>
              <w:top w:val="nil"/>
              <w:left w:val="nil"/>
              <w:bottom w:val="nil"/>
              <w:right w:val="single" w:sz="4" w:space="0" w:color="000000"/>
            </w:tcBorders>
            <w:shd w:val="clear" w:color="auto" w:fill="auto"/>
            <w:noWrap/>
            <w:tcMar>
              <w:top w:w="15" w:type="dxa"/>
              <w:left w:w="15" w:type="dxa"/>
              <w:bottom w:w="0" w:type="dxa"/>
              <w:right w:w="15" w:type="dxa"/>
            </w:tcMar>
          </w:tcPr>
          <w:p w:rsidR="00B92080" w:rsidRPr="002E2870" w:rsidRDefault="00B92080" w:rsidP="00DB5405">
            <w:pPr>
              <w:ind w:right="90"/>
              <w:jc w:val="right"/>
              <w:rPr>
                <w:rFonts w:ascii="Palatino Linotype" w:hAnsi="Palatino Linotype"/>
                <w:sz w:val="18"/>
                <w:szCs w:val="18"/>
              </w:rPr>
            </w:pPr>
            <w:r w:rsidRPr="002E2870">
              <w:rPr>
                <w:rFonts w:ascii="Palatino Linotype" w:hAnsi="Palatino Linotype"/>
                <w:sz w:val="18"/>
                <w:szCs w:val="18"/>
              </w:rPr>
              <w:t>0.0</w:t>
            </w:r>
          </w:p>
        </w:tc>
        <w:tc>
          <w:tcPr>
            <w:tcW w:w="1421" w:type="dxa"/>
            <w:tcBorders>
              <w:top w:val="nil"/>
              <w:left w:val="nil"/>
              <w:bottom w:val="nil"/>
              <w:right w:val="single" w:sz="4" w:space="0" w:color="auto"/>
            </w:tcBorders>
            <w:shd w:val="clear" w:color="auto" w:fill="auto"/>
            <w:noWrap/>
            <w:tcMar>
              <w:top w:w="15" w:type="dxa"/>
              <w:left w:w="15" w:type="dxa"/>
              <w:bottom w:w="0" w:type="dxa"/>
              <w:right w:w="15" w:type="dxa"/>
            </w:tcMar>
          </w:tcPr>
          <w:p w:rsidR="00B92080" w:rsidRPr="002E2870" w:rsidRDefault="00B92080" w:rsidP="00DB5405">
            <w:pPr>
              <w:ind w:right="90"/>
              <w:jc w:val="right"/>
              <w:rPr>
                <w:rFonts w:ascii="Palatino Linotype" w:hAnsi="Palatino Linotype"/>
                <w:sz w:val="18"/>
                <w:szCs w:val="18"/>
              </w:rPr>
            </w:pPr>
            <w:r w:rsidRPr="002E2870">
              <w:rPr>
                <w:rFonts w:ascii="Palatino Linotype" w:hAnsi="Palatino Linotype"/>
                <w:sz w:val="18"/>
                <w:szCs w:val="18"/>
              </w:rPr>
              <w:t>0.0</w:t>
            </w:r>
          </w:p>
        </w:tc>
      </w:tr>
      <w:tr w:rsidR="00B92080" w:rsidRPr="002E2870" w:rsidTr="00DB5405">
        <w:trPr>
          <w:trHeight w:val="255"/>
        </w:trPr>
        <w:tc>
          <w:tcPr>
            <w:tcW w:w="2122" w:type="dxa"/>
            <w:tcBorders>
              <w:top w:val="nil"/>
              <w:left w:val="single" w:sz="4" w:space="0" w:color="000000"/>
              <w:bottom w:val="nil"/>
              <w:right w:val="single" w:sz="4" w:space="0" w:color="000000"/>
            </w:tcBorders>
            <w:shd w:val="clear" w:color="C6D9F0" w:fill="C6D9F0"/>
            <w:noWrap/>
            <w:tcMar>
              <w:top w:w="15" w:type="dxa"/>
              <w:left w:w="15" w:type="dxa"/>
              <w:bottom w:w="0" w:type="dxa"/>
              <w:right w:w="15" w:type="dxa"/>
            </w:tcMar>
            <w:vAlign w:val="center"/>
            <w:hideMark/>
          </w:tcPr>
          <w:p w:rsidR="00B92080" w:rsidRPr="002E2870" w:rsidRDefault="00B92080" w:rsidP="00DB5405">
            <w:pPr>
              <w:tabs>
                <w:tab w:val="left" w:pos="408"/>
              </w:tabs>
              <w:rPr>
                <w:rFonts w:ascii="Palatino Linotype" w:hAnsi="Palatino Linotype"/>
                <w:i/>
                <w:iCs/>
                <w:sz w:val="18"/>
                <w:szCs w:val="18"/>
              </w:rPr>
            </w:pPr>
            <w:r w:rsidRPr="002E2870">
              <w:rPr>
                <w:rFonts w:ascii="Palatino Linotype" w:hAnsi="Palatino Linotype"/>
                <w:i/>
                <w:iCs/>
                <w:sz w:val="18"/>
                <w:szCs w:val="18"/>
              </w:rPr>
              <w:tab/>
              <w:t>Call</w:t>
            </w:r>
          </w:p>
        </w:tc>
        <w:tc>
          <w:tcPr>
            <w:tcW w:w="1306" w:type="dxa"/>
            <w:tcBorders>
              <w:top w:val="nil"/>
              <w:left w:val="nil"/>
              <w:bottom w:val="nil"/>
              <w:right w:val="single" w:sz="4" w:space="0" w:color="000000"/>
            </w:tcBorders>
            <w:shd w:val="clear" w:color="auto" w:fill="auto"/>
            <w:noWrap/>
            <w:tcMar>
              <w:top w:w="15" w:type="dxa"/>
              <w:left w:w="15" w:type="dxa"/>
              <w:bottom w:w="0" w:type="dxa"/>
              <w:right w:w="15" w:type="dxa"/>
            </w:tcMar>
            <w:vAlign w:val="center"/>
          </w:tcPr>
          <w:p w:rsidR="00B92080" w:rsidRPr="002E2870" w:rsidRDefault="00B92080" w:rsidP="00DB5405">
            <w:pPr>
              <w:ind w:right="45"/>
              <w:jc w:val="right"/>
              <w:rPr>
                <w:rFonts w:ascii="Palatino Linotype" w:hAnsi="Palatino Linotype"/>
                <w:sz w:val="18"/>
                <w:szCs w:val="18"/>
              </w:rPr>
            </w:pPr>
            <w:r w:rsidRPr="002E2870">
              <w:rPr>
                <w:rFonts w:ascii="Palatino Linotype" w:hAnsi="Palatino Linotype"/>
                <w:sz w:val="18"/>
                <w:szCs w:val="18"/>
              </w:rPr>
              <w:t>27,759.7</w:t>
            </w:r>
          </w:p>
        </w:tc>
        <w:tc>
          <w:tcPr>
            <w:tcW w:w="1307" w:type="dxa"/>
            <w:tcBorders>
              <w:top w:val="nil"/>
              <w:left w:val="nil"/>
              <w:bottom w:val="nil"/>
              <w:right w:val="single" w:sz="4" w:space="0" w:color="auto"/>
            </w:tcBorders>
            <w:shd w:val="clear" w:color="auto" w:fill="auto"/>
            <w:noWrap/>
            <w:tcMar>
              <w:top w:w="15" w:type="dxa"/>
              <w:left w:w="15" w:type="dxa"/>
              <w:bottom w:w="0" w:type="dxa"/>
              <w:right w:w="15" w:type="dxa"/>
            </w:tcMar>
            <w:vAlign w:val="center"/>
          </w:tcPr>
          <w:p w:rsidR="00B92080" w:rsidRPr="002E2870" w:rsidRDefault="00B92080" w:rsidP="00DB5405">
            <w:pPr>
              <w:ind w:right="45"/>
              <w:jc w:val="right"/>
              <w:rPr>
                <w:rFonts w:ascii="Palatino Linotype" w:hAnsi="Palatino Linotype"/>
                <w:sz w:val="18"/>
                <w:szCs w:val="18"/>
              </w:rPr>
            </w:pPr>
            <w:r w:rsidRPr="002E2870">
              <w:rPr>
                <w:rFonts w:ascii="Palatino Linotype" w:hAnsi="Palatino Linotype"/>
                <w:sz w:val="18"/>
                <w:szCs w:val="18"/>
              </w:rPr>
              <w:t>26,249.2</w:t>
            </w:r>
          </w:p>
        </w:tc>
        <w:tc>
          <w:tcPr>
            <w:tcW w:w="1307" w:type="dxa"/>
            <w:tcBorders>
              <w:top w:val="nil"/>
              <w:left w:val="nil"/>
              <w:bottom w:val="nil"/>
              <w:right w:val="single" w:sz="4" w:space="0" w:color="000000"/>
            </w:tcBorders>
            <w:shd w:val="clear" w:color="auto" w:fill="auto"/>
            <w:noWrap/>
            <w:tcMar>
              <w:top w:w="15" w:type="dxa"/>
              <w:left w:w="15" w:type="dxa"/>
              <w:bottom w:w="0" w:type="dxa"/>
              <w:right w:w="15" w:type="dxa"/>
            </w:tcMar>
            <w:vAlign w:val="center"/>
          </w:tcPr>
          <w:p w:rsidR="00B92080" w:rsidRPr="002E2870" w:rsidRDefault="00B92080" w:rsidP="00DB5405">
            <w:pPr>
              <w:ind w:right="45"/>
              <w:jc w:val="right"/>
              <w:rPr>
                <w:rFonts w:ascii="Palatino Linotype" w:hAnsi="Palatino Linotype"/>
                <w:sz w:val="18"/>
                <w:szCs w:val="18"/>
              </w:rPr>
            </w:pPr>
            <w:r w:rsidRPr="002E2870">
              <w:rPr>
                <w:rFonts w:ascii="Palatino Linotype" w:hAnsi="Palatino Linotype"/>
                <w:sz w:val="18"/>
                <w:szCs w:val="18"/>
              </w:rPr>
              <w:t>-5.4</w:t>
            </w:r>
          </w:p>
        </w:tc>
        <w:tc>
          <w:tcPr>
            <w:tcW w:w="1183" w:type="dxa"/>
            <w:tcBorders>
              <w:top w:val="nil"/>
              <w:left w:val="nil"/>
              <w:bottom w:val="nil"/>
              <w:right w:val="single" w:sz="4" w:space="0" w:color="000000"/>
            </w:tcBorders>
            <w:shd w:val="clear" w:color="auto" w:fill="auto"/>
            <w:noWrap/>
            <w:tcMar>
              <w:top w:w="15" w:type="dxa"/>
              <w:left w:w="15" w:type="dxa"/>
              <w:bottom w:w="0" w:type="dxa"/>
              <w:right w:w="15" w:type="dxa"/>
            </w:tcMar>
          </w:tcPr>
          <w:p w:rsidR="00B92080" w:rsidRPr="002E2870" w:rsidRDefault="00B92080" w:rsidP="00DB5405">
            <w:pPr>
              <w:ind w:right="90"/>
              <w:jc w:val="right"/>
              <w:rPr>
                <w:rFonts w:ascii="Palatino Linotype" w:hAnsi="Palatino Linotype"/>
                <w:sz w:val="18"/>
                <w:szCs w:val="18"/>
              </w:rPr>
            </w:pPr>
            <w:r w:rsidRPr="002E2870">
              <w:rPr>
                <w:rFonts w:ascii="Palatino Linotype" w:hAnsi="Palatino Linotype"/>
                <w:sz w:val="18"/>
                <w:szCs w:val="18"/>
              </w:rPr>
              <w:t>0.0</w:t>
            </w:r>
          </w:p>
        </w:tc>
        <w:tc>
          <w:tcPr>
            <w:tcW w:w="1134" w:type="dxa"/>
            <w:tcBorders>
              <w:top w:val="nil"/>
              <w:left w:val="nil"/>
              <w:bottom w:val="nil"/>
              <w:right w:val="single" w:sz="4" w:space="0" w:color="000000"/>
            </w:tcBorders>
            <w:shd w:val="clear" w:color="auto" w:fill="auto"/>
            <w:noWrap/>
            <w:tcMar>
              <w:top w:w="15" w:type="dxa"/>
              <w:left w:w="15" w:type="dxa"/>
              <w:bottom w:w="0" w:type="dxa"/>
              <w:right w:w="15" w:type="dxa"/>
            </w:tcMar>
          </w:tcPr>
          <w:p w:rsidR="00B92080" w:rsidRPr="002E2870" w:rsidRDefault="00B92080" w:rsidP="00DB5405">
            <w:pPr>
              <w:ind w:right="90"/>
              <w:jc w:val="right"/>
              <w:rPr>
                <w:rFonts w:ascii="Palatino Linotype" w:hAnsi="Palatino Linotype"/>
                <w:sz w:val="18"/>
                <w:szCs w:val="18"/>
              </w:rPr>
            </w:pPr>
            <w:r w:rsidRPr="002E2870">
              <w:rPr>
                <w:rFonts w:ascii="Palatino Linotype" w:hAnsi="Palatino Linotype"/>
                <w:sz w:val="18"/>
                <w:szCs w:val="18"/>
              </w:rPr>
              <w:t>0.0</w:t>
            </w:r>
          </w:p>
        </w:tc>
        <w:tc>
          <w:tcPr>
            <w:tcW w:w="1421" w:type="dxa"/>
            <w:tcBorders>
              <w:top w:val="nil"/>
              <w:left w:val="nil"/>
              <w:bottom w:val="nil"/>
              <w:right w:val="single" w:sz="4" w:space="0" w:color="auto"/>
            </w:tcBorders>
            <w:shd w:val="clear" w:color="auto" w:fill="auto"/>
            <w:noWrap/>
            <w:tcMar>
              <w:top w:w="15" w:type="dxa"/>
              <w:left w:w="15" w:type="dxa"/>
              <w:bottom w:w="0" w:type="dxa"/>
              <w:right w:w="15" w:type="dxa"/>
            </w:tcMar>
          </w:tcPr>
          <w:p w:rsidR="00B92080" w:rsidRPr="002E2870" w:rsidRDefault="00B92080" w:rsidP="00DB5405">
            <w:pPr>
              <w:ind w:right="90"/>
              <w:jc w:val="right"/>
              <w:rPr>
                <w:rFonts w:ascii="Palatino Linotype" w:hAnsi="Palatino Linotype"/>
                <w:sz w:val="18"/>
                <w:szCs w:val="18"/>
              </w:rPr>
            </w:pPr>
            <w:r w:rsidRPr="002E2870">
              <w:rPr>
                <w:rFonts w:ascii="Palatino Linotype" w:hAnsi="Palatino Linotype"/>
                <w:sz w:val="18"/>
                <w:szCs w:val="18"/>
              </w:rPr>
              <w:t>0.0</w:t>
            </w:r>
          </w:p>
        </w:tc>
      </w:tr>
      <w:tr w:rsidR="00B92080" w:rsidRPr="002E2870" w:rsidTr="00DB5405">
        <w:trPr>
          <w:trHeight w:val="255"/>
        </w:trPr>
        <w:tc>
          <w:tcPr>
            <w:tcW w:w="2122" w:type="dxa"/>
            <w:tcBorders>
              <w:top w:val="single" w:sz="4" w:space="0" w:color="000000"/>
              <w:left w:val="single" w:sz="4" w:space="0" w:color="000000"/>
              <w:bottom w:val="single" w:sz="4" w:space="0" w:color="000000"/>
              <w:right w:val="single" w:sz="4" w:space="0" w:color="000000"/>
            </w:tcBorders>
            <w:shd w:val="clear" w:color="C6D9F0" w:fill="C6D9F0"/>
            <w:noWrap/>
            <w:tcMar>
              <w:top w:w="15" w:type="dxa"/>
              <w:left w:w="15" w:type="dxa"/>
              <w:bottom w:w="0" w:type="dxa"/>
              <w:right w:w="15" w:type="dxa"/>
            </w:tcMar>
            <w:vAlign w:val="center"/>
            <w:hideMark/>
          </w:tcPr>
          <w:p w:rsidR="00B92080" w:rsidRPr="002E2870" w:rsidRDefault="00B92080" w:rsidP="00DB5405">
            <w:pPr>
              <w:tabs>
                <w:tab w:val="left" w:pos="408"/>
              </w:tabs>
              <w:rPr>
                <w:rFonts w:ascii="Palatino Linotype" w:hAnsi="Palatino Linotype"/>
                <w:b/>
                <w:bCs/>
                <w:sz w:val="18"/>
                <w:szCs w:val="18"/>
              </w:rPr>
            </w:pPr>
            <w:r w:rsidRPr="002E2870">
              <w:rPr>
                <w:rFonts w:ascii="Palatino Linotype" w:hAnsi="Palatino Linotype"/>
                <w:b/>
                <w:bCs/>
                <w:sz w:val="18"/>
                <w:szCs w:val="18"/>
              </w:rPr>
              <w:t>Total</w:t>
            </w:r>
          </w:p>
        </w:tc>
        <w:tc>
          <w:tcPr>
            <w:tcW w:w="1306" w:type="dxa"/>
            <w:tcBorders>
              <w:top w:val="single" w:sz="4" w:space="0" w:color="000000"/>
              <w:left w:val="nil"/>
              <w:bottom w:val="single" w:sz="4" w:space="0" w:color="000000"/>
              <w:right w:val="single" w:sz="4" w:space="0" w:color="000000"/>
            </w:tcBorders>
            <w:shd w:val="clear" w:color="C6D9F0" w:fill="C6D9F0"/>
            <w:noWrap/>
            <w:tcMar>
              <w:top w:w="15" w:type="dxa"/>
              <w:left w:w="15" w:type="dxa"/>
              <w:bottom w:w="0" w:type="dxa"/>
              <w:right w:w="15" w:type="dxa"/>
            </w:tcMar>
            <w:vAlign w:val="center"/>
          </w:tcPr>
          <w:p w:rsidR="00B92080" w:rsidRPr="002E2870" w:rsidRDefault="00B92080" w:rsidP="00DB5405">
            <w:pPr>
              <w:ind w:right="45"/>
              <w:jc w:val="right"/>
              <w:rPr>
                <w:rFonts w:ascii="Palatino Linotype" w:hAnsi="Palatino Linotype"/>
                <w:b/>
                <w:bCs/>
                <w:sz w:val="18"/>
                <w:szCs w:val="18"/>
              </w:rPr>
            </w:pPr>
            <w:r w:rsidRPr="002E2870">
              <w:rPr>
                <w:rFonts w:ascii="Palatino Linotype" w:hAnsi="Palatino Linotype"/>
                <w:b/>
                <w:bCs/>
                <w:sz w:val="18"/>
                <w:szCs w:val="18"/>
              </w:rPr>
              <w:t>3,40,564.4</w:t>
            </w:r>
          </w:p>
        </w:tc>
        <w:tc>
          <w:tcPr>
            <w:tcW w:w="1307" w:type="dxa"/>
            <w:tcBorders>
              <w:top w:val="single" w:sz="4" w:space="0" w:color="000000"/>
              <w:left w:val="nil"/>
              <w:bottom w:val="single" w:sz="4" w:space="0" w:color="000000"/>
              <w:right w:val="single" w:sz="4" w:space="0" w:color="000000"/>
            </w:tcBorders>
            <w:shd w:val="clear" w:color="C6D9F0" w:fill="C6D9F0"/>
            <w:noWrap/>
            <w:tcMar>
              <w:top w:w="15" w:type="dxa"/>
              <w:left w:w="15" w:type="dxa"/>
              <w:bottom w:w="0" w:type="dxa"/>
              <w:right w:w="15" w:type="dxa"/>
            </w:tcMar>
            <w:vAlign w:val="center"/>
          </w:tcPr>
          <w:p w:rsidR="00B92080" w:rsidRPr="002E2870" w:rsidRDefault="00B92080" w:rsidP="00DB5405">
            <w:pPr>
              <w:ind w:right="45"/>
              <w:jc w:val="right"/>
              <w:rPr>
                <w:rFonts w:ascii="Palatino Linotype" w:hAnsi="Palatino Linotype"/>
                <w:b/>
                <w:bCs/>
                <w:sz w:val="18"/>
                <w:szCs w:val="18"/>
              </w:rPr>
            </w:pPr>
            <w:r w:rsidRPr="002E2870">
              <w:rPr>
                <w:rFonts w:ascii="Palatino Linotype" w:hAnsi="Palatino Linotype"/>
                <w:b/>
                <w:bCs/>
                <w:sz w:val="18"/>
                <w:szCs w:val="18"/>
              </w:rPr>
              <w:t>3,70,433.5</w:t>
            </w:r>
          </w:p>
        </w:tc>
        <w:tc>
          <w:tcPr>
            <w:tcW w:w="1307" w:type="dxa"/>
            <w:tcBorders>
              <w:top w:val="single" w:sz="4" w:space="0" w:color="000000"/>
              <w:left w:val="nil"/>
              <w:bottom w:val="single" w:sz="4" w:space="0" w:color="000000"/>
              <w:right w:val="single" w:sz="4" w:space="0" w:color="000000"/>
            </w:tcBorders>
            <w:shd w:val="clear" w:color="C6D9F0" w:fill="C6D9F0"/>
            <w:noWrap/>
            <w:tcMar>
              <w:top w:w="15" w:type="dxa"/>
              <w:left w:w="15" w:type="dxa"/>
              <w:bottom w:w="0" w:type="dxa"/>
              <w:right w:w="15" w:type="dxa"/>
            </w:tcMar>
            <w:vAlign w:val="center"/>
          </w:tcPr>
          <w:p w:rsidR="00B92080" w:rsidRPr="002E2870" w:rsidRDefault="00B92080" w:rsidP="00DB5405">
            <w:pPr>
              <w:ind w:right="45"/>
              <w:jc w:val="right"/>
              <w:rPr>
                <w:rFonts w:ascii="Palatino Linotype" w:hAnsi="Palatino Linotype"/>
                <w:b/>
                <w:bCs/>
                <w:sz w:val="18"/>
                <w:szCs w:val="18"/>
              </w:rPr>
            </w:pPr>
            <w:r w:rsidRPr="002E2870">
              <w:rPr>
                <w:rFonts w:ascii="Palatino Linotype" w:hAnsi="Palatino Linotype"/>
                <w:b/>
                <w:bCs/>
                <w:sz w:val="18"/>
                <w:szCs w:val="18"/>
              </w:rPr>
              <w:t>8.8</w:t>
            </w:r>
          </w:p>
        </w:tc>
        <w:tc>
          <w:tcPr>
            <w:tcW w:w="1183" w:type="dxa"/>
            <w:tcBorders>
              <w:top w:val="single" w:sz="4" w:space="0" w:color="000000"/>
              <w:left w:val="nil"/>
              <w:bottom w:val="single" w:sz="4" w:space="0" w:color="000000"/>
              <w:right w:val="single" w:sz="4" w:space="0" w:color="000000"/>
            </w:tcBorders>
            <w:shd w:val="clear" w:color="C6D9F0" w:fill="C6D9F0"/>
            <w:noWrap/>
            <w:tcMar>
              <w:top w:w="15" w:type="dxa"/>
              <w:left w:w="15" w:type="dxa"/>
              <w:bottom w:w="0" w:type="dxa"/>
              <w:right w:w="15" w:type="dxa"/>
            </w:tcMar>
            <w:vAlign w:val="center"/>
          </w:tcPr>
          <w:p w:rsidR="00B92080" w:rsidRPr="002E2870" w:rsidRDefault="00B92080" w:rsidP="00DB5405">
            <w:pPr>
              <w:ind w:right="90"/>
              <w:jc w:val="right"/>
              <w:rPr>
                <w:rFonts w:ascii="Palatino Linotype" w:hAnsi="Palatino Linotype"/>
                <w:b/>
                <w:bCs/>
                <w:sz w:val="18"/>
                <w:szCs w:val="18"/>
              </w:rPr>
            </w:pPr>
            <w:r w:rsidRPr="002E2870">
              <w:rPr>
                <w:rFonts w:ascii="Palatino Linotype" w:hAnsi="Palatino Linotype"/>
                <w:b/>
                <w:bCs/>
                <w:sz w:val="18"/>
                <w:szCs w:val="18"/>
              </w:rPr>
              <w:t>735.1</w:t>
            </w:r>
          </w:p>
        </w:tc>
        <w:tc>
          <w:tcPr>
            <w:tcW w:w="1134" w:type="dxa"/>
            <w:tcBorders>
              <w:top w:val="single" w:sz="4" w:space="0" w:color="000000"/>
              <w:left w:val="nil"/>
              <w:bottom w:val="single" w:sz="4" w:space="0" w:color="000000"/>
              <w:right w:val="single" w:sz="4" w:space="0" w:color="000000"/>
            </w:tcBorders>
            <w:shd w:val="clear" w:color="C6D9F0" w:fill="C6D9F0"/>
            <w:noWrap/>
            <w:tcMar>
              <w:top w:w="15" w:type="dxa"/>
              <w:left w:w="15" w:type="dxa"/>
              <w:bottom w:w="0" w:type="dxa"/>
              <w:right w:w="15" w:type="dxa"/>
            </w:tcMar>
            <w:vAlign w:val="center"/>
          </w:tcPr>
          <w:p w:rsidR="00B92080" w:rsidRPr="002E2870" w:rsidRDefault="00B92080" w:rsidP="00DB5405">
            <w:pPr>
              <w:ind w:right="90"/>
              <w:jc w:val="right"/>
              <w:rPr>
                <w:rFonts w:ascii="Palatino Linotype" w:hAnsi="Palatino Linotype"/>
                <w:b/>
                <w:bCs/>
                <w:sz w:val="18"/>
                <w:szCs w:val="18"/>
              </w:rPr>
            </w:pPr>
            <w:r w:rsidRPr="002E2870">
              <w:rPr>
                <w:rFonts w:ascii="Palatino Linotype" w:hAnsi="Palatino Linotype"/>
                <w:b/>
                <w:bCs/>
                <w:sz w:val="18"/>
                <w:szCs w:val="18"/>
              </w:rPr>
              <w:t>318.2</w:t>
            </w:r>
          </w:p>
        </w:tc>
        <w:tc>
          <w:tcPr>
            <w:tcW w:w="1421" w:type="dxa"/>
            <w:tcBorders>
              <w:top w:val="single" w:sz="4" w:space="0" w:color="000000"/>
              <w:left w:val="nil"/>
              <w:bottom w:val="single" w:sz="4" w:space="0" w:color="000000"/>
              <w:right w:val="single" w:sz="4" w:space="0" w:color="000000"/>
            </w:tcBorders>
            <w:shd w:val="clear" w:color="C6D9F0" w:fill="95B3D7"/>
            <w:noWrap/>
            <w:tcMar>
              <w:top w:w="15" w:type="dxa"/>
              <w:left w:w="15" w:type="dxa"/>
              <w:bottom w:w="0" w:type="dxa"/>
              <w:right w:w="15" w:type="dxa"/>
            </w:tcMar>
            <w:vAlign w:val="center"/>
          </w:tcPr>
          <w:p w:rsidR="00B92080" w:rsidRPr="002E2870" w:rsidRDefault="00B92080" w:rsidP="00DB5405">
            <w:pPr>
              <w:ind w:right="90"/>
              <w:jc w:val="right"/>
              <w:rPr>
                <w:rFonts w:ascii="Palatino Linotype" w:hAnsi="Palatino Linotype"/>
                <w:b/>
                <w:bCs/>
                <w:sz w:val="18"/>
                <w:szCs w:val="18"/>
              </w:rPr>
            </w:pPr>
            <w:r w:rsidRPr="002E2870">
              <w:rPr>
                <w:rFonts w:ascii="Palatino Linotype" w:hAnsi="Palatino Linotype"/>
                <w:b/>
                <w:bCs/>
                <w:sz w:val="18"/>
                <w:szCs w:val="18"/>
              </w:rPr>
              <w:t>-56.7</w:t>
            </w:r>
          </w:p>
        </w:tc>
      </w:tr>
      <w:tr w:rsidR="00B92080" w:rsidRPr="002E2870" w:rsidTr="00DB5405">
        <w:trPr>
          <w:trHeight w:val="255"/>
        </w:trPr>
        <w:tc>
          <w:tcPr>
            <w:tcW w:w="9780" w:type="dxa"/>
            <w:gridSpan w:val="7"/>
            <w:tcBorders>
              <w:top w:val="single" w:sz="4" w:space="0" w:color="000000"/>
              <w:left w:val="single" w:sz="4" w:space="0" w:color="000000"/>
              <w:bottom w:val="single" w:sz="4" w:space="0" w:color="000000"/>
              <w:right w:val="single" w:sz="4" w:space="0" w:color="000000"/>
            </w:tcBorders>
            <w:shd w:val="clear" w:color="FFFFCC" w:fill="FFFFCC"/>
            <w:tcMar>
              <w:top w:w="15" w:type="dxa"/>
              <w:left w:w="15" w:type="dxa"/>
              <w:bottom w:w="0" w:type="dxa"/>
              <w:right w:w="15" w:type="dxa"/>
            </w:tcMar>
            <w:vAlign w:val="center"/>
            <w:hideMark/>
          </w:tcPr>
          <w:p w:rsidR="00B92080" w:rsidRPr="002E2870" w:rsidRDefault="00B92080" w:rsidP="00DB5405">
            <w:pPr>
              <w:tabs>
                <w:tab w:val="left" w:pos="408"/>
              </w:tabs>
              <w:ind w:right="90"/>
              <w:rPr>
                <w:rFonts w:ascii="Palatino Linotype" w:hAnsi="Palatino Linotype"/>
                <w:b/>
                <w:bCs/>
                <w:sz w:val="18"/>
                <w:szCs w:val="18"/>
              </w:rPr>
            </w:pPr>
            <w:r w:rsidRPr="002E2870">
              <w:rPr>
                <w:rFonts w:ascii="Palatino Linotype" w:hAnsi="Palatino Linotype"/>
                <w:b/>
                <w:bCs/>
                <w:sz w:val="18"/>
                <w:szCs w:val="18"/>
              </w:rPr>
              <w:t>D.  Open Interest in Terms of No. of Contracts</w:t>
            </w:r>
          </w:p>
        </w:tc>
      </w:tr>
      <w:tr w:rsidR="00B92080" w:rsidRPr="002E2870" w:rsidTr="00DB5405">
        <w:trPr>
          <w:trHeight w:val="255"/>
        </w:trPr>
        <w:tc>
          <w:tcPr>
            <w:tcW w:w="2122" w:type="dxa"/>
            <w:tcBorders>
              <w:top w:val="single" w:sz="4" w:space="0" w:color="000000"/>
              <w:left w:val="single" w:sz="4" w:space="0" w:color="000000"/>
              <w:bottom w:val="nil"/>
              <w:right w:val="single" w:sz="4" w:space="0" w:color="000000"/>
            </w:tcBorders>
            <w:shd w:val="clear" w:color="C6D9F0" w:fill="C6D9F0"/>
            <w:noWrap/>
            <w:tcMar>
              <w:top w:w="15" w:type="dxa"/>
              <w:left w:w="15" w:type="dxa"/>
              <w:bottom w:w="0" w:type="dxa"/>
              <w:right w:w="15" w:type="dxa"/>
            </w:tcMar>
            <w:vAlign w:val="center"/>
            <w:hideMark/>
          </w:tcPr>
          <w:p w:rsidR="00B92080" w:rsidRPr="002E2870" w:rsidRDefault="00B92080" w:rsidP="00DB5405">
            <w:pPr>
              <w:tabs>
                <w:tab w:val="left" w:pos="408"/>
              </w:tabs>
              <w:rPr>
                <w:rFonts w:ascii="Palatino Linotype" w:hAnsi="Palatino Linotype"/>
                <w:sz w:val="18"/>
                <w:szCs w:val="18"/>
              </w:rPr>
            </w:pPr>
            <w:r w:rsidRPr="002E2870">
              <w:rPr>
                <w:rFonts w:ascii="Palatino Linotype" w:hAnsi="Palatino Linotype"/>
                <w:sz w:val="18"/>
                <w:szCs w:val="18"/>
              </w:rPr>
              <w:t xml:space="preserve">(i) </w:t>
            </w:r>
            <w:r w:rsidRPr="002E2870">
              <w:rPr>
                <w:rFonts w:ascii="Palatino Linotype" w:hAnsi="Palatino Linotype"/>
                <w:sz w:val="18"/>
                <w:szCs w:val="18"/>
              </w:rPr>
              <w:tab/>
              <w:t>Index Futures</w:t>
            </w:r>
          </w:p>
        </w:tc>
        <w:tc>
          <w:tcPr>
            <w:tcW w:w="1306" w:type="dxa"/>
            <w:tcBorders>
              <w:top w:val="single" w:sz="4" w:space="0" w:color="auto"/>
              <w:left w:val="nil"/>
              <w:bottom w:val="nil"/>
              <w:right w:val="nil"/>
            </w:tcBorders>
            <w:shd w:val="clear" w:color="auto" w:fill="auto"/>
            <w:noWrap/>
            <w:tcMar>
              <w:top w:w="15" w:type="dxa"/>
              <w:left w:w="15" w:type="dxa"/>
              <w:bottom w:w="0" w:type="dxa"/>
              <w:right w:w="15" w:type="dxa"/>
            </w:tcMar>
            <w:vAlign w:val="center"/>
          </w:tcPr>
          <w:p w:rsidR="00B92080" w:rsidRPr="002E2870" w:rsidRDefault="00B92080" w:rsidP="00DB5405">
            <w:pPr>
              <w:ind w:right="45"/>
              <w:jc w:val="right"/>
              <w:rPr>
                <w:rFonts w:ascii="Palatino Linotype" w:hAnsi="Palatino Linotype"/>
                <w:sz w:val="18"/>
                <w:szCs w:val="18"/>
              </w:rPr>
            </w:pPr>
            <w:r w:rsidRPr="002E2870">
              <w:rPr>
                <w:rFonts w:ascii="Palatino Linotype" w:hAnsi="Palatino Linotype"/>
                <w:sz w:val="18"/>
                <w:szCs w:val="18"/>
              </w:rPr>
              <w:t>2,18,651</w:t>
            </w:r>
          </w:p>
        </w:tc>
        <w:tc>
          <w:tcPr>
            <w:tcW w:w="1307" w:type="dxa"/>
            <w:tcBorders>
              <w:top w:val="single" w:sz="4" w:space="0" w:color="auto"/>
              <w:left w:val="single" w:sz="4" w:space="0" w:color="auto"/>
              <w:bottom w:val="nil"/>
              <w:right w:val="nil"/>
            </w:tcBorders>
            <w:shd w:val="clear" w:color="auto" w:fill="auto"/>
            <w:noWrap/>
            <w:tcMar>
              <w:top w:w="15" w:type="dxa"/>
              <w:left w:w="15" w:type="dxa"/>
              <w:bottom w:w="0" w:type="dxa"/>
              <w:right w:w="15" w:type="dxa"/>
            </w:tcMar>
            <w:vAlign w:val="center"/>
          </w:tcPr>
          <w:p w:rsidR="00B92080" w:rsidRPr="002E2870" w:rsidRDefault="00B92080" w:rsidP="00DB5405">
            <w:pPr>
              <w:ind w:right="45"/>
              <w:jc w:val="right"/>
              <w:rPr>
                <w:rFonts w:ascii="Palatino Linotype" w:hAnsi="Palatino Linotype"/>
                <w:sz w:val="18"/>
                <w:szCs w:val="18"/>
              </w:rPr>
            </w:pPr>
            <w:r w:rsidRPr="002E2870">
              <w:rPr>
                <w:rFonts w:ascii="Palatino Linotype" w:hAnsi="Palatino Linotype"/>
                <w:sz w:val="18"/>
                <w:szCs w:val="18"/>
              </w:rPr>
              <w:t>2,02,468</w:t>
            </w:r>
          </w:p>
        </w:tc>
        <w:tc>
          <w:tcPr>
            <w:tcW w:w="1307" w:type="dxa"/>
            <w:tcBorders>
              <w:top w:val="single" w:sz="4" w:space="0" w:color="auto"/>
              <w:left w:val="single" w:sz="4" w:space="0" w:color="auto"/>
              <w:bottom w:val="nil"/>
              <w:right w:val="single" w:sz="4" w:space="0" w:color="auto"/>
            </w:tcBorders>
            <w:shd w:val="clear" w:color="auto" w:fill="auto"/>
            <w:noWrap/>
            <w:tcMar>
              <w:top w:w="15" w:type="dxa"/>
              <w:left w:w="15" w:type="dxa"/>
              <w:bottom w:w="0" w:type="dxa"/>
              <w:right w:w="15" w:type="dxa"/>
            </w:tcMar>
            <w:vAlign w:val="center"/>
          </w:tcPr>
          <w:p w:rsidR="00B92080" w:rsidRPr="002E2870" w:rsidRDefault="00B92080" w:rsidP="00DB5405">
            <w:pPr>
              <w:ind w:right="45"/>
              <w:jc w:val="right"/>
              <w:rPr>
                <w:rFonts w:ascii="Palatino Linotype" w:hAnsi="Palatino Linotype"/>
                <w:sz w:val="18"/>
                <w:szCs w:val="18"/>
              </w:rPr>
            </w:pPr>
            <w:r w:rsidRPr="002E2870">
              <w:rPr>
                <w:rFonts w:ascii="Palatino Linotype" w:hAnsi="Palatino Linotype"/>
                <w:sz w:val="18"/>
                <w:szCs w:val="18"/>
              </w:rPr>
              <w:t>-7.4</w:t>
            </w:r>
          </w:p>
        </w:tc>
        <w:tc>
          <w:tcPr>
            <w:tcW w:w="1183" w:type="dxa"/>
            <w:tcBorders>
              <w:top w:val="single" w:sz="4" w:space="0" w:color="000000"/>
              <w:left w:val="nil"/>
              <w:bottom w:val="nil"/>
              <w:right w:val="single" w:sz="4" w:space="0" w:color="auto"/>
            </w:tcBorders>
            <w:shd w:val="clear" w:color="auto" w:fill="auto"/>
            <w:noWrap/>
            <w:tcMar>
              <w:top w:w="15" w:type="dxa"/>
              <w:left w:w="15" w:type="dxa"/>
              <w:bottom w:w="0" w:type="dxa"/>
              <w:right w:w="15" w:type="dxa"/>
            </w:tcMar>
            <w:vAlign w:val="center"/>
          </w:tcPr>
          <w:p w:rsidR="00B92080" w:rsidRPr="002E2870" w:rsidRDefault="00B92080" w:rsidP="00DB5405">
            <w:pPr>
              <w:ind w:right="90"/>
              <w:jc w:val="right"/>
              <w:rPr>
                <w:rFonts w:ascii="Palatino Linotype" w:hAnsi="Palatino Linotype"/>
                <w:sz w:val="18"/>
                <w:szCs w:val="18"/>
              </w:rPr>
            </w:pPr>
            <w:r w:rsidRPr="002E2870">
              <w:rPr>
                <w:rFonts w:ascii="Palatino Linotype" w:hAnsi="Palatino Linotype"/>
                <w:sz w:val="18"/>
                <w:szCs w:val="18"/>
              </w:rPr>
              <w:t>114.0</w:t>
            </w:r>
          </w:p>
        </w:tc>
        <w:tc>
          <w:tcPr>
            <w:tcW w:w="1134" w:type="dxa"/>
            <w:tcBorders>
              <w:top w:val="single" w:sz="4" w:space="0" w:color="000000"/>
              <w:left w:val="nil"/>
              <w:bottom w:val="nil"/>
              <w:right w:val="nil"/>
            </w:tcBorders>
            <w:shd w:val="clear" w:color="auto" w:fill="auto"/>
            <w:noWrap/>
            <w:tcMar>
              <w:top w:w="15" w:type="dxa"/>
              <w:left w:w="15" w:type="dxa"/>
              <w:bottom w:w="0" w:type="dxa"/>
              <w:right w:w="15" w:type="dxa"/>
            </w:tcMar>
            <w:vAlign w:val="center"/>
          </w:tcPr>
          <w:p w:rsidR="00B92080" w:rsidRPr="002E2870" w:rsidRDefault="00B92080" w:rsidP="00DB5405">
            <w:pPr>
              <w:ind w:right="90"/>
              <w:jc w:val="right"/>
              <w:rPr>
                <w:rFonts w:ascii="Palatino Linotype" w:hAnsi="Palatino Linotype"/>
                <w:sz w:val="18"/>
                <w:szCs w:val="18"/>
              </w:rPr>
            </w:pPr>
            <w:r w:rsidRPr="002E2870">
              <w:rPr>
                <w:rFonts w:ascii="Palatino Linotype" w:hAnsi="Palatino Linotype"/>
                <w:sz w:val="18"/>
                <w:szCs w:val="18"/>
              </w:rPr>
              <w:t>117.0</w:t>
            </w:r>
          </w:p>
        </w:tc>
        <w:tc>
          <w:tcPr>
            <w:tcW w:w="1421" w:type="dxa"/>
            <w:tcBorders>
              <w:top w:val="single" w:sz="4" w:space="0" w:color="auto"/>
              <w:left w:val="single" w:sz="4" w:space="0" w:color="auto"/>
              <w:bottom w:val="nil"/>
              <w:right w:val="single" w:sz="4" w:space="0" w:color="auto"/>
            </w:tcBorders>
            <w:shd w:val="clear" w:color="auto" w:fill="auto"/>
            <w:noWrap/>
            <w:tcMar>
              <w:top w:w="15" w:type="dxa"/>
              <w:left w:w="15" w:type="dxa"/>
              <w:bottom w:w="0" w:type="dxa"/>
              <w:right w:w="15" w:type="dxa"/>
            </w:tcMar>
            <w:vAlign w:val="center"/>
          </w:tcPr>
          <w:p w:rsidR="00B92080" w:rsidRPr="002E2870" w:rsidRDefault="00B92080" w:rsidP="00DB5405">
            <w:pPr>
              <w:ind w:right="90"/>
              <w:jc w:val="right"/>
              <w:rPr>
                <w:rFonts w:ascii="Palatino Linotype" w:hAnsi="Palatino Linotype"/>
                <w:sz w:val="18"/>
                <w:szCs w:val="18"/>
              </w:rPr>
            </w:pPr>
            <w:r w:rsidRPr="002E2870">
              <w:rPr>
                <w:rFonts w:ascii="Palatino Linotype" w:hAnsi="Palatino Linotype"/>
                <w:sz w:val="18"/>
                <w:szCs w:val="18"/>
              </w:rPr>
              <w:t>2.6</w:t>
            </w:r>
          </w:p>
        </w:tc>
      </w:tr>
      <w:tr w:rsidR="00B92080" w:rsidRPr="002E2870" w:rsidTr="00DB5405">
        <w:trPr>
          <w:trHeight w:val="255"/>
        </w:trPr>
        <w:tc>
          <w:tcPr>
            <w:tcW w:w="2122" w:type="dxa"/>
            <w:tcBorders>
              <w:top w:val="nil"/>
              <w:left w:val="single" w:sz="4" w:space="0" w:color="000000"/>
              <w:bottom w:val="nil"/>
              <w:right w:val="single" w:sz="4" w:space="0" w:color="000000"/>
            </w:tcBorders>
            <w:shd w:val="clear" w:color="C6D9F0" w:fill="C6D9F0"/>
            <w:noWrap/>
            <w:tcMar>
              <w:top w:w="15" w:type="dxa"/>
              <w:left w:w="15" w:type="dxa"/>
              <w:bottom w:w="0" w:type="dxa"/>
              <w:right w:w="15" w:type="dxa"/>
            </w:tcMar>
            <w:vAlign w:val="center"/>
            <w:hideMark/>
          </w:tcPr>
          <w:p w:rsidR="00B92080" w:rsidRPr="002E2870" w:rsidRDefault="00B92080" w:rsidP="00DB5405">
            <w:pPr>
              <w:tabs>
                <w:tab w:val="left" w:pos="408"/>
              </w:tabs>
              <w:rPr>
                <w:rFonts w:ascii="Palatino Linotype" w:hAnsi="Palatino Linotype"/>
                <w:sz w:val="18"/>
                <w:szCs w:val="18"/>
              </w:rPr>
            </w:pPr>
            <w:r w:rsidRPr="002E2870">
              <w:rPr>
                <w:rFonts w:ascii="Palatino Linotype" w:hAnsi="Palatino Linotype"/>
                <w:sz w:val="18"/>
                <w:szCs w:val="18"/>
              </w:rPr>
              <w:t xml:space="preserve">(ii) </w:t>
            </w:r>
            <w:r w:rsidRPr="002E2870">
              <w:rPr>
                <w:rFonts w:ascii="Palatino Linotype" w:hAnsi="Palatino Linotype"/>
                <w:sz w:val="18"/>
                <w:szCs w:val="18"/>
              </w:rPr>
              <w:tab/>
              <w:t>Options on Index</w:t>
            </w:r>
          </w:p>
        </w:tc>
        <w:tc>
          <w:tcPr>
            <w:tcW w:w="1306" w:type="dxa"/>
            <w:tcBorders>
              <w:top w:val="nil"/>
              <w:left w:val="nil"/>
              <w:bottom w:val="nil"/>
              <w:right w:val="nil"/>
            </w:tcBorders>
            <w:shd w:val="clear" w:color="auto" w:fill="auto"/>
            <w:noWrap/>
            <w:tcMar>
              <w:top w:w="15" w:type="dxa"/>
              <w:left w:w="15" w:type="dxa"/>
              <w:bottom w:w="0" w:type="dxa"/>
              <w:right w:w="15" w:type="dxa"/>
            </w:tcMar>
            <w:vAlign w:val="center"/>
          </w:tcPr>
          <w:p w:rsidR="00B92080" w:rsidRPr="002E2870" w:rsidRDefault="00B92080" w:rsidP="00DB5405">
            <w:pPr>
              <w:ind w:right="45"/>
              <w:jc w:val="right"/>
              <w:rPr>
                <w:rFonts w:ascii="Palatino Linotype" w:hAnsi="Palatino Linotype"/>
                <w:sz w:val="18"/>
                <w:szCs w:val="18"/>
              </w:rPr>
            </w:pPr>
          </w:p>
        </w:tc>
        <w:tc>
          <w:tcPr>
            <w:tcW w:w="1307" w:type="dxa"/>
            <w:tcBorders>
              <w:top w:val="nil"/>
              <w:left w:val="single" w:sz="4" w:space="0" w:color="auto"/>
              <w:bottom w:val="nil"/>
              <w:right w:val="nil"/>
            </w:tcBorders>
            <w:shd w:val="clear" w:color="auto" w:fill="auto"/>
            <w:noWrap/>
            <w:tcMar>
              <w:top w:w="15" w:type="dxa"/>
              <w:left w:w="15" w:type="dxa"/>
              <w:bottom w:w="0" w:type="dxa"/>
              <w:right w:w="15" w:type="dxa"/>
            </w:tcMar>
            <w:vAlign w:val="center"/>
          </w:tcPr>
          <w:p w:rsidR="00B92080" w:rsidRPr="002E2870" w:rsidRDefault="00B92080" w:rsidP="00DB5405">
            <w:pPr>
              <w:ind w:right="45"/>
              <w:jc w:val="right"/>
              <w:rPr>
                <w:rFonts w:ascii="Palatino Linotype" w:hAnsi="Palatino Linotype"/>
                <w:sz w:val="18"/>
                <w:szCs w:val="18"/>
              </w:rPr>
            </w:pPr>
          </w:p>
        </w:tc>
        <w:tc>
          <w:tcPr>
            <w:tcW w:w="1307" w:type="dxa"/>
            <w:tcBorders>
              <w:top w:val="nil"/>
              <w:left w:val="single" w:sz="4" w:space="0" w:color="auto"/>
              <w:bottom w:val="nil"/>
              <w:right w:val="single" w:sz="4" w:space="0" w:color="auto"/>
            </w:tcBorders>
            <w:shd w:val="clear" w:color="auto" w:fill="auto"/>
            <w:noWrap/>
            <w:tcMar>
              <w:top w:w="15" w:type="dxa"/>
              <w:left w:w="15" w:type="dxa"/>
              <w:bottom w:w="0" w:type="dxa"/>
              <w:right w:w="15" w:type="dxa"/>
            </w:tcMar>
            <w:vAlign w:val="center"/>
          </w:tcPr>
          <w:p w:rsidR="00B92080" w:rsidRPr="002E2870" w:rsidRDefault="00B92080" w:rsidP="00DB5405">
            <w:pPr>
              <w:ind w:right="45"/>
              <w:jc w:val="right"/>
              <w:rPr>
                <w:rFonts w:ascii="Palatino Linotype" w:hAnsi="Palatino Linotype"/>
                <w:sz w:val="18"/>
                <w:szCs w:val="18"/>
              </w:rPr>
            </w:pPr>
          </w:p>
        </w:tc>
        <w:tc>
          <w:tcPr>
            <w:tcW w:w="1183" w:type="dxa"/>
            <w:tcBorders>
              <w:top w:val="nil"/>
              <w:left w:val="nil"/>
              <w:bottom w:val="nil"/>
              <w:right w:val="single" w:sz="4" w:space="0" w:color="auto"/>
            </w:tcBorders>
            <w:shd w:val="clear" w:color="auto" w:fill="auto"/>
            <w:noWrap/>
            <w:tcMar>
              <w:top w:w="15" w:type="dxa"/>
              <w:left w:w="15" w:type="dxa"/>
              <w:bottom w:w="0" w:type="dxa"/>
              <w:right w:w="15" w:type="dxa"/>
            </w:tcMar>
            <w:vAlign w:val="center"/>
          </w:tcPr>
          <w:p w:rsidR="00B92080" w:rsidRPr="002E2870" w:rsidRDefault="00B92080" w:rsidP="00DB5405">
            <w:pPr>
              <w:ind w:right="90"/>
              <w:jc w:val="right"/>
              <w:rPr>
                <w:rFonts w:ascii="Palatino Linotype" w:hAnsi="Palatino Linotype"/>
                <w:sz w:val="18"/>
                <w:szCs w:val="18"/>
              </w:rPr>
            </w:pPr>
          </w:p>
        </w:tc>
        <w:tc>
          <w:tcPr>
            <w:tcW w:w="1134" w:type="dxa"/>
            <w:tcBorders>
              <w:top w:val="nil"/>
              <w:left w:val="nil"/>
              <w:bottom w:val="nil"/>
              <w:right w:val="nil"/>
            </w:tcBorders>
            <w:shd w:val="clear" w:color="auto" w:fill="auto"/>
            <w:noWrap/>
            <w:tcMar>
              <w:top w:w="15" w:type="dxa"/>
              <w:left w:w="15" w:type="dxa"/>
              <w:bottom w:w="0" w:type="dxa"/>
              <w:right w:w="15" w:type="dxa"/>
            </w:tcMar>
            <w:vAlign w:val="center"/>
          </w:tcPr>
          <w:p w:rsidR="00B92080" w:rsidRPr="002E2870" w:rsidRDefault="00B92080" w:rsidP="00DB5405">
            <w:pPr>
              <w:ind w:right="90"/>
              <w:jc w:val="right"/>
              <w:rPr>
                <w:rFonts w:ascii="Palatino Linotype" w:hAnsi="Palatino Linotype"/>
                <w:sz w:val="18"/>
                <w:szCs w:val="18"/>
              </w:rPr>
            </w:pPr>
          </w:p>
        </w:tc>
        <w:tc>
          <w:tcPr>
            <w:tcW w:w="1421" w:type="dxa"/>
            <w:tcBorders>
              <w:top w:val="nil"/>
              <w:left w:val="single" w:sz="4" w:space="0" w:color="auto"/>
              <w:bottom w:val="nil"/>
              <w:right w:val="single" w:sz="4" w:space="0" w:color="auto"/>
            </w:tcBorders>
            <w:shd w:val="clear" w:color="auto" w:fill="auto"/>
            <w:noWrap/>
            <w:tcMar>
              <w:top w:w="15" w:type="dxa"/>
              <w:left w:w="15" w:type="dxa"/>
              <w:bottom w:w="0" w:type="dxa"/>
              <w:right w:w="15" w:type="dxa"/>
            </w:tcMar>
            <w:vAlign w:val="center"/>
          </w:tcPr>
          <w:p w:rsidR="00B92080" w:rsidRPr="002E2870" w:rsidRDefault="00B92080" w:rsidP="00DB5405">
            <w:pPr>
              <w:ind w:right="90"/>
              <w:jc w:val="right"/>
              <w:rPr>
                <w:rFonts w:ascii="Palatino Linotype" w:hAnsi="Palatino Linotype"/>
                <w:sz w:val="18"/>
                <w:szCs w:val="18"/>
              </w:rPr>
            </w:pPr>
          </w:p>
        </w:tc>
      </w:tr>
      <w:tr w:rsidR="00B92080" w:rsidRPr="002E2870" w:rsidTr="00DB5405">
        <w:trPr>
          <w:trHeight w:val="255"/>
        </w:trPr>
        <w:tc>
          <w:tcPr>
            <w:tcW w:w="2122" w:type="dxa"/>
            <w:tcBorders>
              <w:top w:val="nil"/>
              <w:left w:val="single" w:sz="4" w:space="0" w:color="000000"/>
              <w:bottom w:val="nil"/>
              <w:right w:val="single" w:sz="4" w:space="0" w:color="000000"/>
            </w:tcBorders>
            <w:shd w:val="clear" w:color="C6D9F0" w:fill="C6D9F0"/>
            <w:noWrap/>
            <w:tcMar>
              <w:top w:w="15" w:type="dxa"/>
              <w:left w:w="15" w:type="dxa"/>
              <w:bottom w:w="0" w:type="dxa"/>
              <w:right w:w="15" w:type="dxa"/>
            </w:tcMar>
            <w:vAlign w:val="center"/>
            <w:hideMark/>
          </w:tcPr>
          <w:p w:rsidR="00B92080" w:rsidRPr="002E2870" w:rsidRDefault="00B92080" w:rsidP="00DB5405">
            <w:pPr>
              <w:tabs>
                <w:tab w:val="left" w:pos="408"/>
              </w:tabs>
              <w:rPr>
                <w:rFonts w:ascii="Palatino Linotype" w:hAnsi="Palatino Linotype"/>
                <w:i/>
                <w:iCs/>
                <w:sz w:val="18"/>
                <w:szCs w:val="18"/>
              </w:rPr>
            </w:pPr>
            <w:r w:rsidRPr="002E2870">
              <w:rPr>
                <w:rFonts w:ascii="Palatino Linotype" w:hAnsi="Palatino Linotype"/>
                <w:i/>
                <w:iCs/>
                <w:sz w:val="18"/>
                <w:szCs w:val="18"/>
              </w:rPr>
              <w:tab/>
              <w:t>Put</w:t>
            </w:r>
          </w:p>
        </w:tc>
        <w:tc>
          <w:tcPr>
            <w:tcW w:w="1306" w:type="dxa"/>
            <w:tcBorders>
              <w:top w:val="nil"/>
              <w:left w:val="nil"/>
              <w:bottom w:val="nil"/>
              <w:right w:val="nil"/>
            </w:tcBorders>
            <w:shd w:val="clear" w:color="auto" w:fill="auto"/>
            <w:noWrap/>
            <w:tcMar>
              <w:top w:w="15" w:type="dxa"/>
              <w:left w:w="15" w:type="dxa"/>
              <w:bottom w:w="0" w:type="dxa"/>
              <w:right w:w="15" w:type="dxa"/>
            </w:tcMar>
            <w:vAlign w:val="center"/>
          </w:tcPr>
          <w:p w:rsidR="00B92080" w:rsidRPr="002E2870" w:rsidRDefault="00B92080" w:rsidP="00DB5405">
            <w:pPr>
              <w:ind w:right="45"/>
              <w:jc w:val="right"/>
              <w:rPr>
                <w:rFonts w:ascii="Palatino Linotype" w:hAnsi="Palatino Linotype"/>
                <w:sz w:val="18"/>
                <w:szCs w:val="18"/>
              </w:rPr>
            </w:pPr>
            <w:r w:rsidRPr="002E2870">
              <w:rPr>
                <w:rFonts w:ascii="Palatino Linotype" w:hAnsi="Palatino Linotype"/>
                <w:sz w:val="18"/>
                <w:szCs w:val="18"/>
              </w:rPr>
              <w:t>11,63,121</w:t>
            </w:r>
          </w:p>
        </w:tc>
        <w:tc>
          <w:tcPr>
            <w:tcW w:w="1307" w:type="dxa"/>
            <w:tcBorders>
              <w:top w:val="nil"/>
              <w:left w:val="single" w:sz="4" w:space="0" w:color="auto"/>
              <w:bottom w:val="nil"/>
              <w:right w:val="nil"/>
            </w:tcBorders>
            <w:shd w:val="clear" w:color="auto" w:fill="auto"/>
            <w:noWrap/>
            <w:tcMar>
              <w:top w:w="15" w:type="dxa"/>
              <w:left w:w="15" w:type="dxa"/>
              <w:bottom w:w="0" w:type="dxa"/>
              <w:right w:w="15" w:type="dxa"/>
            </w:tcMar>
            <w:vAlign w:val="center"/>
          </w:tcPr>
          <w:p w:rsidR="00B92080" w:rsidRPr="002E2870" w:rsidRDefault="00B92080" w:rsidP="00DB5405">
            <w:pPr>
              <w:ind w:right="45"/>
              <w:jc w:val="right"/>
              <w:rPr>
                <w:rFonts w:ascii="Palatino Linotype" w:hAnsi="Palatino Linotype"/>
                <w:sz w:val="18"/>
                <w:szCs w:val="18"/>
              </w:rPr>
            </w:pPr>
            <w:r w:rsidRPr="002E2870">
              <w:rPr>
                <w:rFonts w:ascii="Palatino Linotype" w:hAnsi="Palatino Linotype"/>
                <w:sz w:val="18"/>
                <w:szCs w:val="18"/>
              </w:rPr>
              <w:t>16,03,310</w:t>
            </w:r>
          </w:p>
        </w:tc>
        <w:tc>
          <w:tcPr>
            <w:tcW w:w="1307" w:type="dxa"/>
            <w:tcBorders>
              <w:top w:val="nil"/>
              <w:left w:val="single" w:sz="4" w:space="0" w:color="auto"/>
              <w:bottom w:val="nil"/>
              <w:right w:val="single" w:sz="4" w:space="0" w:color="auto"/>
            </w:tcBorders>
            <w:shd w:val="clear" w:color="auto" w:fill="auto"/>
            <w:noWrap/>
            <w:tcMar>
              <w:top w:w="15" w:type="dxa"/>
              <w:left w:w="15" w:type="dxa"/>
              <w:bottom w:w="0" w:type="dxa"/>
              <w:right w:w="15" w:type="dxa"/>
            </w:tcMar>
            <w:vAlign w:val="center"/>
          </w:tcPr>
          <w:p w:rsidR="00B92080" w:rsidRPr="002E2870" w:rsidRDefault="00B92080" w:rsidP="00DB5405">
            <w:pPr>
              <w:ind w:right="45"/>
              <w:jc w:val="right"/>
              <w:rPr>
                <w:rFonts w:ascii="Palatino Linotype" w:hAnsi="Palatino Linotype"/>
                <w:sz w:val="18"/>
                <w:szCs w:val="18"/>
              </w:rPr>
            </w:pPr>
            <w:r w:rsidRPr="002E2870">
              <w:rPr>
                <w:rFonts w:ascii="Palatino Linotype" w:hAnsi="Palatino Linotype"/>
                <w:sz w:val="18"/>
                <w:szCs w:val="18"/>
              </w:rPr>
              <w:t>37.8</w:t>
            </w:r>
          </w:p>
        </w:tc>
        <w:tc>
          <w:tcPr>
            <w:tcW w:w="1183" w:type="dxa"/>
            <w:tcBorders>
              <w:top w:val="nil"/>
              <w:left w:val="nil"/>
              <w:bottom w:val="nil"/>
              <w:right w:val="single" w:sz="4" w:space="0" w:color="auto"/>
            </w:tcBorders>
            <w:shd w:val="clear" w:color="auto" w:fill="auto"/>
            <w:noWrap/>
            <w:tcMar>
              <w:top w:w="15" w:type="dxa"/>
              <w:left w:w="15" w:type="dxa"/>
              <w:bottom w:w="0" w:type="dxa"/>
              <w:right w:w="15" w:type="dxa"/>
            </w:tcMar>
            <w:vAlign w:val="center"/>
          </w:tcPr>
          <w:p w:rsidR="00B92080" w:rsidRPr="002E2870" w:rsidRDefault="00B92080" w:rsidP="00DB5405">
            <w:pPr>
              <w:ind w:right="90"/>
              <w:jc w:val="right"/>
              <w:rPr>
                <w:rFonts w:ascii="Palatino Linotype" w:hAnsi="Palatino Linotype"/>
                <w:sz w:val="18"/>
                <w:szCs w:val="18"/>
              </w:rPr>
            </w:pPr>
            <w:r w:rsidRPr="002E2870">
              <w:rPr>
                <w:rFonts w:ascii="Palatino Linotype" w:hAnsi="Palatino Linotype"/>
                <w:sz w:val="18"/>
                <w:szCs w:val="18"/>
              </w:rPr>
              <w:t>4,004.0</w:t>
            </w:r>
          </w:p>
        </w:tc>
        <w:tc>
          <w:tcPr>
            <w:tcW w:w="1134" w:type="dxa"/>
            <w:tcBorders>
              <w:top w:val="nil"/>
              <w:left w:val="nil"/>
              <w:bottom w:val="nil"/>
              <w:right w:val="nil"/>
            </w:tcBorders>
            <w:shd w:val="clear" w:color="auto" w:fill="auto"/>
            <w:noWrap/>
            <w:tcMar>
              <w:top w:w="15" w:type="dxa"/>
              <w:left w:w="15" w:type="dxa"/>
              <w:bottom w:w="0" w:type="dxa"/>
              <w:right w:w="15" w:type="dxa"/>
            </w:tcMar>
            <w:vAlign w:val="center"/>
          </w:tcPr>
          <w:p w:rsidR="00B92080" w:rsidRPr="002E2870" w:rsidRDefault="00B92080" w:rsidP="00DB5405">
            <w:pPr>
              <w:ind w:right="90"/>
              <w:jc w:val="right"/>
              <w:rPr>
                <w:rFonts w:ascii="Palatino Linotype" w:hAnsi="Palatino Linotype"/>
                <w:sz w:val="18"/>
                <w:szCs w:val="18"/>
              </w:rPr>
            </w:pPr>
            <w:r w:rsidRPr="002E2870">
              <w:rPr>
                <w:rFonts w:ascii="Palatino Linotype" w:hAnsi="Palatino Linotype"/>
                <w:sz w:val="18"/>
                <w:szCs w:val="18"/>
              </w:rPr>
              <w:t>563.0</w:t>
            </w:r>
          </w:p>
        </w:tc>
        <w:tc>
          <w:tcPr>
            <w:tcW w:w="1421" w:type="dxa"/>
            <w:tcBorders>
              <w:top w:val="nil"/>
              <w:left w:val="single" w:sz="4" w:space="0" w:color="auto"/>
              <w:bottom w:val="nil"/>
              <w:right w:val="single" w:sz="4" w:space="0" w:color="auto"/>
            </w:tcBorders>
            <w:shd w:val="clear" w:color="auto" w:fill="auto"/>
            <w:noWrap/>
            <w:tcMar>
              <w:top w:w="15" w:type="dxa"/>
              <w:left w:w="15" w:type="dxa"/>
              <w:bottom w:w="0" w:type="dxa"/>
              <w:right w:w="15" w:type="dxa"/>
            </w:tcMar>
            <w:vAlign w:val="center"/>
          </w:tcPr>
          <w:p w:rsidR="00B92080" w:rsidRPr="002E2870" w:rsidRDefault="00B92080" w:rsidP="00DB5405">
            <w:pPr>
              <w:ind w:right="90"/>
              <w:jc w:val="right"/>
              <w:rPr>
                <w:rFonts w:ascii="Palatino Linotype" w:hAnsi="Palatino Linotype"/>
                <w:sz w:val="18"/>
                <w:szCs w:val="18"/>
              </w:rPr>
            </w:pPr>
            <w:r w:rsidRPr="002E2870">
              <w:rPr>
                <w:rFonts w:ascii="Palatino Linotype" w:hAnsi="Palatino Linotype"/>
                <w:sz w:val="18"/>
                <w:szCs w:val="18"/>
              </w:rPr>
              <w:t>-85.9</w:t>
            </w:r>
          </w:p>
        </w:tc>
      </w:tr>
      <w:tr w:rsidR="00B92080" w:rsidRPr="002E2870" w:rsidTr="00DB5405">
        <w:trPr>
          <w:trHeight w:val="255"/>
        </w:trPr>
        <w:tc>
          <w:tcPr>
            <w:tcW w:w="2122" w:type="dxa"/>
            <w:tcBorders>
              <w:top w:val="nil"/>
              <w:left w:val="single" w:sz="4" w:space="0" w:color="000000"/>
              <w:bottom w:val="nil"/>
              <w:right w:val="single" w:sz="4" w:space="0" w:color="000000"/>
            </w:tcBorders>
            <w:shd w:val="clear" w:color="C6D9F0" w:fill="C6D9F0"/>
            <w:noWrap/>
            <w:tcMar>
              <w:top w:w="15" w:type="dxa"/>
              <w:left w:w="15" w:type="dxa"/>
              <w:bottom w:w="0" w:type="dxa"/>
              <w:right w:w="15" w:type="dxa"/>
            </w:tcMar>
            <w:vAlign w:val="center"/>
            <w:hideMark/>
          </w:tcPr>
          <w:p w:rsidR="00B92080" w:rsidRPr="002E2870" w:rsidRDefault="00B92080" w:rsidP="00DB5405">
            <w:pPr>
              <w:tabs>
                <w:tab w:val="left" w:pos="408"/>
              </w:tabs>
              <w:rPr>
                <w:rFonts w:ascii="Palatino Linotype" w:hAnsi="Palatino Linotype"/>
                <w:i/>
                <w:iCs/>
                <w:sz w:val="18"/>
                <w:szCs w:val="18"/>
              </w:rPr>
            </w:pPr>
            <w:r w:rsidRPr="002E2870">
              <w:rPr>
                <w:rFonts w:ascii="Palatino Linotype" w:hAnsi="Palatino Linotype"/>
                <w:i/>
                <w:iCs/>
                <w:sz w:val="18"/>
                <w:szCs w:val="18"/>
              </w:rPr>
              <w:tab/>
              <w:t>Call</w:t>
            </w:r>
          </w:p>
        </w:tc>
        <w:tc>
          <w:tcPr>
            <w:tcW w:w="1306" w:type="dxa"/>
            <w:tcBorders>
              <w:top w:val="nil"/>
              <w:left w:val="nil"/>
              <w:bottom w:val="nil"/>
              <w:right w:val="nil"/>
            </w:tcBorders>
            <w:shd w:val="clear" w:color="auto" w:fill="auto"/>
            <w:noWrap/>
            <w:tcMar>
              <w:top w:w="15" w:type="dxa"/>
              <w:left w:w="15" w:type="dxa"/>
              <w:bottom w:w="0" w:type="dxa"/>
              <w:right w:w="15" w:type="dxa"/>
            </w:tcMar>
            <w:vAlign w:val="center"/>
          </w:tcPr>
          <w:p w:rsidR="00B92080" w:rsidRPr="002E2870" w:rsidRDefault="00B92080" w:rsidP="00DB5405">
            <w:pPr>
              <w:ind w:right="45"/>
              <w:jc w:val="right"/>
              <w:rPr>
                <w:rFonts w:ascii="Palatino Linotype" w:hAnsi="Palatino Linotype"/>
                <w:sz w:val="18"/>
                <w:szCs w:val="18"/>
              </w:rPr>
            </w:pPr>
            <w:r w:rsidRPr="002E2870">
              <w:rPr>
                <w:rFonts w:ascii="Palatino Linotype" w:hAnsi="Palatino Linotype"/>
                <w:sz w:val="18"/>
                <w:szCs w:val="18"/>
              </w:rPr>
              <w:t>11,71,102</w:t>
            </w:r>
          </w:p>
        </w:tc>
        <w:tc>
          <w:tcPr>
            <w:tcW w:w="1307" w:type="dxa"/>
            <w:tcBorders>
              <w:top w:val="nil"/>
              <w:left w:val="single" w:sz="4" w:space="0" w:color="auto"/>
              <w:bottom w:val="nil"/>
              <w:right w:val="nil"/>
            </w:tcBorders>
            <w:shd w:val="clear" w:color="auto" w:fill="auto"/>
            <w:noWrap/>
            <w:tcMar>
              <w:top w:w="15" w:type="dxa"/>
              <w:left w:w="15" w:type="dxa"/>
              <w:bottom w:w="0" w:type="dxa"/>
              <w:right w:w="15" w:type="dxa"/>
            </w:tcMar>
            <w:vAlign w:val="center"/>
          </w:tcPr>
          <w:p w:rsidR="00B92080" w:rsidRPr="002E2870" w:rsidRDefault="00B92080" w:rsidP="00DB5405">
            <w:pPr>
              <w:ind w:right="45"/>
              <w:jc w:val="right"/>
              <w:rPr>
                <w:rFonts w:ascii="Palatino Linotype" w:hAnsi="Palatino Linotype"/>
                <w:sz w:val="18"/>
                <w:szCs w:val="18"/>
              </w:rPr>
            </w:pPr>
            <w:r w:rsidRPr="002E2870">
              <w:rPr>
                <w:rFonts w:ascii="Palatino Linotype" w:hAnsi="Palatino Linotype"/>
                <w:sz w:val="18"/>
                <w:szCs w:val="18"/>
              </w:rPr>
              <w:t>13,29,753</w:t>
            </w:r>
          </w:p>
        </w:tc>
        <w:tc>
          <w:tcPr>
            <w:tcW w:w="1307" w:type="dxa"/>
            <w:tcBorders>
              <w:top w:val="nil"/>
              <w:left w:val="single" w:sz="4" w:space="0" w:color="auto"/>
              <w:bottom w:val="nil"/>
              <w:right w:val="single" w:sz="4" w:space="0" w:color="auto"/>
            </w:tcBorders>
            <w:shd w:val="clear" w:color="auto" w:fill="auto"/>
            <w:noWrap/>
            <w:tcMar>
              <w:top w:w="15" w:type="dxa"/>
              <w:left w:w="15" w:type="dxa"/>
              <w:bottom w:w="0" w:type="dxa"/>
              <w:right w:w="15" w:type="dxa"/>
            </w:tcMar>
            <w:vAlign w:val="center"/>
          </w:tcPr>
          <w:p w:rsidR="00B92080" w:rsidRPr="002E2870" w:rsidRDefault="00B92080" w:rsidP="00DB5405">
            <w:pPr>
              <w:ind w:right="45"/>
              <w:jc w:val="right"/>
              <w:rPr>
                <w:rFonts w:ascii="Palatino Linotype" w:hAnsi="Palatino Linotype"/>
                <w:sz w:val="18"/>
                <w:szCs w:val="18"/>
              </w:rPr>
            </w:pPr>
            <w:r w:rsidRPr="002E2870">
              <w:rPr>
                <w:rFonts w:ascii="Palatino Linotype" w:hAnsi="Palatino Linotype"/>
                <w:sz w:val="18"/>
                <w:szCs w:val="18"/>
              </w:rPr>
              <w:t>13.5</w:t>
            </w:r>
          </w:p>
        </w:tc>
        <w:tc>
          <w:tcPr>
            <w:tcW w:w="1183" w:type="dxa"/>
            <w:tcBorders>
              <w:top w:val="nil"/>
              <w:left w:val="nil"/>
              <w:bottom w:val="nil"/>
              <w:right w:val="single" w:sz="4" w:space="0" w:color="auto"/>
            </w:tcBorders>
            <w:shd w:val="clear" w:color="auto" w:fill="auto"/>
            <w:noWrap/>
            <w:tcMar>
              <w:top w:w="15" w:type="dxa"/>
              <w:left w:w="15" w:type="dxa"/>
              <w:bottom w:w="0" w:type="dxa"/>
              <w:right w:w="15" w:type="dxa"/>
            </w:tcMar>
            <w:vAlign w:val="center"/>
          </w:tcPr>
          <w:p w:rsidR="00B92080" w:rsidRPr="002E2870" w:rsidRDefault="00B92080" w:rsidP="00DB5405">
            <w:pPr>
              <w:ind w:right="90"/>
              <w:jc w:val="right"/>
              <w:rPr>
                <w:rFonts w:ascii="Palatino Linotype" w:hAnsi="Palatino Linotype"/>
                <w:sz w:val="18"/>
                <w:szCs w:val="18"/>
              </w:rPr>
            </w:pPr>
            <w:r w:rsidRPr="002E2870">
              <w:rPr>
                <w:rFonts w:ascii="Palatino Linotype" w:hAnsi="Palatino Linotype"/>
                <w:sz w:val="18"/>
                <w:szCs w:val="18"/>
              </w:rPr>
              <w:t>4,099.0</w:t>
            </w:r>
          </w:p>
        </w:tc>
        <w:tc>
          <w:tcPr>
            <w:tcW w:w="1134" w:type="dxa"/>
            <w:tcBorders>
              <w:top w:val="nil"/>
              <w:left w:val="nil"/>
              <w:bottom w:val="nil"/>
              <w:right w:val="nil"/>
            </w:tcBorders>
            <w:shd w:val="clear" w:color="auto" w:fill="auto"/>
            <w:noWrap/>
            <w:tcMar>
              <w:top w:w="15" w:type="dxa"/>
              <w:left w:w="15" w:type="dxa"/>
              <w:bottom w:w="0" w:type="dxa"/>
              <w:right w:w="15" w:type="dxa"/>
            </w:tcMar>
            <w:vAlign w:val="center"/>
          </w:tcPr>
          <w:p w:rsidR="00B92080" w:rsidRPr="002E2870" w:rsidRDefault="00B92080" w:rsidP="00DB5405">
            <w:pPr>
              <w:ind w:right="90"/>
              <w:jc w:val="right"/>
              <w:rPr>
                <w:rFonts w:ascii="Palatino Linotype" w:hAnsi="Palatino Linotype"/>
                <w:sz w:val="18"/>
                <w:szCs w:val="18"/>
              </w:rPr>
            </w:pPr>
            <w:r w:rsidRPr="002E2870">
              <w:rPr>
                <w:rFonts w:ascii="Palatino Linotype" w:hAnsi="Palatino Linotype"/>
                <w:sz w:val="18"/>
                <w:szCs w:val="18"/>
              </w:rPr>
              <w:t>2,909.0</w:t>
            </w:r>
          </w:p>
        </w:tc>
        <w:tc>
          <w:tcPr>
            <w:tcW w:w="1421" w:type="dxa"/>
            <w:tcBorders>
              <w:top w:val="nil"/>
              <w:left w:val="single" w:sz="4" w:space="0" w:color="auto"/>
              <w:bottom w:val="nil"/>
              <w:right w:val="single" w:sz="4" w:space="0" w:color="auto"/>
            </w:tcBorders>
            <w:shd w:val="clear" w:color="auto" w:fill="auto"/>
            <w:noWrap/>
            <w:tcMar>
              <w:top w:w="15" w:type="dxa"/>
              <w:left w:w="15" w:type="dxa"/>
              <w:bottom w:w="0" w:type="dxa"/>
              <w:right w:w="15" w:type="dxa"/>
            </w:tcMar>
            <w:vAlign w:val="center"/>
          </w:tcPr>
          <w:p w:rsidR="00B92080" w:rsidRPr="002E2870" w:rsidRDefault="00B92080" w:rsidP="00DB5405">
            <w:pPr>
              <w:ind w:right="90"/>
              <w:jc w:val="right"/>
              <w:rPr>
                <w:rFonts w:ascii="Palatino Linotype" w:hAnsi="Palatino Linotype"/>
                <w:sz w:val="18"/>
                <w:szCs w:val="18"/>
              </w:rPr>
            </w:pPr>
            <w:r w:rsidRPr="002E2870">
              <w:rPr>
                <w:rFonts w:ascii="Palatino Linotype" w:hAnsi="Palatino Linotype"/>
                <w:sz w:val="18"/>
                <w:szCs w:val="18"/>
              </w:rPr>
              <w:t>-29.0</w:t>
            </w:r>
          </w:p>
        </w:tc>
      </w:tr>
      <w:tr w:rsidR="00B92080" w:rsidRPr="002E2870" w:rsidTr="00DB5405">
        <w:trPr>
          <w:trHeight w:val="255"/>
        </w:trPr>
        <w:tc>
          <w:tcPr>
            <w:tcW w:w="2122" w:type="dxa"/>
            <w:tcBorders>
              <w:top w:val="nil"/>
              <w:left w:val="single" w:sz="4" w:space="0" w:color="000000"/>
              <w:bottom w:val="nil"/>
              <w:right w:val="single" w:sz="4" w:space="0" w:color="000000"/>
            </w:tcBorders>
            <w:shd w:val="clear" w:color="C6D9F0" w:fill="C6D9F0"/>
            <w:noWrap/>
            <w:tcMar>
              <w:top w:w="15" w:type="dxa"/>
              <w:left w:w="15" w:type="dxa"/>
              <w:bottom w:w="0" w:type="dxa"/>
              <w:right w:w="15" w:type="dxa"/>
            </w:tcMar>
            <w:vAlign w:val="center"/>
            <w:hideMark/>
          </w:tcPr>
          <w:p w:rsidR="00B92080" w:rsidRPr="002E2870" w:rsidRDefault="00B92080" w:rsidP="00DB5405">
            <w:pPr>
              <w:tabs>
                <w:tab w:val="left" w:pos="408"/>
              </w:tabs>
              <w:rPr>
                <w:rFonts w:ascii="Palatino Linotype" w:hAnsi="Palatino Linotype"/>
                <w:sz w:val="18"/>
                <w:szCs w:val="18"/>
              </w:rPr>
            </w:pPr>
            <w:r w:rsidRPr="002E2870">
              <w:rPr>
                <w:rFonts w:ascii="Palatino Linotype" w:hAnsi="Palatino Linotype"/>
                <w:sz w:val="18"/>
                <w:szCs w:val="18"/>
              </w:rPr>
              <w:t xml:space="preserve">(iii) </w:t>
            </w:r>
            <w:r w:rsidRPr="002E2870">
              <w:rPr>
                <w:rFonts w:ascii="Palatino Linotype" w:hAnsi="Palatino Linotype"/>
                <w:sz w:val="18"/>
                <w:szCs w:val="18"/>
              </w:rPr>
              <w:tab/>
              <w:t>Stock Futures</w:t>
            </w:r>
          </w:p>
        </w:tc>
        <w:tc>
          <w:tcPr>
            <w:tcW w:w="1306" w:type="dxa"/>
            <w:tcBorders>
              <w:top w:val="nil"/>
              <w:left w:val="nil"/>
              <w:bottom w:val="nil"/>
              <w:right w:val="nil"/>
            </w:tcBorders>
            <w:shd w:val="clear" w:color="auto" w:fill="auto"/>
            <w:noWrap/>
            <w:tcMar>
              <w:top w:w="15" w:type="dxa"/>
              <w:left w:w="15" w:type="dxa"/>
              <w:bottom w:w="0" w:type="dxa"/>
              <w:right w:w="15" w:type="dxa"/>
            </w:tcMar>
            <w:vAlign w:val="center"/>
          </w:tcPr>
          <w:p w:rsidR="00B92080" w:rsidRPr="002E2870" w:rsidRDefault="00B92080" w:rsidP="00DB5405">
            <w:pPr>
              <w:ind w:right="45"/>
              <w:jc w:val="right"/>
              <w:rPr>
                <w:rFonts w:ascii="Palatino Linotype" w:hAnsi="Palatino Linotype"/>
                <w:sz w:val="18"/>
                <w:szCs w:val="18"/>
              </w:rPr>
            </w:pPr>
            <w:r w:rsidRPr="002E2870">
              <w:rPr>
                <w:rFonts w:ascii="Palatino Linotype" w:hAnsi="Palatino Linotype"/>
                <w:sz w:val="18"/>
                <w:szCs w:val="18"/>
              </w:rPr>
              <w:t>14,33,181</w:t>
            </w:r>
          </w:p>
        </w:tc>
        <w:tc>
          <w:tcPr>
            <w:tcW w:w="1307" w:type="dxa"/>
            <w:tcBorders>
              <w:top w:val="nil"/>
              <w:left w:val="single" w:sz="4" w:space="0" w:color="auto"/>
              <w:bottom w:val="nil"/>
              <w:right w:val="nil"/>
            </w:tcBorders>
            <w:shd w:val="clear" w:color="auto" w:fill="auto"/>
            <w:noWrap/>
            <w:tcMar>
              <w:top w:w="15" w:type="dxa"/>
              <w:left w:w="15" w:type="dxa"/>
              <w:bottom w:w="0" w:type="dxa"/>
              <w:right w:w="15" w:type="dxa"/>
            </w:tcMar>
            <w:vAlign w:val="center"/>
          </w:tcPr>
          <w:p w:rsidR="00B92080" w:rsidRPr="002E2870" w:rsidRDefault="00B92080" w:rsidP="00DB5405">
            <w:pPr>
              <w:ind w:right="45"/>
              <w:jc w:val="right"/>
              <w:rPr>
                <w:rFonts w:ascii="Palatino Linotype" w:hAnsi="Palatino Linotype"/>
                <w:sz w:val="18"/>
                <w:szCs w:val="18"/>
              </w:rPr>
            </w:pPr>
            <w:r w:rsidRPr="002E2870">
              <w:rPr>
                <w:rFonts w:ascii="Palatino Linotype" w:hAnsi="Palatino Linotype"/>
                <w:sz w:val="18"/>
                <w:szCs w:val="18"/>
              </w:rPr>
              <w:t>14,22,240</w:t>
            </w:r>
          </w:p>
        </w:tc>
        <w:tc>
          <w:tcPr>
            <w:tcW w:w="1307" w:type="dxa"/>
            <w:tcBorders>
              <w:top w:val="nil"/>
              <w:left w:val="single" w:sz="4" w:space="0" w:color="auto"/>
              <w:bottom w:val="nil"/>
              <w:right w:val="single" w:sz="4" w:space="0" w:color="auto"/>
            </w:tcBorders>
            <w:shd w:val="clear" w:color="auto" w:fill="auto"/>
            <w:noWrap/>
            <w:tcMar>
              <w:top w:w="15" w:type="dxa"/>
              <w:left w:w="15" w:type="dxa"/>
              <w:bottom w:w="0" w:type="dxa"/>
              <w:right w:w="15" w:type="dxa"/>
            </w:tcMar>
            <w:vAlign w:val="center"/>
          </w:tcPr>
          <w:p w:rsidR="00B92080" w:rsidRPr="002E2870" w:rsidRDefault="00B92080" w:rsidP="00DB5405">
            <w:pPr>
              <w:ind w:right="45"/>
              <w:jc w:val="right"/>
              <w:rPr>
                <w:rFonts w:ascii="Palatino Linotype" w:hAnsi="Palatino Linotype"/>
                <w:sz w:val="18"/>
                <w:szCs w:val="18"/>
              </w:rPr>
            </w:pPr>
            <w:r w:rsidRPr="002E2870">
              <w:rPr>
                <w:rFonts w:ascii="Palatino Linotype" w:hAnsi="Palatino Linotype"/>
                <w:sz w:val="18"/>
                <w:szCs w:val="18"/>
              </w:rPr>
              <w:t>-0.8</w:t>
            </w:r>
          </w:p>
        </w:tc>
        <w:tc>
          <w:tcPr>
            <w:tcW w:w="1183" w:type="dxa"/>
            <w:tcBorders>
              <w:top w:val="nil"/>
              <w:left w:val="nil"/>
              <w:bottom w:val="nil"/>
              <w:right w:val="single" w:sz="4" w:space="0" w:color="auto"/>
            </w:tcBorders>
            <w:shd w:val="clear" w:color="auto" w:fill="auto"/>
            <w:noWrap/>
            <w:tcMar>
              <w:top w:w="15" w:type="dxa"/>
              <w:left w:w="15" w:type="dxa"/>
              <w:bottom w:w="0" w:type="dxa"/>
              <w:right w:w="15" w:type="dxa"/>
            </w:tcMar>
          </w:tcPr>
          <w:p w:rsidR="00B92080" w:rsidRPr="002E2870" w:rsidRDefault="00B92080" w:rsidP="00DB5405">
            <w:pPr>
              <w:ind w:right="90"/>
              <w:jc w:val="right"/>
              <w:rPr>
                <w:rFonts w:ascii="Palatino Linotype" w:hAnsi="Palatino Linotype"/>
                <w:sz w:val="18"/>
                <w:szCs w:val="18"/>
              </w:rPr>
            </w:pPr>
            <w:r w:rsidRPr="002E2870">
              <w:rPr>
                <w:rFonts w:ascii="Palatino Linotype" w:hAnsi="Palatino Linotype"/>
                <w:sz w:val="18"/>
                <w:szCs w:val="18"/>
              </w:rPr>
              <w:t>0.0</w:t>
            </w:r>
          </w:p>
        </w:tc>
        <w:tc>
          <w:tcPr>
            <w:tcW w:w="1134" w:type="dxa"/>
            <w:tcBorders>
              <w:top w:val="nil"/>
              <w:left w:val="nil"/>
              <w:bottom w:val="nil"/>
              <w:right w:val="nil"/>
            </w:tcBorders>
            <w:shd w:val="clear" w:color="auto" w:fill="auto"/>
            <w:noWrap/>
            <w:tcMar>
              <w:top w:w="15" w:type="dxa"/>
              <w:left w:w="15" w:type="dxa"/>
              <w:bottom w:w="0" w:type="dxa"/>
              <w:right w:w="15" w:type="dxa"/>
            </w:tcMar>
          </w:tcPr>
          <w:p w:rsidR="00B92080" w:rsidRPr="002E2870" w:rsidRDefault="00B92080" w:rsidP="00DB5405">
            <w:pPr>
              <w:ind w:right="90"/>
              <w:jc w:val="right"/>
              <w:rPr>
                <w:rFonts w:ascii="Palatino Linotype" w:hAnsi="Palatino Linotype"/>
                <w:sz w:val="18"/>
                <w:szCs w:val="18"/>
              </w:rPr>
            </w:pPr>
            <w:r w:rsidRPr="002E2870">
              <w:rPr>
                <w:rFonts w:ascii="Palatino Linotype" w:hAnsi="Palatino Linotype"/>
                <w:sz w:val="18"/>
                <w:szCs w:val="18"/>
              </w:rPr>
              <w:t>0.0</w:t>
            </w:r>
          </w:p>
        </w:tc>
        <w:tc>
          <w:tcPr>
            <w:tcW w:w="1421" w:type="dxa"/>
            <w:tcBorders>
              <w:top w:val="nil"/>
              <w:left w:val="single" w:sz="4" w:space="0" w:color="auto"/>
              <w:bottom w:val="nil"/>
              <w:right w:val="single" w:sz="4" w:space="0" w:color="auto"/>
            </w:tcBorders>
            <w:shd w:val="clear" w:color="auto" w:fill="auto"/>
            <w:noWrap/>
            <w:tcMar>
              <w:top w:w="15" w:type="dxa"/>
              <w:left w:w="15" w:type="dxa"/>
              <w:bottom w:w="0" w:type="dxa"/>
              <w:right w:w="15" w:type="dxa"/>
            </w:tcMar>
          </w:tcPr>
          <w:p w:rsidR="00B92080" w:rsidRPr="002E2870" w:rsidRDefault="00B92080" w:rsidP="00DB5405">
            <w:pPr>
              <w:ind w:right="90"/>
              <w:jc w:val="right"/>
              <w:rPr>
                <w:rFonts w:ascii="Palatino Linotype" w:hAnsi="Palatino Linotype"/>
                <w:sz w:val="18"/>
                <w:szCs w:val="18"/>
              </w:rPr>
            </w:pPr>
            <w:r w:rsidRPr="002E2870">
              <w:rPr>
                <w:rFonts w:ascii="Palatino Linotype" w:hAnsi="Palatino Linotype"/>
                <w:sz w:val="18"/>
                <w:szCs w:val="18"/>
              </w:rPr>
              <w:t>0.0</w:t>
            </w:r>
          </w:p>
        </w:tc>
      </w:tr>
      <w:tr w:rsidR="00B92080" w:rsidRPr="002E2870" w:rsidTr="00DB5405">
        <w:trPr>
          <w:trHeight w:val="255"/>
        </w:trPr>
        <w:tc>
          <w:tcPr>
            <w:tcW w:w="2122" w:type="dxa"/>
            <w:tcBorders>
              <w:top w:val="nil"/>
              <w:left w:val="single" w:sz="4" w:space="0" w:color="000000"/>
              <w:bottom w:val="nil"/>
              <w:right w:val="single" w:sz="4" w:space="0" w:color="000000"/>
            </w:tcBorders>
            <w:shd w:val="clear" w:color="C6D9F0" w:fill="C6D9F0"/>
            <w:noWrap/>
            <w:tcMar>
              <w:top w:w="15" w:type="dxa"/>
              <w:left w:w="15" w:type="dxa"/>
              <w:bottom w:w="0" w:type="dxa"/>
              <w:right w:w="15" w:type="dxa"/>
            </w:tcMar>
            <w:vAlign w:val="center"/>
            <w:hideMark/>
          </w:tcPr>
          <w:p w:rsidR="00B92080" w:rsidRPr="002E2870" w:rsidRDefault="00B92080" w:rsidP="00DB5405">
            <w:pPr>
              <w:tabs>
                <w:tab w:val="left" w:pos="408"/>
              </w:tabs>
              <w:rPr>
                <w:rFonts w:ascii="Palatino Linotype" w:hAnsi="Palatino Linotype"/>
                <w:sz w:val="18"/>
                <w:szCs w:val="18"/>
              </w:rPr>
            </w:pPr>
            <w:r w:rsidRPr="002E2870">
              <w:rPr>
                <w:rFonts w:ascii="Palatino Linotype" w:hAnsi="Palatino Linotype"/>
                <w:sz w:val="18"/>
                <w:szCs w:val="18"/>
              </w:rPr>
              <w:t xml:space="preserve">(iv) </w:t>
            </w:r>
            <w:r w:rsidRPr="002E2870">
              <w:rPr>
                <w:rFonts w:ascii="Palatino Linotype" w:hAnsi="Palatino Linotype"/>
                <w:sz w:val="18"/>
                <w:szCs w:val="18"/>
              </w:rPr>
              <w:tab/>
              <w:t>Options on Stock</w:t>
            </w:r>
          </w:p>
        </w:tc>
        <w:tc>
          <w:tcPr>
            <w:tcW w:w="1306" w:type="dxa"/>
            <w:tcBorders>
              <w:top w:val="nil"/>
              <w:left w:val="nil"/>
              <w:bottom w:val="nil"/>
              <w:right w:val="nil"/>
            </w:tcBorders>
            <w:shd w:val="clear" w:color="auto" w:fill="auto"/>
            <w:noWrap/>
            <w:tcMar>
              <w:top w:w="15" w:type="dxa"/>
              <w:left w:w="15" w:type="dxa"/>
              <w:bottom w:w="0" w:type="dxa"/>
              <w:right w:w="15" w:type="dxa"/>
            </w:tcMar>
            <w:vAlign w:val="center"/>
          </w:tcPr>
          <w:p w:rsidR="00B92080" w:rsidRPr="002E2870" w:rsidRDefault="00B92080" w:rsidP="00DB5405">
            <w:pPr>
              <w:ind w:right="45"/>
              <w:jc w:val="right"/>
              <w:rPr>
                <w:rFonts w:ascii="Palatino Linotype" w:hAnsi="Palatino Linotype"/>
                <w:sz w:val="18"/>
                <w:szCs w:val="18"/>
              </w:rPr>
            </w:pPr>
          </w:p>
        </w:tc>
        <w:tc>
          <w:tcPr>
            <w:tcW w:w="1307" w:type="dxa"/>
            <w:tcBorders>
              <w:top w:val="nil"/>
              <w:left w:val="single" w:sz="4" w:space="0" w:color="auto"/>
              <w:bottom w:val="nil"/>
              <w:right w:val="nil"/>
            </w:tcBorders>
            <w:shd w:val="clear" w:color="auto" w:fill="auto"/>
            <w:noWrap/>
            <w:tcMar>
              <w:top w:w="15" w:type="dxa"/>
              <w:left w:w="15" w:type="dxa"/>
              <w:bottom w:w="0" w:type="dxa"/>
              <w:right w:w="15" w:type="dxa"/>
            </w:tcMar>
            <w:vAlign w:val="center"/>
          </w:tcPr>
          <w:p w:rsidR="00B92080" w:rsidRPr="002E2870" w:rsidRDefault="00B92080" w:rsidP="00DB5405">
            <w:pPr>
              <w:ind w:right="45"/>
              <w:jc w:val="right"/>
              <w:rPr>
                <w:rFonts w:ascii="Palatino Linotype" w:hAnsi="Palatino Linotype"/>
                <w:sz w:val="18"/>
                <w:szCs w:val="18"/>
              </w:rPr>
            </w:pPr>
          </w:p>
        </w:tc>
        <w:tc>
          <w:tcPr>
            <w:tcW w:w="1307" w:type="dxa"/>
            <w:tcBorders>
              <w:top w:val="nil"/>
              <w:left w:val="single" w:sz="4" w:space="0" w:color="auto"/>
              <w:bottom w:val="nil"/>
              <w:right w:val="single" w:sz="4" w:space="0" w:color="auto"/>
            </w:tcBorders>
            <w:shd w:val="clear" w:color="auto" w:fill="auto"/>
            <w:noWrap/>
            <w:tcMar>
              <w:top w:w="15" w:type="dxa"/>
              <w:left w:w="15" w:type="dxa"/>
              <w:bottom w:w="0" w:type="dxa"/>
              <w:right w:w="15" w:type="dxa"/>
            </w:tcMar>
            <w:vAlign w:val="center"/>
          </w:tcPr>
          <w:p w:rsidR="00B92080" w:rsidRPr="002E2870" w:rsidRDefault="00B92080" w:rsidP="00DB5405">
            <w:pPr>
              <w:ind w:right="45"/>
              <w:jc w:val="right"/>
              <w:rPr>
                <w:rFonts w:ascii="Palatino Linotype" w:hAnsi="Palatino Linotype"/>
                <w:sz w:val="18"/>
                <w:szCs w:val="18"/>
              </w:rPr>
            </w:pPr>
          </w:p>
        </w:tc>
        <w:tc>
          <w:tcPr>
            <w:tcW w:w="1183" w:type="dxa"/>
            <w:tcBorders>
              <w:top w:val="nil"/>
              <w:left w:val="nil"/>
              <w:bottom w:val="nil"/>
              <w:right w:val="single" w:sz="4" w:space="0" w:color="auto"/>
            </w:tcBorders>
            <w:shd w:val="clear" w:color="auto" w:fill="auto"/>
            <w:noWrap/>
            <w:tcMar>
              <w:top w:w="15" w:type="dxa"/>
              <w:left w:w="15" w:type="dxa"/>
              <w:bottom w:w="0" w:type="dxa"/>
              <w:right w:w="15" w:type="dxa"/>
            </w:tcMar>
            <w:vAlign w:val="center"/>
          </w:tcPr>
          <w:p w:rsidR="00B92080" w:rsidRPr="002E2870" w:rsidRDefault="00B92080" w:rsidP="00DB5405">
            <w:pPr>
              <w:ind w:right="90"/>
              <w:jc w:val="right"/>
              <w:rPr>
                <w:rFonts w:ascii="Palatino Linotype" w:hAnsi="Palatino Linotype"/>
                <w:sz w:val="18"/>
                <w:szCs w:val="18"/>
              </w:rPr>
            </w:pPr>
          </w:p>
        </w:tc>
        <w:tc>
          <w:tcPr>
            <w:tcW w:w="1134" w:type="dxa"/>
            <w:tcBorders>
              <w:top w:val="nil"/>
              <w:left w:val="nil"/>
              <w:bottom w:val="nil"/>
              <w:right w:val="nil"/>
            </w:tcBorders>
            <w:shd w:val="clear" w:color="auto" w:fill="auto"/>
            <w:noWrap/>
            <w:tcMar>
              <w:top w:w="15" w:type="dxa"/>
              <w:left w:w="15" w:type="dxa"/>
              <w:bottom w:w="0" w:type="dxa"/>
              <w:right w:w="15" w:type="dxa"/>
            </w:tcMar>
            <w:vAlign w:val="center"/>
          </w:tcPr>
          <w:p w:rsidR="00B92080" w:rsidRPr="002E2870" w:rsidRDefault="00B92080" w:rsidP="00DB5405">
            <w:pPr>
              <w:ind w:right="90"/>
              <w:jc w:val="right"/>
              <w:rPr>
                <w:rFonts w:ascii="Palatino Linotype" w:hAnsi="Palatino Linotype"/>
                <w:sz w:val="18"/>
                <w:szCs w:val="18"/>
              </w:rPr>
            </w:pPr>
          </w:p>
        </w:tc>
        <w:tc>
          <w:tcPr>
            <w:tcW w:w="1421" w:type="dxa"/>
            <w:tcBorders>
              <w:top w:val="nil"/>
              <w:left w:val="single" w:sz="4" w:space="0" w:color="auto"/>
              <w:bottom w:val="nil"/>
              <w:right w:val="single" w:sz="4" w:space="0" w:color="auto"/>
            </w:tcBorders>
            <w:shd w:val="clear" w:color="auto" w:fill="auto"/>
            <w:noWrap/>
            <w:tcMar>
              <w:top w:w="15" w:type="dxa"/>
              <w:left w:w="15" w:type="dxa"/>
              <w:bottom w:w="0" w:type="dxa"/>
              <w:right w:w="15" w:type="dxa"/>
            </w:tcMar>
            <w:vAlign w:val="center"/>
          </w:tcPr>
          <w:p w:rsidR="00B92080" w:rsidRPr="002E2870" w:rsidRDefault="00B92080" w:rsidP="00DB5405">
            <w:pPr>
              <w:ind w:right="90"/>
              <w:jc w:val="right"/>
              <w:rPr>
                <w:rFonts w:ascii="Palatino Linotype" w:hAnsi="Palatino Linotype"/>
                <w:sz w:val="18"/>
                <w:szCs w:val="18"/>
              </w:rPr>
            </w:pPr>
          </w:p>
        </w:tc>
      </w:tr>
      <w:tr w:rsidR="00B92080" w:rsidRPr="002E2870" w:rsidTr="00DB5405">
        <w:trPr>
          <w:trHeight w:val="255"/>
        </w:trPr>
        <w:tc>
          <w:tcPr>
            <w:tcW w:w="2122" w:type="dxa"/>
            <w:tcBorders>
              <w:top w:val="nil"/>
              <w:left w:val="single" w:sz="4" w:space="0" w:color="000000"/>
              <w:bottom w:val="nil"/>
              <w:right w:val="single" w:sz="4" w:space="0" w:color="000000"/>
            </w:tcBorders>
            <w:shd w:val="clear" w:color="C6D9F0" w:fill="C6D9F0"/>
            <w:noWrap/>
            <w:tcMar>
              <w:top w:w="15" w:type="dxa"/>
              <w:left w:w="15" w:type="dxa"/>
              <w:bottom w:w="0" w:type="dxa"/>
              <w:right w:w="15" w:type="dxa"/>
            </w:tcMar>
            <w:vAlign w:val="center"/>
            <w:hideMark/>
          </w:tcPr>
          <w:p w:rsidR="00B92080" w:rsidRPr="002E2870" w:rsidRDefault="00B92080" w:rsidP="00DB5405">
            <w:pPr>
              <w:tabs>
                <w:tab w:val="left" w:pos="408"/>
              </w:tabs>
              <w:rPr>
                <w:rFonts w:ascii="Palatino Linotype" w:hAnsi="Palatino Linotype"/>
                <w:i/>
                <w:iCs/>
                <w:sz w:val="18"/>
                <w:szCs w:val="18"/>
              </w:rPr>
            </w:pPr>
            <w:r w:rsidRPr="002E2870">
              <w:rPr>
                <w:rFonts w:ascii="Palatino Linotype" w:hAnsi="Palatino Linotype"/>
                <w:i/>
                <w:iCs/>
                <w:sz w:val="18"/>
                <w:szCs w:val="18"/>
              </w:rPr>
              <w:tab/>
              <w:t>Put</w:t>
            </w:r>
          </w:p>
        </w:tc>
        <w:tc>
          <w:tcPr>
            <w:tcW w:w="1306" w:type="dxa"/>
            <w:tcBorders>
              <w:top w:val="nil"/>
              <w:left w:val="nil"/>
              <w:bottom w:val="nil"/>
              <w:right w:val="nil"/>
            </w:tcBorders>
            <w:shd w:val="clear" w:color="auto" w:fill="auto"/>
            <w:noWrap/>
            <w:tcMar>
              <w:top w:w="15" w:type="dxa"/>
              <w:left w:w="15" w:type="dxa"/>
              <w:bottom w:w="0" w:type="dxa"/>
              <w:right w:w="15" w:type="dxa"/>
            </w:tcMar>
            <w:vAlign w:val="center"/>
          </w:tcPr>
          <w:p w:rsidR="00B92080" w:rsidRPr="002E2870" w:rsidRDefault="00B92080" w:rsidP="00DB5405">
            <w:pPr>
              <w:ind w:right="45"/>
              <w:jc w:val="right"/>
              <w:rPr>
                <w:rFonts w:ascii="Palatino Linotype" w:hAnsi="Palatino Linotype"/>
                <w:sz w:val="18"/>
                <w:szCs w:val="18"/>
              </w:rPr>
            </w:pPr>
            <w:r w:rsidRPr="002E2870">
              <w:rPr>
                <w:rFonts w:ascii="Palatino Linotype" w:hAnsi="Palatino Linotype"/>
                <w:sz w:val="18"/>
                <w:szCs w:val="18"/>
              </w:rPr>
              <w:t>2,14,136</w:t>
            </w:r>
          </w:p>
        </w:tc>
        <w:tc>
          <w:tcPr>
            <w:tcW w:w="1307" w:type="dxa"/>
            <w:tcBorders>
              <w:top w:val="nil"/>
              <w:left w:val="single" w:sz="4" w:space="0" w:color="auto"/>
              <w:bottom w:val="nil"/>
              <w:right w:val="nil"/>
            </w:tcBorders>
            <w:shd w:val="clear" w:color="auto" w:fill="auto"/>
            <w:noWrap/>
            <w:tcMar>
              <w:top w:w="15" w:type="dxa"/>
              <w:left w:w="15" w:type="dxa"/>
              <w:bottom w:w="0" w:type="dxa"/>
              <w:right w:w="15" w:type="dxa"/>
            </w:tcMar>
            <w:vAlign w:val="center"/>
          </w:tcPr>
          <w:p w:rsidR="00B92080" w:rsidRPr="002E2870" w:rsidRDefault="00B92080" w:rsidP="00DB5405">
            <w:pPr>
              <w:ind w:right="45"/>
              <w:jc w:val="right"/>
              <w:rPr>
                <w:rFonts w:ascii="Palatino Linotype" w:hAnsi="Palatino Linotype"/>
                <w:sz w:val="18"/>
                <w:szCs w:val="18"/>
              </w:rPr>
            </w:pPr>
            <w:r w:rsidRPr="002E2870">
              <w:rPr>
                <w:rFonts w:ascii="Palatino Linotype" w:hAnsi="Palatino Linotype"/>
                <w:sz w:val="18"/>
                <w:szCs w:val="18"/>
              </w:rPr>
              <w:t>2,16,322</w:t>
            </w:r>
          </w:p>
        </w:tc>
        <w:tc>
          <w:tcPr>
            <w:tcW w:w="1307" w:type="dxa"/>
            <w:tcBorders>
              <w:top w:val="nil"/>
              <w:left w:val="single" w:sz="4" w:space="0" w:color="auto"/>
              <w:bottom w:val="nil"/>
              <w:right w:val="single" w:sz="4" w:space="0" w:color="auto"/>
            </w:tcBorders>
            <w:shd w:val="clear" w:color="auto" w:fill="auto"/>
            <w:noWrap/>
            <w:tcMar>
              <w:top w:w="15" w:type="dxa"/>
              <w:left w:w="15" w:type="dxa"/>
              <w:bottom w:w="0" w:type="dxa"/>
              <w:right w:w="15" w:type="dxa"/>
            </w:tcMar>
            <w:vAlign w:val="center"/>
          </w:tcPr>
          <w:p w:rsidR="00B92080" w:rsidRPr="002E2870" w:rsidRDefault="00B92080" w:rsidP="00DB5405">
            <w:pPr>
              <w:ind w:right="45"/>
              <w:jc w:val="right"/>
              <w:rPr>
                <w:rFonts w:ascii="Palatino Linotype" w:hAnsi="Palatino Linotype"/>
                <w:sz w:val="18"/>
                <w:szCs w:val="18"/>
              </w:rPr>
            </w:pPr>
            <w:r w:rsidRPr="002E2870">
              <w:rPr>
                <w:rFonts w:ascii="Palatino Linotype" w:hAnsi="Palatino Linotype"/>
                <w:sz w:val="18"/>
                <w:szCs w:val="18"/>
              </w:rPr>
              <w:t>1.0</w:t>
            </w:r>
          </w:p>
        </w:tc>
        <w:tc>
          <w:tcPr>
            <w:tcW w:w="1183" w:type="dxa"/>
            <w:tcBorders>
              <w:top w:val="nil"/>
              <w:left w:val="nil"/>
              <w:bottom w:val="nil"/>
              <w:right w:val="single" w:sz="4" w:space="0" w:color="auto"/>
            </w:tcBorders>
            <w:shd w:val="clear" w:color="auto" w:fill="auto"/>
            <w:noWrap/>
            <w:tcMar>
              <w:top w:w="15" w:type="dxa"/>
              <w:left w:w="15" w:type="dxa"/>
              <w:bottom w:w="0" w:type="dxa"/>
              <w:right w:w="15" w:type="dxa"/>
            </w:tcMar>
          </w:tcPr>
          <w:p w:rsidR="00B92080" w:rsidRPr="002E2870" w:rsidRDefault="00B92080" w:rsidP="00DB5405">
            <w:pPr>
              <w:ind w:right="90"/>
              <w:jc w:val="right"/>
              <w:rPr>
                <w:rFonts w:ascii="Palatino Linotype" w:hAnsi="Palatino Linotype"/>
                <w:sz w:val="18"/>
                <w:szCs w:val="18"/>
              </w:rPr>
            </w:pPr>
            <w:r w:rsidRPr="002E2870">
              <w:rPr>
                <w:rFonts w:ascii="Palatino Linotype" w:hAnsi="Palatino Linotype"/>
                <w:sz w:val="18"/>
                <w:szCs w:val="18"/>
              </w:rPr>
              <w:t>0.0</w:t>
            </w:r>
          </w:p>
        </w:tc>
        <w:tc>
          <w:tcPr>
            <w:tcW w:w="1134" w:type="dxa"/>
            <w:tcBorders>
              <w:top w:val="nil"/>
              <w:left w:val="nil"/>
              <w:bottom w:val="nil"/>
              <w:right w:val="nil"/>
            </w:tcBorders>
            <w:shd w:val="clear" w:color="auto" w:fill="auto"/>
            <w:noWrap/>
            <w:tcMar>
              <w:top w:w="15" w:type="dxa"/>
              <w:left w:w="15" w:type="dxa"/>
              <w:bottom w:w="0" w:type="dxa"/>
              <w:right w:w="15" w:type="dxa"/>
            </w:tcMar>
          </w:tcPr>
          <w:p w:rsidR="00B92080" w:rsidRPr="002E2870" w:rsidRDefault="00B92080" w:rsidP="00DB5405">
            <w:pPr>
              <w:ind w:right="90"/>
              <w:jc w:val="right"/>
              <w:rPr>
                <w:rFonts w:ascii="Palatino Linotype" w:hAnsi="Palatino Linotype"/>
                <w:sz w:val="18"/>
                <w:szCs w:val="18"/>
              </w:rPr>
            </w:pPr>
            <w:r w:rsidRPr="002E2870">
              <w:rPr>
                <w:rFonts w:ascii="Palatino Linotype" w:hAnsi="Palatino Linotype"/>
                <w:sz w:val="18"/>
                <w:szCs w:val="18"/>
              </w:rPr>
              <w:t>0.0</w:t>
            </w:r>
          </w:p>
        </w:tc>
        <w:tc>
          <w:tcPr>
            <w:tcW w:w="1421" w:type="dxa"/>
            <w:tcBorders>
              <w:top w:val="nil"/>
              <w:left w:val="single" w:sz="4" w:space="0" w:color="auto"/>
              <w:bottom w:val="nil"/>
              <w:right w:val="single" w:sz="4" w:space="0" w:color="auto"/>
            </w:tcBorders>
            <w:shd w:val="clear" w:color="auto" w:fill="auto"/>
            <w:noWrap/>
            <w:tcMar>
              <w:top w:w="15" w:type="dxa"/>
              <w:left w:w="15" w:type="dxa"/>
              <w:bottom w:w="0" w:type="dxa"/>
              <w:right w:w="15" w:type="dxa"/>
            </w:tcMar>
          </w:tcPr>
          <w:p w:rsidR="00B92080" w:rsidRPr="002E2870" w:rsidRDefault="00B92080" w:rsidP="00DB5405">
            <w:pPr>
              <w:ind w:right="90"/>
              <w:jc w:val="right"/>
              <w:rPr>
                <w:rFonts w:ascii="Palatino Linotype" w:hAnsi="Palatino Linotype"/>
                <w:sz w:val="18"/>
                <w:szCs w:val="18"/>
              </w:rPr>
            </w:pPr>
            <w:r w:rsidRPr="002E2870">
              <w:rPr>
                <w:rFonts w:ascii="Palatino Linotype" w:hAnsi="Palatino Linotype"/>
                <w:sz w:val="18"/>
                <w:szCs w:val="18"/>
              </w:rPr>
              <w:t>0.0</w:t>
            </w:r>
          </w:p>
        </w:tc>
      </w:tr>
      <w:tr w:rsidR="00B92080" w:rsidRPr="002E2870" w:rsidTr="00DB5405">
        <w:trPr>
          <w:trHeight w:val="255"/>
        </w:trPr>
        <w:tc>
          <w:tcPr>
            <w:tcW w:w="2122" w:type="dxa"/>
            <w:tcBorders>
              <w:top w:val="nil"/>
              <w:left w:val="single" w:sz="4" w:space="0" w:color="000000"/>
              <w:bottom w:val="single" w:sz="4" w:space="0" w:color="000000"/>
              <w:right w:val="single" w:sz="4" w:space="0" w:color="000000"/>
            </w:tcBorders>
            <w:shd w:val="clear" w:color="C6D9F0" w:fill="C6D9F0"/>
            <w:noWrap/>
            <w:tcMar>
              <w:top w:w="15" w:type="dxa"/>
              <w:left w:w="15" w:type="dxa"/>
              <w:bottom w:w="0" w:type="dxa"/>
              <w:right w:w="15" w:type="dxa"/>
            </w:tcMar>
            <w:vAlign w:val="center"/>
            <w:hideMark/>
          </w:tcPr>
          <w:p w:rsidR="00B92080" w:rsidRPr="002E2870" w:rsidRDefault="00B92080" w:rsidP="00DB5405">
            <w:pPr>
              <w:tabs>
                <w:tab w:val="left" w:pos="408"/>
              </w:tabs>
              <w:rPr>
                <w:rFonts w:ascii="Palatino Linotype" w:hAnsi="Palatino Linotype"/>
                <w:i/>
                <w:iCs/>
                <w:sz w:val="18"/>
                <w:szCs w:val="18"/>
              </w:rPr>
            </w:pPr>
            <w:r w:rsidRPr="002E2870">
              <w:rPr>
                <w:rFonts w:ascii="Palatino Linotype" w:hAnsi="Palatino Linotype"/>
                <w:i/>
                <w:iCs/>
                <w:sz w:val="18"/>
                <w:szCs w:val="18"/>
              </w:rPr>
              <w:tab/>
              <w:t>Call</w:t>
            </w:r>
          </w:p>
        </w:tc>
        <w:tc>
          <w:tcPr>
            <w:tcW w:w="1306" w:type="dxa"/>
            <w:tcBorders>
              <w:top w:val="nil"/>
              <w:left w:val="nil"/>
              <w:bottom w:val="single" w:sz="4" w:space="0" w:color="auto"/>
              <w:right w:val="nil"/>
            </w:tcBorders>
            <w:shd w:val="clear" w:color="auto" w:fill="auto"/>
            <w:noWrap/>
            <w:tcMar>
              <w:top w:w="15" w:type="dxa"/>
              <w:left w:w="15" w:type="dxa"/>
              <w:bottom w:w="0" w:type="dxa"/>
              <w:right w:w="15" w:type="dxa"/>
            </w:tcMar>
            <w:vAlign w:val="center"/>
          </w:tcPr>
          <w:p w:rsidR="00B92080" w:rsidRPr="002E2870" w:rsidRDefault="00B92080" w:rsidP="00DB5405">
            <w:pPr>
              <w:ind w:right="45"/>
              <w:jc w:val="right"/>
              <w:rPr>
                <w:rFonts w:ascii="Palatino Linotype" w:hAnsi="Palatino Linotype"/>
                <w:sz w:val="18"/>
                <w:szCs w:val="18"/>
              </w:rPr>
            </w:pPr>
            <w:r w:rsidRPr="002E2870">
              <w:rPr>
                <w:rFonts w:ascii="Palatino Linotype" w:hAnsi="Palatino Linotype"/>
                <w:sz w:val="18"/>
                <w:szCs w:val="18"/>
              </w:rPr>
              <w:t>3,89,010</w:t>
            </w:r>
          </w:p>
        </w:tc>
        <w:tc>
          <w:tcPr>
            <w:tcW w:w="1307" w:type="dxa"/>
            <w:tcBorders>
              <w:top w:val="nil"/>
              <w:left w:val="single" w:sz="4" w:space="0" w:color="auto"/>
              <w:bottom w:val="single" w:sz="4" w:space="0" w:color="auto"/>
              <w:right w:val="nil"/>
            </w:tcBorders>
            <w:shd w:val="clear" w:color="auto" w:fill="auto"/>
            <w:noWrap/>
            <w:tcMar>
              <w:top w:w="15" w:type="dxa"/>
              <w:left w:w="15" w:type="dxa"/>
              <w:bottom w:w="0" w:type="dxa"/>
              <w:right w:w="15" w:type="dxa"/>
            </w:tcMar>
            <w:vAlign w:val="center"/>
          </w:tcPr>
          <w:p w:rsidR="00B92080" w:rsidRPr="002E2870" w:rsidRDefault="00B92080" w:rsidP="00DB5405">
            <w:pPr>
              <w:ind w:right="45"/>
              <w:jc w:val="right"/>
              <w:rPr>
                <w:rFonts w:ascii="Palatino Linotype" w:hAnsi="Palatino Linotype"/>
                <w:sz w:val="18"/>
                <w:szCs w:val="18"/>
              </w:rPr>
            </w:pPr>
            <w:r w:rsidRPr="002E2870">
              <w:rPr>
                <w:rFonts w:ascii="Palatino Linotype" w:hAnsi="Palatino Linotype"/>
                <w:sz w:val="18"/>
                <w:szCs w:val="18"/>
              </w:rPr>
              <w:t>3,61,684</w:t>
            </w:r>
          </w:p>
        </w:tc>
        <w:tc>
          <w:tcPr>
            <w:tcW w:w="1307"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tcPr>
          <w:p w:rsidR="00B92080" w:rsidRPr="002E2870" w:rsidRDefault="00B92080" w:rsidP="00DB5405">
            <w:pPr>
              <w:ind w:right="45"/>
              <w:jc w:val="right"/>
              <w:rPr>
                <w:rFonts w:ascii="Palatino Linotype" w:hAnsi="Palatino Linotype"/>
                <w:sz w:val="18"/>
                <w:szCs w:val="18"/>
              </w:rPr>
            </w:pPr>
            <w:r w:rsidRPr="002E2870">
              <w:rPr>
                <w:rFonts w:ascii="Palatino Linotype" w:hAnsi="Palatino Linotype"/>
                <w:sz w:val="18"/>
                <w:szCs w:val="18"/>
              </w:rPr>
              <w:t>-7.0</w:t>
            </w:r>
          </w:p>
        </w:tc>
        <w:tc>
          <w:tcPr>
            <w:tcW w:w="1183" w:type="dxa"/>
            <w:tcBorders>
              <w:top w:val="nil"/>
              <w:left w:val="nil"/>
              <w:bottom w:val="single" w:sz="4" w:space="0" w:color="000000"/>
              <w:right w:val="single" w:sz="4" w:space="0" w:color="auto"/>
            </w:tcBorders>
            <w:shd w:val="clear" w:color="auto" w:fill="auto"/>
            <w:noWrap/>
            <w:tcMar>
              <w:top w:w="15" w:type="dxa"/>
              <w:left w:w="15" w:type="dxa"/>
              <w:bottom w:w="0" w:type="dxa"/>
              <w:right w:w="15" w:type="dxa"/>
            </w:tcMar>
          </w:tcPr>
          <w:p w:rsidR="00B92080" w:rsidRPr="002E2870" w:rsidRDefault="00B92080" w:rsidP="00DB5405">
            <w:pPr>
              <w:ind w:right="90"/>
              <w:jc w:val="right"/>
              <w:rPr>
                <w:rFonts w:ascii="Palatino Linotype" w:hAnsi="Palatino Linotype"/>
                <w:sz w:val="18"/>
                <w:szCs w:val="18"/>
              </w:rPr>
            </w:pPr>
            <w:r w:rsidRPr="002E2870">
              <w:rPr>
                <w:rFonts w:ascii="Palatino Linotype" w:hAnsi="Palatino Linotype"/>
                <w:sz w:val="18"/>
                <w:szCs w:val="18"/>
              </w:rPr>
              <w:t>0.0</w:t>
            </w:r>
          </w:p>
        </w:tc>
        <w:tc>
          <w:tcPr>
            <w:tcW w:w="1134" w:type="dxa"/>
            <w:tcBorders>
              <w:top w:val="nil"/>
              <w:left w:val="nil"/>
              <w:bottom w:val="nil"/>
              <w:right w:val="nil"/>
            </w:tcBorders>
            <w:shd w:val="clear" w:color="auto" w:fill="auto"/>
            <w:noWrap/>
            <w:tcMar>
              <w:top w:w="15" w:type="dxa"/>
              <w:left w:w="15" w:type="dxa"/>
              <w:bottom w:w="0" w:type="dxa"/>
              <w:right w:w="15" w:type="dxa"/>
            </w:tcMar>
          </w:tcPr>
          <w:p w:rsidR="00B92080" w:rsidRPr="002E2870" w:rsidRDefault="00B92080" w:rsidP="00DB5405">
            <w:pPr>
              <w:ind w:right="90"/>
              <w:jc w:val="right"/>
              <w:rPr>
                <w:rFonts w:ascii="Palatino Linotype" w:hAnsi="Palatino Linotype"/>
                <w:sz w:val="18"/>
                <w:szCs w:val="18"/>
              </w:rPr>
            </w:pPr>
            <w:r w:rsidRPr="002E2870">
              <w:rPr>
                <w:rFonts w:ascii="Palatino Linotype" w:hAnsi="Palatino Linotype"/>
                <w:sz w:val="18"/>
                <w:szCs w:val="18"/>
              </w:rPr>
              <w:t>0.0</w:t>
            </w:r>
          </w:p>
        </w:tc>
        <w:tc>
          <w:tcPr>
            <w:tcW w:w="1421"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tcPr>
          <w:p w:rsidR="00B92080" w:rsidRPr="002E2870" w:rsidRDefault="00B92080" w:rsidP="00DB5405">
            <w:pPr>
              <w:ind w:right="90"/>
              <w:jc w:val="right"/>
              <w:rPr>
                <w:rFonts w:ascii="Palatino Linotype" w:hAnsi="Palatino Linotype"/>
                <w:sz w:val="18"/>
                <w:szCs w:val="18"/>
              </w:rPr>
            </w:pPr>
            <w:r w:rsidRPr="002E2870">
              <w:rPr>
                <w:rFonts w:ascii="Palatino Linotype" w:hAnsi="Palatino Linotype"/>
                <w:sz w:val="18"/>
                <w:szCs w:val="18"/>
              </w:rPr>
              <w:t>0.0</w:t>
            </w:r>
          </w:p>
        </w:tc>
      </w:tr>
      <w:tr w:rsidR="00B92080" w:rsidRPr="002E2870" w:rsidTr="00DB5405">
        <w:trPr>
          <w:trHeight w:val="255"/>
        </w:trPr>
        <w:tc>
          <w:tcPr>
            <w:tcW w:w="2122" w:type="dxa"/>
            <w:tcBorders>
              <w:top w:val="nil"/>
              <w:left w:val="single" w:sz="4" w:space="0" w:color="000000"/>
              <w:bottom w:val="single" w:sz="4" w:space="0" w:color="000000"/>
              <w:right w:val="single" w:sz="4" w:space="0" w:color="000000"/>
            </w:tcBorders>
            <w:shd w:val="clear" w:color="C6D9F0" w:fill="C6D9F0"/>
            <w:noWrap/>
            <w:tcMar>
              <w:top w:w="15" w:type="dxa"/>
              <w:left w:w="15" w:type="dxa"/>
              <w:bottom w:w="0" w:type="dxa"/>
              <w:right w:w="15" w:type="dxa"/>
            </w:tcMar>
            <w:vAlign w:val="center"/>
            <w:hideMark/>
          </w:tcPr>
          <w:p w:rsidR="00B92080" w:rsidRPr="002E2870" w:rsidRDefault="00B92080" w:rsidP="00DB5405">
            <w:pPr>
              <w:tabs>
                <w:tab w:val="left" w:pos="408"/>
              </w:tabs>
              <w:rPr>
                <w:rFonts w:ascii="Palatino Linotype" w:hAnsi="Palatino Linotype"/>
                <w:b/>
                <w:bCs/>
                <w:sz w:val="18"/>
                <w:szCs w:val="18"/>
              </w:rPr>
            </w:pPr>
            <w:r w:rsidRPr="002E2870">
              <w:rPr>
                <w:rFonts w:ascii="Palatino Linotype" w:hAnsi="Palatino Linotype"/>
                <w:b/>
                <w:bCs/>
                <w:sz w:val="18"/>
                <w:szCs w:val="18"/>
              </w:rPr>
              <w:t>Total</w:t>
            </w:r>
          </w:p>
        </w:tc>
        <w:tc>
          <w:tcPr>
            <w:tcW w:w="1306" w:type="dxa"/>
            <w:tcBorders>
              <w:top w:val="nil"/>
              <w:left w:val="nil"/>
              <w:bottom w:val="single" w:sz="4" w:space="0" w:color="000000"/>
              <w:right w:val="single" w:sz="4" w:space="0" w:color="000000"/>
            </w:tcBorders>
            <w:shd w:val="clear" w:color="C6D9F0" w:fill="C6D9F0"/>
            <w:noWrap/>
            <w:tcMar>
              <w:top w:w="15" w:type="dxa"/>
              <w:left w:w="15" w:type="dxa"/>
              <w:bottom w:w="0" w:type="dxa"/>
              <w:right w:w="15" w:type="dxa"/>
            </w:tcMar>
            <w:vAlign w:val="center"/>
          </w:tcPr>
          <w:p w:rsidR="00B92080" w:rsidRPr="002E2870" w:rsidRDefault="00B92080" w:rsidP="00DB5405">
            <w:pPr>
              <w:ind w:right="45"/>
              <w:jc w:val="right"/>
              <w:rPr>
                <w:rFonts w:ascii="Palatino Linotype" w:hAnsi="Palatino Linotype"/>
                <w:b/>
                <w:bCs/>
                <w:sz w:val="18"/>
                <w:szCs w:val="18"/>
              </w:rPr>
            </w:pPr>
            <w:r w:rsidRPr="002E2870">
              <w:rPr>
                <w:rFonts w:ascii="Palatino Linotype" w:hAnsi="Palatino Linotype"/>
                <w:b/>
                <w:bCs/>
                <w:sz w:val="18"/>
                <w:szCs w:val="18"/>
              </w:rPr>
              <w:t>45,89,201</w:t>
            </w:r>
          </w:p>
        </w:tc>
        <w:tc>
          <w:tcPr>
            <w:tcW w:w="1307" w:type="dxa"/>
            <w:tcBorders>
              <w:top w:val="nil"/>
              <w:left w:val="nil"/>
              <w:bottom w:val="single" w:sz="4" w:space="0" w:color="000000"/>
              <w:right w:val="single" w:sz="4" w:space="0" w:color="000000"/>
            </w:tcBorders>
            <w:shd w:val="clear" w:color="C6D9F0" w:fill="C6D9F0"/>
            <w:noWrap/>
            <w:tcMar>
              <w:top w:w="15" w:type="dxa"/>
              <w:left w:w="15" w:type="dxa"/>
              <w:bottom w:w="0" w:type="dxa"/>
              <w:right w:w="15" w:type="dxa"/>
            </w:tcMar>
            <w:vAlign w:val="center"/>
          </w:tcPr>
          <w:p w:rsidR="00B92080" w:rsidRPr="002E2870" w:rsidRDefault="00B92080" w:rsidP="00DB5405">
            <w:pPr>
              <w:ind w:right="45"/>
              <w:jc w:val="right"/>
              <w:rPr>
                <w:rFonts w:ascii="Palatino Linotype" w:hAnsi="Palatino Linotype"/>
                <w:b/>
                <w:bCs/>
                <w:sz w:val="18"/>
                <w:szCs w:val="18"/>
              </w:rPr>
            </w:pPr>
            <w:r w:rsidRPr="002E2870">
              <w:rPr>
                <w:rFonts w:ascii="Palatino Linotype" w:hAnsi="Palatino Linotype"/>
                <w:b/>
                <w:bCs/>
                <w:sz w:val="18"/>
                <w:szCs w:val="18"/>
              </w:rPr>
              <w:t>51,35,777</w:t>
            </w:r>
          </w:p>
        </w:tc>
        <w:tc>
          <w:tcPr>
            <w:tcW w:w="1307" w:type="dxa"/>
            <w:tcBorders>
              <w:top w:val="nil"/>
              <w:left w:val="nil"/>
              <w:bottom w:val="single" w:sz="4" w:space="0" w:color="000000"/>
              <w:right w:val="single" w:sz="4" w:space="0" w:color="000000"/>
            </w:tcBorders>
            <w:shd w:val="clear" w:color="C6D9F0" w:fill="C6D9F0"/>
            <w:noWrap/>
            <w:tcMar>
              <w:top w:w="15" w:type="dxa"/>
              <w:left w:w="15" w:type="dxa"/>
              <w:bottom w:w="0" w:type="dxa"/>
              <w:right w:w="15" w:type="dxa"/>
            </w:tcMar>
            <w:vAlign w:val="center"/>
          </w:tcPr>
          <w:p w:rsidR="00B92080" w:rsidRPr="002E2870" w:rsidRDefault="00B92080" w:rsidP="00DB5405">
            <w:pPr>
              <w:ind w:right="45"/>
              <w:jc w:val="right"/>
              <w:rPr>
                <w:rFonts w:ascii="Palatino Linotype" w:hAnsi="Palatino Linotype"/>
                <w:b/>
                <w:bCs/>
                <w:sz w:val="18"/>
                <w:szCs w:val="18"/>
              </w:rPr>
            </w:pPr>
            <w:r w:rsidRPr="002E2870">
              <w:rPr>
                <w:rFonts w:ascii="Palatino Linotype" w:hAnsi="Palatino Linotype"/>
                <w:b/>
                <w:bCs/>
                <w:sz w:val="18"/>
                <w:szCs w:val="18"/>
              </w:rPr>
              <w:t>11.9</w:t>
            </w:r>
          </w:p>
        </w:tc>
        <w:tc>
          <w:tcPr>
            <w:tcW w:w="1183" w:type="dxa"/>
            <w:tcBorders>
              <w:top w:val="nil"/>
              <w:left w:val="nil"/>
              <w:bottom w:val="single" w:sz="4" w:space="0" w:color="000000"/>
              <w:right w:val="single" w:sz="4" w:space="0" w:color="000000"/>
            </w:tcBorders>
            <w:shd w:val="clear" w:color="C6D9F0" w:fill="C6D9F0"/>
            <w:noWrap/>
            <w:tcMar>
              <w:top w:w="15" w:type="dxa"/>
              <w:left w:w="15" w:type="dxa"/>
              <w:bottom w:w="0" w:type="dxa"/>
              <w:right w:w="15" w:type="dxa"/>
            </w:tcMar>
            <w:vAlign w:val="center"/>
          </w:tcPr>
          <w:p w:rsidR="00B92080" w:rsidRPr="002E2870" w:rsidRDefault="00B92080" w:rsidP="00DB5405">
            <w:pPr>
              <w:ind w:right="90"/>
              <w:jc w:val="right"/>
              <w:rPr>
                <w:rFonts w:ascii="Palatino Linotype" w:hAnsi="Palatino Linotype"/>
                <w:b/>
                <w:bCs/>
                <w:sz w:val="18"/>
                <w:szCs w:val="18"/>
              </w:rPr>
            </w:pPr>
            <w:r w:rsidRPr="002E2870">
              <w:rPr>
                <w:rFonts w:ascii="Palatino Linotype" w:hAnsi="Palatino Linotype"/>
                <w:b/>
                <w:bCs/>
                <w:sz w:val="18"/>
                <w:szCs w:val="18"/>
              </w:rPr>
              <w:t>8,217</w:t>
            </w:r>
          </w:p>
        </w:tc>
        <w:tc>
          <w:tcPr>
            <w:tcW w:w="1134" w:type="dxa"/>
            <w:tcBorders>
              <w:top w:val="single" w:sz="4" w:space="0" w:color="000000"/>
              <w:left w:val="nil"/>
              <w:bottom w:val="single" w:sz="4" w:space="0" w:color="000000"/>
              <w:right w:val="single" w:sz="4" w:space="0" w:color="000000"/>
            </w:tcBorders>
            <w:shd w:val="clear" w:color="C6D9F0" w:fill="C6D9F0"/>
            <w:noWrap/>
            <w:tcMar>
              <w:top w:w="15" w:type="dxa"/>
              <w:left w:w="15" w:type="dxa"/>
              <w:bottom w:w="0" w:type="dxa"/>
              <w:right w:w="15" w:type="dxa"/>
            </w:tcMar>
            <w:vAlign w:val="center"/>
          </w:tcPr>
          <w:p w:rsidR="00B92080" w:rsidRPr="002E2870" w:rsidRDefault="00B92080" w:rsidP="00DB5405">
            <w:pPr>
              <w:ind w:right="90"/>
              <w:jc w:val="right"/>
              <w:rPr>
                <w:rFonts w:ascii="Palatino Linotype" w:hAnsi="Palatino Linotype"/>
                <w:b/>
                <w:bCs/>
                <w:sz w:val="18"/>
                <w:szCs w:val="18"/>
              </w:rPr>
            </w:pPr>
            <w:r w:rsidRPr="002E2870">
              <w:rPr>
                <w:rFonts w:ascii="Palatino Linotype" w:hAnsi="Palatino Linotype"/>
                <w:b/>
                <w:bCs/>
                <w:sz w:val="18"/>
                <w:szCs w:val="18"/>
              </w:rPr>
              <w:t>3,589</w:t>
            </w:r>
          </w:p>
        </w:tc>
        <w:tc>
          <w:tcPr>
            <w:tcW w:w="1421" w:type="dxa"/>
            <w:tcBorders>
              <w:top w:val="nil"/>
              <w:left w:val="nil"/>
              <w:bottom w:val="single" w:sz="4" w:space="0" w:color="000000"/>
              <w:right w:val="single" w:sz="4" w:space="0" w:color="000000"/>
            </w:tcBorders>
            <w:shd w:val="clear" w:color="C6D9F0" w:fill="C6D9F0"/>
            <w:noWrap/>
            <w:tcMar>
              <w:top w:w="15" w:type="dxa"/>
              <w:left w:w="15" w:type="dxa"/>
              <w:bottom w:w="0" w:type="dxa"/>
              <w:right w:w="15" w:type="dxa"/>
            </w:tcMar>
            <w:vAlign w:val="center"/>
          </w:tcPr>
          <w:p w:rsidR="00B92080" w:rsidRPr="002E2870" w:rsidRDefault="00B92080" w:rsidP="00DB5405">
            <w:pPr>
              <w:ind w:right="90"/>
              <w:jc w:val="right"/>
              <w:rPr>
                <w:rFonts w:ascii="Palatino Linotype" w:hAnsi="Palatino Linotype"/>
                <w:b/>
                <w:bCs/>
                <w:sz w:val="18"/>
                <w:szCs w:val="18"/>
              </w:rPr>
            </w:pPr>
            <w:r w:rsidRPr="002E2870">
              <w:rPr>
                <w:rFonts w:ascii="Palatino Linotype" w:hAnsi="Palatino Linotype"/>
                <w:b/>
                <w:bCs/>
                <w:sz w:val="18"/>
                <w:szCs w:val="18"/>
              </w:rPr>
              <w:t>-56.3</w:t>
            </w:r>
          </w:p>
        </w:tc>
      </w:tr>
    </w:tbl>
    <w:p w:rsidR="00B92080" w:rsidRPr="002E2870" w:rsidRDefault="00B92080" w:rsidP="00B92080">
      <w:pPr>
        <w:tabs>
          <w:tab w:val="left" w:pos="3135"/>
        </w:tabs>
        <w:spacing w:line="276" w:lineRule="auto"/>
        <w:rPr>
          <w:rFonts w:ascii="Palatino Linotype" w:eastAsia="Palatino Linotype" w:hAnsi="Palatino Linotype" w:cs="Palatino Linotype"/>
          <w:b/>
          <w:sz w:val="18"/>
          <w:szCs w:val="18"/>
        </w:rPr>
      </w:pPr>
      <w:r w:rsidRPr="002E2870">
        <w:rPr>
          <w:rFonts w:ascii="Palatino Linotype" w:eastAsia="Palatino Linotype" w:hAnsi="Palatino Linotype" w:cs="Palatino Linotype"/>
          <w:b/>
          <w:sz w:val="18"/>
          <w:szCs w:val="18"/>
        </w:rPr>
        <w:t>Source: NSE and BSE</w:t>
      </w:r>
    </w:p>
    <w:p w:rsidR="00B92080" w:rsidRPr="002E2870" w:rsidRDefault="00B92080" w:rsidP="00B92080">
      <w:pPr>
        <w:tabs>
          <w:tab w:val="left" w:pos="3135"/>
        </w:tabs>
        <w:spacing w:line="276" w:lineRule="auto"/>
        <w:rPr>
          <w:rFonts w:ascii="Palatino Linotype" w:eastAsia="Palatino Linotype" w:hAnsi="Palatino Linotype" w:cs="Palatino Linotype"/>
          <w:b/>
          <w:sz w:val="22"/>
          <w:szCs w:val="22"/>
        </w:rPr>
      </w:pPr>
    </w:p>
    <w:p w:rsidR="00B92080" w:rsidRPr="002E2870" w:rsidRDefault="00B92080" w:rsidP="00B92080">
      <w:pPr>
        <w:tabs>
          <w:tab w:val="left" w:pos="3135"/>
        </w:tabs>
        <w:spacing w:line="276" w:lineRule="auto"/>
        <w:rPr>
          <w:rFonts w:ascii="Palatino Linotype" w:eastAsia="Palatino Linotype" w:hAnsi="Palatino Linotype" w:cs="Palatino Linotype"/>
          <w:b/>
          <w:sz w:val="22"/>
          <w:szCs w:val="22"/>
          <w:u w:val="single"/>
        </w:rPr>
      </w:pPr>
      <w:r w:rsidRPr="002E2870">
        <w:rPr>
          <w:rFonts w:ascii="Palatino Linotype" w:eastAsia="Palatino Linotype" w:hAnsi="Palatino Linotype" w:cs="Palatino Linotype"/>
          <w:b/>
          <w:sz w:val="22"/>
          <w:szCs w:val="22"/>
          <w:u w:val="single"/>
        </w:rPr>
        <w:t xml:space="preserve">BSE </w:t>
      </w:r>
    </w:p>
    <w:p w:rsidR="00B92080" w:rsidRPr="002E2870" w:rsidRDefault="00B92080" w:rsidP="00B92080">
      <w:pPr>
        <w:numPr>
          <w:ilvl w:val="0"/>
          <w:numId w:val="6"/>
        </w:numPr>
        <w:pBdr>
          <w:top w:val="nil"/>
          <w:left w:val="nil"/>
          <w:bottom w:val="nil"/>
          <w:right w:val="nil"/>
          <w:between w:val="nil"/>
        </w:pBdr>
        <w:spacing w:line="276" w:lineRule="auto"/>
        <w:ind w:left="567" w:hanging="567"/>
        <w:jc w:val="both"/>
        <w:rPr>
          <w:rFonts w:ascii="Palatino Linotype" w:eastAsia="Palatino Linotype" w:hAnsi="Palatino Linotype" w:cs="Palatino Linotype"/>
          <w:sz w:val="22"/>
          <w:szCs w:val="22"/>
        </w:rPr>
      </w:pPr>
      <w:r w:rsidRPr="002E2870">
        <w:rPr>
          <w:rFonts w:ascii="Palatino Linotype" w:eastAsia="Tahoma" w:hAnsi="Palatino Linotype"/>
          <w:sz w:val="22"/>
          <w:szCs w:val="22"/>
        </w:rPr>
        <w:t xml:space="preserve">During September </w:t>
      </w:r>
      <w:r w:rsidRPr="002E2870">
        <w:rPr>
          <w:rFonts w:ascii="Palatino Linotype" w:eastAsia="Palatino Linotype" w:hAnsi="Palatino Linotype" w:cs="Palatino Linotype"/>
          <w:sz w:val="22"/>
          <w:szCs w:val="22"/>
        </w:rPr>
        <w:t>2020</w:t>
      </w:r>
      <w:r w:rsidRPr="002E2870">
        <w:rPr>
          <w:rFonts w:ascii="Palatino Linotype" w:eastAsia="Tahoma" w:hAnsi="Palatino Linotype"/>
          <w:sz w:val="22"/>
          <w:szCs w:val="22"/>
        </w:rPr>
        <w:t xml:space="preserve">, </w:t>
      </w:r>
      <w:r w:rsidRPr="002E2870">
        <w:rPr>
          <w:rFonts w:ascii="Palatino Linotype" w:eastAsia="Palatino Linotype" w:hAnsi="Palatino Linotype" w:cs="Palatino Linotype"/>
          <w:sz w:val="22"/>
          <w:szCs w:val="22"/>
        </w:rPr>
        <w:t>turnover of</w:t>
      </w:r>
      <w:r w:rsidRPr="002E2870">
        <w:rPr>
          <w:rFonts w:ascii="Palatino Linotype" w:eastAsia="Tahoma" w:hAnsi="Palatino Linotype"/>
          <w:sz w:val="22"/>
          <w:szCs w:val="22"/>
        </w:rPr>
        <w:t xml:space="preserve"> the </w:t>
      </w:r>
      <w:r w:rsidRPr="002E2870">
        <w:rPr>
          <w:rFonts w:ascii="Palatino Linotype" w:eastAsia="Palatino Linotype" w:hAnsi="Palatino Linotype" w:cs="Palatino Linotype"/>
          <w:sz w:val="22"/>
          <w:szCs w:val="22"/>
        </w:rPr>
        <w:t xml:space="preserve">equity derivatives segment of BSE increased by 47.5 per cent to </w:t>
      </w:r>
      <w:r w:rsidRPr="002E2870">
        <w:rPr>
          <w:rFonts w:ascii="Times New Roman" w:eastAsia="Palatino Linotype" w:hAnsi="Times New Roman"/>
          <w:sz w:val="22"/>
          <w:szCs w:val="22"/>
        </w:rPr>
        <w:t>₹</w:t>
      </w:r>
      <w:r w:rsidRPr="002E2870">
        <w:rPr>
          <w:rFonts w:ascii="Palatino Linotype" w:eastAsia="Palatino Linotype" w:hAnsi="Palatino Linotype" w:cs="Palatino Linotype"/>
          <w:sz w:val="22"/>
          <w:szCs w:val="22"/>
        </w:rPr>
        <w:t xml:space="preserve">27,26,566.6 crore compared to </w:t>
      </w:r>
      <w:r w:rsidRPr="002E2870">
        <w:rPr>
          <w:rFonts w:ascii="Times New Roman" w:eastAsia="Palatino Linotype" w:hAnsi="Times New Roman"/>
          <w:sz w:val="22"/>
          <w:szCs w:val="22"/>
        </w:rPr>
        <w:t>₹</w:t>
      </w:r>
      <w:r w:rsidRPr="002E2870">
        <w:rPr>
          <w:rFonts w:ascii="Palatino Linotype" w:eastAsia="Palatino Linotype" w:hAnsi="Palatino Linotype" w:cs="Palatino Linotype"/>
          <w:sz w:val="22"/>
          <w:szCs w:val="22"/>
        </w:rPr>
        <w:t>18,48,116.</w:t>
      </w:r>
      <w:r>
        <w:rPr>
          <w:rFonts w:ascii="Palatino Linotype" w:eastAsia="Palatino Linotype" w:hAnsi="Palatino Linotype" w:cs="Palatino Linotype"/>
          <w:sz w:val="22"/>
          <w:szCs w:val="22"/>
        </w:rPr>
        <w:t>9</w:t>
      </w:r>
      <w:r w:rsidRPr="002E2870">
        <w:rPr>
          <w:rFonts w:ascii="Palatino Linotype" w:eastAsia="Palatino Linotype" w:hAnsi="Palatino Linotype" w:cs="Palatino Linotype"/>
          <w:sz w:val="22"/>
          <w:szCs w:val="22"/>
        </w:rPr>
        <w:t xml:space="preserve"> crore in August 2020.  </w:t>
      </w:r>
    </w:p>
    <w:p w:rsidR="00B92080" w:rsidRPr="002E2870" w:rsidRDefault="00B92080" w:rsidP="00B92080">
      <w:pPr>
        <w:numPr>
          <w:ilvl w:val="0"/>
          <w:numId w:val="6"/>
        </w:numPr>
        <w:pBdr>
          <w:top w:val="nil"/>
          <w:left w:val="nil"/>
          <w:bottom w:val="nil"/>
          <w:right w:val="nil"/>
          <w:between w:val="nil"/>
        </w:pBdr>
        <w:spacing w:line="276" w:lineRule="auto"/>
        <w:ind w:left="567" w:hanging="567"/>
        <w:jc w:val="both"/>
        <w:rPr>
          <w:rFonts w:ascii="Palatino Linotype" w:hAnsi="Palatino Linotype"/>
          <w:sz w:val="22"/>
          <w:szCs w:val="22"/>
        </w:rPr>
      </w:pPr>
      <w:r w:rsidRPr="002E2870">
        <w:rPr>
          <w:rFonts w:ascii="Palatino Linotype" w:eastAsia="Palatino Linotype" w:hAnsi="Palatino Linotype" w:cs="Palatino Linotype"/>
          <w:sz w:val="22"/>
          <w:szCs w:val="22"/>
        </w:rPr>
        <w:t xml:space="preserve">As on September 30, 2020, the open interest at BSE stood at </w:t>
      </w:r>
      <w:r w:rsidRPr="002E2870">
        <w:rPr>
          <w:rFonts w:ascii="Times New Roman" w:eastAsia="Tahoma" w:hAnsi="Times New Roman"/>
          <w:sz w:val="22"/>
          <w:szCs w:val="22"/>
        </w:rPr>
        <w:t>₹</w:t>
      </w:r>
      <w:r w:rsidRPr="002E2870">
        <w:rPr>
          <w:rFonts w:ascii="Palatino Linotype" w:eastAsia="Tahoma" w:hAnsi="Palatino Linotype"/>
          <w:sz w:val="22"/>
          <w:szCs w:val="22"/>
        </w:rPr>
        <w:t>318.2</w:t>
      </w:r>
      <w:r w:rsidRPr="002E2870">
        <w:rPr>
          <w:rFonts w:ascii="Palatino Linotype" w:eastAsia="Palatino Linotype" w:hAnsi="Palatino Linotype" w:cs="Palatino Linotype"/>
          <w:sz w:val="22"/>
          <w:szCs w:val="22"/>
        </w:rPr>
        <w:t xml:space="preserve"> crore as compared to </w:t>
      </w:r>
      <w:r w:rsidRPr="002E2870">
        <w:rPr>
          <w:rFonts w:ascii="Times New Roman" w:eastAsia="Tahoma" w:hAnsi="Times New Roman"/>
          <w:sz w:val="22"/>
          <w:szCs w:val="22"/>
        </w:rPr>
        <w:t>₹</w:t>
      </w:r>
      <w:r>
        <w:rPr>
          <w:rFonts w:ascii="Palatino Linotype" w:eastAsia="Tahoma" w:hAnsi="Palatino Linotype"/>
          <w:sz w:val="22"/>
          <w:szCs w:val="22"/>
        </w:rPr>
        <w:t>735.1 </w:t>
      </w:r>
      <w:r w:rsidRPr="002E2870">
        <w:rPr>
          <w:rFonts w:ascii="Palatino Linotype" w:eastAsia="Palatino Linotype" w:hAnsi="Palatino Linotype" w:cs="Palatino Linotype"/>
          <w:sz w:val="22"/>
          <w:szCs w:val="22"/>
        </w:rPr>
        <w:t>crore as on August 31, 2020 registering a decrease of 56.7 per cent.</w:t>
      </w:r>
    </w:p>
    <w:p w:rsidR="00B92080" w:rsidRPr="002E2870" w:rsidRDefault="00B92080" w:rsidP="00B92080">
      <w:pPr>
        <w:tabs>
          <w:tab w:val="left" w:pos="3135"/>
        </w:tabs>
        <w:spacing w:line="276" w:lineRule="auto"/>
        <w:rPr>
          <w:rFonts w:ascii="Palatino Linotype" w:eastAsia="Palatino Linotype" w:hAnsi="Palatino Linotype" w:cs="Palatino Linotype"/>
          <w:b/>
          <w:sz w:val="22"/>
          <w:szCs w:val="22"/>
          <w:highlight w:val="yellow"/>
          <w:u w:val="single"/>
        </w:rPr>
      </w:pPr>
    </w:p>
    <w:p w:rsidR="00B92080" w:rsidRPr="002E2870" w:rsidRDefault="00B92080" w:rsidP="00B92080">
      <w:pPr>
        <w:tabs>
          <w:tab w:val="left" w:pos="3135"/>
        </w:tabs>
        <w:spacing w:line="276" w:lineRule="auto"/>
        <w:rPr>
          <w:rFonts w:ascii="Palatino Linotype" w:eastAsia="Palatino Linotype" w:hAnsi="Palatino Linotype" w:cs="Palatino Linotype"/>
          <w:b/>
          <w:sz w:val="22"/>
          <w:szCs w:val="22"/>
          <w:u w:val="single"/>
        </w:rPr>
      </w:pPr>
      <w:r w:rsidRPr="002E2870">
        <w:rPr>
          <w:rFonts w:ascii="Palatino Linotype" w:eastAsia="Palatino Linotype" w:hAnsi="Palatino Linotype" w:cs="Palatino Linotype"/>
          <w:b/>
          <w:sz w:val="22"/>
          <w:szCs w:val="22"/>
          <w:u w:val="single"/>
        </w:rPr>
        <w:t xml:space="preserve">NSE </w:t>
      </w:r>
    </w:p>
    <w:p w:rsidR="00B92080" w:rsidRPr="002E2870" w:rsidRDefault="00B92080" w:rsidP="00B92080">
      <w:pPr>
        <w:numPr>
          <w:ilvl w:val="0"/>
          <w:numId w:val="6"/>
        </w:numPr>
        <w:pBdr>
          <w:top w:val="nil"/>
          <w:left w:val="nil"/>
          <w:bottom w:val="nil"/>
          <w:right w:val="nil"/>
          <w:between w:val="nil"/>
        </w:pBdr>
        <w:spacing w:line="276" w:lineRule="auto"/>
        <w:ind w:left="567" w:hanging="567"/>
        <w:jc w:val="both"/>
        <w:rPr>
          <w:rFonts w:ascii="Palatino Linotype" w:hAnsi="Palatino Linotype"/>
          <w:sz w:val="22"/>
          <w:szCs w:val="22"/>
        </w:rPr>
      </w:pPr>
      <w:r w:rsidRPr="002E2870">
        <w:rPr>
          <w:rFonts w:ascii="Palatino Linotype" w:eastAsia="Palatino Linotype" w:hAnsi="Palatino Linotype" w:cs="Palatino Linotype"/>
          <w:sz w:val="22"/>
          <w:szCs w:val="22"/>
        </w:rPr>
        <w:t xml:space="preserve">The monthly turnover in the equity derivatives segment of NSE increased by 20.4 per cent to </w:t>
      </w:r>
      <w:r w:rsidRPr="002E2870">
        <w:rPr>
          <w:rFonts w:ascii="Times New Roman" w:eastAsia="Tahoma" w:hAnsi="Times New Roman"/>
          <w:sz w:val="22"/>
          <w:szCs w:val="22"/>
        </w:rPr>
        <w:t>₹</w:t>
      </w:r>
      <w:r w:rsidRPr="002E2870">
        <w:rPr>
          <w:rFonts w:ascii="Palatino Linotype" w:eastAsia="Tahoma" w:hAnsi="Palatino Linotype"/>
          <w:sz w:val="22"/>
          <w:szCs w:val="22"/>
        </w:rPr>
        <w:t>474.</w:t>
      </w:r>
      <w:r w:rsidRPr="002E2870">
        <w:rPr>
          <w:rFonts w:ascii="Palatino Linotype" w:eastAsia="Palatino Linotype" w:hAnsi="Palatino Linotype" w:cs="Palatino Linotype"/>
          <w:sz w:val="22"/>
          <w:szCs w:val="22"/>
        </w:rPr>
        <w:t xml:space="preserve">4 lakh crore in September 2020 from </w:t>
      </w:r>
      <w:r w:rsidRPr="002E2870">
        <w:rPr>
          <w:rFonts w:ascii="Times New Roman" w:eastAsia="Tahoma" w:hAnsi="Times New Roman"/>
          <w:sz w:val="22"/>
          <w:szCs w:val="22"/>
        </w:rPr>
        <w:t>₹</w:t>
      </w:r>
      <w:r w:rsidRPr="002E2870">
        <w:rPr>
          <w:rFonts w:ascii="Palatino Linotype" w:eastAsia="Tahoma" w:hAnsi="Palatino Linotype"/>
          <w:sz w:val="22"/>
          <w:szCs w:val="22"/>
        </w:rPr>
        <w:t>394.3</w:t>
      </w:r>
      <w:r w:rsidRPr="002E2870">
        <w:rPr>
          <w:rFonts w:ascii="Palatino Linotype" w:eastAsia="Palatino Linotype" w:hAnsi="Palatino Linotype" w:cs="Palatino Linotype"/>
          <w:sz w:val="22"/>
          <w:szCs w:val="22"/>
        </w:rPr>
        <w:t xml:space="preserve"> lakh crore in August 2020. </w:t>
      </w:r>
    </w:p>
    <w:p w:rsidR="00B92080" w:rsidRPr="002E2870" w:rsidRDefault="00B92080" w:rsidP="00B92080">
      <w:pPr>
        <w:numPr>
          <w:ilvl w:val="0"/>
          <w:numId w:val="6"/>
        </w:numPr>
        <w:pBdr>
          <w:top w:val="nil"/>
          <w:left w:val="nil"/>
          <w:bottom w:val="nil"/>
          <w:right w:val="nil"/>
          <w:between w:val="nil"/>
        </w:pBdr>
        <w:spacing w:line="276" w:lineRule="auto"/>
        <w:ind w:left="567" w:hanging="567"/>
        <w:jc w:val="both"/>
        <w:rPr>
          <w:rFonts w:ascii="Palatino Linotype" w:hAnsi="Palatino Linotype"/>
          <w:sz w:val="22"/>
          <w:szCs w:val="22"/>
        </w:rPr>
      </w:pPr>
      <w:r w:rsidRPr="002E2870">
        <w:rPr>
          <w:rFonts w:ascii="Palatino Linotype" w:eastAsia="Palatino Linotype" w:hAnsi="Palatino Linotype" w:cs="Palatino Linotype"/>
          <w:sz w:val="22"/>
          <w:szCs w:val="22"/>
        </w:rPr>
        <w:t xml:space="preserve">The notional turnover in index options increased to </w:t>
      </w:r>
      <w:r w:rsidRPr="002E2870">
        <w:rPr>
          <w:rFonts w:ascii="Times New Roman" w:eastAsia="Tahoma" w:hAnsi="Times New Roman"/>
          <w:sz w:val="22"/>
          <w:szCs w:val="22"/>
        </w:rPr>
        <w:t>₹</w:t>
      </w:r>
      <w:r w:rsidRPr="002E2870">
        <w:rPr>
          <w:rFonts w:ascii="Palatino Linotype" w:eastAsia="Tahoma" w:hAnsi="Palatino Linotype" w:cs="Tahoma"/>
          <w:sz w:val="22"/>
          <w:szCs w:val="22"/>
        </w:rPr>
        <w:t xml:space="preserve">429.5 </w:t>
      </w:r>
      <w:r w:rsidRPr="002E2870">
        <w:rPr>
          <w:rFonts w:ascii="Palatino Linotype" w:eastAsia="Palatino Linotype" w:hAnsi="Palatino Linotype" w:cs="Palatino Linotype"/>
          <w:sz w:val="22"/>
          <w:szCs w:val="22"/>
        </w:rPr>
        <w:t xml:space="preserve">lakh crore in September 2020 from </w:t>
      </w:r>
      <w:r w:rsidRPr="002E2870">
        <w:rPr>
          <w:rFonts w:ascii="Times New Roman" w:eastAsia="Tahoma" w:hAnsi="Times New Roman"/>
          <w:sz w:val="22"/>
          <w:szCs w:val="22"/>
        </w:rPr>
        <w:t>₹</w:t>
      </w:r>
      <w:r w:rsidRPr="002E2870">
        <w:rPr>
          <w:rFonts w:ascii="Palatino Linotype" w:eastAsia="Tahoma" w:hAnsi="Palatino Linotype"/>
          <w:sz w:val="22"/>
          <w:szCs w:val="22"/>
        </w:rPr>
        <w:t xml:space="preserve">353.7 </w:t>
      </w:r>
      <w:r w:rsidRPr="002E2870">
        <w:rPr>
          <w:rFonts w:ascii="Palatino Linotype" w:eastAsia="Palatino Linotype" w:hAnsi="Palatino Linotype" w:cs="Palatino Linotype"/>
          <w:sz w:val="22"/>
          <w:szCs w:val="22"/>
        </w:rPr>
        <w:t xml:space="preserve">lakh crore in August 2020, and accounted for 90.5 per cent of the total equity derivatives turnover of NSE.  </w:t>
      </w:r>
    </w:p>
    <w:p w:rsidR="00B92080" w:rsidRPr="002E2870" w:rsidRDefault="00B92080" w:rsidP="00B92080">
      <w:pPr>
        <w:numPr>
          <w:ilvl w:val="0"/>
          <w:numId w:val="6"/>
        </w:numPr>
        <w:pBdr>
          <w:top w:val="nil"/>
          <w:left w:val="nil"/>
          <w:bottom w:val="nil"/>
          <w:right w:val="nil"/>
          <w:between w:val="nil"/>
        </w:pBdr>
        <w:spacing w:line="276" w:lineRule="auto"/>
        <w:ind w:left="567" w:hanging="567"/>
        <w:jc w:val="both"/>
        <w:rPr>
          <w:rFonts w:ascii="Palatino Linotype" w:hAnsi="Palatino Linotype"/>
          <w:sz w:val="22"/>
          <w:szCs w:val="22"/>
        </w:rPr>
      </w:pPr>
      <w:r w:rsidRPr="002E2870">
        <w:rPr>
          <w:rFonts w:ascii="Palatino Linotype" w:eastAsia="Palatino Linotype" w:hAnsi="Palatino Linotype" w:cs="Palatino Linotype"/>
          <w:sz w:val="22"/>
          <w:szCs w:val="22"/>
        </w:rPr>
        <w:t xml:space="preserve">During September 2020, the percentage share of weekly options to the total index options notional turnover stood at 72.6 per cent compared to 73.4 per cent in August 2020. The percentage share of monthly options in total index options notional turnover increased to 26.7 per cent in September 2020, from 25.8 per cent in August 2020. </w:t>
      </w:r>
    </w:p>
    <w:p w:rsidR="00B92080" w:rsidRPr="002E2870" w:rsidRDefault="00B92080" w:rsidP="00B92080">
      <w:pPr>
        <w:spacing w:line="276" w:lineRule="auto"/>
        <w:rPr>
          <w:rFonts w:ascii="Palatino Linotype" w:eastAsia="Palatino Linotype" w:hAnsi="Palatino Linotype" w:cs="Palatino Linotype"/>
          <w:b/>
          <w:sz w:val="22"/>
          <w:szCs w:val="22"/>
          <w:highlight w:val="yellow"/>
        </w:rPr>
      </w:pPr>
    </w:p>
    <w:p w:rsidR="00B92080" w:rsidRPr="002E2870" w:rsidRDefault="00B92080" w:rsidP="00B92080">
      <w:pPr>
        <w:spacing w:line="276" w:lineRule="auto"/>
        <w:jc w:val="center"/>
        <w:rPr>
          <w:rFonts w:ascii="Palatino Linotype" w:eastAsia="Palatino Linotype" w:hAnsi="Palatino Linotype" w:cs="Palatino Linotype"/>
          <w:b/>
          <w:sz w:val="22"/>
          <w:szCs w:val="22"/>
          <w:highlight w:val="yellow"/>
        </w:rPr>
      </w:pPr>
    </w:p>
    <w:p w:rsidR="00B92080" w:rsidRPr="002E2870" w:rsidRDefault="00B92080" w:rsidP="00B92080">
      <w:pPr>
        <w:spacing w:line="276" w:lineRule="auto"/>
        <w:jc w:val="center"/>
        <w:rPr>
          <w:rFonts w:ascii="Palatino Linotype" w:eastAsia="Palatino Linotype" w:hAnsi="Palatino Linotype" w:cs="Palatino Linotype"/>
          <w:b/>
          <w:sz w:val="22"/>
          <w:szCs w:val="22"/>
        </w:rPr>
      </w:pPr>
      <w:r w:rsidRPr="002E2870">
        <w:rPr>
          <w:rFonts w:ascii="Palatino Linotype" w:eastAsia="Palatino Linotype" w:hAnsi="Palatino Linotype" w:cs="Palatino Linotype"/>
          <w:b/>
          <w:sz w:val="22"/>
          <w:szCs w:val="22"/>
        </w:rPr>
        <w:lastRenderedPageBreak/>
        <w:t>Figure 6: Maturity-wise percentage Share of Total Index Options Turnover at NSE (per cent)</w:t>
      </w:r>
    </w:p>
    <w:p w:rsidR="00B92080" w:rsidRPr="002E2870" w:rsidRDefault="00B92080" w:rsidP="00B92080">
      <w:pPr>
        <w:spacing w:line="276" w:lineRule="auto"/>
        <w:jc w:val="center"/>
        <w:rPr>
          <w:rFonts w:ascii="Palatino Linotype" w:eastAsia="Palatino Linotype" w:hAnsi="Palatino Linotype" w:cs="Palatino Linotype"/>
          <w:b/>
          <w:sz w:val="22"/>
          <w:szCs w:val="22"/>
        </w:rPr>
      </w:pPr>
      <w:r w:rsidRPr="002E2870">
        <w:rPr>
          <w:rFonts w:ascii="Palatino Linotype" w:hAnsi="Palatino Linotype"/>
          <w:noProof/>
          <w:lang w:val="en-IN" w:eastAsia="en-IN" w:bidi="hi-IN"/>
        </w:rPr>
        <w:drawing>
          <wp:inline distT="0" distB="0" distL="0" distR="0" wp14:anchorId="5F4F5668" wp14:editId="01B2BEA2">
            <wp:extent cx="5286375" cy="3088699"/>
            <wp:effectExtent l="0" t="0" r="9525" b="16510"/>
            <wp:docPr id="7"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rsidR="00B92080" w:rsidRPr="002E2870" w:rsidRDefault="00B92080" w:rsidP="00B92080">
      <w:pPr>
        <w:spacing w:line="276" w:lineRule="auto"/>
        <w:jc w:val="center"/>
        <w:rPr>
          <w:rFonts w:ascii="Palatino Linotype" w:eastAsia="Palatino Linotype" w:hAnsi="Palatino Linotype" w:cs="Palatino Linotype"/>
          <w:b/>
          <w:sz w:val="22"/>
          <w:szCs w:val="22"/>
        </w:rPr>
      </w:pPr>
    </w:p>
    <w:p w:rsidR="00B92080" w:rsidRPr="002E2870" w:rsidRDefault="00B92080" w:rsidP="00B92080">
      <w:pPr>
        <w:numPr>
          <w:ilvl w:val="0"/>
          <w:numId w:val="6"/>
        </w:numPr>
        <w:pBdr>
          <w:top w:val="nil"/>
          <w:left w:val="nil"/>
          <w:bottom w:val="nil"/>
          <w:right w:val="nil"/>
          <w:between w:val="nil"/>
        </w:pBdr>
        <w:spacing w:line="276" w:lineRule="auto"/>
        <w:ind w:left="567" w:hanging="567"/>
        <w:jc w:val="both"/>
        <w:rPr>
          <w:rFonts w:ascii="Palatino Linotype" w:hAnsi="Palatino Linotype"/>
          <w:sz w:val="22"/>
          <w:szCs w:val="22"/>
        </w:rPr>
      </w:pPr>
      <w:r w:rsidRPr="002E2870">
        <w:rPr>
          <w:rFonts w:ascii="Palatino Linotype" w:eastAsia="Palatino Linotype" w:hAnsi="Palatino Linotype" w:cs="Palatino Linotype"/>
          <w:sz w:val="22"/>
          <w:szCs w:val="22"/>
        </w:rPr>
        <w:t xml:space="preserve">The turnover of index futures increased by 19.2 per cent to </w:t>
      </w:r>
      <w:r w:rsidRPr="002E2870">
        <w:rPr>
          <w:rFonts w:ascii="Times New Roman" w:eastAsia="Tahoma" w:hAnsi="Times New Roman"/>
          <w:sz w:val="22"/>
          <w:szCs w:val="22"/>
        </w:rPr>
        <w:t>₹</w:t>
      </w:r>
      <w:r w:rsidRPr="002E2870">
        <w:rPr>
          <w:rFonts w:ascii="Palatino Linotype" w:eastAsia="Palatino Linotype" w:hAnsi="Palatino Linotype" w:cs="Palatino Linotype"/>
          <w:sz w:val="22"/>
          <w:szCs w:val="22"/>
        </w:rPr>
        <w:t xml:space="preserve">7.4 lakh crore in September 2020 from </w:t>
      </w:r>
      <w:r w:rsidRPr="002E2870">
        <w:rPr>
          <w:rFonts w:ascii="Times New Roman" w:eastAsia="Tahoma" w:hAnsi="Times New Roman"/>
          <w:sz w:val="22"/>
          <w:szCs w:val="22"/>
        </w:rPr>
        <w:t>₹</w:t>
      </w:r>
      <w:r w:rsidRPr="002E2870">
        <w:rPr>
          <w:rFonts w:ascii="Palatino Linotype" w:eastAsia="Palatino Linotype" w:hAnsi="Palatino Linotype" w:cs="Palatino Linotype"/>
          <w:sz w:val="22"/>
          <w:szCs w:val="22"/>
        </w:rPr>
        <w:t>6.2 lakh crore in August 2020.</w:t>
      </w:r>
    </w:p>
    <w:p w:rsidR="00B92080" w:rsidRPr="002E2870" w:rsidRDefault="00B92080" w:rsidP="00B92080">
      <w:pPr>
        <w:numPr>
          <w:ilvl w:val="0"/>
          <w:numId w:val="6"/>
        </w:numPr>
        <w:pBdr>
          <w:top w:val="nil"/>
          <w:left w:val="nil"/>
          <w:bottom w:val="nil"/>
          <w:right w:val="nil"/>
          <w:between w:val="nil"/>
        </w:pBdr>
        <w:spacing w:line="276" w:lineRule="auto"/>
        <w:ind w:left="567" w:hanging="567"/>
        <w:jc w:val="both"/>
        <w:rPr>
          <w:rFonts w:ascii="Palatino Linotype" w:hAnsi="Palatino Linotype"/>
          <w:sz w:val="22"/>
          <w:szCs w:val="22"/>
        </w:rPr>
      </w:pPr>
      <w:r w:rsidRPr="002E2870">
        <w:rPr>
          <w:rFonts w:ascii="Palatino Linotype" w:eastAsia="Palatino Linotype" w:hAnsi="Palatino Linotype" w:cs="Palatino Linotype"/>
          <w:sz w:val="22"/>
          <w:szCs w:val="22"/>
        </w:rPr>
        <w:t xml:space="preserve">The turnover of stock futures increased by 3.9 per cent to </w:t>
      </w:r>
      <w:r w:rsidRPr="002E2870">
        <w:rPr>
          <w:rFonts w:ascii="Times New Roman" w:eastAsia="Tahoma" w:hAnsi="Times New Roman"/>
          <w:sz w:val="22"/>
          <w:szCs w:val="22"/>
        </w:rPr>
        <w:t>₹</w:t>
      </w:r>
      <w:r w:rsidRPr="002E2870">
        <w:rPr>
          <w:rFonts w:ascii="Palatino Linotype" w:eastAsia="Palatino Linotype" w:hAnsi="Palatino Linotype" w:cs="Palatino Linotype"/>
          <w:sz w:val="22"/>
          <w:szCs w:val="22"/>
        </w:rPr>
        <w:t xml:space="preserve">15.4 lakh crore in September 2020 from </w:t>
      </w:r>
      <w:r w:rsidRPr="002E2870">
        <w:rPr>
          <w:rFonts w:ascii="Times New Roman" w:eastAsia="Tahoma" w:hAnsi="Times New Roman"/>
          <w:sz w:val="22"/>
          <w:szCs w:val="22"/>
        </w:rPr>
        <w:t>₹</w:t>
      </w:r>
      <w:r w:rsidRPr="002E2870">
        <w:rPr>
          <w:rFonts w:ascii="Palatino Linotype" w:eastAsia="Palatino Linotype" w:hAnsi="Palatino Linotype" w:cs="Palatino Linotype"/>
          <w:sz w:val="22"/>
          <w:szCs w:val="22"/>
        </w:rPr>
        <w:t>14.8 lakh crore in August 2020.</w:t>
      </w:r>
    </w:p>
    <w:p w:rsidR="00B92080" w:rsidRPr="002E2870" w:rsidRDefault="00B92080" w:rsidP="00B92080">
      <w:pPr>
        <w:numPr>
          <w:ilvl w:val="0"/>
          <w:numId w:val="6"/>
        </w:numPr>
        <w:pBdr>
          <w:top w:val="nil"/>
          <w:left w:val="nil"/>
          <w:bottom w:val="nil"/>
          <w:right w:val="nil"/>
          <w:between w:val="nil"/>
        </w:pBdr>
        <w:spacing w:line="276" w:lineRule="auto"/>
        <w:ind w:left="567" w:hanging="567"/>
        <w:jc w:val="both"/>
        <w:rPr>
          <w:rFonts w:ascii="Palatino Linotype" w:hAnsi="Palatino Linotype"/>
          <w:sz w:val="22"/>
          <w:szCs w:val="22"/>
        </w:rPr>
      </w:pPr>
      <w:r w:rsidRPr="002E2870">
        <w:rPr>
          <w:rFonts w:ascii="Palatino Linotype" w:eastAsia="Palatino Linotype" w:hAnsi="Palatino Linotype" w:cs="Palatino Linotype"/>
          <w:sz w:val="22"/>
          <w:szCs w:val="22"/>
        </w:rPr>
        <w:t xml:space="preserve">The notional turnover in stock options (call and put together) increased by 14 per cent to </w:t>
      </w:r>
      <w:r w:rsidRPr="002E2870">
        <w:rPr>
          <w:rFonts w:ascii="Times New Roman" w:eastAsia="Tahoma" w:hAnsi="Times New Roman"/>
          <w:sz w:val="22"/>
          <w:szCs w:val="22"/>
        </w:rPr>
        <w:t>₹</w:t>
      </w:r>
      <w:r w:rsidRPr="002E2870">
        <w:rPr>
          <w:rFonts w:ascii="Palatino Linotype" w:eastAsia="Palatino Linotype" w:hAnsi="Palatino Linotype" w:cs="Palatino Linotype"/>
          <w:sz w:val="22"/>
          <w:szCs w:val="22"/>
        </w:rPr>
        <w:t xml:space="preserve">22.3 lakh crore from </w:t>
      </w:r>
      <w:r w:rsidRPr="002E2870">
        <w:rPr>
          <w:rFonts w:ascii="Times New Roman" w:eastAsia="Tahoma" w:hAnsi="Times New Roman"/>
          <w:sz w:val="22"/>
          <w:szCs w:val="22"/>
        </w:rPr>
        <w:t>₹</w:t>
      </w:r>
      <w:r w:rsidRPr="002E2870">
        <w:rPr>
          <w:rFonts w:ascii="Palatino Linotype" w:eastAsia="Palatino Linotype" w:hAnsi="Palatino Linotype" w:cs="Palatino Linotype"/>
          <w:sz w:val="22"/>
          <w:szCs w:val="22"/>
        </w:rPr>
        <w:t>19.6 lakh crore during the same period.</w:t>
      </w:r>
    </w:p>
    <w:p w:rsidR="00B92080" w:rsidRPr="002E2870" w:rsidRDefault="00B92080" w:rsidP="00B92080">
      <w:pPr>
        <w:numPr>
          <w:ilvl w:val="0"/>
          <w:numId w:val="6"/>
        </w:numPr>
        <w:pBdr>
          <w:top w:val="nil"/>
          <w:left w:val="nil"/>
          <w:bottom w:val="nil"/>
          <w:right w:val="nil"/>
          <w:between w:val="nil"/>
        </w:pBdr>
        <w:spacing w:line="276" w:lineRule="auto"/>
        <w:ind w:left="567" w:hanging="567"/>
        <w:jc w:val="both"/>
        <w:rPr>
          <w:rFonts w:ascii="Palatino Linotype" w:eastAsia="Palatino Linotype" w:hAnsi="Palatino Linotype" w:cs="Palatino Linotype"/>
          <w:sz w:val="22"/>
          <w:szCs w:val="22"/>
        </w:rPr>
      </w:pPr>
      <w:r w:rsidRPr="002E2870">
        <w:rPr>
          <w:rFonts w:ascii="Palatino Linotype" w:eastAsia="Palatino Linotype" w:hAnsi="Palatino Linotype" w:cs="Palatino Linotype"/>
          <w:sz w:val="22"/>
          <w:szCs w:val="22"/>
        </w:rPr>
        <w:t xml:space="preserve">As on September 30, 2020, the open interest in equity derivatives at NSE stood at </w:t>
      </w:r>
      <w:r w:rsidRPr="002E2870">
        <w:rPr>
          <w:rFonts w:ascii="Times New Roman" w:eastAsia="Palatino Linotype" w:hAnsi="Times New Roman"/>
          <w:sz w:val="22"/>
          <w:szCs w:val="22"/>
        </w:rPr>
        <w:t>₹</w:t>
      </w:r>
      <w:r w:rsidRPr="002E2870">
        <w:rPr>
          <w:rFonts w:ascii="Palatino Linotype" w:eastAsia="Palatino Linotype" w:hAnsi="Palatino Linotype" w:cs="Palatino Linotype"/>
          <w:sz w:val="22"/>
          <w:szCs w:val="22"/>
        </w:rPr>
        <w:t>3,70,433</w:t>
      </w:r>
      <w:r>
        <w:rPr>
          <w:rFonts w:ascii="Palatino Linotype" w:eastAsia="Palatino Linotype" w:hAnsi="Palatino Linotype" w:cs="Palatino Linotype"/>
          <w:sz w:val="22"/>
          <w:szCs w:val="22"/>
        </w:rPr>
        <w:t>.5</w:t>
      </w:r>
      <w:r w:rsidRPr="002E2870">
        <w:rPr>
          <w:rFonts w:ascii="Palatino Linotype" w:eastAsia="Palatino Linotype" w:hAnsi="Palatino Linotype" w:cs="Palatino Linotype"/>
          <w:sz w:val="22"/>
          <w:szCs w:val="22"/>
        </w:rPr>
        <w:t xml:space="preserve"> crore, an increase of 8.8 per cent from </w:t>
      </w:r>
      <w:r w:rsidRPr="002E2870">
        <w:rPr>
          <w:rFonts w:ascii="Times New Roman" w:eastAsia="Palatino Linotype" w:hAnsi="Times New Roman"/>
          <w:sz w:val="22"/>
          <w:szCs w:val="22"/>
        </w:rPr>
        <w:t>₹</w:t>
      </w:r>
      <w:r w:rsidRPr="002E2870">
        <w:rPr>
          <w:rFonts w:ascii="Palatino Linotype" w:eastAsia="Palatino Linotype" w:hAnsi="Palatino Linotype" w:cs="Palatino Linotype"/>
          <w:sz w:val="22"/>
          <w:szCs w:val="22"/>
        </w:rPr>
        <w:t>3,40,564</w:t>
      </w:r>
      <w:r>
        <w:rPr>
          <w:rFonts w:ascii="Palatino Linotype" w:eastAsia="Palatino Linotype" w:hAnsi="Palatino Linotype" w:cs="Palatino Linotype"/>
          <w:sz w:val="22"/>
          <w:szCs w:val="22"/>
        </w:rPr>
        <w:t>.4</w:t>
      </w:r>
      <w:r w:rsidRPr="002E2870">
        <w:rPr>
          <w:rFonts w:ascii="Palatino Linotype" w:eastAsia="Palatino Linotype" w:hAnsi="Palatino Linotype" w:cs="Palatino Linotype"/>
          <w:sz w:val="22"/>
          <w:szCs w:val="22"/>
        </w:rPr>
        <w:t xml:space="preserve"> crore as on August 31, 2020.</w:t>
      </w:r>
    </w:p>
    <w:p w:rsidR="00B92080" w:rsidRPr="002E2870" w:rsidRDefault="00B92080" w:rsidP="00B92080">
      <w:pPr>
        <w:rPr>
          <w:rFonts w:ascii="Palatino Linotype" w:eastAsia="Palatino Linotype" w:hAnsi="Palatino Linotype" w:cs="Palatino Linotype"/>
          <w:b/>
          <w:sz w:val="22"/>
          <w:szCs w:val="22"/>
          <w:highlight w:val="yellow"/>
        </w:rPr>
      </w:pPr>
    </w:p>
    <w:p w:rsidR="00B92080" w:rsidRPr="002E2870" w:rsidRDefault="00B92080" w:rsidP="00B92080">
      <w:pPr>
        <w:pBdr>
          <w:top w:val="nil"/>
          <w:left w:val="nil"/>
          <w:bottom w:val="nil"/>
          <w:right w:val="nil"/>
          <w:between w:val="nil"/>
        </w:pBdr>
        <w:spacing w:line="276" w:lineRule="auto"/>
        <w:ind w:left="720" w:hanging="720"/>
        <w:jc w:val="center"/>
        <w:rPr>
          <w:rFonts w:ascii="Palatino Linotype" w:eastAsia="Palatino Linotype" w:hAnsi="Palatino Linotype" w:cs="Palatino Linotype"/>
          <w:b/>
          <w:sz w:val="22"/>
          <w:szCs w:val="22"/>
        </w:rPr>
      </w:pPr>
      <w:r w:rsidRPr="002E2870">
        <w:rPr>
          <w:rFonts w:ascii="Palatino Linotype" w:eastAsia="Palatino Linotype" w:hAnsi="Palatino Linotype" w:cs="Palatino Linotype"/>
          <w:b/>
          <w:sz w:val="22"/>
          <w:szCs w:val="22"/>
        </w:rPr>
        <w:t xml:space="preserve">Figure 7: Trends of Equity Derivatives Segment at NSE </w:t>
      </w:r>
    </w:p>
    <w:p w:rsidR="00B92080" w:rsidRPr="002E2870" w:rsidRDefault="00B92080" w:rsidP="00B92080">
      <w:pPr>
        <w:pBdr>
          <w:top w:val="nil"/>
          <w:left w:val="nil"/>
          <w:bottom w:val="nil"/>
          <w:right w:val="nil"/>
          <w:between w:val="nil"/>
        </w:pBdr>
        <w:spacing w:line="276" w:lineRule="auto"/>
        <w:ind w:left="720" w:hanging="720"/>
        <w:jc w:val="center"/>
        <w:rPr>
          <w:rFonts w:ascii="Palatino Linotype" w:eastAsia="Palatino Linotype" w:hAnsi="Palatino Linotype" w:cs="Palatino Linotype"/>
          <w:b/>
          <w:sz w:val="22"/>
          <w:szCs w:val="22"/>
        </w:rPr>
      </w:pPr>
      <w:r w:rsidRPr="002E2870">
        <w:rPr>
          <w:rFonts w:ascii="Palatino Linotype" w:hAnsi="Palatino Linotype"/>
          <w:noProof/>
          <w:lang w:val="en-IN" w:eastAsia="en-IN" w:bidi="hi-IN"/>
        </w:rPr>
        <w:drawing>
          <wp:inline distT="0" distB="0" distL="0" distR="0" wp14:anchorId="41480114" wp14:editId="025E26E7">
            <wp:extent cx="5448300" cy="2358264"/>
            <wp:effectExtent l="0" t="0" r="0" b="4445"/>
            <wp:docPr id="8" name="Chart 8"/>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rsidR="00B92080" w:rsidRPr="002E2870" w:rsidRDefault="00B92080" w:rsidP="00B92080">
      <w:pPr>
        <w:pBdr>
          <w:top w:val="nil"/>
          <w:left w:val="nil"/>
          <w:bottom w:val="nil"/>
          <w:right w:val="nil"/>
          <w:between w:val="nil"/>
        </w:pBdr>
        <w:spacing w:line="276" w:lineRule="auto"/>
        <w:ind w:left="720" w:hanging="720"/>
        <w:jc w:val="center"/>
        <w:rPr>
          <w:rFonts w:ascii="Palatino Linotype" w:eastAsia="Palatino Linotype" w:hAnsi="Palatino Linotype" w:cs="Palatino Linotype"/>
          <w:b/>
          <w:sz w:val="22"/>
          <w:szCs w:val="22"/>
          <w:highlight w:val="yellow"/>
        </w:rPr>
      </w:pPr>
    </w:p>
    <w:p w:rsidR="00B92080" w:rsidRPr="002E2870" w:rsidRDefault="00B92080" w:rsidP="00B92080">
      <w:pPr>
        <w:rPr>
          <w:rFonts w:ascii="Palatino Linotype" w:eastAsia="Palatino Linotype" w:hAnsi="Palatino Linotype" w:cs="Palatino Linotype"/>
          <w:b/>
          <w:sz w:val="22"/>
          <w:szCs w:val="22"/>
        </w:rPr>
      </w:pPr>
      <w:r w:rsidRPr="002E2870">
        <w:rPr>
          <w:rFonts w:ascii="Palatino Linotype" w:eastAsia="Palatino Linotype" w:hAnsi="Palatino Linotype" w:cs="Palatino Linotype"/>
          <w:b/>
          <w:sz w:val="22"/>
          <w:szCs w:val="22"/>
        </w:rPr>
        <w:br w:type="page"/>
      </w:r>
    </w:p>
    <w:p w:rsidR="00B92080" w:rsidRPr="002E2870" w:rsidRDefault="00B92080" w:rsidP="00B92080">
      <w:pPr>
        <w:widowControl w:val="0"/>
        <w:numPr>
          <w:ilvl w:val="0"/>
          <w:numId w:val="5"/>
        </w:numPr>
        <w:spacing w:line="276" w:lineRule="auto"/>
        <w:ind w:left="567" w:hanging="567"/>
        <w:jc w:val="both"/>
        <w:rPr>
          <w:rFonts w:ascii="Palatino Linotype" w:eastAsia="Palatino Linotype" w:hAnsi="Palatino Linotype" w:cs="Palatino Linotype"/>
          <w:b/>
          <w:sz w:val="22"/>
          <w:szCs w:val="22"/>
        </w:rPr>
      </w:pPr>
      <w:r w:rsidRPr="002E2870">
        <w:rPr>
          <w:rFonts w:ascii="Palatino Linotype" w:eastAsia="Palatino Linotype" w:hAnsi="Palatino Linotype" w:cs="Palatino Linotype"/>
          <w:b/>
          <w:sz w:val="22"/>
          <w:szCs w:val="22"/>
        </w:rPr>
        <w:lastRenderedPageBreak/>
        <w:t>Currency Derivatives at NSE, BSE and MSEI</w:t>
      </w:r>
    </w:p>
    <w:p w:rsidR="00B92080" w:rsidRPr="002E2870" w:rsidRDefault="00B92080" w:rsidP="00B92080">
      <w:pPr>
        <w:widowControl w:val="0"/>
        <w:spacing w:line="276" w:lineRule="auto"/>
        <w:jc w:val="both"/>
        <w:rPr>
          <w:rFonts w:ascii="Palatino Linotype" w:eastAsia="Palatino Linotype" w:hAnsi="Palatino Linotype" w:cs="Palatino Linotype"/>
          <w:b/>
          <w:sz w:val="22"/>
          <w:szCs w:val="22"/>
          <w:highlight w:val="yellow"/>
        </w:rPr>
      </w:pPr>
    </w:p>
    <w:p w:rsidR="00B92080" w:rsidRPr="002E2870" w:rsidRDefault="00B92080" w:rsidP="00B92080">
      <w:pPr>
        <w:numPr>
          <w:ilvl w:val="0"/>
          <w:numId w:val="7"/>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2E2870">
        <w:rPr>
          <w:rFonts w:ascii="Palatino Linotype" w:eastAsia="Palatino Linotype" w:hAnsi="Palatino Linotype" w:cs="Palatino Linotype"/>
          <w:sz w:val="22"/>
          <w:szCs w:val="22"/>
        </w:rPr>
        <w:t xml:space="preserve">During September 2020, the monthly turnover of currency derivatives in India (NSE, BSE and MSEI together) stood at </w:t>
      </w:r>
      <w:r w:rsidRPr="002E2870">
        <w:rPr>
          <w:rFonts w:ascii="Times New Roman" w:eastAsia="Palatino Linotype" w:hAnsi="Times New Roman"/>
          <w:sz w:val="22"/>
          <w:szCs w:val="22"/>
        </w:rPr>
        <w:t>₹</w:t>
      </w:r>
      <w:r w:rsidRPr="002E2870">
        <w:rPr>
          <w:rFonts w:ascii="Palatino Linotype" w:eastAsia="Palatino Linotype" w:hAnsi="Palatino Linotype" w:cs="Palatino Linotype"/>
          <w:sz w:val="22"/>
          <w:szCs w:val="22"/>
        </w:rPr>
        <w:t xml:space="preserve">15,56,440 crore as compared to </w:t>
      </w:r>
      <w:r w:rsidRPr="002E2870">
        <w:rPr>
          <w:rFonts w:ascii="Times New Roman" w:eastAsia="Palatino Linotype" w:hAnsi="Times New Roman"/>
          <w:sz w:val="22"/>
          <w:szCs w:val="22"/>
        </w:rPr>
        <w:t>₹</w:t>
      </w:r>
      <w:r w:rsidRPr="002E2870">
        <w:rPr>
          <w:rFonts w:ascii="Palatino Linotype" w:eastAsia="Palatino Linotype" w:hAnsi="Palatino Linotype" w:cs="Palatino Linotype"/>
          <w:sz w:val="22"/>
          <w:szCs w:val="22"/>
        </w:rPr>
        <w:t>14,33,946 crore in August 2020, registering an increase of 8.5 per cent during the period under consideration.</w:t>
      </w:r>
    </w:p>
    <w:p w:rsidR="00B92080" w:rsidRPr="002E2870" w:rsidRDefault="00B92080" w:rsidP="00B92080">
      <w:pPr>
        <w:pBdr>
          <w:top w:val="nil"/>
          <w:left w:val="nil"/>
          <w:bottom w:val="nil"/>
          <w:right w:val="nil"/>
          <w:between w:val="nil"/>
        </w:pBdr>
        <w:spacing w:line="276" w:lineRule="auto"/>
        <w:ind w:left="360" w:hanging="720"/>
        <w:jc w:val="center"/>
        <w:rPr>
          <w:rFonts w:ascii="Palatino Linotype" w:eastAsia="Palatino Linotype" w:hAnsi="Palatino Linotype" w:cs="Palatino Linotype"/>
          <w:sz w:val="22"/>
          <w:szCs w:val="22"/>
          <w:highlight w:val="yellow"/>
        </w:rPr>
      </w:pPr>
    </w:p>
    <w:p w:rsidR="00B92080" w:rsidRPr="002E2870" w:rsidRDefault="00B92080" w:rsidP="00B92080">
      <w:pPr>
        <w:keepNext/>
        <w:pBdr>
          <w:top w:val="nil"/>
          <w:left w:val="nil"/>
          <w:bottom w:val="nil"/>
          <w:right w:val="nil"/>
          <w:between w:val="nil"/>
        </w:pBdr>
        <w:spacing w:line="276" w:lineRule="auto"/>
        <w:ind w:left="720" w:hanging="720"/>
        <w:jc w:val="center"/>
        <w:rPr>
          <w:rFonts w:ascii="Palatino Linotype" w:eastAsia="Palatino Linotype" w:hAnsi="Palatino Linotype" w:cs="Palatino Linotype"/>
          <w:b/>
          <w:sz w:val="22"/>
          <w:szCs w:val="22"/>
        </w:rPr>
      </w:pPr>
      <w:r w:rsidRPr="002E2870">
        <w:rPr>
          <w:rFonts w:ascii="Palatino Linotype" w:eastAsia="Palatino Linotype" w:hAnsi="Palatino Linotype" w:cs="Palatino Linotype"/>
          <w:b/>
          <w:sz w:val="22"/>
          <w:szCs w:val="22"/>
        </w:rPr>
        <w:t>Figure 8: Trends of Currency Derivatives at NSE, MSEI</w:t>
      </w:r>
      <w:r>
        <w:rPr>
          <w:rFonts w:ascii="Palatino Linotype" w:eastAsia="Palatino Linotype" w:hAnsi="Palatino Linotype" w:cs="Palatino Linotype"/>
          <w:b/>
          <w:sz w:val="22"/>
          <w:szCs w:val="22"/>
        </w:rPr>
        <w:t xml:space="preserve"> and BSE</w:t>
      </w:r>
    </w:p>
    <w:p w:rsidR="00B92080" w:rsidRPr="002E2870" w:rsidRDefault="00B92080" w:rsidP="00B92080">
      <w:pPr>
        <w:keepNext/>
        <w:pBdr>
          <w:top w:val="nil"/>
          <w:left w:val="nil"/>
          <w:bottom w:val="nil"/>
          <w:right w:val="nil"/>
          <w:between w:val="nil"/>
        </w:pBdr>
        <w:spacing w:line="276" w:lineRule="auto"/>
        <w:ind w:left="720" w:hanging="720"/>
        <w:jc w:val="center"/>
        <w:rPr>
          <w:rFonts w:ascii="Palatino Linotype" w:eastAsia="Palatino Linotype" w:hAnsi="Palatino Linotype" w:cs="Palatino Linotype"/>
          <w:b/>
          <w:sz w:val="22"/>
          <w:szCs w:val="22"/>
        </w:rPr>
      </w:pPr>
      <w:r w:rsidRPr="002E2870">
        <w:rPr>
          <w:rFonts w:ascii="Palatino Linotype" w:hAnsi="Palatino Linotype"/>
          <w:noProof/>
          <w:lang w:val="en-IN" w:eastAsia="en-IN" w:bidi="hi-IN"/>
        </w:rPr>
        <w:drawing>
          <wp:inline distT="0" distB="0" distL="0" distR="0" wp14:anchorId="71070CBC" wp14:editId="36807792">
            <wp:extent cx="5686425" cy="2933700"/>
            <wp:effectExtent l="0" t="0" r="9525" b="0"/>
            <wp:docPr id="18" name="Chart 18"/>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rsidR="00B92080" w:rsidRPr="002E2870" w:rsidRDefault="00B92080" w:rsidP="00B92080">
      <w:pPr>
        <w:widowControl w:val="0"/>
        <w:spacing w:line="276" w:lineRule="auto"/>
        <w:ind w:left="720"/>
        <w:jc w:val="both"/>
        <w:rPr>
          <w:rFonts w:ascii="Palatino Linotype" w:eastAsia="Palatino Linotype" w:hAnsi="Palatino Linotype" w:cs="Palatino Linotype"/>
          <w:b/>
          <w:sz w:val="22"/>
          <w:szCs w:val="22"/>
          <w:highlight w:val="yellow"/>
        </w:rPr>
      </w:pPr>
    </w:p>
    <w:p w:rsidR="00B92080" w:rsidRPr="002E2870" w:rsidRDefault="00B92080" w:rsidP="00B92080">
      <w:pPr>
        <w:widowControl w:val="0"/>
        <w:numPr>
          <w:ilvl w:val="0"/>
          <w:numId w:val="5"/>
        </w:numPr>
        <w:spacing w:line="276" w:lineRule="auto"/>
        <w:ind w:left="567" w:hanging="567"/>
        <w:jc w:val="both"/>
        <w:rPr>
          <w:rFonts w:ascii="Palatino Linotype" w:eastAsia="Palatino Linotype" w:hAnsi="Palatino Linotype" w:cs="Palatino Linotype"/>
          <w:b/>
          <w:sz w:val="22"/>
          <w:szCs w:val="22"/>
        </w:rPr>
      </w:pPr>
      <w:r w:rsidRPr="002E2870">
        <w:rPr>
          <w:rFonts w:ascii="Palatino Linotype" w:eastAsia="Palatino Linotype" w:hAnsi="Palatino Linotype" w:cs="Palatino Linotype"/>
          <w:b/>
          <w:sz w:val="22"/>
          <w:szCs w:val="22"/>
        </w:rPr>
        <w:t xml:space="preserve">Interest Rate Futures at NSE and BSE </w:t>
      </w:r>
    </w:p>
    <w:p w:rsidR="00B92080" w:rsidRPr="002E2870" w:rsidRDefault="00B92080" w:rsidP="00B92080">
      <w:pPr>
        <w:keepNext/>
        <w:spacing w:line="276" w:lineRule="auto"/>
        <w:jc w:val="both"/>
        <w:rPr>
          <w:rFonts w:ascii="Palatino Linotype" w:eastAsia="Palatino Linotype" w:hAnsi="Palatino Linotype" w:cs="Palatino Linotype"/>
          <w:sz w:val="22"/>
          <w:szCs w:val="22"/>
        </w:rPr>
      </w:pPr>
    </w:p>
    <w:p w:rsidR="00B92080" w:rsidRPr="002E2870" w:rsidRDefault="00B92080" w:rsidP="00B92080">
      <w:pPr>
        <w:numPr>
          <w:ilvl w:val="0"/>
          <w:numId w:val="7"/>
        </w:numPr>
        <w:pBdr>
          <w:top w:val="nil"/>
          <w:left w:val="nil"/>
          <w:bottom w:val="nil"/>
          <w:right w:val="nil"/>
          <w:between w:val="nil"/>
        </w:pBdr>
        <w:spacing w:line="276" w:lineRule="auto"/>
        <w:ind w:left="567" w:hanging="567"/>
        <w:jc w:val="both"/>
        <w:rPr>
          <w:rFonts w:ascii="Palatino Linotype" w:eastAsia="Palatino Linotype" w:hAnsi="Palatino Linotype" w:cs="Palatino Linotype"/>
          <w:sz w:val="22"/>
          <w:szCs w:val="22"/>
        </w:rPr>
      </w:pPr>
      <w:r w:rsidRPr="002E2870">
        <w:rPr>
          <w:rFonts w:ascii="Palatino Linotype" w:eastAsia="Palatino Linotype" w:hAnsi="Palatino Linotype" w:cs="Palatino Linotype"/>
          <w:sz w:val="22"/>
          <w:szCs w:val="22"/>
        </w:rPr>
        <w:t xml:space="preserve">During September 2020, the monthly turnover of interest rate derivatives (futures and options) at NSE decreased by 9.8 per cent to </w:t>
      </w:r>
      <w:r w:rsidRPr="002E2870">
        <w:rPr>
          <w:rFonts w:ascii="Times New Roman" w:eastAsia="Palatino Linotype" w:hAnsi="Times New Roman"/>
          <w:sz w:val="22"/>
          <w:szCs w:val="22"/>
        </w:rPr>
        <w:t>₹</w:t>
      </w:r>
      <w:r w:rsidRPr="002E2870">
        <w:rPr>
          <w:rFonts w:ascii="Palatino Linotype" w:eastAsia="Palatino Linotype" w:hAnsi="Palatino Linotype" w:cs="Palatino Linotype"/>
          <w:sz w:val="22"/>
          <w:szCs w:val="22"/>
        </w:rPr>
        <w:t xml:space="preserve">7,968.2 crore from </w:t>
      </w:r>
      <w:r w:rsidRPr="002E2870">
        <w:rPr>
          <w:rFonts w:ascii="Times New Roman" w:eastAsia="Palatino Linotype" w:hAnsi="Times New Roman"/>
          <w:sz w:val="22"/>
          <w:szCs w:val="22"/>
        </w:rPr>
        <w:t>₹</w:t>
      </w:r>
      <w:r w:rsidRPr="002E2870">
        <w:rPr>
          <w:rFonts w:ascii="Palatino Linotype" w:eastAsia="Palatino Linotype" w:hAnsi="Palatino Linotype" w:cs="Palatino Linotype"/>
          <w:sz w:val="22"/>
          <w:szCs w:val="22"/>
        </w:rPr>
        <w:t xml:space="preserve">8,836 crore in August 2020. NSE had launched </w:t>
      </w:r>
      <w:r w:rsidR="00DB5405">
        <w:rPr>
          <w:rFonts w:ascii="Palatino Linotype" w:eastAsia="Palatino Linotype" w:hAnsi="Palatino Linotype" w:cs="Palatino Linotype"/>
          <w:sz w:val="22"/>
          <w:szCs w:val="22"/>
        </w:rPr>
        <w:t>i</w:t>
      </w:r>
      <w:r w:rsidRPr="002E2870">
        <w:rPr>
          <w:rFonts w:ascii="Palatino Linotype" w:eastAsia="Palatino Linotype" w:hAnsi="Palatino Linotype" w:cs="Palatino Linotype"/>
          <w:sz w:val="22"/>
          <w:szCs w:val="22"/>
        </w:rPr>
        <w:t xml:space="preserve">nterest </w:t>
      </w:r>
      <w:r w:rsidR="00DB5405">
        <w:rPr>
          <w:rFonts w:ascii="Palatino Linotype" w:eastAsia="Palatino Linotype" w:hAnsi="Palatino Linotype" w:cs="Palatino Linotype"/>
          <w:sz w:val="22"/>
          <w:szCs w:val="22"/>
        </w:rPr>
        <w:t>rate o</w:t>
      </w:r>
      <w:r w:rsidRPr="002E2870">
        <w:rPr>
          <w:rFonts w:ascii="Palatino Linotype" w:eastAsia="Palatino Linotype" w:hAnsi="Palatino Linotype" w:cs="Palatino Linotype"/>
          <w:sz w:val="22"/>
          <w:szCs w:val="22"/>
        </w:rPr>
        <w:t xml:space="preserve">ptions during December 2019.  </w:t>
      </w:r>
      <w:r w:rsidR="00DB5405" w:rsidRPr="006C1C09">
        <w:rPr>
          <w:rFonts w:ascii="Palatino Linotype" w:eastAsia="Palatino Linotype" w:hAnsi="Palatino Linotype" w:cs="Palatino Linotype"/>
          <w:sz w:val="22"/>
          <w:szCs w:val="22"/>
        </w:rPr>
        <w:t>T</w:t>
      </w:r>
      <w:r w:rsidR="00DB5405">
        <w:rPr>
          <w:rFonts w:ascii="Palatino Linotype" w:eastAsia="Palatino Linotype" w:hAnsi="Palatino Linotype" w:cs="Palatino Linotype"/>
          <w:sz w:val="22"/>
          <w:szCs w:val="22"/>
        </w:rPr>
        <w:t>here</w:t>
      </w:r>
      <w:r w:rsidR="00DB5405" w:rsidRPr="005E3DEB">
        <w:rPr>
          <w:rFonts w:ascii="Palatino Linotype" w:eastAsia="Palatino Linotype" w:hAnsi="Palatino Linotype" w:cs="Palatino Linotype"/>
          <w:sz w:val="22"/>
          <w:szCs w:val="22"/>
        </w:rPr>
        <w:t xml:space="preserve"> </w:t>
      </w:r>
      <w:r w:rsidR="00DB5405" w:rsidRPr="006C1C09">
        <w:rPr>
          <w:rFonts w:ascii="Palatino Linotype" w:eastAsia="Palatino Linotype" w:hAnsi="Palatino Linotype" w:cs="Palatino Linotype"/>
          <w:sz w:val="22"/>
          <w:szCs w:val="22"/>
        </w:rPr>
        <w:t xml:space="preserve">has been on a steep decline </w:t>
      </w:r>
      <w:r w:rsidR="00DB5405">
        <w:rPr>
          <w:rFonts w:ascii="Palatino Linotype" w:eastAsia="Palatino Linotype" w:hAnsi="Palatino Linotype" w:cs="Palatino Linotype"/>
          <w:sz w:val="22"/>
          <w:szCs w:val="22"/>
        </w:rPr>
        <w:t xml:space="preserve">in turnover of this product </w:t>
      </w:r>
      <w:r w:rsidR="00DB5405" w:rsidRPr="006C1C09">
        <w:rPr>
          <w:rFonts w:ascii="Palatino Linotype" w:eastAsia="Palatino Linotype" w:hAnsi="Palatino Linotype" w:cs="Palatino Linotype"/>
          <w:sz w:val="22"/>
          <w:szCs w:val="22"/>
        </w:rPr>
        <w:t xml:space="preserve">since April 2020 when the </w:t>
      </w:r>
      <w:r w:rsidR="00DB5405">
        <w:rPr>
          <w:rFonts w:ascii="Palatino Linotype" w:eastAsia="Palatino Linotype" w:hAnsi="Palatino Linotype" w:cs="Palatino Linotype"/>
          <w:sz w:val="22"/>
          <w:szCs w:val="22"/>
        </w:rPr>
        <w:t xml:space="preserve">notional </w:t>
      </w:r>
      <w:r w:rsidR="00DB5405" w:rsidRPr="006C1C09">
        <w:rPr>
          <w:rFonts w:ascii="Palatino Linotype" w:eastAsia="Palatino Linotype" w:hAnsi="Palatino Linotype" w:cs="Palatino Linotype"/>
          <w:sz w:val="22"/>
          <w:szCs w:val="22"/>
        </w:rPr>
        <w:t xml:space="preserve">turnover was </w:t>
      </w:r>
      <w:r w:rsidR="00DB5405" w:rsidRPr="006C1C09">
        <w:rPr>
          <w:rFonts w:ascii="Times New Roman" w:eastAsia="Palatino Linotype" w:hAnsi="Times New Roman"/>
          <w:sz w:val="22"/>
          <w:szCs w:val="22"/>
        </w:rPr>
        <w:t>₹</w:t>
      </w:r>
      <w:r w:rsidR="00DB5405" w:rsidRPr="006C1C09">
        <w:rPr>
          <w:rFonts w:ascii="Palatino Linotype" w:eastAsia="Palatino Linotype" w:hAnsi="Palatino Linotype" w:cs="Palatino Linotype"/>
          <w:sz w:val="22"/>
          <w:szCs w:val="22"/>
        </w:rPr>
        <w:t>311.2 crore</w:t>
      </w:r>
      <w:r w:rsidR="00DB5405" w:rsidRPr="006C1C09" w:rsidDel="005E3DEB">
        <w:rPr>
          <w:rFonts w:ascii="Palatino Linotype" w:eastAsia="Palatino Linotype" w:hAnsi="Palatino Linotype" w:cs="Palatino Linotype"/>
          <w:sz w:val="22"/>
          <w:szCs w:val="22"/>
        </w:rPr>
        <w:t xml:space="preserve"> </w:t>
      </w:r>
      <w:r w:rsidR="00DB5405">
        <w:rPr>
          <w:rFonts w:ascii="Palatino Linotype" w:eastAsia="Palatino Linotype" w:hAnsi="Palatino Linotype" w:cs="Palatino Linotype"/>
          <w:sz w:val="22"/>
          <w:szCs w:val="22"/>
        </w:rPr>
        <w:t xml:space="preserve">and at the end of September 2020, it </w:t>
      </w:r>
      <w:r w:rsidR="00DB5405" w:rsidRPr="006C1C09">
        <w:rPr>
          <w:rFonts w:ascii="Palatino Linotype" w:eastAsia="Palatino Linotype" w:hAnsi="Palatino Linotype" w:cs="Palatino Linotype"/>
          <w:sz w:val="22"/>
          <w:szCs w:val="22"/>
        </w:rPr>
        <w:t xml:space="preserve">stood at </w:t>
      </w:r>
      <w:r w:rsidR="00DB5405" w:rsidRPr="006C1C09">
        <w:rPr>
          <w:rFonts w:ascii="Times New Roman" w:eastAsia="Palatino Linotype" w:hAnsi="Times New Roman"/>
          <w:sz w:val="22"/>
          <w:szCs w:val="22"/>
        </w:rPr>
        <w:t>₹</w:t>
      </w:r>
      <w:r w:rsidR="00DB5405" w:rsidRPr="006C1C09">
        <w:rPr>
          <w:rFonts w:ascii="Palatino Linotype" w:eastAsia="Palatino Linotype" w:hAnsi="Palatino Linotype" w:cs="Palatino Linotype"/>
          <w:sz w:val="22"/>
          <w:szCs w:val="22"/>
        </w:rPr>
        <w:t>2.1 crore</w:t>
      </w:r>
      <w:r w:rsidR="00DB5405">
        <w:rPr>
          <w:rFonts w:ascii="Palatino Linotype" w:eastAsia="Palatino Linotype" w:hAnsi="Palatino Linotype" w:cs="Palatino Linotype"/>
          <w:sz w:val="22"/>
          <w:szCs w:val="22"/>
        </w:rPr>
        <w:t>.</w:t>
      </w:r>
      <w:r w:rsidRPr="002E2870">
        <w:rPr>
          <w:rFonts w:ascii="Palatino Linotype" w:eastAsia="Palatino Linotype" w:hAnsi="Palatino Linotype" w:cs="Palatino Linotype"/>
          <w:sz w:val="22"/>
          <w:szCs w:val="22"/>
        </w:rPr>
        <w:t xml:space="preserve">  The highest notional turnover, since launch, was in March 2020 with </w:t>
      </w:r>
      <w:r w:rsidRPr="002E2870">
        <w:rPr>
          <w:rFonts w:ascii="Times New Roman" w:eastAsia="Palatino Linotype" w:hAnsi="Times New Roman"/>
          <w:sz w:val="22"/>
          <w:szCs w:val="22"/>
        </w:rPr>
        <w:t>₹</w:t>
      </w:r>
      <w:r w:rsidRPr="002E2870">
        <w:rPr>
          <w:rFonts w:ascii="Palatino Linotype" w:eastAsia="Palatino Linotype" w:hAnsi="Palatino Linotype" w:cs="Palatino Linotype"/>
          <w:sz w:val="22"/>
          <w:szCs w:val="22"/>
        </w:rPr>
        <w:t xml:space="preserve">4,003.4 crore.  </w:t>
      </w:r>
    </w:p>
    <w:p w:rsidR="00B92080" w:rsidRPr="002E2870" w:rsidRDefault="00B92080" w:rsidP="00B92080">
      <w:pPr>
        <w:numPr>
          <w:ilvl w:val="0"/>
          <w:numId w:val="7"/>
        </w:numPr>
        <w:pBdr>
          <w:top w:val="nil"/>
          <w:left w:val="nil"/>
          <w:bottom w:val="nil"/>
          <w:right w:val="nil"/>
          <w:between w:val="nil"/>
        </w:pBdr>
        <w:spacing w:line="276" w:lineRule="auto"/>
        <w:ind w:left="567" w:hanging="567"/>
        <w:jc w:val="both"/>
        <w:rPr>
          <w:rFonts w:ascii="Palatino Linotype" w:eastAsia="Palatino Linotype" w:hAnsi="Palatino Linotype" w:cs="Palatino Linotype"/>
          <w:sz w:val="22"/>
          <w:szCs w:val="22"/>
        </w:rPr>
      </w:pPr>
      <w:r w:rsidRPr="002E2870">
        <w:rPr>
          <w:rFonts w:ascii="Palatino Linotype" w:eastAsia="Palatino Linotype" w:hAnsi="Palatino Linotype" w:cs="Palatino Linotype"/>
          <w:sz w:val="22"/>
          <w:szCs w:val="22"/>
        </w:rPr>
        <w:t xml:space="preserve">The monthly turnover of interest rate futures at BSE decreased by 53.8 per cent from </w:t>
      </w:r>
      <w:r w:rsidRPr="002E2870">
        <w:rPr>
          <w:rFonts w:ascii="Times New Roman" w:eastAsia="Tahoma" w:hAnsi="Times New Roman"/>
          <w:sz w:val="22"/>
          <w:szCs w:val="22"/>
        </w:rPr>
        <w:t>₹</w:t>
      </w:r>
      <w:r w:rsidRPr="002E2870">
        <w:rPr>
          <w:rFonts w:ascii="Palatino Linotype" w:eastAsia="Palatino Linotype" w:hAnsi="Palatino Linotype" w:cs="Palatino Linotype"/>
          <w:sz w:val="22"/>
          <w:szCs w:val="22"/>
        </w:rPr>
        <w:t xml:space="preserve">1,339 crore to </w:t>
      </w:r>
      <w:r w:rsidRPr="002E2870">
        <w:rPr>
          <w:rFonts w:ascii="Times New Roman" w:eastAsia="Tahoma" w:hAnsi="Times New Roman"/>
          <w:sz w:val="22"/>
          <w:szCs w:val="22"/>
        </w:rPr>
        <w:t>₹</w:t>
      </w:r>
      <w:r w:rsidRPr="002E2870">
        <w:rPr>
          <w:rFonts w:ascii="Palatino Linotype" w:eastAsia="Palatino Linotype" w:hAnsi="Palatino Linotype" w:cs="Palatino Linotype"/>
          <w:sz w:val="22"/>
          <w:szCs w:val="22"/>
        </w:rPr>
        <w:t xml:space="preserve">618.8 crore during the same period. </w:t>
      </w:r>
    </w:p>
    <w:p w:rsidR="00B92080" w:rsidRPr="002E2870" w:rsidRDefault="00B92080" w:rsidP="00B92080">
      <w:pPr>
        <w:pBdr>
          <w:top w:val="nil"/>
          <w:left w:val="nil"/>
          <w:bottom w:val="nil"/>
          <w:right w:val="nil"/>
          <w:between w:val="nil"/>
        </w:pBdr>
        <w:spacing w:line="276" w:lineRule="auto"/>
        <w:rPr>
          <w:rFonts w:ascii="Palatino Linotype" w:eastAsia="Palatino Linotype" w:hAnsi="Palatino Linotype" w:cs="Palatino Linotype"/>
          <w:b/>
          <w:sz w:val="22"/>
          <w:szCs w:val="22"/>
          <w:highlight w:val="yellow"/>
        </w:rPr>
      </w:pPr>
    </w:p>
    <w:p w:rsidR="00B92080" w:rsidRPr="002E2870" w:rsidRDefault="00B92080" w:rsidP="00B92080">
      <w:pPr>
        <w:rPr>
          <w:rFonts w:ascii="Palatino Linotype" w:eastAsia="Palatino Linotype" w:hAnsi="Palatino Linotype" w:cs="Palatino Linotype"/>
          <w:b/>
          <w:sz w:val="22"/>
          <w:szCs w:val="22"/>
        </w:rPr>
      </w:pPr>
      <w:r w:rsidRPr="002E2870">
        <w:rPr>
          <w:rFonts w:ascii="Palatino Linotype" w:eastAsia="Palatino Linotype" w:hAnsi="Palatino Linotype" w:cs="Palatino Linotype"/>
          <w:b/>
          <w:sz w:val="22"/>
          <w:szCs w:val="22"/>
        </w:rPr>
        <w:br w:type="page"/>
      </w:r>
    </w:p>
    <w:p w:rsidR="00B92080" w:rsidRPr="002E2870" w:rsidRDefault="00B92080" w:rsidP="00B92080">
      <w:pPr>
        <w:pBdr>
          <w:top w:val="nil"/>
          <w:left w:val="nil"/>
          <w:bottom w:val="nil"/>
          <w:right w:val="nil"/>
          <w:between w:val="nil"/>
        </w:pBdr>
        <w:spacing w:line="276" w:lineRule="auto"/>
        <w:jc w:val="center"/>
        <w:rPr>
          <w:rFonts w:ascii="Palatino Linotype" w:eastAsia="Palatino Linotype" w:hAnsi="Palatino Linotype" w:cs="Palatino Linotype"/>
          <w:b/>
          <w:sz w:val="22"/>
          <w:szCs w:val="22"/>
        </w:rPr>
      </w:pPr>
      <w:r w:rsidRPr="002E2870">
        <w:rPr>
          <w:rFonts w:ascii="Palatino Linotype" w:eastAsia="Palatino Linotype" w:hAnsi="Palatino Linotype" w:cs="Palatino Linotype"/>
          <w:b/>
          <w:sz w:val="22"/>
          <w:szCs w:val="22"/>
        </w:rPr>
        <w:lastRenderedPageBreak/>
        <w:t>Figure 9: Trends of Inter</w:t>
      </w:r>
      <w:r>
        <w:rPr>
          <w:rFonts w:ascii="Palatino Linotype" w:eastAsia="Palatino Linotype" w:hAnsi="Palatino Linotype" w:cs="Palatino Linotype"/>
          <w:b/>
          <w:sz w:val="22"/>
          <w:szCs w:val="22"/>
        </w:rPr>
        <w:t>est Rate Futures at NSE and BSE</w:t>
      </w:r>
    </w:p>
    <w:p w:rsidR="00B92080" w:rsidRPr="002E2870" w:rsidRDefault="00B92080" w:rsidP="00B92080">
      <w:pPr>
        <w:spacing w:line="276" w:lineRule="auto"/>
        <w:jc w:val="center"/>
        <w:rPr>
          <w:rFonts w:ascii="Palatino Linotype" w:eastAsia="Palatino Linotype" w:hAnsi="Palatino Linotype" w:cs="Palatino Linotype"/>
          <w:b/>
          <w:sz w:val="22"/>
          <w:szCs w:val="22"/>
          <w:highlight w:val="yellow"/>
        </w:rPr>
      </w:pPr>
      <w:r w:rsidRPr="002E2870">
        <w:rPr>
          <w:rFonts w:ascii="Palatino Linotype" w:hAnsi="Palatino Linotype"/>
          <w:noProof/>
          <w:lang w:val="en-IN" w:eastAsia="en-IN" w:bidi="hi-IN"/>
        </w:rPr>
        <w:drawing>
          <wp:inline distT="0" distB="0" distL="0" distR="0" wp14:anchorId="7977DC66" wp14:editId="064F3663">
            <wp:extent cx="5272268" cy="2489835"/>
            <wp:effectExtent l="0" t="0" r="5080" b="5715"/>
            <wp:docPr id="19" name="Chart 19"/>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rsidR="00B92080" w:rsidRPr="002E2870" w:rsidRDefault="00B92080" w:rsidP="00B92080">
      <w:pPr>
        <w:widowControl w:val="0"/>
        <w:spacing w:line="276" w:lineRule="auto"/>
        <w:ind w:left="567"/>
        <w:rPr>
          <w:rFonts w:ascii="Palatino Linotype" w:eastAsia="Palatino Linotype" w:hAnsi="Palatino Linotype" w:cs="Palatino Linotype"/>
          <w:b/>
          <w:sz w:val="22"/>
          <w:szCs w:val="22"/>
        </w:rPr>
      </w:pPr>
    </w:p>
    <w:p w:rsidR="00B92080" w:rsidRPr="002E2870" w:rsidRDefault="00B92080" w:rsidP="00B92080">
      <w:pPr>
        <w:widowControl w:val="0"/>
        <w:numPr>
          <w:ilvl w:val="0"/>
          <w:numId w:val="3"/>
        </w:numPr>
        <w:spacing w:line="276" w:lineRule="auto"/>
        <w:ind w:left="567" w:hanging="567"/>
        <w:rPr>
          <w:rFonts w:ascii="Palatino Linotype" w:eastAsia="Palatino Linotype" w:hAnsi="Palatino Linotype" w:cs="Palatino Linotype"/>
          <w:b/>
          <w:sz w:val="22"/>
          <w:szCs w:val="22"/>
        </w:rPr>
      </w:pPr>
      <w:r w:rsidRPr="002E2870">
        <w:rPr>
          <w:rFonts w:ascii="Palatino Linotype" w:eastAsia="Palatino Linotype" w:hAnsi="Palatino Linotype" w:cs="Palatino Linotype"/>
          <w:b/>
          <w:sz w:val="22"/>
          <w:szCs w:val="22"/>
        </w:rPr>
        <w:t>Trading in Corporate Debt Market</w:t>
      </w:r>
    </w:p>
    <w:p w:rsidR="00B92080" w:rsidRPr="002E2870" w:rsidRDefault="00B92080" w:rsidP="00B92080">
      <w:pPr>
        <w:widowControl w:val="0"/>
        <w:spacing w:line="276" w:lineRule="auto"/>
        <w:ind w:left="720"/>
        <w:jc w:val="both"/>
        <w:rPr>
          <w:rFonts w:ascii="Palatino Linotype" w:eastAsia="Palatino Linotype" w:hAnsi="Palatino Linotype" w:cs="Palatino Linotype"/>
          <w:sz w:val="22"/>
          <w:szCs w:val="22"/>
        </w:rPr>
      </w:pPr>
    </w:p>
    <w:p w:rsidR="00B92080" w:rsidRPr="002E2870" w:rsidRDefault="00B92080" w:rsidP="00B92080">
      <w:pPr>
        <w:numPr>
          <w:ilvl w:val="0"/>
          <w:numId w:val="8"/>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2E2870">
        <w:rPr>
          <w:rFonts w:ascii="Palatino Linotype" w:eastAsia="Palatino Linotype" w:hAnsi="Palatino Linotype" w:cs="Palatino Linotype"/>
          <w:sz w:val="22"/>
          <w:szCs w:val="22"/>
        </w:rPr>
        <w:t xml:space="preserve">During September 2020, BSE registered 5695 trades of corporate debt with traded value of </w:t>
      </w:r>
      <w:r w:rsidRPr="002E2870">
        <w:rPr>
          <w:rFonts w:ascii="Times New Roman" w:eastAsia="Palatino Linotype" w:hAnsi="Times New Roman"/>
          <w:sz w:val="22"/>
          <w:szCs w:val="22"/>
        </w:rPr>
        <w:t>₹</w:t>
      </w:r>
      <w:r>
        <w:rPr>
          <w:rFonts w:ascii="Palatino Linotype" w:eastAsia="Palatino Linotype" w:hAnsi="Palatino Linotype" w:cs="Palatino Linotype"/>
          <w:sz w:val="22"/>
          <w:szCs w:val="22"/>
        </w:rPr>
        <w:t>50,694 crore</w:t>
      </w:r>
      <w:r w:rsidRPr="002E2870">
        <w:rPr>
          <w:rFonts w:ascii="Palatino Linotype" w:eastAsia="Palatino Linotype" w:hAnsi="Palatino Linotype" w:cs="Palatino Linotype"/>
          <w:sz w:val="22"/>
          <w:szCs w:val="22"/>
        </w:rPr>
        <w:t xml:space="preserve">, as compared to 4,946 trades of corporate debt with a traded value of </w:t>
      </w:r>
      <w:r w:rsidRPr="002E2870">
        <w:rPr>
          <w:rFonts w:ascii="Times New Roman" w:eastAsia="Palatino Linotype" w:hAnsi="Times New Roman"/>
          <w:sz w:val="22"/>
          <w:szCs w:val="22"/>
        </w:rPr>
        <w:t>₹</w:t>
      </w:r>
      <w:r w:rsidRPr="002E2870">
        <w:rPr>
          <w:rFonts w:ascii="Palatino Linotype" w:eastAsia="Palatino Linotype" w:hAnsi="Palatino Linotype" w:cs="Palatino Linotype"/>
          <w:sz w:val="22"/>
          <w:szCs w:val="22"/>
        </w:rPr>
        <w:t xml:space="preserve">53,916 crore in the previous month.  </w:t>
      </w:r>
    </w:p>
    <w:p w:rsidR="00B92080" w:rsidRPr="002E2870" w:rsidRDefault="00B92080" w:rsidP="00B92080">
      <w:pPr>
        <w:numPr>
          <w:ilvl w:val="0"/>
          <w:numId w:val="8"/>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2E2870">
        <w:rPr>
          <w:rFonts w:ascii="Palatino Linotype" w:eastAsia="Palatino Linotype" w:hAnsi="Palatino Linotype" w:cs="Palatino Linotype"/>
          <w:sz w:val="22"/>
          <w:szCs w:val="22"/>
        </w:rPr>
        <w:t xml:space="preserve">At NSE, 5,864 trades were recorded with a traded value of </w:t>
      </w:r>
      <w:r w:rsidRPr="002E2870">
        <w:rPr>
          <w:rFonts w:ascii="Times New Roman" w:eastAsia="Palatino Linotype" w:hAnsi="Times New Roman"/>
          <w:sz w:val="22"/>
          <w:szCs w:val="22"/>
        </w:rPr>
        <w:t>₹</w:t>
      </w:r>
      <w:r>
        <w:rPr>
          <w:rFonts w:ascii="Palatino Linotype" w:eastAsia="Palatino Linotype" w:hAnsi="Palatino Linotype"/>
          <w:sz w:val="22"/>
          <w:szCs w:val="22"/>
        </w:rPr>
        <w:t>90,783</w:t>
      </w:r>
      <w:r w:rsidRPr="002E2870">
        <w:rPr>
          <w:rFonts w:ascii="Palatino Linotype" w:eastAsia="Palatino Linotype" w:hAnsi="Palatino Linotype" w:cs="Palatino Linotype"/>
          <w:sz w:val="22"/>
          <w:szCs w:val="22"/>
        </w:rPr>
        <w:t xml:space="preserve"> crore in September 2020 as compared to 5,200 trades with a traded value of </w:t>
      </w:r>
      <w:r w:rsidRPr="002E2870">
        <w:rPr>
          <w:rFonts w:ascii="Times New Roman" w:eastAsia="Palatino Linotype" w:hAnsi="Times New Roman"/>
          <w:sz w:val="22"/>
          <w:szCs w:val="22"/>
        </w:rPr>
        <w:t>₹</w:t>
      </w:r>
      <w:r w:rsidRPr="002E2870">
        <w:rPr>
          <w:rFonts w:ascii="Palatino Linotype" w:eastAsia="Palatino Linotype" w:hAnsi="Palatino Linotype" w:cs="Palatino Linotype"/>
          <w:sz w:val="22"/>
          <w:szCs w:val="22"/>
        </w:rPr>
        <w:t xml:space="preserve">89,136 crore in August 2020. </w:t>
      </w:r>
    </w:p>
    <w:p w:rsidR="00B92080" w:rsidRPr="002E2870" w:rsidRDefault="00B92080" w:rsidP="00B92080">
      <w:pPr>
        <w:pBdr>
          <w:top w:val="nil"/>
          <w:left w:val="nil"/>
          <w:bottom w:val="nil"/>
          <w:right w:val="nil"/>
          <w:between w:val="nil"/>
        </w:pBdr>
        <w:spacing w:line="276" w:lineRule="auto"/>
        <w:ind w:left="720" w:hanging="720"/>
        <w:rPr>
          <w:rFonts w:ascii="Palatino Linotype" w:eastAsia="Palatino Linotype" w:hAnsi="Palatino Linotype" w:cs="Palatino Linotype"/>
          <w:b/>
          <w:sz w:val="22"/>
          <w:szCs w:val="22"/>
          <w:highlight w:val="yellow"/>
        </w:rPr>
      </w:pPr>
    </w:p>
    <w:p w:rsidR="00B92080" w:rsidRPr="002E2870" w:rsidRDefault="00B92080" w:rsidP="00B92080">
      <w:pPr>
        <w:pBdr>
          <w:top w:val="nil"/>
          <w:left w:val="nil"/>
          <w:bottom w:val="nil"/>
          <w:right w:val="nil"/>
          <w:between w:val="nil"/>
        </w:pBdr>
        <w:spacing w:line="276" w:lineRule="auto"/>
        <w:ind w:left="720" w:hanging="720"/>
        <w:jc w:val="center"/>
        <w:rPr>
          <w:rFonts w:ascii="Palatino Linotype" w:eastAsia="Palatino Linotype" w:hAnsi="Palatino Linotype" w:cs="Palatino Linotype"/>
          <w:b/>
          <w:sz w:val="22"/>
          <w:szCs w:val="22"/>
        </w:rPr>
      </w:pPr>
      <w:r w:rsidRPr="002E2870">
        <w:rPr>
          <w:rFonts w:ascii="Palatino Linotype" w:eastAsia="Palatino Linotype" w:hAnsi="Palatino Linotype" w:cs="Palatino Linotype"/>
          <w:b/>
          <w:sz w:val="22"/>
          <w:szCs w:val="22"/>
        </w:rPr>
        <w:t>Figure 10: Trends in Reported Turnover of Corporate Bonds</w:t>
      </w:r>
    </w:p>
    <w:p w:rsidR="00B92080" w:rsidRPr="002E2870" w:rsidRDefault="00B92080" w:rsidP="00B92080">
      <w:pPr>
        <w:pBdr>
          <w:top w:val="nil"/>
          <w:left w:val="nil"/>
          <w:bottom w:val="nil"/>
          <w:right w:val="nil"/>
          <w:between w:val="nil"/>
        </w:pBdr>
        <w:spacing w:line="276" w:lineRule="auto"/>
        <w:ind w:left="720" w:hanging="720"/>
        <w:jc w:val="center"/>
        <w:rPr>
          <w:rFonts w:ascii="Palatino Linotype" w:eastAsia="Palatino Linotype" w:hAnsi="Palatino Linotype" w:cs="Palatino Linotype"/>
          <w:b/>
          <w:sz w:val="22"/>
          <w:szCs w:val="22"/>
          <w:highlight w:val="yellow"/>
        </w:rPr>
      </w:pPr>
      <w:r w:rsidRPr="002E2870">
        <w:rPr>
          <w:rFonts w:ascii="Palatino Linotype" w:hAnsi="Palatino Linotype"/>
          <w:noProof/>
          <w:lang w:val="en-IN" w:eastAsia="en-IN" w:bidi="hi-IN"/>
        </w:rPr>
        <w:drawing>
          <wp:inline distT="0" distB="0" distL="0" distR="0" wp14:anchorId="27E614DC" wp14:editId="40BB0BCC">
            <wp:extent cx="5861983" cy="2470524"/>
            <wp:effectExtent l="0" t="0" r="5715" b="6350"/>
            <wp:docPr id="20" name="Chart 20"/>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rsidR="00B92080" w:rsidRPr="002E2870" w:rsidRDefault="00B92080" w:rsidP="00B92080">
      <w:pPr>
        <w:widowControl w:val="0"/>
        <w:spacing w:line="276" w:lineRule="auto"/>
        <w:ind w:left="720"/>
        <w:contextualSpacing/>
        <w:jc w:val="both"/>
        <w:rPr>
          <w:rFonts w:ascii="Palatino Linotype" w:hAnsi="Palatino Linotype"/>
          <w:b/>
          <w:sz w:val="22"/>
          <w:szCs w:val="22"/>
          <w:highlight w:val="yellow"/>
        </w:rPr>
      </w:pPr>
    </w:p>
    <w:p w:rsidR="00B92080" w:rsidRPr="002E2870" w:rsidRDefault="00B92080" w:rsidP="00B92080">
      <w:pPr>
        <w:widowControl w:val="0"/>
        <w:numPr>
          <w:ilvl w:val="0"/>
          <w:numId w:val="3"/>
        </w:numPr>
        <w:spacing w:line="276" w:lineRule="auto"/>
        <w:ind w:left="567" w:hanging="567"/>
        <w:rPr>
          <w:rFonts w:ascii="Palatino Linotype" w:eastAsia="Palatino Linotype" w:hAnsi="Palatino Linotype" w:cs="Palatino Linotype"/>
          <w:b/>
          <w:sz w:val="22"/>
          <w:szCs w:val="22"/>
        </w:rPr>
      </w:pPr>
      <w:r w:rsidRPr="002E2870">
        <w:rPr>
          <w:rFonts w:ascii="Palatino Linotype" w:eastAsia="Palatino Linotype" w:hAnsi="Palatino Linotype" w:cs="Palatino Linotype"/>
          <w:b/>
          <w:sz w:val="22"/>
          <w:szCs w:val="22"/>
        </w:rPr>
        <w:t>Trends in Institutional Investments</w:t>
      </w:r>
    </w:p>
    <w:p w:rsidR="00B92080" w:rsidRPr="002E2870" w:rsidRDefault="00B92080" w:rsidP="00B92080">
      <w:pPr>
        <w:widowControl w:val="0"/>
        <w:spacing w:line="276" w:lineRule="auto"/>
        <w:ind w:left="720"/>
        <w:jc w:val="both"/>
        <w:rPr>
          <w:rFonts w:ascii="Palatino Linotype" w:eastAsia="Palatino Linotype" w:hAnsi="Palatino Linotype" w:cs="Palatino Linotype"/>
          <w:b/>
          <w:sz w:val="22"/>
          <w:szCs w:val="22"/>
        </w:rPr>
      </w:pPr>
    </w:p>
    <w:p w:rsidR="00B92080" w:rsidRPr="00EE4E6C" w:rsidRDefault="00B92080" w:rsidP="00B92080">
      <w:pPr>
        <w:widowControl w:val="0"/>
        <w:numPr>
          <w:ilvl w:val="0"/>
          <w:numId w:val="10"/>
        </w:numPr>
        <w:tabs>
          <w:tab w:val="left" w:pos="0"/>
        </w:tabs>
        <w:spacing w:line="276" w:lineRule="auto"/>
        <w:ind w:left="567" w:hanging="567"/>
        <w:jc w:val="both"/>
        <w:rPr>
          <w:rFonts w:ascii="Palatino Linotype" w:eastAsia="Palatino Linotype" w:hAnsi="Palatino Linotype" w:cs="Palatino Linotype"/>
          <w:b/>
          <w:sz w:val="22"/>
          <w:szCs w:val="22"/>
        </w:rPr>
      </w:pPr>
      <w:r w:rsidRPr="00EE4E6C">
        <w:rPr>
          <w:rFonts w:ascii="Palatino Linotype" w:eastAsia="Palatino Linotype" w:hAnsi="Palatino Linotype" w:cs="Palatino Linotype"/>
          <w:b/>
          <w:sz w:val="22"/>
          <w:szCs w:val="22"/>
        </w:rPr>
        <w:t>Trends i</w:t>
      </w:r>
      <w:r>
        <w:rPr>
          <w:rFonts w:ascii="Palatino Linotype" w:eastAsia="Palatino Linotype" w:hAnsi="Palatino Linotype" w:cs="Palatino Linotype"/>
          <w:b/>
          <w:sz w:val="22"/>
          <w:szCs w:val="22"/>
        </w:rPr>
        <w:t>n Fund Mobilisation/Transactions</w:t>
      </w:r>
      <w:r w:rsidRPr="00EE4E6C">
        <w:rPr>
          <w:rFonts w:ascii="Palatino Linotype" w:eastAsia="Palatino Linotype" w:hAnsi="Palatino Linotype" w:cs="Palatino Linotype"/>
          <w:b/>
          <w:sz w:val="22"/>
          <w:szCs w:val="22"/>
        </w:rPr>
        <w:t xml:space="preserve"> by Mutual Funds</w:t>
      </w:r>
    </w:p>
    <w:p w:rsidR="00B92080" w:rsidRPr="00EE4E6C" w:rsidRDefault="00B92080" w:rsidP="00B92080">
      <w:pPr>
        <w:spacing w:line="276" w:lineRule="auto"/>
        <w:jc w:val="both"/>
        <w:rPr>
          <w:rFonts w:ascii="Tahoma" w:eastAsia="Times New Roman" w:hAnsi="Tahoma" w:cs="Tahoma"/>
          <w:color w:val="000000"/>
          <w:sz w:val="20"/>
          <w:szCs w:val="20"/>
          <w:lang w:val="en-IN" w:eastAsia="en-IN"/>
        </w:rPr>
      </w:pPr>
      <w:r w:rsidRPr="00EE4E6C">
        <w:rPr>
          <w:rFonts w:ascii="Tahoma" w:eastAsia="Times New Roman" w:hAnsi="Tahoma" w:cs="Tahoma"/>
          <w:color w:val="000000"/>
          <w:sz w:val="20"/>
          <w:szCs w:val="20"/>
          <w:lang w:val="en-IN" w:eastAsia="en-IN"/>
        </w:rPr>
        <w:t> </w:t>
      </w:r>
    </w:p>
    <w:p w:rsidR="00B92080" w:rsidRPr="00EE4E6C" w:rsidRDefault="00B92080" w:rsidP="00B92080">
      <w:pPr>
        <w:numPr>
          <w:ilvl w:val="0"/>
          <w:numId w:val="9"/>
        </w:numPr>
        <w:pBdr>
          <w:top w:val="nil"/>
          <w:left w:val="nil"/>
          <w:bottom w:val="nil"/>
          <w:right w:val="nil"/>
          <w:between w:val="nil"/>
        </w:pBdr>
        <w:spacing w:line="276" w:lineRule="auto"/>
        <w:ind w:left="567" w:hanging="567"/>
        <w:jc w:val="both"/>
        <w:rPr>
          <w:rFonts w:ascii="Palatino Linotype" w:eastAsia="Palatino Linotype" w:hAnsi="Palatino Linotype" w:cs="Palatino Linotype"/>
          <w:sz w:val="22"/>
          <w:szCs w:val="22"/>
        </w:rPr>
      </w:pPr>
      <w:r w:rsidRPr="00EE4E6C">
        <w:rPr>
          <w:rFonts w:ascii="Palatino Linotype" w:eastAsia="Times New Roman" w:hAnsi="Palatino Linotype" w:cs="Tahoma"/>
          <w:color w:val="000000"/>
          <w:sz w:val="22"/>
          <w:szCs w:val="22"/>
          <w:lang w:eastAsia="en-IN"/>
        </w:rPr>
        <w:t xml:space="preserve">As on </w:t>
      </w:r>
      <w:r w:rsidRPr="00EE4E6C">
        <w:rPr>
          <w:rFonts w:ascii="Palatino Linotype" w:eastAsia="Palatino Linotype" w:hAnsi="Palatino Linotype" w:cs="Palatino Linotype"/>
          <w:sz w:val="22"/>
          <w:szCs w:val="22"/>
        </w:rPr>
        <w:t xml:space="preserve">September 30, 2020, there were a total of 1,753 mutual fund schemes in the market, of which 981 were open-ended schemes, 749 were close-ended schemes and 23 were interval schemes. </w:t>
      </w:r>
    </w:p>
    <w:p w:rsidR="00B92080" w:rsidRPr="00EE4E6C" w:rsidRDefault="00B92080" w:rsidP="00B92080">
      <w:pPr>
        <w:numPr>
          <w:ilvl w:val="0"/>
          <w:numId w:val="9"/>
        </w:numPr>
        <w:pBdr>
          <w:top w:val="nil"/>
          <w:left w:val="nil"/>
          <w:bottom w:val="nil"/>
          <w:right w:val="nil"/>
          <w:between w:val="nil"/>
        </w:pBdr>
        <w:spacing w:line="276" w:lineRule="auto"/>
        <w:ind w:left="567" w:hanging="567"/>
        <w:jc w:val="both"/>
        <w:rPr>
          <w:rFonts w:ascii="Palatino Linotype" w:eastAsia="Palatino Linotype" w:hAnsi="Palatino Linotype" w:cs="Palatino Linotype"/>
          <w:sz w:val="22"/>
          <w:szCs w:val="22"/>
        </w:rPr>
      </w:pPr>
      <w:r w:rsidRPr="00EE4E6C">
        <w:rPr>
          <w:rFonts w:ascii="Palatino Linotype" w:eastAsia="Palatino Linotype" w:hAnsi="Palatino Linotype" w:cs="Palatino Linotype"/>
          <w:sz w:val="22"/>
          <w:szCs w:val="22"/>
        </w:rPr>
        <w:lastRenderedPageBreak/>
        <w:t xml:space="preserve">The mutual fund industry saw a net outflow of </w:t>
      </w:r>
      <w:r w:rsidRPr="00EE4E6C">
        <w:rPr>
          <w:rFonts w:ascii="Times New Roman" w:eastAsia="Palatino Linotype" w:hAnsi="Times New Roman"/>
          <w:sz w:val="22"/>
          <w:szCs w:val="22"/>
        </w:rPr>
        <w:t>₹</w:t>
      </w:r>
      <w:r w:rsidRPr="00EE4E6C">
        <w:rPr>
          <w:rFonts w:ascii="Palatino Linotype" w:eastAsia="Palatino Linotype" w:hAnsi="Palatino Linotype" w:cs="Palatino Linotype"/>
          <w:sz w:val="22"/>
          <w:szCs w:val="22"/>
        </w:rPr>
        <w:t xml:space="preserve">52,091.2 crore in September 2020; the net outflow during August 2020 was </w:t>
      </w:r>
      <w:r w:rsidRPr="00EE4E6C">
        <w:rPr>
          <w:rFonts w:ascii="Times New Roman" w:eastAsia="Palatino Linotype" w:hAnsi="Times New Roman"/>
          <w:sz w:val="22"/>
          <w:szCs w:val="22"/>
        </w:rPr>
        <w:t>₹</w:t>
      </w:r>
      <w:r w:rsidRPr="00EE4E6C">
        <w:rPr>
          <w:rFonts w:ascii="Palatino Linotype" w:eastAsia="Palatino Linotype" w:hAnsi="Palatino Linotype" w:cs="Palatino Linotype"/>
          <w:sz w:val="22"/>
          <w:szCs w:val="22"/>
        </w:rPr>
        <w:t>14,552.8 crore.</w:t>
      </w:r>
    </w:p>
    <w:p w:rsidR="00B92080" w:rsidRPr="00EE4E6C" w:rsidRDefault="00B92080" w:rsidP="00B92080">
      <w:pPr>
        <w:numPr>
          <w:ilvl w:val="0"/>
          <w:numId w:val="9"/>
        </w:numPr>
        <w:pBdr>
          <w:top w:val="nil"/>
          <w:left w:val="nil"/>
          <w:bottom w:val="nil"/>
          <w:right w:val="nil"/>
          <w:between w:val="nil"/>
        </w:pBdr>
        <w:spacing w:line="276" w:lineRule="auto"/>
        <w:ind w:left="567" w:hanging="567"/>
        <w:jc w:val="both"/>
        <w:rPr>
          <w:rFonts w:ascii="Palatino Linotype" w:eastAsia="Palatino Linotype" w:hAnsi="Palatino Linotype" w:cs="Palatino Linotype"/>
          <w:sz w:val="22"/>
          <w:szCs w:val="22"/>
        </w:rPr>
      </w:pPr>
      <w:r w:rsidRPr="00EE4E6C">
        <w:rPr>
          <w:rFonts w:ascii="Palatino Linotype" w:eastAsia="Palatino Linotype" w:hAnsi="Palatino Linotype" w:cs="Palatino Linotype"/>
          <w:sz w:val="22"/>
          <w:szCs w:val="22"/>
        </w:rPr>
        <w:t xml:space="preserve">The funds mobilised by open-ended schemes during September 2020 was </w:t>
      </w:r>
      <w:r w:rsidRPr="00EE4E6C">
        <w:rPr>
          <w:rFonts w:ascii="Times New Roman" w:eastAsia="Palatino Linotype" w:hAnsi="Times New Roman"/>
          <w:sz w:val="22"/>
          <w:szCs w:val="22"/>
        </w:rPr>
        <w:t>₹</w:t>
      </w:r>
      <w:r w:rsidRPr="00EE4E6C">
        <w:rPr>
          <w:rFonts w:ascii="Palatino Linotype" w:eastAsia="Palatino Linotype" w:hAnsi="Palatino Linotype" w:cs="Palatino Linotype"/>
          <w:sz w:val="22"/>
          <w:szCs w:val="22"/>
        </w:rPr>
        <w:t xml:space="preserve">6,66,358.6 crore against redemption/repurchase of </w:t>
      </w:r>
      <w:r w:rsidRPr="00EE4E6C">
        <w:rPr>
          <w:rFonts w:ascii="Times New Roman" w:eastAsia="Palatino Linotype" w:hAnsi="Times New Roman"/>
          <w:sz w:val="22"/>
          <w:szCs w:val="22"/>
        </w:rPr>
        <w:t>₹</w:t>
      </w:r>
      <w:r w:rsidRPr="00EE4E6C">
        <w:rPr>
          <w:rFonts w:ascii="Palatino Linotype" w:eastAsia="Palatino Linotype" w:hAnsi="Palatino Linotype" w:cs="Palatino Linotype"/>
          <w:sz w:val="22"/>
          <w:szCs w:val="22"/>
        </w:rPr>
        <w:t xml:space="preserve">7,17,172.2 crore, resulting in a net outflow of </w:t>
      </w:r>
      <w:r w:rsidRPr="00EE4E6C">
        <w:rPr>
          <w:rFonts w:ascii="Times New Roman" w:eastAsia="Palatino Linotype" w:hAnsi="Times New Roman"/>
          <w:sz w:val="22"/>
          <w:szCs w:val="22"/>
        </w:rPr>
        <w:t>₹</w:t>
      </w:r>
      <w:r w:rsidRPr="00EE4E6C">
        <w:rPr>
          <w:rFonts w:ascii="Palatino Linotype" w:eastAsia="Palatino Linotype" w:hAnsi="Palatino Linotype" w:cs="Palatino Linotype"/>
          <w:sz w:val="22"/>
          <w:szCs w:val="22"/>
        </w:rPr>
        <w:t xml:space="preserve">50,813.7 crore from open-ended schemes. Of the </w:t>
      </w:r>
      <w:r w:rsidRPr="00067939">
        <w:rPr>
          <w:rFonts w:ascii="Palatino Linotype" w:eastAsia="Palatino Linotype" w:hAnsi="Palatino Linotype" w:cs="Palatino Linotype"/>
          <w:sz w:val="22"/>
          <w:szCs w:val="22"/>
        </w:rPr>
        <w:t xml:space="preserve">total funds mobilised by the open-ended schemes during the month under consideration, </w:t>
      </w:r>
      <w:r w:rsidRPr="00067939">
        <w:rPr>
          <w:rFonts w:ascii="Times New Roman" w:eastAsia="Palatino Linotype" w:hAnsi="Times New Roman"/>
          <w:sz w:val="22"/>
          <w:szCs w:val="22"/>
        </w:rPr>
        <w:t>₹</w:t>
      </w:r>
      <w:r w:rsidRPr="00067939">
        <w:rPr>
          <w:rFonts w:ascii="Palatino Linotype" w:eastAsia="Palatino Linotype" w:hAnsi="Palatino Linotype" w:cs="Palatino Linotype"/>
          <w:sz w:val="22"/>
          <w:szCs w:val="22"/>
        </w:rPr>
        <w:t xml:space="preserve">6,32,021.3 crore was mobilised through income/debt oriented schemes, </w:t>
      </w:r>
      <w:r w:rsidRPr="00067939">
        <w:rPr>
          <w:rFonts w:ascii="Times New Roman" w:eastAsia="Palatino Linotype" w:hAnsi="Times New Roman"/>
          <w:sz w:val="22"/>
          <w:szCs w:val="22"/>
        </w:rPr>
        <w:t>₹</w:t>
      </w:r>
      <w:r w:rsidRPr="00067939">
        <w:rPr>
          <w:rFonts w:ascii="Palatino Linotype" w:eastAsia="Palatino Linotype" w:hAnsi="Palatino Linotype" w:cs="Palatino Linotype"/>
          <w:sz w:val="22"/>
          <w:szCs w:val="22"/>
        </w:rPr>
        <w:t xml:space="preserve">16,951.8 crore through growth/equity oriented schemes, </w:t>
      </w:r>
      <w:r w:rsidRPr="00067939">
        <w:rPr>
          <w:rFonts w:ascii="Times New Roman" w:eastAsia="Palatino Linotype" w:hAnsi="Times New Roman"/>
          <w:sz w:val="22"/>
          <w:szCs w:val="22"/>
        </w:rPr>
        <w:t>₹</w:t>
      </w:r>
      <w:r w:rsidRPr="00067939">
        <w:rPr>
          <w:rFonts w:ascii="Palatino Linotype" w:eastAsia="Palatino Linotype" w:hAnsi="Palatino Linotype" w:cs="Palatino Linotype"/>
          <w:sz w:val="22"/>
          <w:szCs w:val="22"/>
        </w:rPr>
        <w:t xml:space="preserve">6,734.7 crore through hybrid schemes, </w:t>
      </w:r>
      <w:r w:rsidRPr="00067939">
        <w:rPr>
          <w:rFonts w:ascii="Times New Roman" w:eastAsia="Palatino Linotype" w:hAnsi="Times New Roman"/>
          <w:sz w:val="22"/>
          <w:szCs w:val="22"/>
        </w:rPr>
        <w:t>₹</w:t>
      </w:r>
      <w:r w:rsidRPr="00067939">
        <w:rPr>
          <w:rFonts w:ascii="Palatino Linotype" w:eastAsia="Palatino Linotype" w:hAnsi="Palatino Linotype" w:cs="Palatino Linotype"/>
          <w:sz w:val="22"/>
          <w:szCs w:val="22"/>
        </w:rPr>
        <w:t xml:space="preserve">255.6 crore through solution oriented schemes and </w:t>
      </w:r>
      <w:r w:rsidRPr="00067939">
        <w:rPr>
          <w:rFonts w:ascii="Times New Roman" w:eastAsia="Palatino Linotype" w:hAnsi="Times New Roman"/>
          <w:sz w:val="22"/>
          <w:szCs w:val="22"/>
        </w:rPr>
        <w:t>₹</w:t>
      </w:r>
      <w:r w:rsidRPr="00067939">
        <w:rPr>
          <w:rFonts w:ascii="Palatino Linotype" w:eastAsia="Palatino Linotype" w:hAnsi="Palatino Linotype" w:cs="Palatino Linotype"/>
          <w:sz w:val="22"/>
          <w:szCs w:val="22"/>
        </w:rPr>
        <w:t>10,395.2 crore through other schemes.  </w:t>
      </w:r>
    </w:p>
    <w:p w:rsidR="00B92080" w:rsidRPr="00EE4E6C" w:rsidRDefault="00B92080" w:rsidP="00B92080">
      <w:pPr>
        <w:numPr>
          <w:ilvl w:val="0"/>
          <w:numId w:val="9"/>
        </w:numPr>
        <w:pBdr>
          <w:top w:val="nil"/>
          <w:left w:val="nil"/>
          <w:bottom w:val="nil"/>
          <w:right w:val="nil"/>
          <w:between w:val="nil"/>
        </w:pBdr>
        <w:spacing w:line="276" w:lineRule="auto"/>
        <w:ind w:left="567" w:hanging="567"/>
        <w:jc w:val="both"/>
        <w:rPr>
          <w:rFonts w:ascii="Palatino Linotype" w:eastAsia="Palatino Linotype" w:hAnsi="Palatino Linotype" w:cs="Palatino Linotype"/>
          <w:sz w:val="22"/>
          <w:szCs w:val="22"/>
        </w:rPr>
      </w:pPr>
      <w:r w:rsidRPr="00EE4E6C">
        <w:rPr>
          <w:rFonts w:ascii="Palatino Linotype" w:eastAsia="Palatino Linotype" w:hAnsi="Palatino Linotype" w:cs="Palatino Linotype"/>
          <w:sz w:val="22"/>
          <w:szCs w:val="22"/>
        </w:rPr>
        <w:t xml:space="preserve">During September 2020, close-ended schemes worth </w:t>
      </w:r>
      <w:r w:rsidRPr="00EE4E6C">
        <w:rPr>
          <w:rFonts w:ascii="Times New Roman" w:eastAsia="Palatino Linotype" w:hAnsi="Times New Roman"/>
          <w:sz w:val="22"/>
          <w:szCs w:val="22"/>
        </w:rPr>
        <w:t>₹</w:t>
      </w:r>
      <w:r w:rsidRPr="00EE4E6C">
        <w:rPr>
          <w:rFonts w:ascii="Palatino Linotype" w:eastAsia="Palatino Linotype" w:hAnsi="Palatino Linotype" w:cs="Palatino Linotype"/>
          <w:sz w:val="22"/>
          <w:szCs w:val="22"/>
        </w:rPr>
        <w:t xml:space="preserve">1,271.8 crore </w:t>
      </w:r>
      <w:r w:rsidRPr="00067939">
        <w:rPr>
          <w:rFonts w:ascii="Palatino Linotype" w:eastAsia="Palatino Linotype" w:hAnsi="Palatino Linotype" w:cs="Palatino Linotype"/>
          <w:sz w:val="22"/>
          <w:szCs w:val="22"/>
        </w:rPr>
        <w:t xml:space="preserve">were </w:t>
      </w:r>
      <w:r w:rsidRPr="00EE4E6C">
        <w:rPr>
          <w:rFonts w:ascii="Palatino Linotype" w:eastAsia="Palatino Linotype" w:hAnsi="Palatino Linotype" w:cs="Palatino Linotype"/>
          <w:sz w:val="22"/>
          <w:szCs w:val="22"/>
        </w:rPr>
        <w:t>matured</w:t>
      </w:r>
      <w:r w:rsidRPr="00067939">
        <w:rPr>
          <w:rFonts w:ascii="Palatino Linotype" w:eastAsia="Palatino Linotype" w:hAnsi="Palatino Linotype" w:cs="Palatino Linotype"/>
          <w:sz w:val="22"/>
          <w:szCs w:val="22"/>
        </w:rPr>
        <w:t>/repurchased</w:t>
      </w:r>
      <w:r>
        <w:rPr>
          <w:rStyle w:val="FootnoteReference"/>
          <w:rFonts w:ascii="Palatino Linotype" w:eastAsia="Palatino Linotype" w:hAnsi="Palatino Linotype" w:cs="Palatino Linotype"/>
          <w:sz w:val="22"/>
          <w:szCs w:val="22"/>
        </w:rPr>
        <w:footnoteReference w:id="1"/>
      </w:r>
      <w:r w:rsidRPr="00EE4E6C">
        <w:rPr>
          <w:rFonts w:ascii="Palatino Linotype" w:eastAsia="Palatino Linotype" w:hAnsi="Palatino Linotype" w:cs="Palatino Linotype"/>
          <w:sz w:val="22"/>
          <w:szCs w:val="22"/>
        </w:rPr>
        <w:t xml:space="preserve">.  Also, interval schemes worth </w:t>
      </w:r>
      <w:r w:rsidRPr="00EE4E6C">
        <w:rPr>
          <w:rFonts w:ascii="Times New Roman" w:eastAsia="Palatino Linotype" w:hAnsi="Times New Roman"/>
          <w:sz w:val="22"/>
          <w:szCs w:val="22"/>
        </w:rPr>
        <w:t>₹</w:t>
      </w:r>
      <w:r w:rsidRPr="00EE4E6C">
        <w:rPr>
          <w:rFonts w:ascii="Palatino Linotype" w:eastAsia="Palatino Linotype" w:hAnsi="Palatino Linotype" w:cs="Palatino Linotype"/>
          <w:sz w:val="22"/>
          <w:szCs w:val="22"/>
        </w:rPr>
        <w:t>5.8 crore were matured/redeemed during the period.  </w:t>
      </w:r>
    </w:p>
    <w:p w:rsidR="00B92080" w:rsidRPr="00EE4E6C" w:rsidRDefault="00B92080" w:rsidP="00B92080">
      <w:pPr>
        <w:numPr>
          <w:ilvl w:val="0"/>
          <w:numId w:val="9"/>
        </w:numPr>
        <w:pBdr>
          <w:top w:val="nil"/>
          <w:left w:val="nil"/>
          <w:bottom w:val="nil"/>
          <w:right w:val="nil"/>
          <w:between w:val="nil"/>
        </w:pBdr>
        <w:spacing w:line="276" w:lineRule="auto"/>
        <w:ind w:left="567" w:hanging="567"/>
        <w:jc w:val="both"/>
        <w:rPr>
          <w:rFonts w:ascii="Palatino Linotype" w:eastAsia="Palatino Linotype" w:hAnsi="Palatino Linotype" w:cs="Palatino Linotype"/>
          <w:sz w:val="22"/>
          <w:szCs w:val="22"/>
        </w:rPr>
      </w:pPr>
      <w:r w:rsidRPr="00EE4E6C">
        <w:rPr>
          <w:rFonts w:ascii="Palatino Linotype" w:eastAsia="Palatino Linotype" w:hAnsi="Palatino Linotype" w:cs="Palatino Linotype"/>
          <w:sz w:val="22"/>
          <w:szCs w:val="22"/>
        </w:rPr>
        <w:t>The net assets under management of mutual funds</w:t>
      </w:r>
      <w:r>
        <w:rPr>
          <w:rStyle w:val="FootnoteReference"/>
          <w:rFonts w:ascii="Palatino Linotype" w:eastAsia="Palatino Linotype" w:hAnsi="Palatino Linotype" w:cs="Palatino Linotype"/>
          <w:sz w:val="22"/>
          <w:szCs w:val="22"/>
        </w:rPr>
        <w:footnoteReference w:id="2"/>
      </w:r>
      <w:r w:rsidRPr="00EE4E6C">
        <w:rPr>
          <w:rFonts w:ascii="Palatino Linotype" w:eastAsia="Palatino Linotype" w:hAnsi="Palatino Linotype" w:cs="Palatino Linotype"/>
          <w:sz w:val="22"/>
          <w:szCs w:val="22"/>
        </w:rPr>
        <w:t xml:space="preserve"> stood at </w:t>
      </w:r>
      <w:r w:rsidRPr="00EE4E6C">
        <w:rPr>
          <w:rFonts w:ascii="Times New Roman" w:eastAsia="Palatino Linotype" w:hAnsi="Times New Roman"/>
          <w:sz w:val="22"/>
          <w:szCs w:val="22"/>
        </w:rPr>
        <w:t>₹</w:t>
      </w:r>
      <w:r w:rsidRPr="00EE4E6C">
        <w:rPr>
          <w:rFonts w:ascii="Palatino Linotype" w:eastAsia="Palatino Linotype" w:hAnsi="Palatino Linotype" w:cs="Palatino Linotype"/>
          <w:sz w:val="22"/>
          <w:szCs w:val="22"/>
        </w:rPr>
        <w:t xml:space="preserve">26.8 lakh crore at the end of September 2020, down from </w:t>
      </w:r>
      <w:r w:rsidRPr="00EE4E6C">
        <w:rPr>
          <w:rFonts w:ascii="Times New Roman" w:eastAsia="Palatino Linotype" w:hAnsi="Times New Roman"/>
          <w:sz w:val="22"/>
          <w:szCs w:val="22"/>
        </w:rPr>
        <w:t>₹</w:t>
      </w:r>
      <w:r w:rsidRPr="00EE4E6C">
        <w:rPr>
          <w:rFonts w:ascii="Palatino Linotype" w:eastAsia="Palatino Linotype" w:hAnsi="Palatino Linotype" w:cs="Palatino Linotype"/>
          <w:sz w:val="22"/>
          <w:szCs w:val="22"/>
        </w:rPr>
        <w:t>27.5 lakh crore at the end of August 2020.</w:t>
      </w:r>
    </w:p>
    <w:p w:rsidR="00B92080" w:rsidRPr="0006052C" w:rsidRDefault="00B92080" w:rsidP="00B92080">
      <w:pPr>
        <w:numPr>
          <w:ilvl w:val="0"/>
          <w:numId w:val="9"/>
        </w:numPr>
        <w:pBdr>
          <w:top w:val="nil"/>
          <w:left w:val="nil"/>
          <w:bottom w:val="nil"/>
          <w:right w:val="nil"/>
          <w:between w:val="nil"/>
        </w:pBdr>
        <w:spacing w:line="276" w:lineRule="auto"/>
        <w:ind w:left="567" w:hanging="567"/>
        <w:jc w:val="both"/>
        <w:rPr>
          <w:rFonts w:ascii="Palatino Linotype" w:eastAsia="Palatino Linotype" w:hAnsi="Palatino Linotype" w:cs="Palatino Linotype"/>
          <w:sz w:val="22"/>
          <w:szCs w:val="22"/>
        </w:rPr>
      </w:pPr>
      <w:r w:rsidRPr="00EE4E6C">
        <w:rPr>
          <w:rFonts w:ascii="Palatino Linotype" w:eastAsia="Palatino Linotype" w:hAnsi="Palatino Linotype" w:cs="Palatino Linotype"/>
          <w:sz w:val="22"/>
          <w:szCs w:val="22"/>
        </w:rPr>
        <w:t xml:space="preserve">In the secondary market transactions, during September 2020, mutual funds liquidated </w:t>
      </w:r>
      <w:r w:rsidRPr="00EE4E6C">
        <w:rPr>
          <w:rFonts w:ascii="Times New Roman" w:eastAsia="Palatino Linotype" w:hAnsi="Times New Roman"/>
          <w:sz w:val="22"/>
          <w:szCs w:val="22"/>
        </w:rPr>
        <w:t>₹</w:t>
      </w:r>
      <w:r>
        <w:rPr>
          <w:rFonts w:ascii="Palatino Linotype" w:eastAsia="Palatino Linotype" w:hAnsi="Palatino Linotype" w:cs="Palatino Linotype"/>
          <w:sz w:val="22"/>
          <w:szCs w:val="22"/>
        </w:rPr>
        <w:t>4,134 </w:t>
      </w:r>
      <w:r w:rsidRPr="00EE4E6C">
        <w:rPr>
          <w:rFonts w:ascii="Palatino Linotype" w:eastAsia="Palatino Linotype" w:hAnsi="Palatino Linotype" w:cs="Palatino Linotype"/>
          <w:sz w:val="22"/>
          <w:szCs w:val="22"/>
        </w:rPr>
        <w:t>crore from equity</w:t>
      </w:r>
      <w:r w:rsidRPr="00EE4E6C">
        <w:rPr>
          <w:rFonts w:ascii="Palatino Linotype" w:eastAsia="Times New Roman" w:hAnsi="Palatino Linotype" w:cs="Tahoma"/>
          <w:color w:val="000000"/>
          <w:sz w:val="22"/>
          <w:szCs w:val="22"/>
          <w:lang w:eastAsia="en-IN"/>
        </w:rPr>
        <w:t xml:space="preserve"> schemes and deployed </w:t>
      </w:r>
      <w:r w:rsidRPr="00EE4E6C">
        <w:rPr>
          <w:rFonts w:ascii="Times New Roman" w:eastAsia="Times New Roman" w:hAnsi="Times New Roman"/>
          <w:color w:val="000000"/>
          <w:sz w:val="22"/>
          <w:szCs w:val="22"/>
          <w:lang w:eastAsia="en-IN"/>
        </w:rPr>
        <w:t>₹</w:t>
      </w:r>
      <w:r w:rsidRPr="00EE4E6C">
        <w:rPr>
          <w:rFonts w:ascii="Palatino Linotype" w:eastAsia="Times New Roman" w:hAnsi="Palatino Linotype" w:cs="Tahoma"/>
          <w:color w:val="000000"/>
          <w:sz w:val="22"/>
          <w:szCs w:val="22"/>
          <w:lang w:eastAsia="en-IN"/>
        </w:rPr>
        <w:t xml:space="preserve">17,005 crore in debt schemes. </w:t>
      </w:r>
    </w:p>
    <w:p w:rsidR="00B92080" w:rsidRPr="002E2870" w:rsidRDefault="00B92080" w:rsidP="00B92080">
      <w:pPr>
        <w:pBdr>
          <w:top w:val="nil"/>
          <w:left w:val="nil"/>
          <w:bottom w:val="nil"/>
          <w:right w:val="nil"/>
          <w:between w:val="nil"/>
        </w:pBdr>
        <w:spacing w:line="276" w:lineRule="auto"/>
        <w:rPr>
          <w:rFonts w:ascii="Palatino Linotype" w:eastAsia="Palatino Linotype" w:hAnsi="Palatino Linotype" w:cs="Palatino Linotype"/>
          <w:b/>
          <w:sz w:val="22"/>
          <w:szCs w:val="22"/>
          <w:highlight w:val="yellow"/>
        </w:rPr>
      </w:pPr>
    </w:p>
    <w:p w:rsidR="00B92080" w:rsidRDefault="00B92080" w:rsidP="00B92080">
      <w:pPr>
        <w:pBdr>
          <w:top w:val="nil"/>
          <w:left w:val="nil"/>
          <w:bottom w:val="nil"/>
          <w:right w:val="nil"/>
          <w:between w:val="nil"/>
        </w:pBdr>
        <w:spacing w:line="276" w:lineRule="auto"/>
        <w:ind w:left="720" w:hanging="720"/>
        <w:jc w:val="center"/>
        <w:rPr>
          <w:rFonts w:ascii="Palatino Linotype" w:eastAsia="Palatino Linotype" w:hAnsi="Palatino Linotype" w:cs="Palatino Linotype"/>
          <w:b/>
          <w:sz w:val="22"/>
          <w:szCs w:val="22"/>
        </w:rPr>
      </w:pPr>
      <w:r w:rsidRPr="002E2870">
        <w:rPr>
          <w:rFonts w:ascii="Palatino Linotype" w:eastAsia="Palatino Linotype" w:hAnsi="Palatino Linotype" w:cs="Palatino Linotype"/>
          <w:b/>
          <w:sz w:val="22"/>
          <w:szCs w:val="22"/>
        </w:rPr>
        <w:t xml:space="preserve">Figure 11: Trends </w:t>
      </w:r>
      <w:r>
        <w:rPr>
          <w:rFonts w:ascii="Palatino Linotype" w:eastAsia="Palatino Linotype" w:hAnsi="Palatino Linotype" w:cs="Palatino Linotype"/>
          <w:b/>
          <w:sz w:val="22"/>
          <w:szCs w:val="22"/>
        </w:rPr>
        <w:t>in</w:t>
      </w:r>
      <w:r w:rsidRPr="002E2870">
        <w:rPr>
          <w:rFonts w:ascii="Palatino Linotype" w:eastAsia="Palatino Linotype" w:hAnsi="Palatino Linotype" w:cs="Palatino Linotype"/>
          <w:b/>
          <w:sz w:val="22"/>
          <w:szCs w:val="22"/>
        </w:rPr>
        <w:t xml:space="preserve"> Mutual Funds </w:t>
      </w:r>
      <w:r>
        <w:rPr>
          <w:rFonts w:ascii="Palatino Linotype" w:eastAsia="Palatino Linotype" w:hAnsi="Palatino Linotype" w:cs="Palatino Linotype"/>
          <w:b/>
          <w:sz w:val="22"/>
          <w:szCs w:val="22"/>
        </w:rPr>
        <w:t>Transactions</w:t>
      </w:r>
      <w:r w:rsidRPr="002E2870">
        <w:rPr>
          <w:rFonts w:ascii="Palatino Linotype" w:eastAsia="Palatino Linotype" w:hAnsi="Palatino Linotype" w:cs="Palatino Linotype"/>
          <w:b/>
          <w:sz w:val="22"/>
          <w:szCs w:val="22"/>
        </w:rPr>
        <w:t xml:space="preserve"> in Secondary Market </w:t>
      </w:r>
    </w:p>
    <w:p w:rsidR="00B92080" w:rsidRPr="002E2870" w:rsidRDefault="00B92080" w:rsidP="00B92080">
      <w:pPr>
        <w:pBdr>
          <w:top w:val="nil"/>
          <w:left w:val="nil"/>
          <w:bottom w:val="nil"/>
          <w:right w:val="nil"/>
          <w:between w:val="nil"/>
        </w:pBdr>
        <w:spacing w:line="276" w:lineRule="auto"/>
        <w:ind w:left="720" w:hanging="720"/>
        <w:jc w:val="center"/>
        <w:rPr>
          <w:rFonts w:ascii="Palatino Linotype" w:eastAsia="Palatino Linotype" w:hAnsi="Palatino Linotype" w:cs="Palatino Linotype"/>
          <w:b/>
          <w:sz w:val="22"/>
          <w:szCs w:val="22"/>
        </w:rPr>
      </w:pPr>
      <w:r>
        <w:rPr>
          <w:noProof/>
          <w:lang w:val="en-IN" w:eastAsia="en-IN" w:bidi="hi-IN"/>
        </w:rPr>
        <w:drawing>
          <wp:inline distT="0" distB="0" distL="0" distR="0" wp14:anchorId="62C05CB6" wp14:editId="08B19686">
            <wp:extent cx="6092638" cy="3138394"/>
            <wp:effectExtent l="0" t="0" r="3810" b="5080"/>
            <wp:docPr id="21" name="Chart 21"/>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rsidR="00B92080" w:rsidRPr="002E2870" w:rsidRDefault="00B92080" w:rsidP="00B92080">
      <w:pPr>
        <w:spacing w:line="276" w:lineRule="auto"/>
        <w:rPr>
          <w:rFonts w:ascii="Palatino Linotype" w:eastAsia="Palatino Linotype" w:hAnsi="Palatino Linotype" w:cs="Palatino Linotype"/>
          <w:b/>
          <w:sz w:val="22"/>
          <w:szCs w:val="22"/>
          <w:highlight w:val="yellow"/>
        </w:rPr>
      </w:pPr>
    </w:p>
    <w:p w:rsidR="00B92080" w:rsidRPr="002E2870" w:rsidRDefault="00B92080" w:rsidP="00B92080">
      <w:pPr>
        <w:widowControl w:val="0"/>
        <w:numPr>
          <w:ilvl w:val="0"/>
          <w:numId w:val="10"/>
        </w:numPr>
        <w:tabs>
          <w:tab w:val="left" w:pos="0"/>
        </w:tabs>
        <w:spacing w:line="276" w:lineRule="auto"/>
        <w:ind w:left="567" w:hanging="567"/>
        <w:jc w:val="both"/>
        <w:rPr>
          <w:rFonts w:ascii="Palatino Linotype" w:eastAsia="Palatino Linotype" w:hAnsi="Palatino Linotype" w:cs="Palatino Linotype"/>
          <w:b/>
          <w:sz w:val="22"/>
          <w:szCs w:val="22"/>
        </w:rPr>
      </w:pPr>
      <w:r w:rsidRPr="002E2870">
        <w:rPr>
          <w:rFonts w:ascii="Palatino Linotype" w:eastAsia="Palatino Linotype" w:hAnsi="Palatino Linotype" w:cs="Palatino Linotype"/>
          <w:b/>
          <w:sz w:val="22"/>
          <w:szCs w:val="22"/>
        </w:rPr>
        <w:t>Trends in Investments by the Foreign Portfolio Investors (FPIs)</w:t>
      </w:r>
    </w:p>
    <w:p w:rsidR="00B92080" w:rsidRPr="002E2870" w:rsidRDefault="00B92080" w:rsidP="00B92080">
      <w:pPr>
        <w:widowControl w:val="0"/>
        <w:tabs>
          <w:tab w:val="left" w:pos="0"/>
        </w:tabs>
        <w:spacing w:line="276" w:lineRule="auto"/>
        <w:ind w:left="360"/>
        <w:jc w:val="both"/>
        <w:rPr>
          <w:rFonts w:ascii="Palatino Linotype" w:eastAsia="Palatino Linotype" w:hAnsi="Palatino Linotype" w:cs="Palatino Linotype"/>
          <w:b/>
          <w:sz w:val="22"/>
          <w:szCs w:val="22"/>
        </w:rPr>
      </w:pPr>
    </w:p>
    <w:p w:rsidR="00B92080" w:rsidRPr="002E2870" w:rsidRDefault="00B92080" w:rsidP="00B92080">
      <w:pPr>
        <w:numPr>
          <w:ilvl w:val="0"/>
          <w:numId w:val="9"/>
        </w:numPr>
        <w:pBdr>
          <w:top w:val="nil"/>
          <w:left w:val="nil"/>
          <w:bottom w:val="nil"/>
          <w:right w:val="nil"/>
          <w:between w:val="nil"/>
        </w:pBdr>
        <w:spacing w:line="276" w:lineRule="auto"/>
        <w:ind w:left="567" w:hanging="567"/>
        <w:jc w:val="both"/>
        <w:rPr>
          <w:rFonts w:ascii="Palatino Linotype" w:eastAsia="Palatino Linotype" w:hAnsi="Palatino Linotype" w:cs="Palatino Linotype"/>
          <w:sz w:val="22"/>
          <w:szCs w:val="22"/>
        </w:rPr>
      </w:pPr>
      <w:r w:rsidRPr="002E2870">
        <w:rPr>
          <w:rFonts w:ascii="Palatino Linotype" w:eastAsia="Palatino Linotype" w:hAnsi="Palatino Linotype" w:cs="Palatino Linotype"/>
          <w:sz w:val="22"/>
          <w:szCs w:val="22"/>
        </w:rPr>
        <w:t xml:space="preserve">During September 2020, FPIs withdrew </w:t>
      </w:r>
      <w:r w:rsidRPr="002E2870">
        <w:rPr>
          <w:rFonts w:ascii="Times New Roman" w:eastAsia="Palatino Linotype" w:hAnsi="Times New Roman"/>
          <w:sz w:val="22"/>
          <w:szCs w:val="22"/>
        </w:rPr>
        <w:t>₹</w:t>
      </w:r>
      <w:r w:rsidRPr="002E2870">
        <w:rPr>
          <w:rFonts w:ascii="Palatino Linotype" w:eastAsia="Palatino Linotype" w:hAnsi="Palatino Linotype" w:cs="Palatino Linotype"/>
          <w:sz w:val="22"/>
          <w:szCs w:val="22"/>
        </w:rPr>
        <w:t>7,783</w:t>
      </w:r>
      <w:r>
        <w:rPr>
          <w:rFonts w:ascii="Palatino Linotype" w:eastAsia="Palatino Linotype" w:hAnsi="Palatino Linotype" w:cs="Palatino Linotype"/>
          <w:sz w:val="22"/>
          <w:szCs w:val="22"/>
        </w:rPr>
        <w:t xml:space="preserve"> crore</w:t>
      </w:r>
      <w:r w:rsidRPr="002E2870">
        <w:rPr>
          <w:rFonts w:ascii="Palatino Linotype" w:eastAsia="Palatino Linotype" w:hAnsi="Palatino Linotype" w:cs="Palatino Linotype"/>
          <w:sz w:val="22"/>
          <w:szCs w:val="22"/>
        </w:rPr>
        <w:t xml:space="preserve"> from the equity segment, as compared to net investment of </w:t>
      </w:r>
      <w:r w:rsidRPr="002E2870">
        <w:rPr>
          <w:rFonts w:ascii="Times New Roman" w:eastAsia="Palatino Linotype" w:hAnsi="Times New Roman"/>
          <w:sz w:val="22"/>
          <w:szCs w:val="22"/>
        </w:rPr>
        <w:t>₹</w:t>
      </w:r>
      <w:r w:rsidRPr="002E2870">
        <w:rPr>
          <w:rFonts w:ascii="Palatino Linotype" w:eastAsia="Palatino Linotype" w:hAnsi="Palatino Linotype" w:cs="Palatino Linotype"/>
          <w:sz w:val="22"/>
          <w:szCs w:val="22"/>
        </w:rPr>
        <w:t xml:space="preserve">47,080 crore during August 2020. The net investment by FPIs in hybrid securities also declined during September 2020 to </w:t>
      </w:r>
      <w:r w:rsidRPr="002E2870">
        <w:rPr>
          <w:rFonts w:ascii="Times New Roman" w:eastAsia="Palatino Linotype" w:hAnsi="Times New Roman"/>
          <w:sz w:val="22"/>
          <w:szCs w:val="22"/>
        </w:rPr>
        <w:t>₹</w:t>
      </w:r>
      <w:r w:rsidRPr="002E2870">
        <w:rPr>
          <w:rFonts w:ascii="Palatino Linotype" w:eastAsia="Palatino Linotype" w:hAnsi="Palatino Linotype" w:cs="Palatino Linotype"/>
          <w:sz w:val="22"/>
          <w:szCs w:val="22"/>
        </w:rPr>
        <w:t xml:space="preserve">2,222 crore from </w:t>
      </w:r>
      <w:r w:rsidRPr="002E2870">
        <w:rPr>
          <w:rFonts w:ascii="Times New Roman" w:eastAsia="Palatino Linotype" w:hAnsi="Times New Roman"/>
          <w:sz w:val="22"/>
          <w:szCs w:val="22"/>
        </w:rPr>
        <w:t>₹</w:t>
      </w:r>
      <w:r w:rsidRPr="002E2870">
        <w:rPr>
          <w:rFonts w:ascii="Palatino Linotype" w:eastAsia="Palatino Linotype" w:hAnsi="Palatino Linotype" w:cs="Palatino Linotype"/>
          <w:sz w:val="22"/>
          <w:szCs w:val="22"/>
        </w:rPr>
        <w:t xml:space="preserve">3,347 crore during August 2020.  There was an investment of </w:t>
      </w:r>
      <w:r w:rsidRPr="002E2870">
        <w:rPr>
          <w:rFonts w:ascii="Times New Roman" w:eastAsia="Palatino Linotype" w:hAnsi="Times New Roman"/>
          <w:sz w:val="22"/>
          <w:szCs w:val="22"/>
        </w:rPr>
        <w:t>₹</w:t>
      </w:r>
      <w:r w:rsidRPr="002E2870">
        <w:rPr>
          <w:rFonts w:ascii="Palatino Linotype" w:eastAsia="Palatino Linotype" w:hAnsi="Palatino Linotype" w:cs="Palatino Linotype"/>
          <w:sz w:val="22"/>
          <w:szCs w:val="22"/>
        </w:rPr>
        <w:t>4,364</w:t>
      </w:r>
      <w:r>
        <w:rPr>
          <w:rFonts w:ascii="Palatino Linotype" w:eastAsia="Palatino Linotype" w:hAnsi="Palatino Linotype" w:cs="Palatino Linotype"/>
          <w:sz w:val="22"/>
          <w:szCs w:val="22"/>
        </w:rPr>
        <w:t xml:space="preserve"> crore</w:t>
      </w:r>
      <w:r w:rsidRPr="002E2870">
        <w:rPr>
          <w:rFonts w:ascii="Palatino Linotype" w:eastAsia="Palatino Linotype" w:hAnsi="Palatino Linotype" w:cs="Palatino Linotype"/>
          <w:sz w:val="22"/>
          <w:szCs w:val="22"/>
        </w:rPr>
        <w:t xml:space="preserve"> in debt securities during September 2020 against withdrawal </w:t>
      </w:r>
      <w:r w:rsidRPr="002E2870">
        <w:rPr>
          <w:rFonts w:ascii="Palatino Linotype" w:eastAsia="Palatino Linotype" w:hAnsi="Palatino Linotype" w:cs="Palatino Linotype"/>
          <w:sz w:val="22"/>
          <w:szCs w:val="22"/>
        </w:rPr>
        <w:lastRenderedPageBreak/>
        <w:t xml:space="preserve">of </w:t>
      </w:r>
      <w:r w:rsidRPr="002E2870">
        <w:rPr>
          <w:rFonts w:ascii="Times New Roman" w:eastAsia="Palatino Linotype" w:hAnsi="Times New Roman"/>
          <w:sz w:val="22"/>
          <w:szCs w:val="22"/>
        </w:rPr>
        <w:t>₹</w:t>
      </w:r>
      <w:r w:rsidRPr="002E2870">
        <w:rPr>
          <w:rFonts w:ascii="Palatino Linotype" w:eastAsia="Palatino Linotype" w:hAnsi="Palatino Linotype" w:cs="Palatino Linotype"/>
          <w:sz w:val="22"/>
          <w:szCs w:val="22"/>
        </w:rPr>
        <w:t xml:space="preserve">548 crore during the previous month. Thus, September 2020 witnessed a net withdrawal of </w:t>
      </w:r>
      <w:r w:rsidRPr="002E2870">
        <w:rPr>
          <w:rFonts w:ascii="Times New Roman" w:eastAsia="Palatino Linotype" w:hAnsi="Times New Roman"/>
          <w:sz w:val="22"/>
          <w:szCs w:val="22"/>
        </w:rPr>
        <w:t>₹</w:t>
      </w:r>
      <w:r w:rsidRPr="002E2870">
        <w:rPr>
          <w:rFonts w:ascii="Palatino Linotype" w:eastAsia="Palatino Linotype" w:hAnsi="Palatino Linotype" w:cs="Palatino Linotype"/>
          <w:sz w:val="22"/>
          <w:szCs w:val="22"/>
        </w:rPr>
        <w:t xml:space="preserve">1,197 crore by the FPIs, against net investment of </w:t>
      </w:r>
      <w:r w:rsidRPr="002E2870">
        <w:rPr>
          <w:rFonts w:ascii="Times New Roman" w:eastAsia="Palatino Linotype" w:hAnsi="Times New Roman"/>
          <w:sz w:val="22"/>
          <w:szCs w:val="22"/>
        </w:rPr>
        <w:t>₹</w:t>
      </w:r>
      <w:r w:rsidRPr="002E2870">
        <w:rPr>
          <w:rFonts w:ascii="Palatino Linotype" w:eastAsia="Palatino Linotype" w:hAnsi="Palatino Linotype" w:cs="Palatino Linotype"/>
          <w:sz w:val="22"/>
          <w:szCs w:val="22"/>
        </w:rPr>
        <w:t>49,879 crore during August 2020.</w:t>
      </w:r>
    </w:p>
    <w:p w:rsidR="00B92080" w:rsidRPr="002E2870" w:rsidRDefault="00B92080" w:rsidP="00B92080">
      <w:pPr>
        <w:numPr>
          <w:ilvl w:val="0"/>
          <w:numId w:val="9"/>
        </w:numPr>
        <w:pBdr>
          <w:top w:val="nil"/>
          <w:left w:val="nil"/>
          <w:bottom w:val="nil"/>
          <w:right w:val="nil"/>
          <w:between w:val="nil"/>
        </w:pBdr>
        <w:spacing w:line="276" w:lineRule="auto"/>
        <w:ind w:left="567" w:hanging="567"/>
        <w:jc w:val="both"/>
        <w:rPr>
          <w:rFonts w:ascii="Palatino Linotype" w:eastAsia="Palatino Linotype" w:hAnsi="Palatino Linotype" w:cs="Palatino Linotype"/>
          <w:sz w:val="22"/>
          <w:szCs w:val="22"/>
        </w:rPr>
      </w:pPr>
      <w:r w:rsidRPr="002E2870">
        <w:rPr>
          <w:rFonts w:ascii="Palatino Linotype" w:eastAsia="Palatino Linotype" w:hAnsi="Palatino Linotype" w:cs="Palatino Linotype"/>
          <w:sz w:val="22"/>
          <w:szCs w:val="22"/>
        </w:rPr>
        <w:t xml:space="preserve">The assets of the FPIs in India, as reported by the custodians, at the end of September 2020 were </w:t>
      </w:r>
      <w:r w:rsidRPr="002E2870">
        <w:rPr>
          <w:rFonts w:ascii="Times New Roman" w:eastAsia="Palatino Linotype" w:hAnsi="Times New Roman"/>
          <w:sz w:val="22"/>
          <w:szCs w:val="22"/>
        </w:rPr>
        <w:t>₹</w:t>
      </w:r>
      <w:r w:rsidRPr="002E2870">
        <w:rPr>
          <w:rFonts w:ascii="Palatino Linotype" w:eastAsia="Palatino Linotype" w:hAnsi="Palatino Linotype" w:cs="Palatino Linotype"/>
          <w:sz w:val="22"/>
          <w:szCs w:val="22"/>
        </w:rPr>
        <w:t xml:space="preserve">33,22,393 crore, out of which the notional value of offshore derivative instruments (ODIs) (including ODIs on derivatives) was </w:t>
      </w:r>
      <w:r w:rsidRPr="002E2870">
        <w:rPr>
          <w:rFonts w:ascii="Times New Roman" w:eastAsia="Palatino Linotype" w:hAnsi="Times New Roman"/>
          <w:sz w:val="22"/>
          <w:szCs w:val="22"/>
        </w:rPr>
        <w:t>₹</w:t>
      </w:r>
      <w:r w:rsidRPr="002E2870">
        <w:rPr>
          <w:rFonts w:ascii="Palatino Linotype" w:eastAsia="Palatino Linotype" w:hAnsi="Palatino Linotype"/>
          <w:sz w:val="22"/>
          <w:szCs w:val="22"/>
        </w:rPr>
        <w:t>69</w:t>
      </w:r>
      <w:r w:rsidRPr="002E2870">
        <w:rPr>
          <w:rFonts w:ascii="Palatino Linotype" w:eastAsia="Palatino Linotype" w:hAnsi="Palatino Linotype" w:cs="Palatino Linotype"/>
          <w:sz w:val="22"/>
          <w:szCs w:val="22"/>
        </w:rPr>
        <w:t xml:space="preserve">,821 crore which is 2.1 per cent of total assets of FPIs. </w:t>
      </w:r>
    </w:p>
    <w:p w:rsidR="00B92080" w:rsidRPr="002E2870" w:rsidRDefault="00B92080" w:rsidP="00B92080">
      <w:pPr>
        <w:spacing w:line="276" w:lineRule="auto"/>
        <w:rPr>
          <w:rFonts w:ascii="Palatino Linotype" w:eastAsia="Palatino Linotype" w:hAnsi="Palatino Linotype" w:cs="Palatino Linotype"/>
          <w:b/>
          <w:sz w:val="22"/>
          <w:szCs w:val="22"/>
          <w:highlight w:val="yellow"/>
        </w:rPr>
      </w:pPr>
    </w:p>
    <w:p w:rsidR="00B92080" w:rsidRPr="002E2870" w:rsidRDefault="00B92080" w:rsidP="00B92080">
      <w:pPr>
        <w:pBdr>
          <w:top w:val="nil"/>
          <w:left w:val="nil"/>
          <w:bottom w:val="nil"/>
          <w:right w:val="nil"/>
          <w:between w:val="nil"/>
        </w:pBdr>
        <w:spacing w:line="276" w:lineRule="auto"/>
        <w:ind w:left="720" w:hanging="720"/>
        <w:jc w:val="center"/>
        <w:rPr>
          <w:rFonts w:ascii="Palatino Linotype" w:eastAsia="Palatino Linotype" w:hAnsi="Palatino Linotype" w:cs="Palatino Linotype"/>
          <w:b/>
          <w:sz w:val="22"/>
          <w:szCs w:val="22"/>
        </w:rPr>
      </w:pPr>
      <w:r w:rsidRPr="002E2870">
        <w:rPr>
          <w:rFonts w:ascii="Palatino Linotype" w:eastAsia="Palatino Linotype" w:hAnsi="Palatino Linotype" w:cs="Palatino Linotype"/>
          <w:b/>
          <w:sz w:val="22"/>
          <w:szCs w:val="22"/>
        </w:rPr>
        <w:t xml:space="preserve">Figure </w:t>
      </w:r>
      <w:r>
        <w:rPr>
          <w:rFonts w:ascii="Palatino Linotype" w:eastAsia="Palatino Linotype" w:hAnsi="Palatino Linotype" w:cs="Palatino Linotype"/>
          <w:b/>
          <w:sz w:val="22"/>
          <w:szCs w:val="22"/>
        </w:rPr>
        <w:t>12: Trends in FPIs’ Investments</w:t>
      </w:r>
    </w:p>
    <w:p w:rsidR="00B92080" w:rsidRPr="002E2870" w:rsidRDefault="00B92080" w:rsidP="00B92080">
      <w:pPr>
        <w:pBdr>
          <w:top w:val="nil"/>
          <w:left w:val="nil"/>
          <w:bottom w:val="nil"/>
          <w:right w:val="nil"/>
          <w:between w:val="nil"/>
        </w:pBdr>
        <w:spacing w:line="276" w:lineRule="auto"/>
        <w:jc w:val="center"/>
        <w:rPr>
          <w:rFonts w:ascii="Palatino Linotype" w:eastAsia="Palatino Linotype" w:hAnsi="Palatino Linotype" w:cs="Palatino Linotype"/>
          <w:b/>
          <w:sz w:val="22"/>
          <w:szCs w:val="22"/>
          <w:highlight w:val="yellow"/>
        </w:rPr>
      </w:pPr>
      <w:r w:rsidRPr="002E2870">
        <w:rPr>
          <w:rFonts w:ascii="Palatino Linotype" w:hAnsi="Palatino Linotype"/>
          <w:noProof/>
          <w:lang w:val="en-IN" w:eastAsia="en-IN" w:bidi="hi-IN"/>
        </w:rPr>
        <w:drawing>
          <wp:inline distT="0" distB="0" distL="0" distR="0" wp14:anchorId="1FE85571" wp14:editId="2F22A3D2">
            <wp:extent cx="5892800" cy="2764343"/>
            <wp:effectExtent l="0" t="0" r="12700" b="17145"/>
            <wp:docPr id="22" name="Chart 22"/>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rsidR="00B92080" w:rsidRPr="002E2870" w:rsidRDefault="00B92080" w:rsidP="00B92080">
      <w:pPr>
        <w:pBdr>
          <w:top w:val="nil"/>
          <w:left w:val="nil"/>
          <w:bottom w:val="nil"/>
          <w:right w:val="nil"/>
          <w:between w:val="nil"/>
        </w:pBdr>
        <w:spacing w:line="276" w:lineRule="auto"/>
        <w:ind w:left="720" w:hanging="720"/>
        <w:rPr>
          <w:rFonts w:ascii="Palatino Linotype" w:eastAsia="Palatino Linotype" w:hAnsi="Palatino Linotype" w:cs="Palatino Linotype"/>
          <w:b/>
          <w:sz w:val="22"/>
          <w:szCs w:val="22"/>
        </w:rPr>
      </w:pPr>
      <w:bookmarkStart w:id="1" w:name="_30j0zll" w:colFirst="0" w:colLast="0"/>
      <w:bookmarkEnd w:id="1"/>
    </w:p>
    <w:p w:rsidR="00B92080" w:rsidRPr="002E2870" w:rsidRDefault="00B92080" w:rsidP="00B92080">
      <w:pPr>
        <w:widowControl w:val="0"/>
        <w:numPr>
          <w:ilvl w:val="0"/>
          <w:numId w:val="3"/>
        </w:numPr>
        <w:spacing w:line="276" w:lineRule="auto"/>
        <w:ind w:left="567" w:hanging="567"/>
        <w:jc w:val="both"/>
        <w:rPr>
          <w:rFonts w:ascii="Palatino Linotype" w:eastAsia="Palatino Linotype" w:hAnsi="Palatino Linotype" w:cs="Palatino Linotype"/>
          <w:b/>
          <w:sz w:val="22"/>
          <w:szCs w:val="22"/>
        </w:rPr>
      </w:pPr>
      <w:r w:rsidRPr="002E2870">
        <w:rPr>
          <w:rFonts w:ascii="Palatino Linotype" w:eastAsia="Palatino Linotype" w:hAnsi="Palatino Linotype" w:cs="Palatino Linotype"/>
          <w:b/>
          <w:sz w:val="22"/>
          <w:szCs w:val="22"/>
        </w:rPr>
        <w:t>Trends in Portfolio Management Services (PMS)</w:t>
      </w:r>
    </w:p>
    <w:p w:rsidR="00B92080" w:rsidRPr="002E2870" w:rsidRDefault="00B92080" w:rsidP="00B92080">
      <w:pPr>
        <w:widowControl w:val="0"/>
        <w:tabs>
          <w:tab w:val="left" w:pos="2190"/>
        </w:tabs>
        <w:spacing w:line="276" w:lineRule="auto"/>
        <w:jc w:val="both"/>
        <w:rPr>
          <w:rFonts w:ascii="Palatino Linotype" w:eastAsia="Palatino Linotype" w:hAnsi="Palatino Linotype" w:cs="Palatino Linotype"/>
          <w:sz w:val="22"/>
          <w:szCs w:val="22"/>
        </w:rPr>
      </w:pPr>
      <w:r w:rsidRPr="002E2870">
        <w:rPr>
          <w:rFonts w:ascii="Palatino Linotype" w:eastAsia="Palatino Linotype" w:hAnsi="Palatino Linotype" w:cs="Palatino Linotype"/>
          <w:sz w:val="22"/>
          <w:szCs w:val="22"/>
        </w:rPr>
        <w:tab/>
      </w:r>
    </w:p>
    <w:p w:rsidR="00B92080" w:rsidRPr="002E2870" w:rsidRDefault="00B92080" w:rsidP="00B92080">
      <w:pPr>
        <w:numPr>
          <w:ilvl w:val="0"/>
          <w:numId w:val="11"/>
        </w:numPr>
        <w:pBdr>
          <w:top w:val="nil"/>
          <w:left w:val="nil"/>
          <w:bottom w:val="nil"/>
          <w:right w:val="nil"/>
          <w:between w:val="nil"/>
        </w:pBdr>
        <w:spacing w:line="276" w:lineRule="auto"/>
        <w:ind w:left="567" w:hanging="567"/>
        <w:jc w:val="both"/>
        <w:rPr>
          <w:rFonts w:ascii="Palatino Linotype" w:eastAsia="Palatino Linotype" w:hAnsi="Palatino Linotype" w:cs="Palatino Linotype"/>
          <w:sz w:val="22"/>
          <w:szCs w:val="22"/>
        </w:rPr>
      </w:pPr>
      <w:r w:rsidRPr="002E2870">
        <w:rPr>
          <w:rFonts w:ascii="Palatino Linotype" w:eastAsia="Palatino Linotype" w:hAnsi="Palatino Linotype" w:cs="Palatino Linotype"/>
          <w:sz w:val="22"/>
          <w:szCs w:val="22"/>
        </w:rPr>
        <w:t xml:space="preserve">As on August 31, 2020, AUM of the portfolio management industry stood at </w:t>
      </w:r>
      <w:r w:rsidRPr="002E2870">
        <w:rPr>
          <w:rFonts w:ascii="Times New Roman" w:eastAsia="Palatino Linotype" w:hAnsi="Times New Roman"/>
          <w:sz w:val="22"/>
          <w:szCs w:val="22"/>
        </w:rPr>
        <w:t>₹</w:t>
      </w:r>
      <w:r w:rsidRPr="002E2870">
        <w:rPr>
          <w:rFonts w:ascii="Palatino Linotype" w:eastAsia="Palatino Linotype" w:hAnsi="Palatino Linotype" w:cs="Palatino Linotype"/>
          <w:sz w:val="22"/>
          <w:szCs w:val="22"/>
        </w:rPr>
        <w:t xml:space="preserve">19.1 lakh crore. Of the total AUM, funds from EPFO/PFs account for </w:t>
      </w:r>
      <w:r w:rsidRPr="002E2870">
        <w:rPr>
          <w:rFonts w:ascii="Times New Roman" w:eastAsia="Palatino Linotype" w:hAnsi="Times New Roman"/>
          <w:sz w:val="22"/>
          <w:szCs w:val="22"/>
        </w:rPr>
        <w:t>₹</w:t>
      </w:r>
      <w:r w:rsidRPr="002E2870">
        <w:rPr>
          <w:rFonts w:ascii="Palatino Linotype" w:eastAsia="Palatino Linotype" w:hAnsi="Palatino Linotype" w:cs="Palatino Linotype"/>
          <w:sz w:val="22"/>
          <w:szCs w:val="22"/>
        </w:rPr>
        <w:t xml:space="preserve">14.3 lakh crore. </w:t>
      </w:r>
    </w:p>
    <w:p w:rsidR="00B92080" w:rsidRPr="002E2870" w:rsidRDefault="00B92080" w:rsidP="00B92080">
      <w:pPr>
        <w:numPr>
          <w:ilvl w:val="0"/>
          <w:numId w:val="11"/>
        </w:numPr>
        <w:pBdr>
          <w:top w:val="nil"/>
          <w:left w:val="nil"/>
          <w:bottom w:val="nil"/>
          <w:right w:val="nil"/>
          <w:between w:val="nil"/>
        </w:pBdr>
        <w:spacing w:line="276" w:lineRule="auto"/>
        <w:ind w:left="567" w:hanging="567"/>
        <w:jc w:val="both"/>
        <w:rPr>
          <w:rFonts w:ascii="Palatino Linotype" w:eastAsia="Palatino Linotype" w:hAnsi="Palatino Linotype" w:cs="Palatino Linotype"/>
          <w:sz w:val="22"/>
          <w:szCs w:val="22"/>
        </w:rPr>
      </w:pPr>
      <w:r w:rsidRPr="002E2870">
        <w:rPr>
          <w:rFonts w:ascii="Palatino Linotype" w:eastAsia="Palatino Linotype" w:hAnsi="Palatino Linotype" w:cs="Palatino Linotype"/>
          <w:sz w:val="22"/>
          <w:szCs w:val="22"/>
        </w:rPr>
        <w:t xml:space="preserve">As for number of clients in PMS industry at the end of August 2020, discretionary services category had 1,47,166 clients, followed by non-discretionary category with 9,080 clients and advisory category with 3,162 clients.   </w:t>
      </w:r>
    </w:p>
    <w:p w:rsidR="00B92080" w:rsidRPr="002E2870" w:rsidRDefault="00B92080" w:rsidP="00B92080">
      <w:pPr>
        <w:numPr>
          <w:ilvl w:val="0"/>
          <w:numId w:val="11"/>
        </w:numPr>
        <w:pBdr>
          <w:top w:val="nil"/>
          <w:left w:val="nil"/>
          <w:bottom w:val="nil"/>
          <w:right w:val="nil"/>
          <w:between w:val="nil"/>
        </w:pBdr>
        <w:spacing w:line="276" w:lineRule="auto"/>
        <w:ind w:left="567" w:hanging="567"/>
        <w:jc w:val="both"/>
        <w:rPr>
          <w:rFonts w:ascii="Palatino Linotype" w:eastAsia="Palatino Linotype" w:hAnsi="Palatino Linotype" w:cs="Palatino Linotype"/>
          <w:sz w:val="22"/>
          <w:szCs w:val="22"/>
        </w:rPr>
      </w:pPr>
      <w:r w:rsidRPr="002E2870">
        <w:rPr>
          <w:rFonts w:ascii="Palatino Linotype" w:eastAsia="Palatino Linotype" w:hAnsi="Palatino Linotype" w:cs="Palatino Linotype"/>
          <w:sz w:val="22"/>
          <w:szCs w:val="22"/>
        </w:rPr>
        <w:t>In light   of the   prevailing business and   market conditions     due     to     COVID-19    pandemic, vide     Circular     No.     SEBI/HO/IMD/DF1/CIR/P/2020/111   dated   June   29, 2020, SEBI   has extended, inter alia, the timeline for monthly reporting of   portfolio management activity, to be applicable with effect from October 01, 2020.  Thus, the PMS data from September 2020 is not available.</w:t>
      </w:r>
    </w:p>
    <w:p w:rsidR="00B92080" w:rsidRPr="002E2870" w:rsidRDefault="00B92080" w:rsidP="00B92080">
      <w:pPr>
        <w:widowControl w:val="0"/>
        <w:pBdr>
          <w:top w:val="nil"/>
          <w:left w:val="nil"/>
          <w:bottom w:val="nil"/>
          <w:right w:val="nil"/>
          <w:between w:val="nil"/>
        </w:pBdr>
        <w:spacing w:line="276" w:lineRule="auto"/>
        <w:ind w:left="360"/>
        <w:jc w:val="both"/>
        <w:rPr>
          <w:rFonts w:ascii="Palatino Linotype" w:eastAsia="Times New Roman" w:hAnsi="Palatino Linotype"/>
          <w:sz w:val="22"/>
          <w:szCs w:val="22"/>
          <w:highlight w:val="yellow"/>
        </w:rPr>
      </w:pPr>
    </w:p>
    <w:p w:rsidR="00B92080" w:rsidRPr="002E2870" w:rsidRDefault="00B92080" w:rsidP="00B92080">
      <w:pPr>
        <w:widowControl w:val="0"/>
        <w:numPr>
          <w:ilvl w:val="0"/>
          <w:numId w:val="3"/>
        </w:numPr>
        <w:spacing w:line="276" w:lineRule="auto"/>
        <w:ind w:left="567" w:hanging="567"/>
        <w:rPr>
          <w:rFonts w:ascii="Palatino Linotype" w:eastAsia="Palatino Linotype" w:hAnsi="Palatino Linotype" w:cs="Palatino Linotype"/>
          <w:b/>
          <w:sz w:val="22"/>
          <w:szCs w:val="22"/>
        </w:rPr>
      </w:pPr>
      <w:r w:rsidRPr="002E2870">
        <w:rPr>
          <w:rFonts w:ascii="Palatino Linotype" w:eastAsia="Palatino Linotype" w:hAnsi="Palatino Linotype" w:cs="Palatino Linotype"/>
          <w:b/>
          <w:sz w:val="22"/>
          <w:szCs w:val="22"/>
        </w:rPr>
        <w:t>Trends in Substantial Acquisition of Shares and Takeovers</w:t>
      </w:r>
    </w:p>
    <w:p w:rsidR="00B92080" w:rsidRPr="002E2870" w:rsidRDefault="00B92080" w:rsidP="00B92080">
      <w:pPr>
        <w:pBdr>
          <w:top w:val="nil"/>
          <w:left w:val="nil"/>
          <w:bottom w:val="nil"/>
          <w:right w:val="nil"/>
          <w:between w:val="nil"/>
        </w:pBdr>
        <w:spacing w:line="276" w:lineRule="auto"/>
        <w:ind w:left="360"/>
        <w:jc w:val="both"/>
        <w:rPr>
          <w:rFonts w:ascii="Palatino Linotype" w:eastAsia="Palatino Linotype" w:hAnsi="Palatino Linotype" w:cs="Palatino Linotype"/>
          <w:sz w:val="22"/>
          <w:szCs w:val="22"/>
        </w:rPr>
      </w:pPr>
    </w:p>
    <w:p w:rsidR="00B92080" w:rsidRPr="002E2870" w:rsidRDefault="00B92080" w:rsidP="00B92080">
      <w:pPr>
        <w:numPr>
          <w:ilvl w:val="0"/>
          <w:numId w:val="11"/>
        </w:numPr>
        <w:pBdr>
          <w:top w:val="nil"/>
          <w:left w:val="nil"/>
          <w:bottom w:val="nil"/>
          <w:right w:val="nil"/>
          <w:between w:val="nil"/>
        </w:pBdr>
        <w:spacing w:line="276" w:lineRule="auto"/>
        <w:ind w:left="567" w:hanging="567"/>
        <w:jc w:val="both"/>
        <w:rPr>
          <w:rFonts w:ascii="Palatino Linotype" w:eastAsia="Palatino Linotype" w:hAnsi="Palatino Linotype" w:cs="Palatino Linotype"/>
          <w:sz w:val="22"/>
          <w:szCs w:val="22"/>
        </w:rPr>
      </w:pPr>
      <w:r w:rsidRPr="002E2870">
        <w:rPr>
          <w:rFonts w:ascii="Palatino Linotype" w:eastAsia="Palatino Linotype" w:hAnsi="Palatino Linotype" w:cs="Palatino Linotype"/>
          <w:sz w:val="22"/>
          <w:szCs w:val="22"/>
        </w:rPr>
        <w:t xml:space="preserve">During September 2020, six open offers with offer value of </w:t>
      </w:r>
      <w:r w:rsidRPr="002E2870">
        <w:rPr>
          <w:rFonts w:ascii="Times New Roman" w:eastAsia="Palatino Linotype" w:hAnsi="Times New Roman"/>
          <w:sz w:val="22"/>
          <w:szCs w:val="22"/>
        </w:rPr>
        <w:t>₹</w:t>
      </w:r>
      <w:r w:rsidRPr="002E2870">
        <w:rPr>
          <w:rFonts w:ascii="Palatino Linotype" w:eastAsia="Palatino Linotype" w:hAnsi="Palatino Linotype" w:cs="Palatino Linotype"/>
          <w:sz w:val="22"/>
          <w:szCs w:val="22"/>
        </w:rPr>
        <w:t xml:space="preserve">3,010.4 crore were made to shareholders under SEBI (Substantial Acquisition of Shares and Takeover) Regulations, 2011 (SAST Regulations). Nine offers with offer value of </w:t>
      </w:r>
      <w:r w:rsidRPr="002E2870">
        <w:rPr>
          <w:rFonts w:ascii="Times New Roman" w:eastAsia="Palatino Linotype" w:hAnsi="Times New Roman"/>
          <w:sz w:val="22"/>
          <w:szCs w:val="22"/>
        </w:rPr>
        <w:t>₹</w:t>
      </w:r>
      <w:r w:rsidRPr="002E2870">
        <w:rPr>
          <w:rFonts w:ascii="Palatino Linotype" w:eastAsia="Palatino Linotype" w:hAnsi="Palatino Linotype" w:cs="Palatino Linotype"/>
          <w:sz w:val="22"/>
          <w:szCs w:val="22"/>
        </w:rPr>
        <w:t>3,861.7 crore were made in the month of August 2020.</w:t>
      </w:r>
    </w:p>
    <w:p w:rsidR="00B92080" w:rsidRPr="002E2870" w:rsidRDefault="00B92080" w:rsidP="00B92080">
      <w:pPr>
        <w:pBdr>
          <w:top w:val="nil"/>
          <w:left w:val="nil"/>
          <w:bottom w:val="nil"/>
          <w:right w:val="nil"/>
          <w:between w:val="nil"/>
        </w:pBdr>
        <w:spacing w:line="276" w:lineRule="auto"/>
        <w:ind w:left="360"/>
        <w:jc w:val="both"/>
        <w:rPr>
          <w:rFonts w:ascii="Palatino Linotype" w:eastAsia="Palatino Linotype" w:hAnsi="Palatino Linotype" w:cs="Palatino Linotype"/>
          <w:sz w:val="22"/>
          <w:szCs w:val="22"/>
          <w:highlight w:val="yellow"/>
        </w:rPr>
      </w:pPr>
    </w:p>
    <w:p w:rsidR="00B92080" w:rsidRPr="002E2870" w:rsidRDefault="00B92080" w:rsidP="00B92080">
      <w:pPr>
        <w:rPr>
          <w:rFonts w:ascii="Palatino Linotype" w:eastAsia="Palatino Linotype" w:hAnsi="Palatino Linotype" w:cs="Palatino Linotype"/>
          <w:b/>
          <w:sz w:val="22"/>
          <w:szCs w:val="22"/>
          <w:highlight w:val="yellow"/>
        </w:rPr>
      </w:pPr>
      <w:r w:rsidRPr="002E2870">
        <w:rPr>
          <w:rFonts w:ascii="Palatino Linotype" w:eastAsia="Palatino Linotype" w:hAnsi="Palatino Linotype" w:cs="Palatino Linotype"/>
          <w:b/>
          <w:sz w:val="22"/>
          <w:szCs w:val="22"/>
          <w:highlight w:val="yellow"/>
        </w:rPr>
        <w:br w:type="page"/>
      </w:r>
    </w:p>
    <w:p w:rsidR="00B92080" w:rsidRPr="002E2870" w:rsidRDefault="00B92080" w:rsidP="00B92080">
      <w:pPr>
        <w:spacing w:line="276" w:lineRule="auto"/>
        <w:jc w:val="center"/>
        <w:rPr>
          <w:rFonts w:ascii="Palatino Linotype" w:eastAsia="Palatino Linotype" w:hAnsi="Palatino Linotype" w:cs="Palatino Linotype"/>
          <w:b/>
          <w:sz w:val="22"/>
          <w:szCs w:val="22"/>
        </w:rPr>
      </w:pPr>
      <w:r w:rsidRPr="002E2870">
        <w:rPr>
          <w:rFonts w:ascii="Palatino Linotype" w:eastAsia="Palatino Linotype" w:hAnsi="Palatino Linotype" w:cs="Palatino Linotype"/>
          <w:b/>
          <w:sz w:val="22"/>
          <w:szCs w:val="22"/>
        </w:rPr>
        <w:lastRenderedPageBreak/>
        <w:t>Figure 13: Details of Open Offers made under the SEBI (SAST) Regulations</w:t>
      </w:r>
    </w:p>
    <w:p w:rsidR="00B92080" w:rsidRPr="002E2870" w:rsidRDefault="00B92080" w:rsidP="00B92080">
      <w:pPr>
        <w:widowControl w:val="0"/>
        <w:spacing w:line="276" w:lineRule="auto"/>
        <w:contextualSpacing/>
        <w:jc w:val="center"/>
        <w:rPr>
          <w:rFonts w:ascii="Palatino Linotype" w:hAnsi="Palatino Linotype"/>
          <w:b/>
          <w:sz w:val="22"/>
          <w:szCs w:val="22"/>
          <w:highlight w:val="yellow"/>
        </w:rPr>
      </w:pPr>
      <w:r w:rsidRPr="002E2870">
        <w:rPr>
          <w:rFonts w:ascii="Palatino Linotype" w:hAnsi="Palatino Linotype"/>
          <w:noProof/>
          <w:lang w:val="en-IN" w:eastAsia="en-IN" w:bidi="hi-IN"/>
        </w:rPr>
        <w:drawing>
          <wp:inline distT="0" distB="0" distL="0" distR="0" wp14:anchorId="5EF38BF9" wp14:editId="404DC3BF">
            <wp:extent cx="5794561" cy="2839196"/>
            <wp:effectExtent l="0" t="0" r="15875" b="18415"/>
            <wp:docPr id="23" name="Chart 23" title="Amount (Rs. Crore)"/>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rsidR="00B92080" w:rsidRPr="002E2870" w:rsidRDefault="00B92080" w:rsidP="00B92080">
      <w:pPr>
        <w:widowControl w:val="0"/>
        <w:spacing w:line="276" w:lineRule="auto"/>
        <w:contextualSpacing/>
        <w:jc w:val="both"/>
        <w:rPr>
          <w:rFonts w:ascii="Palatino Linotype" w:eastAsia="Palatino Linotype" w:hAnsi="Palatino Linotype" w:cs="Palatino Linotype"/>
          <w:sz w:val="22"/>
          <w:szCs w:val="22"/>
          <w:lang w:val="en-US"/>
        </w:rPr>
      </w:pPr>
    </w:p>
    <w:p w:rsidR="00B92080" w:rsidRPr="002E2870" w:rsidRDefault="00B92080" w:rsidP="00B92080">
      <w:pPr>
        <w:widowControl w:val="0"/>
        <w:numPr>
          <w:ilvl w:val="0"/>
          <w:numId w:val="3"/>
        </w:numPr>
        <w:spacing w:line="276" w:lineRule="auto"/>
        <w:ind w:left="567" w:hanging="567"/>
        <w:jc w:val="both"/>
        <w:rPr>
          <w:rFonts w:ascii="Palatino Linotype" w:eastAsia="Palatino Linotype" w:hAnsi="Palatino Linotype" w:cs="Palatino Linotype"/>
          <w:b/>
          <w:sz w:val="22"/>
          <w:szCs w:val="22"/>
        </w:rPr>
      </w:pPr>
      <w:r w:rsidRPr="002E2870">
        <w:rPr>
          <w:rFonts w:ascii="Palatino Linotype" w:eastAsia="Palatino Linotype" w:hAnsi="Palatino Linotype" w:cs="Palatino Linotype"/>
          <w:b/>
          <w:sz w:val="22"/>
          <w:szCs w:val="22"/>
        </w:rPr>
        <w:t>Commodities Derivatives Markets</w:t>
      </w:r>
    </w:p>
    <w:p w:rsidR="00B92080" w:rsidRPr="002E2870" w:rsidRDefault="00B92080" w:rsidP="00B92080">
      <w:pPr>
        <w:spacing w:line="23" w:lineRule="atLeast"/>
        <w:jc w:val="both"/>
        <w:rPr>
          <w:rFonts w:ascii="Palatino Linotype" w:eastAsia="Times New Roman" w:hAnsi="Palatino Linotype"/>
          <w:b/>
          <w:sz w:val="22"/>
          <w:szCs w:val="22"/>
          <w:lang w:val="en-US"/>
        </w:rPr>
      </w:pPr>
    </w:p>
    <w:p w:rsidR="00B92080" w:rsidRPr="002E2870" w:rsidRDefault="00B92080" w:rsidP="00B92080">
      <w:pPr>
        <w:pStyle w:val="ListParagraph"/>
        <w:numPr>
          <w:ilvl w:val="0"/>
          <w:numId w:val="14"/>
        </w:numPr>
        <w:spacing w:line="23" w:lineRule="atLeast"/>
        <w:ind w:left="567" w:hanging="567"/>
        <w:jc w:val="both"/>
        <w:rPr>
          <w:rFonts w:ascii="Palatino Linotype" w:eastAsia="Times New Roman" w:hAnsi="Palatino Linotype"/>
          <w:b/>
          <w:sz w:val="22"/>
          <w:szCs w:val="22"/>
        </w:rPr>
      </w:pPr>
      <w:r w:rsidRPr="002E2870">
        <w:rPr>
          <w:rFonts w:ascii="Palatino Linotype" w:eastAsia="Times New Roman" w:hAnsi="Palatino Linotype"/>
          <w:b/>
          <w:sz w:val="22"/>
          <w:szCs w:val="22"/>
        </w:rPr>
        <w:t>Market Trends</w:t>
      </w:r>
    </w:p>
    <w:p w:rsidR="00B92080" w:rsidRPr="002E2870" w:rsidRDefault="00B92080" w:rsidP="00B92080">
      <w:pPr>
        <w:pStyle w:val="ListParagraph"/>
        <w:spacing w:after="0" w:line="23" w:lineRule="atLeast"/>
        <w:jc w:val="both"/>
        <w:rPr>
          <w:rFonts w:ascii="Palatino Linotype" w:hAnsi="Palatino Linotype"/>
          <w:sz w:val="22"/>
          <w:szCs w:val="22"/>
        </w:rPr>
      </w:pPr>
    </w:p>
    <w:p w:rsidR="00B92080" w:rsidRPr="002E2870" w:rsidRDefault="00B92080" w:rsidP="00B92080">
      <w:pPr>
        <w:numPr>
          <w:ilvl w:val="0"/>
          <w:numId w:val="11"/>
        </w:numPr>
        <w:pBdr>
          <w:top w:val="nil"/>
          <w:left w:val="nil"/>
          <w:bottom w:val="nil"/>
          <w:right w:val="nil"/>
          <w:between w:val="nil"/>
        </w:pBdr>
        <w:spacing w:line="276" w:lineRule="auto"/>
        <w:ind w:left="567" w:hanging="567"/>
        <w:jc w:val="both"/>
        <w:rPr>
          <w:rFonts w:ascii="Palatino Linotype" w:eastAsia="Palatino Linotype" w:hAnsi="Palatino Linotype" w:cs="Palatino Linotype"/>
          <w:sz w:val="22"/>
          <w:szCs w:val="22"/>
        </w:rPr>
      </w:pPr>
      <w:r w:rsidRPr="002E2870">
        <w:rPr>
          <w:rFonts w:ascii="Palatino Linotype" w:eastAsia="Palatino Linotype" w:hAnsi="Palatino Linotype" w:cs="Palatino Linotype"/>
          <w:sz w:val="22"/>
          <w:szCs w:val="22"/>
        </w:rPr>
        <w:t xml:space="preserve">During September 2020, MCX iCOMDEX composite index, witnessed a fall of 5.0 per cent (M-o-M) driven by decrease in futures prices of base metals, energy, bullion segments and agri. contracts of cardamom and mentha oil of agri. segment. On Y-o-Y basis, MCX iCOMDEX composite index decreased by 5.4 per cent. </w:t>
      </w:r>
    </w:p>
    <w:p w:rsidR="00B92080" w:rsidRPr="002E2870" w:rsidRDefault="00B92080" w:rsidP="00B92080">
      <w:pPr>
        <w:numPr>
          <w:ilvl w:val="0"/>
          <w:numId w:val="11"/>
        </w:numPr>
        <w:pBdr>
          <w:top w:val="nil"/>
          <w:left w:val="nil"/>
          <w:bottom w:val="nil"/>
          <w:right w:val="nil"/>
          <w:between w:val="nil"/>
        </w:pBdr>
        <w:spacing w:line="276" w:lineRule="auto"/>
        <w:ind w:left="567" w:hanging="567"/>
        <w:jc w:val="both"/>
        <w:rPr>
          <w:rFonts w:ascii="Palatino Linotype" w:eastAsia="Palatino Linotype" w:hAnsi="Palatino Linotype" w:cs="Palatino Linotype"/>
          <w:sz w:val="22"/>
          <w:szCs w:val="22"/>
        </w:rPr>
      </w:pPr>
      <w:r w:rsidRPr="002E2870">
        <w:rPr>
          <w:rFonts w:ascii="Palatino Linotype" w:eastAsia="Palatino Linotype" w:hAnsi="Palatino Linotype" w:cs="Palatino Linotype"/>
          <w:sz w:val="22"/>
          <w:szCs w:val="22"/>
        </w:rPr>
        <w:t xml:space="preserve">During the month, MCX iCOMDEX crude oil index decreased by 7.7 per cent on account of decrease in futures price of crude oil by 6.7 per cent. MCX iCOMDEX base metal index decreased by 2.3 per cent due to decrease in futures price of all the base metals. MCX iCOMDEX bullion index decreased by 5.8 per cent due to decrease in futures prices of gold and silver by 2.5 per cent and 11.0 per cent respectively. In the agri. segment, futures prices of cardamom and mentha oil contracts decreased by 11.4 per cent and 3.4 per cent respectively which were partially offset by increase in futures prices of cotton by 5.6 per cent and crude palm oil contracts by 1.2 per cent during the month. </w:t>
      </w:r>
    </w:p>
    <w:p w:rsidR="00B92080" w:rsidRPr="002E2870" w:rsidRDefault="00B92080" w:rsidP="00B92080">
      <w:pPr>
        <w:numPr>
          <w:ilvl w:val="0"/>
          <w:numId w:val="11"/>
        </w:numPr>
        <w:pBdr>
          <w:top w:val="nil"/>
          <w:left w:val="nil"/>
          <w:bottom w:val="nil"/>
          <w:right w:val="nil"/>
          <w:between w:val="nil"/>
        </w:pBdr>
        <w:spacing w:line="276" w:lineRule="auto"/>
        <w:ind w:left="567" w:hanging="567"/>
        <w:jc w:val="both"/>
        <w:rPr>
          <w:rFonts w:ascii="Palatino Linotype" w:eastAsia="Palatino Linotype" w:hAnsi="Palatino Linotype" w:cs="Palatino Linotype"/>
          <w:sz w:val="22"/>
          <w:szCs w:val="22"/>
        </w:rPr>
      </w:pPr>
      <w:r w:rsidRPr="002E2870">
        <w:rPr>
          <w:rFonts w:ascii="Palatino Linotype" w:eastAsia="Palatino Linotype" w:hAnsi="Palatino Linotype" w:cs="Palatino Linotype"/>
          <w:sz w:val="22"/>
          <w:szCs w:val="22"/>
        </w:rPr>
        <w:t>NKrishi index increased by 0.9 per cent (M-o-M) as futures prices of three out of 10 constituent commodities of the index viz. chana, RM seed and castorseed witnessed uptrend. On Y-o-Y basis NKrishi index increased by 5.4 per cent. On account of rebalancing, soybean is replaced by refined soy oil in NKrishi index.</w:t>
      </w:r>
    </w:p>
    <w:p w:rsidR="00B92080" w:rsidRPr="002E2870" w:rsidRDefault="00B92080" w:rsidP="00B92080">
      <w:pPr>
        <w:numPr>
          <w:ilvl w:val="0"/>
          <w:numId w:val="11"/>
        </w:numPr>
        <w:pBdr>
          <w:top w:val="nil"/>
          <w:left w:val="nil"/>
          <w:bottom w:val="nil"/>
          <w:right w:val="nil"/>
          <w:between w:val="nil"/>
        </w:pBdr>
        <w:spacing w:line="276" w:lineRule="auto"/>
        <w:ind w:left="567" w:hanging="567"/>
        <w:jc w:val="both"/>
        <w:rPr>
          <w:rFonts w:ascii="Palatino Linotype" w:eastAsia="Palatino Linotype" w:hAnsi="Palatino Linotype" w:cs="Palatino Linotype"/>
          <w:sz w:val="22"/>
          <w:szCs w:val="22"/>
        </w:rPr>
      </w:pPr>
      <w:r w:rsidRPr="002E2870">
        <w:rPr>
          <w:rFonts w:ascii="Palatino Linotype" w:eastAsia="Palatino Linotype" w:hAnsi="Palatino Linotype" w:cs="Palatino Linotype"/>
          <w:sz w:val="22"/>
          <w:szCs w:val="22"/>
        </w:rPr>
        <w:t>Monthly trends in MCX iCOMDEX composite Index and NKrishi Index are provided in Table 64.</w:t>
      </w:r>
    </w:p>
    <w:p w:rsidR="00B92080" w:rsidRPr="002E2870" w:rsidRDefault="00B92080" w:rsidP="00B92080">
      <w:pPr>
        <w:pStyle w:val="ListParagraph"/>
        <w:spacing w:after="0" w:line="23" w:lineRule="atLeast"/>
        <w:ind w:left="426" w:hanging="142"/>
        <w:jc w:val="center"/>
        <w:rPr>
          <w:rFonts w:ascii="Palatino Linotype" w:eastAsia="Times New Roman" w:hAnsi="Palatino Linotype"/>
          <w:b/>
          <w:sz w:val="22"/>
          <w:szCs w:val="22"/>
        </w:rPr>
      </w:pPr>
    </w:p>
    <w:p w:rsidR="00B92080" w:rsidRPr="002E2870" w:rsidRDefault="00B92080" w:rsidP="00B92080">
      <w:pPr>
        <w:rPr>
          <w:rFonts w:ascii="Palatino Linotype" w:eastAsia="Times New Roman" w:hAnsi="Palatino Linotype"/>
          <w:b/>
          <w:sz w:val="22"/>
          <w:szCs w:val="22"/>
          <w:lang w:val="en-US"/>
        </w:rPr>
      </w:pPr>
      <w:r w:rsidRPr="002E2870">
        <w:rPr>
          <w:rFonts w:ascii="Palatino Linotype" w:eastAsia="Times New Roman" w:hAnsi="Palatino Linotype"/>
          <w:b/>
          <w:sz w:val="22"/>
          <w:szCs w:val="22"/>
        </w:rPr>
        <w:br w:type="page"/>
      </w:r>
    </w:p>
    <w:p w:rsidR="00B92080" w:rsidRPr="002E2870" w:rsidRDefault="00B92080" w:rsidP="00B92080">
      <w:pPr>
        <w:pStyle w:val="ListParagraph"/>
        <w:spacing w:after="0" w:line="23" w:lineRule="atLeast"/>
        <w:ind w:left="142" w:hanging="142"/>
        <w:jc w:val="center"/>
        <w:rPr>
          <w:rFonts w:ascii="Palatino Linotype" w:eastAsia="Times New Roman" w:hAnsi="Palatino Linotype"/>
          <w:b/>
        </w:rPr>
      </w:pPr>
      <w:r w:rsidRPr="002E2870">
        <w:rPr>
          <w:rFonts w:ascii="Palatino Linotype" w:eastAsia="Times New Roman" w:hAnsi="Palatino Linotype"/>
          <w:b/>
        </w:rPr>
        <w:lastRenderedPageBreak/>
        <w:t>Figure 14: Movement of Commodity Derivatives Market Indices during September 2020</w:t>
      </w:r>
    </w:p>
    <w:p w:rsidR="00B92080" w:rsidRPr="002E2870" w:rsidRDefault="00B92080" w:rsidP="00B92080">
      <w:pPr>
        <w:pStyle w:val="ListParagraph"/>
        <w:spacing w:after="0" w:line="23" w:lineRule="atLeast"/>
        <w:ind w:left="142" w:hanging="142"/>
        <w:jc w:val="center"/>
        <w:rPr>
          <w:rFonts w:ascii="Palatino Linotype" w:eastAsia="Times New Roman" w:hAnsi="Palatino Linotype"/>
          <w:b/>
          <w:sz w:val="22"/>
          <w:szCs w:val="22"/>
        </w:rPr>
      </w:pPr>
      <w:r w:rsidRPr="002E2870">
        <w:rPr>
          <w:rFonts w:ascii="Palatino Linotype" w:hAnsi="Palatino Linotype"/>
          <w:noProof/>
          <w:lang w:val="en-IN" w:eastAsia="en-IN" w:bidi="hi-IN"/>
        </w:rPr>
        <w:drawing>
          <wp:inline distT="0" distB="0" distL="0" distR="0" wp14:anchorId="025B4CA2" wp14:editId="039798F4">
            <wp:extent cx="5407073" cy="2446655"/>
            <wp:effectExtent l="0" t="0" r="3175" b="10795"/>
            <wp:docPr id="24" name="Chart 24">
              <a:extLst xmlns:a="http://schemas.openxmlformats.org/drawingml/2006/main">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http://schemas.microsoft.com/office/drawing/2014/chartex" xmlns="" id="{00000000-0008-0000-02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rsidR="00B92080" w:rsidRPr="002E2870" w:rsidRDefault="00B92080" w:rsidP="00B92080">
      <w:pPr>
        <w:pStyle w:val="ListParagraph"/>
        <w:spacing w:after="0" w:line="23" w:lineRule="atLeast"/>
        <w:ind w:left="-426"/>
        <w:rPr>
          <w:rFonts w:ascii="Palatino Linotype" w:hAnsi="Palatino Linotype" w:cs="Arial"/>
          <w:bCs/>
          <w:sz w:val="16"/>
          <w:szCs w:val="18"/>
        </w:rPr>
      </w:pPr>
      <w:r w:rsidRPr="002E2870">
        <w:rPr>
          <w:rFonts w:ascii="Palatino Linotype" w:hAnsi="Palatino Linotype" w:cs="Arial"/>
          <w:bCs/>
          <w:szCs w:val="22"/>
        </w:rPr>
        <w:t xml:space="preserve">              </w:t>
      </w:r>
      <w:r w:rsidRPr="002E2870">
        <w:rPr>
          <w:rFonts w:ascii="Palatino Linotype" w:hAnsi="Palatino Linotype" w:cs="Arial"/>
          <w:bCs/>
          <w:sz w:val="16"/>
          <w:szCs w:val="18"/>
        </w:rPr>
        <w:t>Source: MCX and NCDEX</w:t>
      </w:r>
    </w:p>
    <w:p w:rsidR="00B92080" w:rsidRPr="002E2870" w:rsidRDefault="00B92080" w:rsidP="00B92080">
      <w:pPr>
        <w:pStyle w:val="ListParagraph"/>
        <w:spacing w:after="0" w:line="23" w:lineRule="atLeast"/>
        <w:ind w:left="-426"/>
        <w:rPr>
          <w:rFonts w:ascii="Palatino Linotype" w:hAnsi="Palatino Linotype" w:cs="Arial"/>
          <w:b/>
          <w:bCs/>
          <w:sz w:val="22"/>
          <w:szCs w:val="22"/>
        </w:rPr>
      </w:pPr>
    </w:p>
    <w:p w:rsidR="00B92080" w:rsidRPr="002E2870" w:rsidRDefault="00B92080" w:rsidP="00B92080">
      <w:pPr>
        <w:spacing w:line="276" w:lineRule="auto"/>
        <w:jc w:val="both"/>
        <w:rPr>
          <w:rFonts w:ascii="Palatino Linotype" w:eastAsia="Palatino Linotype" w:hAnsi="Palatino Linotype" w:cs="Palatino Linotype"/>
          <w:b/>
          <w:sz w:val="22"/>
          <w:szCs w:val="22"/>
        </w:rPr>
      </w:pPr>
      <w:r w:rsidRPr="002E2870">
        <w:rPr>
          <w:rFonts w:ascii="Palatino Linotype" w:hAnsi="Palatino Linotype" w:cs="Arial"/>
          <w:b/>
          <w:bCs/>
        </w:rPr>
        <w:t xml:space="preserve">       </w:t>
      </w:r>
      <w:r w:rsidRPr="002E2870">
        <w:rPr>
          <w:rFonts w:ascii="Palatino Linotype" w:eastAsia="Palatino Linotype" w:hAnsi="Palatino Linotype" w:cs="Palatino Linotype"/>
          <w:b/>
          <w:sz w:val="22"/>
          <w:szCs w:val="22"/>
        </w:rPr>
        <w:t>Table 4: Snapshot of Indian Commodity Derivative Markets</w:t>
      </w:r>
    </w:p>
    <w:tbl>
      <w:tblPr>
        <w:tblpPr w:leftFromText="180" w:rightFromText="180" w:vertAnchor="text" w:tblpXSpec="center" w:tblpY="1"/>
        <w:tblOverlap w:val="never"/>
        <w:tblW w:w="8784" w:type="dxa"/>
        <w:jc w:val="center"/>
        <w:tblLook w:val="04A0" w:firstRow="1" w:lastRow="0" w:firstColumn="1" w:lastColumn="0" w:noHBand="0" w:noVBand="1"/>
      </w:tblPr>
      <w:tblGrid>
        <w:gridCol w:w="3271"/>
        <w:gridCol w:w="1128"/>
        <w:gridCol w:w="1236"/>
        <w:gridCol w:w="1319"/>
        <w:gridCol w:w="1830"/>
      </w:tblGrid>
      <w:tr w:rsidR="00B92080" w:rsidRPr="002E2870" w:rsidTr="00DB5405">
        <w:trPr>
          <w:trHeight w:val="699"/>
          <w:jc w:val="center"/>
        </w:trPr>
        <w:tc>
          <w:tcPr>
            <w:tcW w:w="3271" w:type="dxa"/>
            <w:tcBorders>
              <w:top w:val="single" w:sz="4" w:space="0" w:color="auto"/>
              <w:left w:val="single" w:sz="4" w:space="0" w:color="auto"/>
              <w:bottom w:val="single" w:sz="4" w:space="0" w:color="auto"/>
              <w:right w:val="single" w:sz="4" w:space="0" w:color="auto"/>
            </w:tcBorders>
            <w:shd w:val="clear" w:color="auto" w:fill="auto"/>
            <w:noWrap/>
            <w:hideMark/>
          </w:tcPr>
          <w:p w:rsidR="00B92080" w:rsidRPr="002E2870" w:rsidRDefault="00B92080" w:rsidP="00DB5405">
            <w:pPr>
              <w:rPr>
                <w:rFonts w:ascii="Palatino Linotype" w:hAnsi="Palatino Linotype" w:cs="Arial"/>
                <w:b/>
                <w:bCs/>
                <w:sz w:val="18"/>
                <w:szCs w:val="18"/>
              </w:rPr>
            </w:pPr>
            <w:r w:rsidRPr="002E2870">
              <w:rPr>
                <w:rFonts w:ascii="Palatino Linotype" w:hAnsi="Palatino Linotype" w:cs="Arial"/>
                <w:b/>
                <w:bCs/>
                <w:sz w:val="18"/>
                <w:szCs w:val="18"/>
              </w:rPr>
              <w:t>Items</w:t>
            </w:r>
          </w:p>
        </w:tc>
        <w:tc>
          <w:tcPr>
            <w:tcW w:w="1128" w:type="dxa"/>
            <w:tcBorders>
              <w:top w:val="single" w:sz="4" w:space="0" w:color="auto"/>
              <w:left w:val="single" w:sz="4" w:space="0" w:color="auto"/>
              <w:bottom w:val="single" w:sz="4" w:space="0" w:color="auto"/>
              <w:right w:val="single" w:sz="4" w:space="0" w:color="auto"/>
            </w:tcBorders>
            <w:shd w:val="clear" w:color="auto" w:fill="auto"/>
            <w:noWrap/>
            <w:hideMark/>
          </w:tcPr>
          <w:p w:rsidR="00B92080" w:rsidRPr="002E2870" w:rsidRDefault="00B92080" w:rsidP="00DB5405">
            <w:pPr>
              <w:jc w:val="center"/>
              <w:rPr>
                <w:rFonts w:ascii="Palatino Linotype" w:hAnsi="Palatino Linotype" w:cs="Arial"/>
                <w:b/>
                <w:bCs/>
                <w:sz w:val="18"/>
                <w:szCs w:val="18"/>
              </w:rPr>
            </w:pPr>
            <w:r w:rsidRPr="002E2870">
              <w:rPr>
                <w:rFonts w:ascii="Palatino Linotype" w:hAnsi="Palatino Linotype" w:cs="Arial"/>
                <w:b/>
                <w:bCs/>
                <w:sz w:val="18"/>
                <w:szCs w:val="18"/>
              </w:rPr>
              <w:t>2019-20</w:t>
            </w:r>
          </w:p>
        </w:tc>
        <w:tc>
          <w:tcPr>
            <w:tcW w:w="1236" w:type="dxa"/>
            <w:tcBorders>
              <w:top w:val="single" w:sz="4" w:space="0" w:color="auto"/>
              <w:left w:val="single" w:sz="4" w:space="0" w:color="auto"/>
              <w:right w:val="single" w:sz="4" w:space="0" w:color="auto"/>
            </w:tcBorders>
          </w:tcPr>
          <w:p w:rsidR="00B92080" w:rsidRPr="002E2870" w:rsidRDefault="00B92080" w:rsidP="00DB5405">
            <w:pPr>
              <w:jc w:val="center"/>
              <w:rPr>
                <w:rFonts w:ascii="Palatino Linotype" w:hAnsi="Palatino Linotype" w:cs="Arial"/>
                <w:b/>
                <w:bCs/>
                <w:sz w:val="18"/>
                <w:szCs w:val="18"/>
              </w:rPr>
            </w:pPr>
            <w:r w:rsidRPr="002E2870">
              <w:rPr>
                <w:rFonts w:ascii="Palatino Linotype" w:hAnsi="Palatino Linotype" w:cs="Arial"/>
                <w:b/>
                <w:bCs/>
                <w:sz w:val="18"/>
                <w:szCs w:val="18"/>
              </w:rPr>
              <w:t>Aug- 2020</w:t>
            </w:r>
          </w:p>
        </w:tc>
        <w:tc>
          <w:tcPr>
            <w:tcW w:w="1319" w:type="dxa"/>
            <w:tcBorders>
              <w:top w:val="single" w:sz="4" w:space="0" w:color="auto"/>
              <w:left w:val="single" w:sz="4" w:space="0" w:color="auto"/>
              <w:bottom w:val="single" w:sz="4" w:space="0" w:color="auto"/>
              <w:right w:val="single" w:sz="4" w:space="0" w:color="auto"/>
            </w:tcBorders>
            <w:shd w:val="clear" w:color="auto" w:fill="auto"/>
            <w:noWrap/>
            <w:hideMark/>
          </w:tcPr>
          <w:p w:rsidR="00B92080" w:rsidRPr="002E2870" w:rsidRDefault="00B92080" w:rsidP="00DB5405">
            <w:pPr>
              <w:jc w:val="center"/>
              <w:rPr>
                <w:rFonts w:ascii="Palatino Linotype" w:hAnsi="Palatino Linotype" w:cs="Arial"/>
                <w:b/>
                <w:bCs/>
                <w:sz w:val="18"/>
                <w:szCs w:val="18"/>
              </w:rPr>
            </w:pPr>
            <w:r w:rsidRPr="002E2870">
              <w:rPr>
                <w:rFonts w:ascii="Palatino Linotype" w:hAnsi="Palatino Linotype" w:cs="Arial"/>
                <w:b/>
                <w:bCs/>
                <w:sz w:val="18"/>
                <w:szCs w:val="18"/>
              </w:rPr>
              <w:t>Sep -2020</w:t>
            </w:r>
          </w:p>
        </w:tc>
        <w:tc>
          <w:tcPr>
            <w:tcW w:w="1830" w:type="dxa"/>
            <w:tcBorders>
              <w:top w:val="single" w:sz="4" w:space="0" w:color="auto"/>
              <w:left w:val="single" w:sz="4" w:space="0" w:color="auto"/>
              <w:bottom w:val="single" w:sz="4" w:space="0" w:color="000000"/>
              <w:right w:val="single" w:sz="4" w:space="0" w:color="auto"/>
            </w:tcBorders>
            <w:shd w:val="clear" w:color="auto" w:fill="auto"/>
            <w:hideMark/>
          </w:tcPr>
          <w:p w:rsidR="00B92080" w:rsidRPr="002E2870" w:rsidRDefault="00B92080" w:rsidP="00DB5405">
            <w:pPr>
              <w:jc w:val="center"/>
              <w:rPr>
                <w:rFonts w:ascii="Palatino Linotype" w:hAnsi="Palatino Linotype" w:cs="Arial"/>
                <w:b/>
                <w:bCs/>
                <w:sz w:val="18"/>
                <w:szCs w:val="18"/>
              </w:rPr>
            </w:pPr>
            <w:r w:rsidRPr="002E2870">
              <w:rPr>
                <w:rFonts w:ascii="Palatino Linotype" w:hAnsi="Palatino Linotype" w:cs="Arial"/>
                <w:b/>
                <w:bCs/>
                <w:sz w:val="18"/>
                <w:szCs w:val="18"/>
              </w:rPr>
              <w:t>Percentage variation</w:t>
            </w:r>
          </w:p>
          <w:p w:rsidR="00B92080" w:rsidRPr="002E2870" w:rsidRDefault="00B92080" w:rsidP="00DB5405">
            <w:pPr>
              <w:jc w:val="center"/>
              <w:rPr>
                <w:rFonts w:ascii="Palatino Linotype" w:hAnsi="Palatino Linotype" w:cs="Arial"/>
                <w:b/>
                <w:bCs/>
                <w:sz w:val="18"/>
                <w:szCs w:val="18"/>
              </w:rPr>
            </w:pPr>
            <w:r w:rsidRPr="002E2870">
              <w:rPr>
                <w:rFonts w:ascii="Palatino Linotype" w:hAnsi="Palatino Linotype" w:cs="Arial"/>
                <w:b/>
                <w:bCs/>
                <w:sz w:val="18"/>
                <w:szCs w:val="18"/>
              </w:rPr>
              <w:t>M-o-M</w:t>
            </w:r>
          </w:p>
        </w:tc>
      </w:tr>
      <w:tr w:rsidR="00B92080" w:rsidRPr="002E2870" w:rsidTr="00DB5405">
        <w:trPr>
          <w:trHeight w:val="367"/>
          <w:jc w:val="center"/>
        </w:trPr>
        <w:tc>
          <w:tcPr>
            <w:tcW w:w="8784" w:type="dxa"/>
            <w:gridSpan w:val="5"/>
            <w:tcBorders>
              <w:top w:val="single" w:sz="4" w:space="0" w:color="auto"/>
              <w:left w:val="single" w:sz="4" w:space="0" w:color="auto"/>
              <w:bottom w:val="single" w:sz="4" w:space="0" w:color="auto"/>
              <w:right w:val="single" w:sz="4" w:space="0" w:color="auto"/>
            </w:tcBorders>
            <w:shd w:val="clear" w:color="auto" w:fill="auto"/>
            <w:noWrap/>
          </w:tcPr>
          <w:p w:rsidR="00B92080" w:rsidRPr="002E2870" w:rsidRDefault="00B92080" w:rsidP="00B92080">
            <w:pPr>
              <w:pStyle w:val="ListParagraph"/>
              <w:numPr>
                <w:ilvl w:val="0"/>
                <w:numId w:val="12"/>
              </w:numPr>
              <w:spacing w:after="0" w:line="240" w:lineRule="auto"/>
              <w:ind w:left="317" w:hanging="284"/>
              <w:rPr>
                <w:rFonts w:ascii="Palatino Linotype" w:hAnsi="Palatino Linotype" w:cs="Arial"/>
                <w:b/>
                <w:bCs/>
                <w:sz w:val="18"/>
                <w:szCs w:val="18"/>
              </w:rPr>
            </w:pPr>
            <w:r w:rsidRPr="002E2870">
              <w:rPr>
                <w:rFonts w:ascii="Palatino Linotype" w:hAnsi="Palatino Linotype" w:cs="Arial"/>
                <w:b/>
                <w:bCs/>
                <w:sz w:val="18"/>
                <w:szCs w:val="18"/>
              </w:rPr>
              <w:t>Indices</w:t>
            </w:r>
          </w:p>
        </w:tc>
      </w:tr>
      <w:tr w:rsidR="00B92080" w:rsidRPr="002E2870" w:rsidTr="00DB5405">
        <w:trPr>
          <w:trHeight w:val="224"/>
          <w:jc w:val="center"/>
        </w:trPr>
        <w:tc>
          <w:tcPr>
            <w:tcW w:w="3271" w:type="dxa"/>
            <w:tcBorders>
              <w:top w:val="nil"/>
              <w:left w:val="single" w:sz="4" w:space="0" w:color="auto"/>
              <w:bottom w:val="single" w:sz="4" w:space="0" w:color="auto"/>
              <w:right w:val="single" w:sz="4" w:space="0" w:color="auto"/>
            </w:tcBorders>
            <w:shd w:val="clear" w:color="auto" w:fill="auto"/>
            <w:noWrap/>
            <w:hideMark/>
          </w:tcPr>
          <w:p w:rsidR="00B92080" w:rsidRPr="002E2870" w:rsidRDefault="00B92080" w:rsidP="00DB5405">
            <w:pPr>
              <w:rPr>
                <w:rFonts w:ascii="Palatino Linotype" w:hAnsi="Palatino Linotype" w:cs="Arial"/>
                <w:bCs/>
                <w:sz w:val="18"/>
                <w:szCs w:val="18"/>
              </w:rPr>
            </w:pPr>
            <w:r w:rsidRPr="002E2870">
              <w:rPr>
                <w:rFonts w:ascii="Palatino Linotype" w:hAnsi="Palatino Linotype" w:cs="Arial"/>
                <w:bCs/>
                <w:sz w:val="18"/>
                <w:szCs w:val="18"/>
              </w:rPr>
              <w:t>Nkrishi</w:t>
            </w:r>
          </w:p>
        </w:tc>
        <w:tc>
          <w:tcPr>
            <w:tcW w:w="1128" w:type="dxa"/>
            <w:tcBorders>
              <w:top w:val="nil"/>
              <w:left w:val="nil"/>
              <w:bottom w:val="single" w:sz="4" w:space="0" w:color="auto"/>
              <w:right w:val="single" w:sz="4" w:space="0" w:color="auto"/>
            </w:tcBorders>
            <w:shd w:val="clear" w:color="auto" w:fill="auto"/>
            <w:noWrap/>
            <w:hideMark/>
          </w:tcPr>
          <w:p w:rsidR="00B92080" w:rsidRPr="002E2870" w:rsidRDefault="00B92080" w:rsidP="00DB5405">
            <w:pPr>
              <w:jc w:val="right"/>
              <w:rPr>
                <w:rFonts w:ascii="Palatino Linotype" w:hAnsi="Palatino Linotype" w:cs="Arial"/>
                <w:bCs/>
                <w:sz w:val="18"/>
                <w:szCs w:val="18"/>
              </w:rPr>
            </w:pPr>
            <w:r w:rsidRPr="002E2870">
              <w:rPr>
                <w:rFonts w:ascii="Palatino Linotype" w:hAnsi="Palatino Linotype" w:cs="Arial"/>
                <w:bCs/>
                <w:sz w:val="18"/>
                <w:szCs w:val="18"/>
              </w:rPr>
              <w:t> 3,180</w:t>
            </w:r>
          </w:p>
        </w:tc>
        <w:tc>
          <w:tcPr>
            <w:tcW w:w="1236" w:type="dxa"/>
            <w:tcBorders>
              <w:top w:val="single" w:sz="4" w:space="0" w:color="auto"/>
              <w:left w:val="single" w:sz="4" w:space="0" w:color="auto"/>
              <w:bottom w:val="single" w:sz="4" w:space="0" w:color="auto"/>
              <w:right w:val="single" w:sz="4" w:space="0" w:color="auto"/>
            </w:tcBorders>
          </w:tcPr>
          <w:p w:rsidR="00B92080" w:rsidRPr="002E2870" w:rsidRDefault="00B92080" w:rsidP="00DB5405">
            <w:pPr>
              <w:jc w:val="right"/>
              <w:rPr>
                <w:rFonts w:ascii="Palatino Linotype" w:hAnsi="Palatino Linotype" w:cs="Arial"/>
                <w:bCs/>
                <w:sz w:val="18"/>
                <w:szCs w:val="18"/>
              </w:rPr>
            </w:pPr>
            <w:r w:rsidRPr="002E2870">
              <w:rPr>
                <w:rFonts w:ascii="Palatino Linotype" w:hAnsi="Palatino Linotype" w:cs="Arial"/>
                <w:bCs/>
                <w:sz w:val="18"/>
                <w:szCs w:val="18"/>
              </w:rPr>
              <w:t>3,583</w:t>
            </w:r>
          </w:p>
        </w:tc>
        <w:tc>
          <w:tcPr>
            <w:tcW w:w="1319" w:type="dxa"/>
            <w:tcBorders>
              <w:top w:val="single" w:sz="4" w:space="0" w:color="auto"/>
              <w:left w:val="single" w:sz="4" w:space="0" w:color="auto"/>
              <w:bottom w:val="single" w:sz="4" w:space="0" w:color="auto"/>
              <w:right w:val="single" w:sz="4" w:space="0" w:color="auto"/>
            </w:tcBorders>
            <w:shd w:val="clear" w:color="auto" w:fill="auto"/>
            <w:noWrap/>
          </w:tcPr>
          <w:p w:rsidR="00B92080" w:rsidRPr="002E2870" w:rsidRDefault="00B92080" w:rsidP="00DB5405">
            <w:pPr>
              <w:jc w:val="right"/>
              <w:rPr>
                <w:rFonts w:ascii="Palatino Linotype" w:hAnsi="Palatino Linotype" w:cs="Arial"/>
                <w:bCs/>
                <w:sz w:val="18"/>
                <w:szCs w:val="18"/>
              </w:rPr>
            </w:pPr>
            <w:r w:rsidRPr="002E2870">
              <w:rPr>
                <w:rFonts w:ascii="Palatino Linotype" w:hAnsi="Palatino Linotype" w:cs="Arial"/>
                <w:bCs/>
                <w:sz w:val="18"/>
                <w:szCs w:val="18"/>
              </w:rPr>
              <w:t>3,615</w:t>
            </w:r>
          </w:p>
        </w:tc>
        <w:tc>
          <w:tcPr>
            <w:tcW w:w="1830" w:type="dxa"/>
            <w:tcBorders>
              <w:top w:val="nil"/>
              <w:left w:val="nil"/>
              <w:bottom w:val="single" w:sz="4" w:space="0" w:color="auto"/>
              <w:right w:val="single" w:sz="4" w:space="0" w:color="auto"/>
            </w:tcBorders>
            <w:shd w:val="clear" w:color="auto" w:fill="auto"/>
            <w:noWrap/>
          </w:tcPr>
          <w:p w:rsidR="00B92080" w:rsidRPr="002E2870" w:rsidRDefault="00B92080" w:rsidP="00DB5405">
            <w:pPr>
              <w:jc w:val="right"/>
              <w:rPr>
                <w:rFonts w:ascii="Palatino Linotype" w:hAnsi="Palatino Linotype" w:cs="Arial"/>
                <w:bCs/>
                <w:sz w:val="18"/>
                <w:szCs w:val="18"/>
              </w:rPr>
            </w:pPr>
            <w:r w:rsidRPr="002E2870">
              <w:rPr>
                <w:rFonts w:ascii="Palatino Linotype" w:hAnsi="Palatino Linotype" w:cs="Arial"/>
                <w:bCs/>
                <w:sz w:val="18"/>
                <w:szCs w:val="18"/>
              </w:rPr>
              <w:t>0.9</w:t>
            </w:r>
          </w:p>
        </w:tc>
      </w:tr>
      <w:tr w:rsidR="00B92080" w:rsidRPr="002E2870" w:rsidTr="00DB5405">
        <w:trPr>
          <w:trHeight w:val="224"/>
          <w:jc w:val="center"/>
        </w:trPr>
        <w:tc>
          <w:tcPr>
            <w:tcW w:w="3271" w:type="dxa"/>
            <w:tcBorders>
              <w:top w:val="nil"/>
              <w:left w:val="single" w:sz="4" w:space="0" w:color="auto"/>
              <w:bottom w:val="single" w:sz="4" w:space="0" w:color="auto"/>
              <w:right w:val="single" w:sz="4" w:space="0" w:color="auto"/>
            </w:tcBorders>
            <w:shd w:val="clear" w:color="auto" w:fill="auto"/>
            <w:noWrap/>
          </w:tcPr>
          <w:p w:rsidR="00B92080" w:rsidRPr="002E2870" w:rsidRDefault="00B92080" w:rsidP="00DB5405">
            <w:pPr>
              <w:rPr>
                <w:rFonts w:ascii="Palatino Linotype" w:hAnsi="Palatino Linotype" w:cs="Arial"/>
                <w:bCs/>
                <w:sz w:val="18"/>
                <w:szCs w:val="18"/>
              </w:rPr>
            </w:pPr>
            <w:r w:rsidRPr="002E2870">
              <w:rPr>
                <w:rFonts w:ascii="Palatino Linotype" w:hAnsi="Palatino Linotype" w:cs="Arial"/>
                <w:bCs/>
                <w:sz w:val="18"/>
                <w:szCs w:val="18"/>
              </w:rPr>
              <w:t>MCX iCOMDEX</w:t>
            </w:r>
          </w:p>
        </w:tc>
        <w:tc>
          <w:tcPr>
            <w:tcW w:w="1128" w:type="dxa"/>
            <w:tcBorders>
              <w:top w:val="nil"/>
              <w:left w:val="nil"/>
              <w:bottom w:val="single" w:sz="4" w:space="0" w:color="auto"/>
              <w:right w:val="single" w:sz="4" w:space="0" w:color="auto"/>
            </w:tcBorders>
            <w:shd w:val="clear" w:color="auto" w:fill="auto"/>
            <w:noWrap/>
          </w:tcPr>
          <w:p w:rsidR="00B92080" w:rsidRPr="002E2870" w:rsidRDefault="00B92080" w:rsidP="00DB5405">
            <w:pPr>
              <w:jc w:val="right"/>
              <w:rPr>
                <w:rFonts w:ascii="Palatino Linotype" w:hAnsi="Palatino Linotype" w:cs="Arial"/>
                <w:bCs/>
                <w:sz w:val="18"/>
                <w:szCs w:val="18"/>
              </w:rPr>
            </w:pPr>
            <w:r w:rsidRPr="002E2870">
              <w:rPr>
                <w:rFonts w:ascii="Palatino Linotype" w:hAnsi="Palatino Linotype" w:cs="Arial"/>
                <w:bCs/>
                <w:sz w:val="18"/>
                <w:szCs w:val="18"/>
              </w:rPr>
              <w:t>8,256</w:t>
            </w:r>
          </w:p>
        </w:tc>
        <w:tc>
          <w:tcPr>
            <w:tcW w:w="1236" w:type="dxa"/>
            <w:tcBorders>
              <w:top w:val="single" w:sz="4" w:space="0" w:color="auto"/>
              <w:left w:val="single" w:sz="4" w:space="0" w:color="auto"/>
              <w:bottom w:val="single" w:sz="4" w:space="0" w:color="auto"/>
              <w:right w:val="single" w:sz="4" w:space="0" w:color="auto"/>
            </w:tcBorders>
          </w:tcPr>
          <w:p w:rsidR="00B92080" w:rsidRPr="002E2870" w:rsidRDefault="00B92080" w:rsidP="00DB5405">
            <w:pPr>
              <w:jc w:val="right"/>
              <w:rPr>
                <w:rFonts w:ascii="Palatino Linotype" w:hAnsi="Palatino Linotype" w:cs="Arial"/>
                <w:bCs/>
                <w:sz w:val="18"/>
                <w:szCs w:val="18"/>
              </w:rPr>
            </w:pPr>
            <w:r w:rsidRPr="002E2870">
              <w:rPr>
                <w:rFonts w:ascii="Palatino Linotype" w:hAnsi="Palatino Linotype" w:cs="Arial"/>
                <w:bCs/>
                <w:sz w:val="18"/>
                <w:szCs w:val="18"/>
              </w:rPr>
              <w:t>10,227</w:t>
            </w:r>
          </w:p>
        </w:tc>
        <w:tc>
          <w:tcPr>
            <w:tcW w:w="1319" w:type="dxa"/>
            <w:tcBorders>
              <w:top w:val="single" w:sz="4" w:space="0" w:color="auto"/>
              <w:left w:val="single" w:sz="4" w:space="0" w:color="auto"/>
              <w:bottom w:val="single" w:sz="4" w:space="0" w:color="auto"/>
              <w:right w:val="single" w:sz="4" w:space="0" w:color="auto"/>
            </w:tcBorders>
            <w:shd w:val="clear" w:color="auto" w:fill="auto"/>
            <w:noWrap/>
          </w:tcPr>
          <w:p w:rsidR="00B92080" w:rsidRPr="002E2870" w:rsidRDefault="00B92080" w:rsidP="00DB5405">
            <w:pPr>
              <w:jc w:val="right"/>
              <w:rPr>
                <w:rFonts w:ascii="Palatino Linotype" w:hAnsi="Palatino Linotype" w:cs="Arial"/>
                <w:bCs/>
                <w:sz w:val="18"/>
                <w:szCs w:val="18"/>
              </w:rPr>
            </w:pPr>
            <w:r w:rsidRPr="002E2870">
              <w:rPr>
                <w:rFonts w:ascii="Palatino Linotype" w:hAnsi="Palatino Linotype" w:cs="Arial"/>
                <w:bCs/>
                <w:sz w:val="18"/>
                <w:szCs w:val="18"/>
              </w:rPr>
              <w:t>9,714</w:t>
            </w:r>
          </w:p>
        </w:tc>
        <w:tc>
          <w:tcPr>
            <w:tcW w:w="1830" w:type="dxa"/>
            <w:tcBorders>
              <w:top w:val="nil"/>
              <w:left w:val="nil"/>
              <w:bottom w:val="single" w:sz="4" w:space="0" w:color="auto"/>
              <w:right w:val="single" w:sz="4" w:space="0" w:color="auto"/>
            </w:tcBorders>
            <w:shd w:val="clear" w:color="auto" w:fill="auto"/>
            <w:noWrap/>
          </w:tcPr>
          <w:p w:rsidR="00B92080" w:rsidRPr="002E2870" w:rsidRDefault="00B92080" w:rsidP="00DB5405">
            <w:pPr>
              <w:jc w:val="right"/>
              <w:rPr>
                <w:rFonts w:ascii="Palatino Linotype" w:hAnsi="Palatino Linotype" w:cs="Arial"/>
                <w:bCs/>
                <w:sz w:val="18"/>
                <w:szCs w:val="18"/>
              </w:rPr>
            </w:pPr>
            <w:r w:rsidRPr="002E2870">
              <w:rPr>
                <w:rFonts w:ascii="Palatino Linotype" w:hAnsi="Palatino Linotype" w:cs="Arial"/>
                <w:bCs/>
                <w:sz w:val="18"/>
                <w:szCs w:val="18"/>
              </w:rPr>
              <w:t>-5.0</w:t>
            </w:r>
          </w:p>
        </w:tc>
      </w:tr>
      <w:tr w:rsidR="00B92080" w:rsidRPr="002E2870" w:rsidTr="00DB5405">
        <w:trPr>
          <w:trHeight w:val="224"/>
          <w:jc w:val="center"/>
        </w:trPr>
        <w:tc>
          <w:tcPr>
            <w:tcW w:w="8784" w:type="dxa"/>
            <w:gridSpan w:val="5"/>
            <w:tcBorders>
              <w:top w:val="nil"/>
              <w:left w:val="single" w:sz="4" w:space="0" w:color="auto"/>
              <w:bottom w:val="single" w:sz="4" w:space="0" w:color="auto"/>
              <w:right w:val="single" w:sz="4" w:space="0" w:color="auto"/>
            </w:tcBorders>
            <w:shd w:val="clear" w:color="auto" w:fill="auto"/>
            <w:noWrap/>
          </w:tcPr>
          <w:p w:rsidR="00B92080" w:rsidRPr="002E2870" w:rsidRDefault="00B92080" w:rsidP="00B92080">
            <w:pPr>
              <w:pStyle w:val="ListParagraph"/>
              <w:numPr>
                <w:ilvl w:val="0"/>
                <w:numId w:val="12"/>
              </w:numPr>
              <w:spacing w:after="0" w:line="240" w:lineRule="auto"/>
              <w:ind w:left="317" w:hanging="317"/>
              <w:rPr>
                <w:rFonts w:ascii="Palatino Linotype" w:hAnsi="Palatino Linotype" w:cs="Arial"/>
                <w:bCs/>
                <w:sz w:val="18"/>
                <w:szCs w:val="18"/>
              </w:rPr>
            </w:pPr>
            <w:r w:rsidRPr="002E2870">
              <w:rPr>
                <w:rFonts w:ascii="Palatino Linotype" w:hAnsi="Palatino Linotype" w:cs="Arial"/>
                <w:b/>
                <w:bCs/>
                <w:sz w:val="18"/>
                <w:szCs w:val="18"/>
              </w:rPr>
              <w:t>Turnover (</w:t>
            </w:r>
            <w:r w:rsidRPr="002E2870">
              <w:rPr>
                <w:rFonts w:ascii="Times New Roman" w:hAnsi="Times New Roman"/>
                <w:b/>
                <w:bCs/>
                <w:sz w:val="18"/>
                <w:szCs w:val="18"/>
              </w:rPr>
              <w:t>₹</w:t>
            </w:r>
            <w:r w:rsidRPr="002E2870">
              <w:rPr>
                <w:rFonts w:ascii="Palatino Linotype" w:hAnsi="Palatino Linotype" w:cs="Arial"/>
                <w:b/>
                <w:bCs/>
                <w:sz w:val="18"/>
                <w:szCs w:val="18"/>
              </w:rPr>
              <w:t>crore)</w:t>
            </w:r>
          </w:p>
        </w:tc>
      </w:tr>
      <w:tr w:rsidR="00B92080" w:rsidRPr="002E2870" w:rsidTr="00DB5405">
        <w:trPr>
          <w:trHeight w:val="308"/>
          <w:jc w:val="center"/>
        </w:trPr>
        <w:tc>
          <w:tcPr>
            <w:tcW w:w="3271" w:type="dxa"/>
            <w:tcBorders>
              <w:top w:val="nil"/>
              <w:left w:val="single" w:sz="4" w:space="0" w:color="auto"/>
              <w:bottom w:val="single" w:sz="4" w:space="0" w:color="auto"/>
              <w:right w:val="nil"/>
            </w:tcBorders>
            <w:shd w:val="clear" w:color="auto" w:fill="auto"/>
            <w:noWrap/>
            <w:hideMark/>
          </w:tcPr>
          <w:p w:rsidR="00B92080" w:rsidRPr="002E2870" w:rsidRDefault="00B92080" w:rsidP="00DB5405">
            <w:pPr>
              <w:rPr>
                <w:rFonts w:ascii="Palatino Linotype" w:hAnsi="Palatino Linotype" w:cs="Arial"/>
                <w:b/>
                <w:bCs/>
                <w:sz w:val="18"/>
                <w:szCs w:val="18"/>
              </w:rPr>
            </w:pPr>
            <w:r w:rsidRPr="002E2870">
              <w:rPr>
                <w:rFonts w:ascii="Palatino Linotype" w:hAnsi="Palatino Linotype" w:cs="Arial"/>
                <w:b/>
                <w:bCs/>
                <w:sz w:val="18"/>
                <w:szCs w:val="18"/>
              </w:rPr>
              <w:t>All-India</w:t>
            </w:r>
          </w:p>
        </w:tc>
        <w:tc>
          <w:tcPr>
            <w:tcW w:w="1128" w:type="dxa"/>
            <w:tcBorders>
              <w:top w:val="nil"/>
              <w:left w:val="single" w:sz="4" w:space="0" w:color="auto"/>
              <w:bottom w:val="single" w:sz="4" w:space="0" w:color="auto"/>
              <w:right w:val="single" w:sz="4" w:space="0" w:color="auto"/>
            </w:tcBorders>
            <w:shd w:val="clear" w:color="auto" w:fill="auto"/>
            <w:noWrap/>
            <w:hideMark/>
          </w:tcPr>
          <w:p w:rsidR="00B92080" w:rsidRPr="002E2870" w:rsidRDefault="00B92080" w:rsidP="00DB5405">
            <w:pPr>
              <w:jc w:val="right"/>
              <w:rPr>
                <w:rFonts w:ascii="Palatino Linotype" w:hAnsi="Palatino Linotype" w:cs="Arial"/>
                <w:b/>
                <w:bCs/>
                <w:sz w:val="18"/>
                <w:szCs w:val="18"/>
              </w:rPr>
            </w:pPr>
            <w:r w:rsidRPr="002E2870">
              <w:rPr>
                <w:rFonts w:ascii="Palatino Linotype" w:hAnsi="Palatino Linotype" w:cs="Arial"/>
                <w:b/>
                <w:bCs/>
                <w:sz w:val="18"/>
                <w:szCs w:val="18"/>
              </w:rPr>
              <w:t>92,24,839</w:t>
            </w:r>
          </w:p>
        </w:tc>
        <w:tc>
          <w:tcPr>
            <w:tcW w:w="1236" w:type="dxa"/>
            <w:tcBorders>
              <w:top w:val="single" w:sz="4" w:space="0" w:color="auto"/>
              <w:left w:val="single" w:sz="4" w:space="0" w:color="auto"/>
              <w:bottom w:val="single" w:sz="4" w:space="0" w:color="auto"/>
              <w:right w:val="single" w:sz="4" w:space="0" w:color="auto"/>
            </w:tcBorders>
          </w:tcPr>
          <w:p w:rsidR="00B92080" w:rsidRPr="002E2870" w:rsidRDefault="00B92080" w:rsidP="00DB5405">
            <w:pPr>
              <w:jc w:val="right"/>
              <w:rPr>
                <w:rFonts w:ascii="Palatino Linotype" w:hAnsi="Palatino Linotype" w:cs="Arial"/>
                <w:b/>
                <w:bCs/>
                <w:sz w:val="18"/>
                <w:szCs w:val="18"/>
              </w:rPr>
            </w:pPr>
            <w:r w:rsidRPr="002E2870">
              <w:rPr>
                <w:rFonts w:ascii="Palatino Linotype" w:hAnsi="Palatino Linotype" w:cs="Arial"/>
                <w:b/>
                <w:bCs/>
                <w:sz w:val="18"/>
                <w:szCs w:val="18"/>
              </w:rPr>
              <w:t>10,37,849</w:t>
            </w:r>
          </w:p>
        </w:tc>
        <w:tc>
          <w:tcPr>
            <w:tcW w:w="1319" w:type="dxa"/>
            <w:tcBorders>
              <w:top w:val="single" w:sz="4" w:space="0" w:color="auto"/>
              <w:left w:val="single" w:sz="4" w:space="0" w:color="auto"/>
              <w:bottom w:val="single" w:sz="4" w:space="0" w:color="auto"/>
              <w:right w:val="single" w:sz="4" w:space="0" w:color="auto"/>
            </w:tcBorders>
            <w:shd w:val="clear" w:color="auto" w:fill="auto"/>
            <w:noWrap/>
          </w:tcPr>
          <w:p w:rsidR="00B92080" w:rsidRPr="002E2870" w:rsidRDefault="00B92080" w:rsidP="00DB5405">
            <w:pPr>
              <w:jc w:val="right"/>
              <w:rPr>
                <w:rFonts w:ascii="Palatino Linotype" w:hAnsi="Palatino Linotype" w:cs="Arial"/>
                <w:b/>
                <w:bCs/>
                <w:sz w:val="18"/>
                <w:szCs w:val="18"/>
              </w:rPr>
            </w:pPr>
            <w:r w:rsidRPr="002E2870">
              <w:rPr>
                <w:rFonts w:ascii="Palatino Linotype" w:hAnsi="Palatino Linotype" w:cs="Arial"/>
                <w:b/>
                <w:bCs/>
                <w:sz w:val="18"/>
                <w:szCs w:val="18"/>
              </w:rPr>
              <w:t>8,67,747</w:t>
            </w:r>
          </w:p>
        </w:tc>
        <w:tc>
          <w:tcPr>
            <w:tcW w:w="1830" w:type="dxa"/>
            <w:tcBorders>
              <w:top w:val="nil"/>
              <w:left w:val="nil"/>
              <w:bottom w:val="single" w:sz="4" w:space="0" w:color="auto"/>
              <w:right w:val="single" w:sz="4" w:space="0" w:color="auto"/>
            </w:tcBorders>
            <w:shd w:val="clear" w:color="auto" w:fill="auto"/>
            <w:noWrap/>
          </w:tcPr>
          <w:p w:rsidR="00B92080" w:rsidRPr="002E2870" w:rsidRDefault="00B92080" w:rsidP="00DB5405">
            <w:pPr>
              <w:jc w:val="right"/>
              <w:rPr>
                <w:rFonts w:ascii="Palatino Linotype" w:hAnsi="Palatino Linotype" w:cs="Arial"/>
                <w:b/>
                <w:bCs/>
                <w:sz w:val="18"/>
                <w:szCs w:val="18"/>
              </w:rPr>
            </w:pPr>
            <w:r w:rsidRPr="002E2870">
              <w:rPr>
                <w:rFonts w:ascii="Palatino Linotype" w:hAnsi="Palatino Linotype" w:cs="Arial"/>
                <w:b/>
                <w:bCs/>
                <w:sz w:val="18"/>
                <w:szCs w:val="18"/>
              </w:rPr>
              <w:t>-16.4</w:t>
            </w:r>
          </w:p>
        </w:tc>
      </w:tr>
      <w:tr w:rsidR="00B92080" w:rsidRPr="002E2870" w:rsidTr="00DB5405">
        <w:trPr>
          <w:trHeight w:val="308"/>
          <w:jc w:val="center"/>
        </w:trPr>
        <w:tc>
          <w:tcPr>
            <w:tcW w:w="3271" w:type="dxa"/>
            <w:tcBorders>
              <w:top w:val="nil"/>
              <w:left w:val="single" w:sz="4" w:space="0" w:color="auto"/>
              <w:bottom w:val="single" w:sz="4" w:space="0" w:color="auto"/>
              <w:right w:val="nil"/>
            </w:tcBorders>
            <w:shd w:val="clear" w:color="auto" w:fill="auto"/>
            <w:noWrap/>
          </w:tcPr>
          <w:p w:rsidR="00B92080" w:rsidRPr="002E2870" w:rsidRDefault="00B92080" w:rsidP="00DB5405">
            <w:pPr>
              <w:rPr>
                <w:rFonts w:ascii="Palatino Linotype" w:hAnsi="Palatino Linotype" w:cs="Arial"/>
                <w:b/>
                <w:bCs/>
                <w:sz w:val="18"/>
                <w:szCs w:val="18"/>
              </w:rPr>
            </w:pPr>
            <w:r w:rsidRPr="002E2870">
              <w:rPr>
                <w:rFonts w:ascii="Palatino Linotype" w:hAnsi="Palatino Linotype" w:cs="Arial"/>
                <w:b/>
                <w:bCs/>
                <w:sz w:val="18"/>
                <w:szCs w:val="18"/>
              </w:rPr>
              <w:t>MCX, of which</w:t>
            </w:r>
          </w:p>
        </w:tc>
        <w:tc>
          <w:tcPr>
            <w:tcW w:w="1128" w:type="dxa"/>
            <w:tcBorders>
              <w:top w:val="nil"/>
              <w:left w:val="single" w:sz="4" w:space="0" w:color="auto"/>
              <w:bottom w:val="single" w:sz="4" w:space="0" w:color="auto"/>
              <w:right w:val="single" w:sz="4" w:space="0" w:color="auto"/>
            </w:tcBorders>
            <w:shd w:val="clear" w:color="auto" w:fill="auto"/>
            <w:noWrap/>
          </w:tcPr>
          <w:p w:rsidR="00B92080" w:rsidRPr="002E2870" w:rsidRDefault="00B92080" w:rsidP="00DB5405">
            <w:pPr>
              <w:tabs>
                <w:tab w:val="right" w:pos="912"/>
              </w:tabs>
              <w:rPr>
                <w:rFonts w:ascii="Palatino Linotype" w:hAnsi="Palatino Linotype" w:cs="Arial"/>
                <w:b/>
                <w:bCs/>
                <w:sz w:val="18"/>
                <w:szCs w:val="18"/>
              </w:rPr>
            </w:pPr>
            <w:r w:rsidRPr="002E2870">
              <w:rPr>
                <w:rFonts w:ascii="Palatino Linotype" w:hAnsi="Palatino Linotype" w:cs="Arial"/>
                <w:b/>
                <w:bCs/>
                <w:sz w:val="18"/>
                <w:szCs w:val="18"/>
              </w:rPr>
              <w:t xml:space="preserve">    86,89,518</w:t>
            </w:r>
          </w:p>
        </w:tc>
        <w:tc>
          <w:tcPr>
            <w:tcW w:w="1236" w:type="dxa"/>
            <w:tcBorders>
              <w:top w:val="single" w:sz="4" w:space="0" w:color="auto"/>
              <w:left w:val="single" w:sz="4" w:space="0" w:color="auto"/>
              <w:bottom w:val="single" w:sz="4" w:space="0" w:color="auto"/>
              <w:right w:val="single" w:sz="4" w:space="0" w:color="auto"/>
            </w:tcBorders>
          </w:tcPr>
          <w:p w:rsidR="00B92080" w:rsidRPr="002E2870" w:rsidRDefault="00B92080" w:rsidP="00DB5405">
            <w:pPr>
              <w:jc w:val="right"/>
              <w:rPr>
                <w:rFonts w:ascii="Palatino Linotype" w:hAnsi="Palatino Linotype" w:cs="Arial"/>
                <w:b/>
                <w:bCs/>
                <w:sz w:val="18"/>
                <w:szCs w:val="18"/>
              </w:rPr>
            </w:pPr>
            <w:r w:rsidRPr="002E2870">
              <w:rPr>
                <w:rFonts w:ascii="Palatino Linotype" w:hAnsi="Palatino Linotype" w:cs="Arial"/>
                <w:b/>
                <w:bCs/>
                <w:sz w:val="18"/>
                <w:szCs w:val="18"/>
              </w:rPr>
              <w:t xml:space="preserve">     9,39,619</w:t>
            </w:r>
          </w:p>
        </w:tc>
        <w:tc>
          <w:tcPr>
            <w:tcW w:w="1319" w:type="dxa"/>
            <w:tcBorders>
              <w:top w:val="single" w:sz="4" w:space="0" w:color="auto"/>
              <w:left w:val="single" w:sz="4" w:space="0" w:color="auto"/>
              <w:bottom w:val="single" w:sz="4" w:space="0" w:color="auto"/>
              <w:right w:val="single" w:sz="4" w:space="0" w:color="auto"/>
            </w:tcBorders>
            <w:shd w:val="clear" w:color="auto" w:fill="auto"/>
            <w:noWrap/>
          </w:tcPr>
          <w:p w:rsidR="00B92080" w:rsidRPr="002E2870" w:rsidRDefault="00B92080" w:rsidP="00DB5405">
            <w:pPr>
              <w:tabs>
                <w:tab w:val="center" w:pos="551"/>
              </w:tabs>
              <w:rPr>
                <w:rFonts w:ascii="Palatino Linotype" w:hAnsi="Palatino Linotype" w:cs="Arial"/>
                <w:b/>
                <w:bCs/>
                <w:sz w:val="18"/>
                <w:szCs w:val="18"/>
              </w:rPr>
            </w:pPr>
            <w:r w:rsidRPr="002E2870">
              <w:rPr>
                <w:rFonts w:ascii="Palatino Linotype" w:hAnsi="Palatino Linotype" w:cs="Arial"/>
                <w:b/>
                <w:bCs/>
                <w:sz w:val="18"/>
                <w:szCs w:val="18"/>
              </w:rPr>
              <w:tab/>
              <w:t xml:space="preserve">          7,78,831</w:t>
            </w:r>
          </w:p>
        </w:tc>
        <w:tc>
          <w:tcPr>
            <w:tcW w:w="1830" w:type="dxa"/>
            <w:tcBorders>
              <w:top w:val="nil"/>
              <w:left w:val="nil"/>
              <w:bottom w:val="single" w:sz="4" w:space="0" w:color="auto"/>
              <w:right w:val="single" w:sz="4" w:space="0" w:color="auto"/>
            </w:tcBorders>
            <w:shd w:val="clear" w:color="auto" w:fill="auto"/>
            <w:noWrap/>
          </w:tcPr>
          <w:p w:rsidR="00B92080" w:rsidRPr="002E2870" w:rsidRDefault="00B92080" w:rsidP="00DB5405">
            <w:pPr>
              <w:jc w:val="right"/>
              <w:rPr>
                <w:rFonts w:ascii="Palatino Linotype" w:hAnsi="Palatino Linotype" w:cs="Arial"/>
                <w:b/>
                <w:bCs/>
                <w:sz w:val="18"/>
                <w:szCs w:val="18"/>
              </w:rPr>
            </w:pPr>
            <w:r w:rsidRPr="002E2870">
              <w:rPr>
                <w:rFonts w:ascii="Palatino Linotype" w:hAnsi="Palatino Linotype" w:cs="Arial"/>
                <w:b/>
                <w:bCs/>
                <w:sz w:val="18"/>
                <w:szCs w:val="18"/>
              </w:rPr>
              <w:t>-17.1</w:t>
            </w:r>
          </w:p>
        </w:tc>
      </w:tr>
      <w:tr w:rsidR="00B92080" w:rsidRPr="002E2870" w:rsidTr="00DB5405">
        <w:trPr>
          <w:trHeight w:val="308"/>
          <w:jc w:val="center"/>
        </w:trPr>
        <w:tc>
          <w:tcPr>
            <w:tcW w:w="3271" w:type="dxa"/>
            <w:tcBorders>
              <w:top w:val="nil"/>
              <w:left w:val="single" w:sz="4" w:space="0" w:color="auto"/>
              <w:bottom w:val="single" w:sz="4" w:space="0" w:color="auto"/>
              <w:right w:val="nil"/>
            </w:tcBorders>
            <w:shd w:val="clear" w:color="auto" w:fill="auto"/>
            <w:noWrap/>
          </w:tcPr>
          <w:p w:rsidR="00B92080" w:rsidRPr="002E2870" w:rsidRDefault="00B92080" w:rsidP="00DB5405">
            <w:pPr>
              <w:rPr>
                <w:rFonts w:ascii="Palatino Linotype" w:hAnsi="Palatino Linotype" w:cs="Arial"/>
                <w:bCs/>
                <w:i/>
                <w:sz w:val="18"/>
                <w:szCs w:val="18"/>
              </w:rPr>
            </w:pPr>
            <w:r w:rsidRPr="002E2870">
              <w:rPr>
                <w:rFonts w:ascii="Palatino Linotype" w:hAnsi="Palatino Linotype" w:cs="Arial"/>
                <w:bCs/>
                <w:i/>
                <w:sz w:val="18"/>
                <w:szCs w:val="18"/>
              </w:rPr>
              <w:t xml:space="preserve">             Futures</w:t>
            </w:r>
          </w:p>
        </w:tc>
        <w:tc>
          <w:tcPr>
            <w:tcW w:w="1128" w:type="dxa"/>
            <w:tcBorders>
              <w:top w:val="nil"/>
              <w:left w:val="single" w:sz="4" w:space="0" w:color="auto"/>
              <w:bottom w:val="single" w:sz="4" w:space="0" w:color="auto"/>
              <w:right w:val="single" w:sz="4" w:space="0" w:color="auto"/>
            </w:tcBorders>
            <w:shd w:val="clear" w:color="auto" w:fill="auto"/>
            <w:noWrap/>
          </w:tcPr>
          <w:p w:rsidR="00B92080" w:rsidRPr="002E2870" w:rsidRDefault="00B92080" w:rsidP="00DB5405">
            <w:pPr>
              <w:jc w:val="right"/>
              <w:rPr>
                <w:rFonts w:ascii="Palatino Linotype" w:hAnsi="Palatino Linotype" w:cs="Arial"/>
                <w:bCs/>
                <w:sz w:val="18"/>
                <w:szCs w:val="18"/>
              </w:rPr>
            </w:pPr>
            <w:r w:rsidRPr="002E2870">
              <w:rPr>
                <w:rFonts w:ascii="Palatino Linotype" w:hAnsi="Palatino Linotype" w:cs="Arial"/>
                <w:bCs/>
                <w:sz w:val="18"/>
                <w:szCs w:val="18"/>
              </w:rPr>
              <w:t>83,97,775</w:t>
            </w:r>
          </w:p>
        </w:tc>
        <w:tc>
          <w:tcPr>
            <w:tcW w:w="1236" w:type="dxa"/>
            <w:tcBorders>
              <w:top w:val="single" w:sz="4" w:space="0" w:color="auto"/>
              <w:left w:val="single" w:sz="4" w:space="0" w:color="auto"/>
              <w:bottom w:val="single" w:sz="4" w:space="0" w:color="auto"/>
              <w:right w:val="single" w:sz="4" w:space="0" w:color="auto"/>
            </w:tcBorders>
          </w:tcPr>
          <w:p w:rsidR="00B92080" w:rsidRPr="002E2870" w:rsidRDefault="00B92080" w:rsidP="00DB5405">
            <w:pPr>
              <w:jc w:val="right"/>
              <w:rPr>
                <w:rFonts w:ascii="Palatino Linotype" w:hAnsi="Palatino Linotype" w:cs="Arial"/>
                <w:bCs/>
                <w:sz w:val="18"/>
                <w:szCs w:val="18"/>
              </w:rPr>
            </w:pPr>
            <w:r w:rsidRPr="002E2870">
              <w:rPr>
                <w:rFonts w:ascii="Palatino Linotype" w:hAnsi="Palatino Linotype" w:cs="Arial"/>
                <w:bCs/>
                <w:sz w:val="18"/>
                <w:szCs w:val="18"/>
              </w:rPr>
              <w:t>9,10,621</w:t>
            </w:r>
          </w:p>
        </w:tc>
        <w:tc>
          <w:tcPr>
            <w:tcW w:w="1319" w:type="dxa"/>
            <w:tcBorders>
              <w:top w:val="single" w:sz="4" w:space="0" w:color="auto"/>
              <w:left w:val="single" w:sz="4" w:space="0" w:color="auto"/>
              <w:bottom w:val="single" w:sz="4" w:space="0" w:color="auto"/>
              <w:right w:val="single" w:sz="4" w:space="0" w:color="auto"/>
            </w:tcBorders>
            <w:shd w:val="clear" w:color="auto" w:fill="auto"/>
            <w:noWrap/>
          </w:tcPr>
          <w:p w:rsidR="00B92080" w:rsidRPr="002E2870" w:rsidRDefault="00B92080" w:rsidP="00DB5405">
            <w:pPr>
              <w:jc w:val="right"/>
              <w:rPr>
                <w:rFonts w:ascii="Palatino Linotype" w:hAnsi="Palatino Linotype" w:cs="Arial"/>
                <w:bCs/>
                <w:sz w:val="18"/>
                <w:szCs w:val="18"/>
              </w:rPr>
            </w:pPr>
            <w:r w:rsidRPr="002E2870">
              <w:rPr>
                <w:rFonts w:ascii="Palatino Linotype" w:hAnsi="Palatino Linotype" w:cs="Arial"/>
                <w:bCs/>
                <w:sz w:val="18"/>
                <w:szCs w:val="18"/>
              </w:rPr>
              <w:t>7,52,804</w:t>
            </w:r>
          </w:p>
        </w:tc>
        <w:tc>
          <w:tcPr>
            <w:tcW w:w="1830" w:type="dxa"/>
            <w:tcBorders>
              <w:top w:val="nil"/>
              <w:left w:val="nil"/>
              <w:bottom w:val="single" w:sz="4" w:space="0" w:color="auto"/>
              <w:right w:val="single" w:sz="4" w:space="0" w:color="auto"/>
            </w:tcBorders>
            <w:shd w:val="clear" w:color="auto" w:fill="auto"/>
            <w:noWrap/>
          </w:tcPr>
          <w:p w:rsidR="00B92080" w:rsidRPr="002E2870" w:rsidRDefault="00B92080" w:rsidP="00DB5405">
            <w:pPr>
              <w:jc w:val="right"/>
              <w:rPr>
                <w:rFonts w:ascii="Palatino Linotype" w:hAnsi="Palatino Linotype" w:cs="Arial"/>
                <w:bCs/>
                <w:sz w:val="18"/>
                <w:szCs w:val="18"/>
              </w:rPr>
            </w:pPr>
            <w:r w:rsidRPr="002E2870">
              <w:rPr>
                <w:rFonts w:ascii="Palatino Linotype" w:hAnsi="Palatino Linotype" w:cs="Arial"/>
                <w:bCs/>
                <w:sz w:val="18"/>
                <w:szCs w:val="18"/>
              </w:rPr>
              <w:t>-17.3</w:t>
            </w:r>
          </w:p>
        </w:tc>
      </w:tr>
      <w:tr w:rsidR="00B92080" w:rsidRPr="002E2870" w:rsidTr="00DB5405">
        <w:trPr>
          <w:trHeight w:val="308"/>
          <w:jc w:val="center"/>
        </w:trPr>
        <w:tc>
          <w:tcPr>
            <w:tcW w:w="3271" w:type="dxa"/>
            <w:tcBorders>
              <w:top w:val="nil"/>
              <w:left w:val="single" w:sz="4" w:space="0" w:color="auto"/>
              <w:bottom w:val="single" w:sz="4" w:space="0" w:color="auto"/>
              <w:right w:val="nil"/>
            </w:tcBorders>
            <w:shd w:val="clear" w:color="auto" w:fill="auto"/>
            <w:noWrap/>
          </w:tcPr>
          <w:p w:rsidR="00B92080" w:rsidRPr="002E2870" w:rsidRDefault="00B92080" w:rsidP="00DB5405">
            <w:pPr>
              <w:rPr>
                <w:rFonts w:ascii="Palatino Linotype" w:hAnsi="Palatino Linotype" w:cs="Arial"/>
                <w:bCs/>
                <w:i/>
                <w:sz w:val="18"/>
                <w:szCs w:val="18"/>
              </w:rPr>
            </w:pPr>
            <w:r w:rsidRPr="002E2870">
              <w:rPr>
                <w:rFonts w:ascii="Palatino Linotype" w:hAnsi="Palatino Linotype" w:cs="Arial"/>
                <w:bCs/>
                <w:i/>
                <w:sz w:val="18"/>
                <w:szCs w:val="18"/>
              </w:rPr>
              <w:t xml:space="preserve">            Options</w:t>
            </w:r>
          </w:p>
        </w:tc>
        <w:tc>
          <w:tcPr>
            <w:tcW w:w="1128" w:type="dxa"/>
            <w:tcBorders>
              <w:top w:val="nil"/>
              <w:left w:val="single" w:sz="4" w:space="0" w:color="auto"/>
              <w:bottom w:val="single" w:sz="4" w:space="0" w:color="auto"/>
              <w:right w:val="single" w:sz="4" w:space="0" w:color="auto"/>
            </w:tcBorders>
            <w:shd w:val="clear" w:color="auto" w:fill="auto"/>
            <w:noWrap/>
          </w:tcPr>
          <w:p w:rsidR="00B92080" w:rsidRPr="002E2870" w:rsidRDefault="00B92080" w:rsidP="00DB5405">
            <w:pPr>
              <w:jc w:val="right"/>
              <w:rPr>
                <w:rFonts w:ascii="Palatino Linotype" w:hAnsi="Palatino Linotype" w:cs="Arial"/>
                <w:bCs/>
                <w:sz w:val="18"/>
                <w:szCs w:val="18"/>
              </w:rPr>
            </w:pPr>
            <w:r w:rsidRPr="002E2870">
              <w:rPr>
                <w:rFonts w:ascii="Palatino Linotype" w:hAnsi="Palatino Linotype" w:cs="Arial"/>
                <w:bCs/>
                <w:sz w:val="18"/>
                <w:szCs w:val="18"/>
              </w:rPr>
              <w:t xml:space="preserve">  2,91,743 </w:t>
            </w:r>
          </w:p>
        </w:tc>
        <w:tc>
          <w:tcPr>
            <w:tcW w:w="1236" w:type="dxa"/>
            <w:tcBorders>
              <w:top w:val="single" w:sz="4" w:space="0" w:color="auto"/>
              <w:left w:val="single" w:sz="4" w:space="0" w:color="auto"/>
              <w:bottom w:val="single" w:sz="4" w:space="0" w:color="auto"/>
              <w:right w:val="single" w:sz="4" w:space="0" w:color="auto"/>
            </w:tcBorders>
          </w:tcPr>
          <w:p w:rsidR="00B92080" w:rsidRPr="002E2870" w:rsidRDefault="00B92080" w:rsidP="00DB5405">
            <w:pPr>
              <w:jc w:val="right"/>
              <w:rPr>
                <w:rFonts w:ascii="Palatino Linotype" w:hAnsi="Palatino Linotype" w:cs="Arial"/>
                <w:bCs/>
                <w:sz w:val="18"/>
                <w:szCs w:val="18"/>
              </w:rPr>
            </w:pPr>
            <w:r w:rsidRPr="002E2870">
              <w:rPr>
                <w:rFonts w:ascii="Palatino Linotype" w:hAnsi="Palatino Linotype" w:cs="Arial"/>
                <w:bCs/>
                <w:sz w:val="18"/>
                <w:szCs w:val="18"/>
              </w:rPr>
              <w:t>28,998</w:t>
            </w:r>
          </w:p>
        </w:tc>
        <w:tc>
          <w:tcPr>
            <w:tcW w:w="1319" w:type="dxa"/>
            <w:tcBorders>
              <w:top w:val="single" w:sz="4" w:space="0" w:color="auto"/>
              <w:left w:val="single" w:sz="4" w:space="0" w:color="auto"/>
              <w:bottom w:val="single" w:sz="4" w:space="0" w:color="auto"/>
              <w:right w:val="single" w:sz="4" w:space="0" w:color="auto"/>
            </w:tcBorders>
            <w:shd w:val="clear" w:color="auto" w:fill="auto"/>
            <w:noWrap/>
          </w:tcPr>
          <w:p w:rsidR="00B92080" w:rsidRPr="002E2870" w:rsidRDefault="00B92080" w:rsidP="00DB5405">
            <w:pPr>
              <w:jc w:val="right"/>
              <w:rPr>
                <w:rFonts w:ascii="Palatino Linotype" w:hAnsi="Palatino Linotype" w:cs="Arial"/>
                <w:bCs/>
                <w:sz w:val="18"/>
                <w:szCs w:val="18"/>
              </w:rPr>
            </w:pPr>
            <w:r w:rsidRPr="002E2870">
              <w:rPr>
                <w:rFonts w:ascii="Palatino Linotype" w:hAnsi="Palatino Linotype" w:cs="Arial"/>
                <w:bCs/>
                <w:sz w:val="18"/>
                <w:szCs w:val="18"/>
              </w:rPr>
              <w:t>26,027</w:t>
            </w:r>
          </w:p>
        </w:tc>
        <w:tc>
          <w:tcPr>
            <w:tcW w:w="1830" w:type="dxa"/>
            <w:tcBorders>
              <w:top w:val="nil"/>
              <w:left w:val="nil"/>
              <w:bottom w:val="single" w:sz="4" w:space="0" w:color="auto"/>
              <w:right w:val="single" w:sz="4" w:space="0" w:color="auto"/>
            </w:tcBorders>
            <w:shd w:val="clear" w:color="auto" w:fill="auto"/>
            <w:noWrap/>
          </w:tcPr>
          <w:p w:rsidR="00B92080" w:rsidRPr="002E2870" w:rsidRDefault="00B92080" w:rsidP="00DB5405">
            <w:pPr>
              <w:jc w:val="right"/>
              <w:rPr>
                <w:rFonts w:ascii="Palatino Linotype" w:hAnsi="Palatino Linotype" w:cs="Arial"/>
                <w:bCs/>
                <w:sz w:val="18"/>
                <w:szCs w:val="18"/>
              </w:rPr>
            </w:pPr>
            <w:r w:rsidRPr="002E2870">
              <w:rPr>
                <w:rFonts w:ascii="Palatino Linotype" w:hAnsi="Palatino Linotype" w:cs="Arial"/>
                <w:bCs/>
                <w:sz w:val="18"/>
                <w:szCs w:val="18"/>
              </w:rPr>
              <w:t>-10.2</w:t>
            </w:r>
          </w:p>
        </w:tc>
      </w:tr>
      <w:tr w:rsidR="00B92080" w:rsidRPr="002E2870" w:rsidTr="00DB5405">
        <w:trPr>
          <w:trHeight w:val="308"/>
          <w:jc w:val="center"/>
        </w:trPr>
        <w:tc>
          <w:tcPr>
            <w:tcW w:w="3271" w:type="dxa"/>
            <w:tcBorders>
              <w:top w:val="nil"/>
              <w:left w:val="single" w:sz="4" w:space="0" w:color="auto"/>
              <w:bottom w:val="single" w:sz="4" w:space="0" w:color="auto"/>
              <w:right w:val="nil"/>
            </w:tcBorders>
            <w:shd w:val="clear" w:color="auto" w:fill="auto"/>
            <w:noWrap/>
          </w:tcPr>
          <w:p w:rsidR="00B92080" w:rsidRPr="002E2870" w:rsidRDefault="00B92080" w:rsidP="00DB5405">
            <w:pPr>
              <w:rPr>
                <w:rFonts w:ascii="Palatino Linotype" w:hAnsi="Palatino Linotype" w:cs="Arial"/>
                <w:b/>
                <w:bCs/>
                <w:sz w:val="18"/>
                <w:szCs w:val="18"/>
              </w:rPr>
            </w:pPr>
            <w:r w:rsidRPr="002E2870">
              <w:rPr>
                <w:rFonts w:ascii="Palatino Linotype" w:hAnsi="Palatino Linotype" w:cs="Arial"/>
                <w:b/>
                <w:bCs/>
                <w:sz w:val="18"/>
                <w:szCs w:val="18"/>
              </w:rPr>
              <w:t>NCDEX, of which</w:t>
            </w:r>
          </w:p>
        </w:tc>
        <w:tc>
          <w:tcPr>
            <w:tcW w:w="1128" w:type="dxa"/>
            <w:tcBorders>
              <w:top w:val="nil"/>
              <w:left w:val="single" w:sz="4" w:space="0" w:color="auto"/>
              <w:bottom w:val="single" w:sz="4" w:space="0" w:color="auto"/>
              <w:right w:val="single" w:sz="4" w:space="0" w:color="auto"/>
            </w:tcBorders>
            <w:shd w:val="clear" w:color="auto" w:fill="auto"/>
            <w:noWrap/>
          </w:tcPr>
          <w:p w:rsidR="00B92080" w:rsidRPr="002E2870" w:rsidRDefault="00B92080" w:rsidP="00DB5405">
            <w:pPr>
              <w:jc w:val="right"/>
              <w:rPr>
                <w:rFonts w:ascii="Palatino Linotype" w:hAnsi="Palatino Linotype" w:cs="Arial"/>
                <w:b/>
                <w:bCs/>
                <w:sz w:val="18"/>
                <w:szCs w:val="18"/>
              </w:rPr>
            </w:pPr>
            <w:r w:rsidRPr="002E2870">
              <w:rPr>
                <w:rFonts w:ascii="Palatino Linotype" w:hAnsi="Palatino Linotype" w:cs="Arial"/>
                <w:b/>
                <w:bCs/>
                <w:sz w:val="18"/>
                <w:szCs w:val="18"/>
              </w:rPr>
              <w:t>4,42,009</w:t>
            </w:r>
          </w:p>
        </w:tc>
        <w:tc>
          <w:tcPr>
            <w:tcW w:w="1236" w:type="dxa"/>
            <w:tcBorders>
              <w:top w:val="single" w:sz="4" w:space="0" w:color="auto"/>
              <w:left w:val="single" w:sz="4" w:space="0" w:color="auto"/>
              <w:bottom w:val="single" w:sz="4" w:space="0" w:color="auto"/>
              <w:right w:val="single" w:sz="4" w:space="0" w:color="auto"/>
            </w:tcBorders>
          </w:tcPr>
          <w:p w:rsidR="00B92080" w:rsidRPr="002E2870" w:rsidRDefault="00B92080" w:rsidP="00DB5405">
            <w:pPr>
              <w:jc w:val="right"/>
              <w:rPr>
                <w:rFonts w:ascii="Palatino Linotype" w:hAnsi="Palatino Linotype" w:cs="Arial"/>
                <w:b/>
                <w:bCs/>
                <w:sz w:val="18"/>
                <w:szCs w:val="18"/>
              </w:rPr>
            </w:pPr>
            <w:r w:rsidRPr="002E2870">
              <w:rPr>
                <w:rFonts w:ascii="Palatino Linotype" w:hAnsi="Palatino Linotype" w:cs="Arial"/>
                <w:b/>
                <w:bCs/>
                <w:sz w:val="18"/>
                <w:szCs w:val="18"/>
              </w:rPr>
              <w:t>23,930</w:t>
            </w:r>
          </w:p>
        </w:tc>
        <w:tc>
          <w:tcPr>
            <w:tcW w:w="1319" w:type="dxa"/>
            <w:tcBorders>
              <w:top w:val="single" w:sz="4" w:space="0" w:color="auto"/>
              <w:left w:val="single" w:sz="4" w:space="0" w:color="auto"/>
              <w:bottom w:val="single" w:sz="4" w:space="0" w:color="auto"/>
              <w:right w:val="single" w:sz="4" w:space="0" w:color="auto"/>
            </w:tcBorders>
            <w:shd w:val="clear" w:color="auto" w:fill="auto"/>
            <w:noWrap/>
          </w:tcPr>
          <w:p w:rsidR="00B92080" w:rsidRPr="002E2870" w:rsidRDefault="00B92080" w:rsidP="00DB5405">
            <w:pPr>
              <w:jc w:val="right"/>
              <w:rPr>
                <w:rFonts w:ascii="Palatino Linotype" w:hAnsi="Palatino Linotype" w:cs="Arial"/>
                <w:b/>
                <w:bCs/>
                <w:sz w:val="18"/>
                <w:szCs w:val="18"/>
              </w:rPr>
            </w:pPr>
            <w:r w:rsidRPr="002E2870">
              <w:rPr>
                <w:rFonts w:ascii="Palatino Linotype" w:hAnsi="Palatino Linotype" w:cs="Arial"/>
                <w:b/>
                <w:bCs/>
                <w:sz w:val="18"/>
                <w:szCs w:val="18"/>
              </w:rPr>
              <w:t>28,599</w:t>
            </w:r>
          </w:p>
        </w:tc>
        <w:tc>
          <w:tcPr>
            <w:tcW w:w="1830" w:type="dxa"/>
            <w:tcBorders>
              <w:top w:val="nil"/>
              <w:left w:val="nil"/>
              <w:bottom w:val="single" w:sz="4" w:space="0" w:color="auto"/>
              <w:right w:val="single" w:sz="4" w:space="0" w:color="auto"/>
            </w:tcBorders>
            <w:shd w:val="clear" w:color="auto" w:fill="auto"/>
            <w:noWrap/>
          </w:tcPr>
          <w:p w:rsidR="00B92080" w:rsidRPr="002E2870" w:rsidRDefault="00B92080" w:rsidP="00DB5405">
            <w:pPr>
              <w:jc w:val="right"/>
              <w:rPr>
                <w:rFonts w:ascii="Palatino Linotype" w:hAnsi="Palatino Linotype" w:cs="Arial"/>
                <w:b/>
                <w:bCs/>
                <w:sz w:val="18"/>
                <w:szCs w:val="18"/>
              </w:rPr>
            </w:pPr>
            <w:r w:rsidRPr="002E2870">
              <w:rPr>
                <w:rFonts w:ascii="Palatino Linotype" w:hAnsi="Palatino Linotype" w:cs="Arial"/>
                <w:b/>
                <w:bCs/>
                <w:sz w:val="18"/>
                <w:szCs w:val="18"/>
              </w:rPr>
              <w:t>19.5</w:t>
            </w:r>
          </w:p>
        </w:tc>
      </w:tr>
      <w:tr w:rsidR="00B92080" w:rsidRPr="002E2870" w:rsidTr="00DB5405">
        <w:trPr>
          <w:trHeight w:val="310"/>
          <w:jc w:val="center"/>
        </w:trPr>
        <w:tc>
          <w:tcPr>
            <w:tcW w:w="3271" w:type="dxa"/>
            <w:tcBorders>
              <w:top w:val="nil"/>
              <w:left w:val="single" w:sz="4" w:space="0" w:color="auto"/>
              <w:bottom w:val="single" w:sz="4" w:space="0" w:color="auto"/>
              <w:right w:val="nil"/>
            </w:tcBorders>
            <w:shd w:val="clear" w:color="auto" w:fill="auto"/>
            <w:noWrap/>
          </w:tcPr>
          <w:p w:rsidR="00B92080" w:rsidRPr="002E2870" w:rsidRDefault="00B92080" w:rsidP="00DB5405">
            <w:pPr>
              <w:rPr>
                <w:rFonts w:ascii="Palatino Linotype" w:hAnsi="Palatino Linotype" w:cs="Arial"/>
                <w:bCs/>
                <w:i/>
                <w:sz w:val="18"/>
                <w:szCs w:val="18"/>
              </w:rPr>
            </w:pPr>
            <w:r w:rsidRPr="002E2870">
              <w:rPr>
                <w:rFonts w:ascii="Palatino Linotype" w:hAnsi="Palatino Linotype" w:cs="Arial"/>
                <w:bCs/>
                <w:i/>
                <w:sz w:val="18"/>
                <w:szCs w:val="18"/>
              </w:rPr>
              <w:t xml:space="preserve">            Futures</w:t>
            </w:r>
          </w:p>
        </w:tc>
        <w:tc>
          <w:tcPr>
            <w:tcW w:w="1128" w:type="dxa"/>
            <w:tcBorders>
              <w:top w:val="nil"/>
              <w:left w:val="single" w:sz="4" w:space="0" w:color="auto"/>
              <w:bottom w:val="single" w:sz="4" w:space="0" w:color="auto"/>
              <w:right w:val="single" w:sz="4" w:space="0" w:color="auto"/>
            </w:tcBorders>
            <w:shd w:val="clear" w:color="auto" w:fill="auto"/>
            <w:noWrap/>
          </w:tcPr>
          <w:p w:rsidR="00B92080" w:rsidRPr="002E2870" w:rsidRDefault="00B92080" w:rsidP="00DB5405">
            <w:pPr>
              <w:jc w:val="right"/>
              <w:rPr>
                <w:rFonts w:ascii="Palatino Linotype" w:hAnsi="Palatino Linotype" w:cs="Arial"/>
                <w:bCs/>
                <w:sz w:val="18"/>
                <w:szCs w:val="18"/>
              </w:rPr>
            </w:pPr>
            <w:r w:rsidRPr="002E2870">
              <w:rPr>
                <w:rFonts w:ascii="Palatino Linotype" w:hAnsi="Palatino Linotype" w:cs="Arial"/>
                <w:bCs/>
                <w:sz w:val="18"/>
                <w:szCs w:val="18"/>
              </w:rPr>
              <w:t xml:space="preserve"> 4,41,967</w:t>
            </w:r>
          </w:p>
        </w:tc>
        <w:tc>
          <w:tcPr>
            <w:tcW w:w="1236" w:type="dxa"/>
            <w:tcBorders>
              <w:top w:val="single" w:sz="4" w:space="0" w:color="auto"/>
              <w:left w:val="single" w:sz="4" w:space="0" w:color="auto"/>
              <w:bottom w:val="single" w:sz="4" w:space="0" w:color="auto"/>
              <w:right w:val="single" w:sz="4" w:space="0" w:color="auto"/>
            </w:tcBorders>
          </w:tcPr>
          <w:p w:rsidR="00B92080" w:rsidRPr="002E2870" w:rsidRDefault="00B92080" w:rsidP="00DB5405">
            <w:pPr>
              <w:jc w:val="right"/>
              <w:rPr>
                <w:rFonts w:ascii="Palatino Linotype" w:hAnsi="Palatino Linotype" w:cs="Arial"/>
                <w:bCs/>
                <w:sz w:val="18"/>
                <w:szCs w:val="18"/>
              </w:rPr>
            </w:pPr>
            <w:r w:rsidRPr="002E2870">
              <w:rPr>
                <w:rFonts w:ascii="Palatino Linotype" w:hAnsi="Palatino Linotype" w:cs="Arial"/>
                <w:bCs/>
                <w:sz w:val="18"/>
                <w:szCs w:val="18"/>
              </w:rPr>
              <w:t>23,930</w:t>
            </w:r>
          </w:p>
        </w:tc>
        <w:tc>
          <w:tcPr>
            <w:tcW w:w="1319" w:type="dxa"/>
            <w:tcBorders>
              <w:top w:val="single" w:sz="4" w:space="0" w:color="auto"/>
              <w:left w:val="single" w:sz="4" w:space="0" w:color="auto"/>
              <w:bottom w:val="single" w:sz="4" w:space="0" w:color="auto"/>
              <w:right w:val="single" w:sz="4" w:space="0" w:color="auto"/>
            </w:tcBorders>
            <w:shd w:val="clear" w:color="auto" w:fill="auto"/>
            <w:noWrap/>
          </w:tcPr>
          <w:p w:rsidR="00B92080" w:rsidRPr="002E2870" w:rsidRDefault="00B92080" w:rsidP="00DB5405">
            <w:pPr>
              <w:jc w:val="right"/>
              <w:rPr>
                <w:rFonts w:ascii="Palatino Linotype" w:hAnsi="Palatino Linotype" w:cs="Arial"/>
                <w:bCs/>
                <w:sz w:val="18"/>
                <w:szCs w:val="18"/>
              </w:rPr>
            </w:pPr>
            <w:r w:rsidRPr="002E2870">
              <w:rPr>
                <w:rFonts w:ascii="Palatino Linotype" w:hAnsi="Palatino Linotype" w:cs="Arial"/>
                <w:bCs/>
                <w:sz w:val="18"/>
                <w:szCs w:val="18"/>
              </w:rPr>
              <w:t>28,598</w:t>
            </w:r>
          </w:p>
        </w:tc>
        <w:tc>
          <w:tcPr>
            <w:tcW w:w="1830" w:type="dxa"/>
            <w:tcBorders>
              <w:top w:val="nil"/>
              <w:left w:val="nil"/>
              <w:bottom w:val="single" w:sz="4" w:space="0" w:color="auto"/>
              <w:right w:val="single" w:sz="4" w:space="0" w:color="auto"/>
            </w:tcBorders>
            <w:shd w:val="clear" w:color="auto" w:fill="auto"/>
            <w:noWrap/>
          </w:tcPr>
          <w:p w:rsidR="00B92080" w:rsidRPr="002E2870" w:rsidRDefault="00B92080" w:rsidP="00DB5405">
            <w:pPr>
              <w:jc w:val="right"/>
              <w:rPr>
                <w:rFonts w:ascii="Palatino Linotype" w:hAnsi="Palatino Linotype" w:cs="Arial"/>
                <w:bCs/>
                <w:sz w:val="18"/>
                <w:szCs w:val="18"/>
              </w:rPr>
            </w:pPr>
            <w:r w:rsidRPr="002E2870">
              <w:rPr>
                <w:rFonts w:ascii="Palatino Linotype" w:hAnsi="Palatino Linotype" w:cs="Arial"/>
                <w:bCs/>
                <w:sz w:val="18"/>
                <w:szCs w:val="18"/>
              </w:rPr>
              <w:t>19.5</w:t>
            </w:r>
          </w:p>
        </w:tc>
      </w:tr>
      <w:tr w:rsidR="00B92080" w:rsidRPr="002E2870" w:rsidTr="00DB5405">
        <w:trPr>
          <w:trHeight w:val="308"/>
          <w:jc w:val="center"/>
        </w:trPr>
        <w:tc>
          <w:tcPr>
            <w:tcW w:w="3271" w:type="dxa"/>
            <w:tcBorders>
              <w:top w:val="nil"/>
              <w:left w:val="single" w:sz="4" w:space="0" w:color="auto"/>
              <w:bottom w:val="single" w:sz="4" w:space="0" w:color="auto"/>
              <w:right w:val="nil"/>
            </w:tcBorders>
            <w:shd w:val="clear" w:color="auto" w:fill="auto"/>
            <w:noWrap/>
          </w:tcPr>
          <w:p w:rsidR="00B92080" w:rsidRPr="002E2870" w:rsidRDefault="00B92080" w:rsidP="00DB5405">
            <w:pPr>
              <w:rPr>
                <w:rFonts w:ascii="Palatino Linotype" w:hAnsi="Palatino Linotype" w:cs="Arial"/>
                <w:bCs/>
                <w:i/>
                <w:sz w:val="18"/>
                <w:szCs w:val="18"/>
              </w:rPr>
            </w:pPr>
            <w:r w:rsidRPr="002E2870">
              <w:rPr>
                <w:rFonts w:ascii="Palatino Linotype" w:hAnsi="Palatino Linotype" w:cs="Arial"/>
                <w:bCs/>
                <w:i/>
                <w:sz w:val="18"/>
                <w:szCs w:val="18"/>
              </w:rPr>
              <w:t xml:space="preserve">          Options</w:t>
            </w:r>
          </w:p>
        </w:tc>
        <w:tc>
          <w:tcPr>
            <w:tcW w:w="1128" w:type="dxa"/>
            <w:tcBorders>
              <w:top w:val="nil"/>
              <w:left w:val="single" w:sz="4" w:space="0" w:color="auto"/>
              <w:bottom w:val="single" w:sz="4" w:space="0" w:color="auto"/>
              <w:right w:val="single" w:sz="4" w:space="0" w:color="auto"/>
            </w:tcBorders>
            <w:shd w:val="clear" w:color="auto" w:fill="auto"/>
            <w:noWrap/>
          </w:tcPr>
          <w:p w:rsidR="00B92080" w:rsidRPr="002E2870" w:rsidRDefault="00B92080" w:rsidP="00DB5405">
            <w:pPr>
              <w:jc w:val="right"/>
              <w:rPr>
                <w:rFonts w:ascii="Palatino Linotype" w:hAnsi="Palatino Linotype" w:cs="Arial"/>
                <w:bCs/>
                <w:sz w:val="18"/>
                <w:szCs w:val="18"/>
              </w:rPr>
            </w:pPr>
            <w:r w:rsidRPr="002E2870">
              <w:rPr>
                <w:rFonts w:ascii="Palatino Linotype" w:hAnsi="Palatino Linotype" w:cs="Arial"/>
                <w:bCs/>
                <w:sz w:val="18"/>
                <w:szCs w:val="18"/>
              </w:rPr>
              <w:t xml:space="preserve">            42.2 </w:t>
            </w:r>
          </w:p>
        </w:tc>
        <w:tc>
          <w:tcPr>
            <w:tcW w:w="1236" w:type="dxa"/>
            <w:tcBorders>
              <w:top w:val="single" w:sz="4" w:space="0" w:color="auto"/>
              <w:left w:val="single" w:sz="4" w:space="0" w:color="auto"/>
              <w:bottom w:val="single" w:sz="4" w:space="0" w:color="auto"/>
              <w:right w:val="single" w:sz="4" w:space="0" w:color="auto"/>
            </w:tcBorders>
          </w:tcPr>
          <w:p w:rsidR="00B92080" w:rsidRPr="002E2870" w:rsidRDefault="00B92080" w:rsidP="00DB5405">
            <w:pPr>
              <w:jc w:val="right"/>
              <w:rPr>
                <w:rFonts w:ascii="Palatino Linotype" w:hAnsi="Palatino Linotype" w:cs="Arial"/>
                <w:bCs/>
                <w:sz w:val="18"/>
                <w:szCs w:val="18"/>
              </w:rPr>
            </w:pPr>
            <w:r w:rsidRPr="002E2870">
              <w:rPr>
                <w:rFonts w:ascii="Palatino Linotype" w:hAnsi="Palatino Linotype" w:cs="Arial"/>
                <w:bCs/>
                <w:sz w:val="18"/>
                <w:szCs w:val="18"/>
              </w:rPr>
              <w:t xml:space="preserve">     </w:t>
            </w:r>
            <w:r w:rsidRPr="002E2870">
              <w:rPr>
                <w:rFonts w:ascii="Palatino Linotype" w:hAnsi="Palatino Linotype" w:cs="Arial"/>
                <w:bCs/>
                <w:sz w:val="18"/>
                <w:szCs w:val="18"/>
              </w:rPr>
              <w:tab/>
              <w:t>0.0</w:t>
            </w:r>
          </w:p>
        </w:tc>
        <w:tc>
          <w:tcPr>
            <w:tcW w:w="1319" w:type="dxa"/>
            <w:tcBorders>
              <w:top w:val="single" w:sz="4" w:space="0" w:color="auto"/>
              <w:left w:val="single" w:sz="4" w:space="0" w:color="auto"/>
              <w:bottom w:val="single" w:sz="4" w:space="0" w:color="auto"/>
              <w:right w:val="single" w:sz="4" w:space="0" w:color="auto"/>
            </w:tcBorders>
            <w:shd w:val="clear" w:color="auto" w:fill="auto"/>
            <w:noWrap/>
          </w:tcPr>
          <w:p w:rsidR="00B92080" w:rsidRPr="002E2870" w:rsidRDefault="00B92080" w:rsidP="00DB5405">
            <w:pPr>
              <w:tabs>
                <w:tab w:val="left" w:pos="252"/>
                <w:tab w:val="center" w:pos="551"/>
              </w:tabs>
              <w:rPr>
                <w:rFonts w:ascii="Palatino Linotype" w:hAnsi="Palatino Linotype" w:cs="Arial"/>
                <w:bCs/>
                <w:sz w:val="18"/>
                <w:szCs w:val="18"/>
              </w:rPr>
            </w:pPr>
            <w:r w:rsidRPr="002E2870">
              <w:rPr>
                <w:rFonts w:ascii="Palatino Linotype" w:hAnsi="Palatino Linotype" w:cs="Arial"/>
                <w:bCs/>
                <w:sz w:val="18"/>
                <w:szCs w:val="18"/>
              </w:rPr>
              <w:tab/>
              <w:t xml:space="preserve">       </w:t>
            </w:r>
            <w:r w:rsidRPr="002E2870">
              <w:rPr>
                <w:rFonts w:ascii="Palatino Linotype" w:hAnsi="Palatino Linotype" w:cs="Arial"/>
                <w:bCs/>
                <w:sz w:val="18"/>
                <w:szCs w:val="18"/>
              </w:rPr>
              <w:tab/>
              <w:t xml:space="preserve">   1.1</w:t>
            </w:r>
          </w:p>
        </w:tc>
        <w:tc>
          <w:tcPr>
            <w:tcW w:w="1830" w:type="dxa"/>
            <w:tcBorders>
              <w:top w:val="nil"/>
              <w:left w:val="nil"/>
              <w:bottom w:val="single" w:sz="4" w:space="0" w:color="auto"/>
              <w:right w:val="single" w:sz="4" w:space="0" w:color="auto"/>
            </w:tcBorders>
            <w:shd w:val="clear" w:color="auto" w:fill="auto"/>
            <w:noWrap/>
          </w:tcPr>
          <w:p w:rsidR="00B92080" w:rsidRPr="002E2870" w:rsidRDefault="00B92080" w:rsidP="00DB5405">
            <w:pPr>
              <w:jc w:val="right"/>
              <w:rPr>
                <w:rFonts w:ascii="Palatino Linotype" w:hAnsi="Palatino Linotype" w:cs="Arial"/>
                <w:bCs/>
                <w:sz w:val="18"/>
                <w:szCs w:val="18"/>
              </w:rPr>
            </w:pPr>
            <w:r w:rsidRPr="002E2870">
              <w:rPr>
                <w:rFonts w:ascii="Palatino Linotype" w:hAnsi="Palatino Linotype" w:cs="Arial"/>
                <w:bCs/>
                <w:sz w:val="18"/>
                <w:szCs w:val="18"/>
              </w:rPr>
              <w:t>-</w:t>
            </w:r>
          </w:p>
        </w:tc>
      </w:tr>
      <w:tr w:rsidR="00B92080" w:rsidRPr="002E2870" w:rsidTr="00DB5405">
        <w:trPr>
          <w:trHeight w:val="224"/>
          <w:jc w:val="center"/>
        </w:trPr>
        <w:tc>
          <w:tcPr>
            <w:tcW w:w="3271" w:type="dxa"/>
            <w:tcBorders>
              <w:top w:val="nil"/>
              <w:left w:val="single" w:sz="4" w:space="0" w:color="auto"/>
              <w:bottom w:val="single" w:sz="4" w:space="0" w:color="auto"/>
              <w:right w:val="single" w:sz="4" w:space="0" w:color="auto"/>
            </w:tcBorders>
            <w:shd w:val="clear" w:color="auto" w:fill="auto"/>
            <w:hideMark/>
          </w:tcPr>
          <w:p w:rsidR="00B92080" w:rsidRPr="002E2870" w:rsidRDefault="00B92080" w:rsidP="00DB5405">
            <w:pPr>
              <w:rPr>
                <w:rFonts w:ascii="Palatino Linotype" w:hAnsi="Palatino Linotype" w:cs="Arial"/>
                <w:b/>
                <w:bCs/>
                <w:sz w:val="18"/>
                <w:szCs w:val="18"/>
              </w:rPr>
            </w:pPr>
            <w:r w:rsidRPr="002E2870">
              <w:rPr>
                <w:rFonts w:ascii="Palatino Linotype" w:hAnsi="Palatino Linotype" w:cs="Arial"/>
                <w:b/>
                <w:bCs/>
                <w:sz w:val="18"/>
                <w:szCs w:val="18"/>
              </w:rPr>
              <w:t>ICEX (Futures)</w:t>
            </w:r>
          </w:p>
        </w:tc>
        <w:tc>
          <w:tcPr>
            <w:tcW w:w="1128" w:type="dxa"/>
            <w:tcBorders>
              <w:top w:val="nil"/>
              <w:left w:val="nil"/>
              <w:bottom w:val="single" w:sz="4" w:space="0" w:color="auto"/>
              <w:right w:val="single" w:sz="4" w:space="0" w:color="auto"/>
            </w:tcBorders>
            <w:shd w:val="clear" w:color="auto" w:fill="auto"/>
            <w:noWrap/>
            <w:hideMark/>
          </w:tcPr>
          <w:p w:rsidR="00B92080" w:rsidRPr="002E2870" w:rsidRDefault="00B92080" w:rsidP="00DB5405">
            <w:pPr>
              <w:jc w:val="right"/>
              <w:rPr>
                <w:rFonts w:ascii="Palatino Linotype" w:hAnsi="Palatino Linotype" w:cs="Arial"/>
                <w:b/>
                <w:bCs/>
                <w:sz w:val="18"/>
                <w:szCs w:val="18"/>
              </w:rPr>
            </w:pPr>
            <w:r w:rsidRPr="002E2870">
              <w:rPr>
                <w:rFonts w:ascii="Palatino Linotype" w:hAnsi="Palatino Linotype" w:cs="Arial"/>
                <w:b/>
                <w:bCs/>
                <w:sz w:val="18"/>
                <w:szCs w:val="18"/>
              </w:rPr>
              <w:t xml:space="preserve">40,511 </w:t>
            </w:r>
          </w:p>
        </w:tc>
        <w:tc>
          <w:tcPr>
            <w:tcW w:w="1236" w:type="dxa"/>
            <w:tcBorders>
              <w:top w:val="single" w:sz="4" w:space="0" w:color="auto"/>
              <w:left w:val="single" w:sz="4" w:space="0" w:color="auto"/>
              <w:bottom w:val="single" w:sz="4" w:space="0" w:color="auto"/>
              <w:right w:val="single" w:sz="4" w:space="0" w:color="auto"/>
            </w:tcBorders>
          </w:tcPr>
          <w:p w:rsidR="00B92080" w:rsidRPr="002E2870" w:rsidRDefault="00B92080" w:rsidP="00DB5405">
            <w:pPr>
              <w:jc w:val="right"/>
              <w:rPr>
                <w:rFonts w:ascii="Palatino Linotype" w:hAnsi="Palatino Linotype" w:cs="Arial"/>
                <w:b/>
                <w:bCs/>
                <w:sz w:val="18"/>
                <w:szCs w:val="18"/>
              </w:rPr>
            </w:pPr>
            <w:r w:rsidRPr="002E2870">
              <w:rPr>
                <w:rFonts w:ascii="Palatino Linotype" w:hAnsi="Palatino Linotype" w:cs="Arial"/>
                <w:b/>
                <w:bCs/>
                <w:sz w:val="18"/>
                <w:szCs w:val="18"/>
              </w:rPr>
              <w:t>2.3</w:t>
            </w:r>
          </w:p>
        </w:tc>
        <w:tc>
          <w:tcPr>
            <w:tcW w:w="1319" w:type="dxa"/>
            <w:tcBorders>
              <w:top w:val="single" w:sz="4" w:space="0" w:color="auto"/>
              <w:left w:val="single" w:sz="4" w:space="0" w:color="auto"/>
              <w:bottom w:val="single" w:sz="4" w:space="0" w:color="auto"/>
              <w:right w:val="single" w:sz="4" w:space="0" w:color="auto"/>
            </w:tcBorders>
            <w:shd w:val="clear" w:color="auto" w:fill="auto"/>
            <w:noWrap/>
          </w:tcPr>
          <w:p w:rsidR="00B92080" w:rsidRPr="002E2870" w:rsidRDefault="00B92080" w:rsidP="00DB5405">
            <w:pPr>
              <w:jc w:val="right"/>
              <w:rPr>
                <w:rFonts w:ascii="Palatino Linotype" w:hAnsi="Palatino Linotype" w:cs="Arial"/>
                <w:b/>
                <w:bCs/>
                <w:sz w:val="18"/>
                <w:szCs w:val="18"/>
              </w:rPr>
            </w:pPr>
            <w:r w:rsidRPr="002E2870">
              <w:rPr>
                <w:rFonts w:ascii="Palatino Linotype" w:hAnsi="Palatino Linotype" w:cs="Arial"/>
                <w:b/>
                <w:bCs/>
                <w:sz w:val="18"/>
                <w:szCs w:val="18"/>
              </w:rPr>
              <w:t>0.2</w:t>
            </w:r>
          </w:p>
        </w:tc>
        <w:tc>
          <w:tcPr>
            <w:tcW w:w="1830" w:type="dxa"/>
            <w:tcBorders>
              <w:top w:val="nil"/>
              <w:left w:val="nil"/>
              <w:bottom w:val="single" w:sz="4" w:space="0" w:color="auto"/>
              <w:right w:val="single" w:sz="4" w:space="0" w:color="auto"/>
            </w:tcBorders>
            <w:shd w:val="clear" w:color="auto" w:fill="auto"/>
            <w:noWrap/>
          </w:tcPr>
          <w:p w:rsidR="00B92080" w:rsidRPr="002E2870" w:rsidRDefault="00B92080" w:rsidP="00DB5405">
            <w:pPr>
              <w:jc w:val="right"/>
              <w:rPr>
                <w:rFonts w:ascii="Palatino Linotype" w:hAnsi="Palatino Linotype" w:cs="Arial"/>
                <w:b/>
                <w:bCs/>
                <w:sz w:val="18"/>
                <w:szCs w:val="18"/>
              </w:rPr>
            </w:pPr>
            <w:r w:rsidRPr="002E2870">
              <w:rPr>
                <w:rFonts w:ascii="Palatino Linotype" w:hAnsi="Palatino Linotype" w:cs="Arial"/>
                <w:b/>
                <w:bCs/>
                <w:sz w:val="18"/>
                <w:szCs w:val="18"/>
              </w:rPr>
              <w:t>-93.2</w:t>
            </w:r>
          </w:p>
        </w:tc>
      </w:tr>
      <w:tr w:rsidR="00B92080" w:rsidRPr="002E2870" w:rsidTr="00DB5405">
        <w:trPr>
          <w:trHeight w:val="224"/>
          <w:jc w:val="center"/>
        </w:trPr>
        <w:tc>
          <w:tcPr>
            <w:tcW w:w="3271" w:type="dxa"/>
            <w:tcBorders>
              <w:top w:val="nil"/>
              <w:left w:val="single" w:sz="4" w:space="0" w:color="auto"/>
              <w:bottom w:val="single" w:sz="4" w:space="0" w:color="auto"/>
              <w:right w:val="single" w:sz="4" w:space="0" w:color="auto"/>
            </w:tcBorders>
            <w:shd w:val="clear" w:color="auto" w:fill="auto"/>
            <w:hideMark/>
          </w:tcPr>
          <w:p w:rsidR="00B92080" w:rsidRPr="002E2870" w:rsidRDefault="00B92080" w:rsidP="00DB5405">
            <w:pPr>
              <w:rPr>
                <w:rFonts w:ascii="Palatino Linotype" w:hAnsi="Palatino Linotype" w:cs="Arial"/>
                <w:b/>
                <w:bCs/>
                <w:sz w:val="18"/>
                <w:szCs w:val="18"/>
              </w:rPr>
            </w:pPr>
            <w:r w:rsidRPr="002E2870">
              <w:rPr>
                <w:rFonts w:ascii="Palatino Linotype" w:hAnsi="Palatino Linotype" w:cs="Arial"/>
                <w:b/>
                <w:bCs/>
                <w:sz w:val="18"/>
                <w:szCs w:val="18"/>
              </w:rPr>
              <w:t>BSE, of which</w:t>
            </w:r>
          </w:p>
        </w:tc>
        <w:tc>
          <w:tcPr>
            <w:tcW w:w="1128" w:type="dxa"/>
            <w:tcBorders>
              <w:top w:val="nil"/>
              <w:left w:val="nil"/>
              <w:bottom w:val="single" w:sz="4" w:space="0" w:color="auto"/>
              <w:right w:val="single" w:sz="4" w:space="0" w:color="auto"/>
            </w:tcBorders>
            <w:shd w:val="clear" w:color="auto" w:fill="auto"/>
            <w:noWrap/>
            <w:hideMark/>
          </w:tcPr>
          <w:p w:rsidR="00B92080" w:rsidRPr="002E2870" w:rsidRDefault="00B92080" w:rsidP="00DB5405">
            <w:pPr>
              <w:jc w:val="right"/>
              <w:rPr>
                <w:rFonts w:ascii="Palatino Linotype" w:hAnsi="Palatino Linotype" w:cs="Arial"/>
                <w:b/>
                <w:bCs/>
                <w:sz w:val="18"/>
                <w:szCs w:val="18"/>
              </w:rPr>
            </w:pPr>
            <w:r w:rsidRPr="002E2870">
              <w:rPr>
                <w:rFonts w:ascii="Palatino Linotype" w:hAnsi="Palatino Linotype" w:cs="Arial"/>
                <w:b/>
                <w:bCs/>
                <w:sz w:val="18"/>
                <w:szCs w:val="18"/>
              </w:rPr>
              <w:t xml:space="preserve">46,439     </w:t>
            </w:r>
          </w:p>
        </w:tc>
        <w:tc>
          <w:tcPr>
            <w:tcW w:w="1236" w:type="dxa"/>
            <w:tcBorders>
              <w:top w:val="single" w:sz="4" w:space="0" w:color="auto"/>
              <w:left w:val="single" w:sz="4" w:space="0" w:color="auto"/>
              <w:bottom w:val="single" w:sz="4" w:space="0" w:color="auto"/>
              <w:right w:val="single" w:sz="4" w:space="0" w:color="auto"/>
            </w:tcBorders>
          </w:tcPr>
          <w:p w:rsidR="00B92080" w:rsidRPr="002E2870" w:rsidRDefault="00B92080" w:rsidP="00DB5405">
            <w:pPr>
              <w:jc w:val="right"/>
              <w:rPr>
                <w:rFonts w:ascii="Palatino Linotype" w:hAnsi="Palatino Linotype" w:cs="Arial"/>
                <w:b/>
                <w:bCs/>
                <w:sz w:val="18"/>
                <w:szCs w:val="18"/>
              </w:rPr>
            </w:pPr>
            <w:r w:rsidRPr="002E2870">
              <w:rPr>
                <w:rFonts w:ascii="Palatino Linotype" w:hAnsi="Palatino Linotype" w:cs="Arial"/>
                <w:b/>
                <w:bCs/>
                <w:sz w:val="18"/>
                <w:szCs w:val="18"/>
              </w:rPr>
              <w:t>71,825</w:t>
            </w:r>
          </w:p>
        </w:tc>
        <w:tc>
          <w:tcPr>
            <w:tcW w:w="1319" w:type="dxa"/>
            <w:tcBorders>
              <w:top w:val="single" w:sz="4" w:space="0" w:color="auto"/>
              <w:left w:val="single" w:sz="4" w:space="0" w:color="auto"/>
              <w:bottom w:val="single" w:sz="4" w:space="0" w:color="auto"/>
              <w:right w:val="single" w:sz="4" w:space="0" w:color="auto"/>
            </w:tcBorders>
            <w:shd w:val="clear" w:color="auto" w:fill="auto"/>
            <w:noWrap/>
          </w:tcPr>
          <w:p w:rsidR="00B92080" w:rsidRPr="002E2870" w:rsidRDefault="00B92080" w:rsidP="00DB5405">
            <w:pPr>
              <w:jc w:val="right"/>
              <w:rPr>
                <w:rFonts w:ascii="Palatino Linotype" w:hAnsi="Palatino Linotype" w:cs="Arial"/>
                <w:b/>
                <w:bCs/>
                <w:sz w:val="18"/>
                <w:szCs w:val="18"/>
              </w:rPr>
            </w:pPr>
            <w:r w:rsidRPr="002E2870">
              <w:rPr>
                <w:rFonts w:ascii="Palatino Linotype" w:hAnsi="Palatino Linotype" w:cs="Arial"/>
                <w:b/>
                <w:bCs/>
                <w:sz w:val="18"/>
                <w:szCs w:val="18"/>
              </w:rPr>
              <w:t>58,517</w:t>
            </w:r>
          </w:p>
        </w:tc>
        <w:tc>
          <w:tcPr>
            <w:tcW w:w="1830" w:type="dxa"/>
            <w:tcBorders>
              <w:top w:val="nil"/>
              <w:left w:val="nil"/>
              <w:bottom w:val="single" w:sz="4" w:space="0" w:color="auto"/>
              <w:right w:val="single" w:sz="4" w:space="0" w:color="auto"/>
            </w:tcBorders>
            <w:shd w:val="clear" w:color="auto" w:fill="auto"/>
            <w:noWrap/>
          </w:tcPr>
          <w:p w:rsidR="00B92080" w:rsidRPr="002E2870" w:rsidRDefault="00B92080" w:rsidP="00DB5405">
            <w:pPr>
              <w:jc w:val="right"/>
              <w:rPr>
                <w:rFonts w:ascii="Palatino Linotype" w:hAnsi="Palatino Linotype" w:cs="Arial"/>
                <w:b/>
                <w:bCs/>
                <w:sz w:val="18"/>
                <w:szCs w:val="18"/>
              </w:rPr>
            </w:pPr>
            <w:r w:rsidRPr="002E2870">
              <w:rPr>
                <w:rFonts w:ascii="Palatino Linotype" w:hAnsi="Palatino Linotype" w:cs="Arial"/>
                <w:b/>
                <w:bCs/>
                <w:sz w:val="18"/>
                <w:szCs w:val="18"/>
              </w:rPr>
              <w:t>-18.5</w:t>
            </w:r>
          </w:p>
        </w:tc>
      </w:tr>
      <w:tr w:rsidR="00B92080" w:rsidRPr="002E2870" w:rsidTr="00DB5405">
        <w:trPr>
          <w:trHeight w:val="224"/>
          <w:jc w:val="center"/>
        </w:trPr>
        <w:tc>
          <w:tcPr>
            <w:tcW w:w="3271" w:type="dxa"/>
            <w:tcBorders>
              <w:top w:val="nil"/>
              <w:left w:val="single" w:sz="4" w:space="0" w:color="auto"/>
              <w:bottom w:val="single" w:sz="4" w:space="0" w:color="auto"/>
              <w:right w:val="single" w:sz="4" w:space="0" w:color="auto"/>
            </w:tcBorders>
            <w:shd w:val="clear" w:color="auto" w:fill="auto"/>
          </w:tcPr>
          <w:p w:rsidR="00B92080" w:rsidRPr="002E2870" w:rsidRDefault="00B92080" w:rsidP="00DB5405">
            <w:pPr>
              <w:rPr>
                <w:rFonts w:ascii="Palatino Linotype" w:hAnsi="Palatino Linotype" w:cs="Arial"/>
                <w:b/>
                <w:bCs/>
                <w:sz w:val="18"/>
                <w:szCs w:val="18"/>
              </w:rPr>
            </w:pPr>
            <w:r w:rsidRPr="002E2870">
              <w:rPr>
                <w:rFonts w:ascii="Palatino Linotype" w:hAnsi="Palatino Linotype" w:cs="Arial"/>
                <w:bCs/>
                <w:i/>
                <w:sz w:val="18"/>
                <w:szCs w:val="18"/>
              </w:rPr>
              <w:t xml:space="preserve">             Futures</w:t>
            </w:r>
          </w:p>
        </w:tc>
        <w:tc>
          <w:tcPr>
            <w:tcW w:w="1128" w:type="dxa"/>
            <w:tcBorders>
              <w:top w:val="nil"/>
              <w:left w:val="nil"/>
              <w:bottom w:val="single" w:sz="4" w:space="0" w:color="auto"/>
              <w:right w:val="single" w:sz="4" w:space="0" w:color="auto"/>
            </w:tcBorders>
            <w:shd w:val="clear" w:color="auto" w:fill="auto"/>
            <w:noWrap/>
          </w:tcPr>
          <w:p w:rsidR="00B92080" w:rsidRPr="002E2870" w:rsidRDefault="00B92080" w:rsidP="00DB5405">
            <w:pPr>
              <w:jc w:val="right"/>
              <w:rPr>
                <w:rFonts w:ascii="Palatino Linotype" w:hAnsi="Palatino Linotype" w:cs="Arial"/>
                <w:sz w:val="18"/>
                <w:szCs w:val="18"/>
              </w:rPr>
            </w:pPr>
            <w:r w:rsidRPr="002E2870">
              <w:rPr>
                <w:rFonts w:ascii="Palatino Linotype" w:hAnsi="Palatino Linotype" w:cs="Arial"/>
                <w:sz w:val="18"/>
                <w:szCs w:val="18"/>
              </w:rPr>
              <w:t xml:space="preserve">46,439     </w:t>
            </w:r>
          </w:p>
        </w:tc>
        <w:tc>
          <w:tcPr>
            <w:tcW w:w="1236" w:type="dxa"/>
            <w:tcBorders>
              <w:top w:val="single" w:sz="4" w:space="0" w:color="auto"/>
              <w:left w:val="single" w:sz="4" w:space="0" w:color="auto"/>
              <w:bottom w:val="single" w:sz="4" w:space="0" w:color="auto"/>
              <w:right w:val="single" w:sz="4" w:space="0" w:color="auto"/>
            </w:tcBorders>
          </w:tcPr>
          <w:p w:rsidR="00B92080" w:rsidRPr="002E2870" w:rsidRDefault="00B92080" w:rsidP="00DB5405">
            <w:pPr>
              <w:jc w:val="right"/>
              <w:rPr>
                <w:rFonts w:ascii="Palatino Linotype" w:hAnsi="Palatino Linotype" w:cs="Arial"/>
                <w:sz w:val="18"/>
                <w:szCs w:val="18"/>
              </w:rPr>
            </w:pPr>
            <w:r w:rsidRPr="002E2870">
              <w:rPr>
                <w:rFonts w:ascii="Palatino Linotype" w:hAnsi="Palatino Linotype" w:cs="Arial"/>
                <w:sz w:val="18"/>
                <w:szCs w:val="18"/>
              </w:rPr>
              <w:t>154</w:t>
            </w:r>
          </w:p>
        </w:tc>
        <w:tc>
          <w:tcPr>
            <w:tcW w:w="1319" w:type="dxa"/>
            <w:tcBorders>
              <w:top w:val="single" w:sz="4" w:space="0" w:color="auto"/>
              <w:left w:val="single" w:sz="4" w:space="0" w:color="auto"/>
              <w:bottom w:val="single" w:sz="4" w:space="0" w:color="auto"/>
              <w:right w:val="single" w:sz="4" w:space="0" w:color="auto"/>
            </w:tcBorders>
            <w:shd w:val="clear" w:color="auto" w:fill="auto"/>
            <w:noWrap/>
          </w:tcPr>
          <w:p w:rsidR="00B92080" w:rsidRPr="002E2870" w:rsidRDefault="00B92080" w:rsidP="00DB5405">
            <w:pPr>
              <w:jc w:val="right"/>
              <w:rPr>
                <w:rFonts w:ascii="Palatino Linotype" w:hAnsi="Palatino Linotype" w:cs="Arial"/>
                <w:sz w:val="18"/>
                <w:szCs w:val="18"/>
              </w:rPr>
            </w:pPr>
            <w:r w:rsidRPr="002E2870">
              <w:rPr>
                <w:rFonts w:ascii="Palatino Linotype" w:hAnsi="Palatino Linotype" w:cs="Arial"/>
                <w:sz w:val="18"/>
                <w:szCs w:val="18"/>
              </w:rPr>
              <w:t>185</w:t>
            </w:r>
          </w:p>
        </w:tc>
        <w:tc>
          <w:tcPr>
            <w:tcW w:w="1830" w:type="dxa"/>
            <w:tcBorders>
              <w:top w:val="nil"/>
              <w:left w:val="nil"/>
              <w:bottom w:val="single" w:sz="4" w:space="0" w:color="auto"/>
              <w:right w:val="single" w:sz="4" w:space="0" w:color="auto"/>
            </w:tcBorders>
            <w:shd w:val="clear" w:color="auto" w:fill="auto"/>
            <w:noWrap/>
          </w:tcPr>
          <w:p w:rsidR="00B92080" w:rsidRPr="002E2870" w:rsidRDefault="00B92080" w:rsidP="00DB5405">
            <w:pPr>
              <w:jc w:val="right"/>
              <w:rPr>
                <w:rFonts w:ascii="Palatino Linotype" w:hAnsi="Palatino Linotype" w:cs="Arial"/>
                <w:sz w:val="18"/>
                <w:szCs w:val="18"/>
              </w:rPr>
            </w:pPr>
            <w:r w:rsidRPr="002E2870">
              <w:rPr>
                <w:rFonts w:ascii="Palatino Linotype" w:hAnsi="Palatino Linotype" w:cs="Arial"/>
                <w:sz w:val="18"/>
                <w:szCs w:val="18"/>
              </w:rPr>
              <w:t>20.4</w:t>
            </w:r>
          </w:p>
        </w:tc>
      </w:tr>
      <w:tr w:rsidR="00B92080" w:rsidRPr="002E2870" w:rsidTr="00DB5405">
        <w:trPr>
          <w:trHeight w:val="224"/>
          <w:jc w:val="center"/>
        </w:trPr>
        <w:tc>
          <w:tcPr>
            <w:tcW w:w="3271" w:type="dxa"/>
            <w:tcBorders>
              <w:top w:val="nil"/>
              <w:left w:val="single" w:sz="4" w:space="0" w:color="auto"/>
              <w:bottom w:val="single" w:sz="4" w:space="0" w:color="auto"/>
              <w:right w:val="single" w:sz="4" w:space="0" w:color="auto"/>
            </w:tcBorders>
            <w:shd w:val="clear" w:color="auto" w:fill="auto"/>
          </w:tcPr>
          <w:p w:rsidR="00B92080" w:rsidRPr="002E2870" w:rsidRDefault="00B92080" w:rsidP="00DB5405">
            <w:pPr>
              <w:rPr>
                <w:rFonts w:ascii="Palatino Linotype" w:hAnsi="Palatino Linotype" w:cs="Arial"/>
                <w:b/>
                <w:bCs/>
                <w:sz w:val="18"/>
                <w:szCs w:val="18"/>
              </w:rPr>
            </w:pPr>
            <w:r w:rsidRPr="002E2870">
              <w:rPr>
                <w:rFonts w:ascii="Palatino Linotype" w:hAnsi="Palatino Linotype" w:cs="Arial"/>
                <w:bCs/>
                <w:i/>
                <w:sz w:val="18"/>
                <w:szCs w:val="18"/>
              </w:rPr>
              <w:t xml:space="preserve">            Options</w:t>
            </w:r>
          </w:p>
        </w:tc>
        <w:tc>
          <w:tcPr>
            <w:tcW w:w="1128" w:type="dxa"/>
            <w:tcBorders>
              <w:top w:val="nil"/>
              <w:left w:val="nil"/>
              <w:bottom w:val="single" w:sz="4" w:space="0" w:color="auto"/>
              <w:right w:val="single" w:sz="4" w:space="0" w:color="auto"/>
            </w:tcBorders>
            <w:shd w:val="clear" w:color="auto" w:fill="auto"/>
            <w:noWrap/>
          </w:tcPr>
          <w:p w:rsidR="00B92080" w:rsidRPr="002E2870" w:rsidRDefault="00B92080" w:rsidP="00DB5405">
            <w:pPr>
              <w:jc w:val="right"/>
              <w:rPr>
                <w:rFonts w:ascii="Palatino Linotype" w:hAnsi="Palatino Linotype" w:cs="Arial"/>
                <w:b/>
                <w:bCs/>
                <w:sz w:val="18"/>
                <w:szCs w:val="18"/>
              </w:rPr>
            </w:pPr>
            <w:r w:rsidRPr="002E2870">
              <w:rPr>
                <w:rFonts w:ascii="Palatino Linotype" w:hAnsi="Palatino Linotype" w:cs="Arial"/>
                <w:b/>
                <w:bCs/>
                <w:sz w:val="18"/>
                <w:szCs w:val="18"/>
              </w:rPr>
              <w:t>-</w:t>
            </w:r>
          </w:p>
        </w:tc>
        <w:tc>
          <w:tcPr>
            <w:tcW w:w="1236" w:type="dxa"/>
            <w:tcBorders>
              <w:top w:val="single" w:sz="4" w:space="0" w:color="auto"/>
              <w:left w:val="single" w:sz="4" w:space="0" w:color="auto"/>
              <w:bottom w:val="single" w:sz="4" w:space="0" w:color="auto"/>
              <w:right w:val="single" w:sz="4" w:space="0" w:color="auto"/>
            </w:tcBorders>
          </w:tcPr>
          <w:p w:rsidR="00B92080" w:rsidRPr="002E2870" w:rsidRDefault="00B92080" w:rsidP="00DB5405">
            <w:pPr>
              <w:jc w:val="right"/>
              <w:rPr>
                <w:rFonts w:ascii="Palatino Linotype" w:hAnsi="Palatino Linotype" w:cs="Arial"/>
                <w:sz w:val="18"/>
                <w:szCs w:val="18"/>
              </w:rPr>
            </w:pPr>
            <w:r w:rsidRPr="002E2870">
              <w:rPr>
                <w:rFonts w:ascii="Palatino Linotype" w:hAnsi="Palatino Linotype" w:cs="Arial"/>
                <w:sz w:val="18"/>
                <w:szCs w:val="18"/>
              </w:rPr>
              <w:t>71,671</w:t>
            </w:r>
          </w:p>
        </w:tc>
        <w:tc>
          <w:tcPr>
            <w:tcW w:w="1319" w:type="dxa"/>
            <w:tcBorders>
              <w:top w:val="single" w:sz="4" w:space="0" w:color="auto"/>
              <w:left w:val="single" w:sz="4" w:space="0" w:color="auto"/>
              <w:bottom w:val="single" w:sz="4" w:space="0" w:color="auto"/>
              <w:right w:val="single" w:sz="4" w:space="0" w:color="auto"/>
            </w:tcBorders>
            <w:shd w:val="clear" w:color="auto" w:fill="auto"/>
            <w:noWrap/>
          </w:tcPr>
          <w:p w:rsidR="00B92080" w:rsidRPr="002E2870" w:rsidRDefault="00B92080" w:rsidP="00DB5405">
            <w:pPr>
              <w:jc w:val="right"/>
              <w:rPr>
                <w:rFonts w:ascii="Palatino Linotype" w:hAnsi="Palatino Linotype" w:cs="Arial"/>
                <w:sz w:val="18"/>
                <w:szCs w:val="18"/>
              </w:rPr>
            </w:pPr>
            <w:r w:rsidRPr="002E2870">
              <w:rPr>
                <w:rFonts w:ascii="Palatino Linotype" w:hAnsi="Palatino Linotype" w:cs="Arial"/>
                <w:sz w:val="18"/>
                <w:szCs w:val="18"/>
              </w:rPr>
              <w:t>58,331</w:t>
            </w:r>
          </w:p>
        </w:tc>
        <w:tc>
          <w:tcPr>
            <w:tcW w:w="1830" w:type="dxa"/>
            <w:tcBorders>
              <w:top w:val="nil"/>
              <w:left w:val="nil"/>
              <w:bottom w:val="single" w:sz="4" w:space="0" w:color="auto"/>
              <w:right w:val="single" w:sz="4" w:space="0" w:color="auto"/>
            </w:tcBorders>
            <w:shd w:val="clear" w:color="auto" w:fill="auto"/>
            <w:noWrap/>
          </w:tcPr>
          <w:p w:rsidR="00B92080" w:rsidRPr="002E2870" w:rsidRDefault="00B92080" w:rsidP="00DB5405">
            <w:pPr>
              <w:jc w:val="right"/>
              <w:rPr>
                <w:rFonts w:ascii="Palatino Linotype" w:hAnsi="Palatino Linotype" w:cs="Arial"/>
                <w:sz w:val="18"/>
                <w:szCs w:val="18"/>
              </w:rPr>
            </w:pPr>
            <w:r w:rsidRPr="002E2870">
              <w:rPr>
                <w:rFonts w:ascii="Palatino Linotype" w:hAnsi="Palatino Linotype" w:cs="Arial"/>
                <w:sz w:val="18"/>
                <w:szCs w:val="18"/>
              </w:rPr>
              <w:t>-18.6</w:t>
            </w:r>
          </w:p>
        </w:tc>
      </w:tr>
      <w:tr w:rsidR="00B92080" w:rsidRPr="002E2870" w:rsidTr="00DB5405">
        <w:trPr>
          <w:trHeight w:val="224"/>
          <w:jc w:val="center"/>
        </w:trPr>
        <w:tc>
          <w:tcPr>
            <w:tcW w:w="3271" w:type="dxa"/>
            <w:tcBorders>
              <w:top w:val="single" w:sz="4" w:space="0" w:color="auto"/>
              <w:left w:val="single" w:sz="4" w:space="0" w:color="auto"/>
              <w:bottom w:val="single" w:sz="4" w:space="0" w:color="auto"/>
              <w:right w:val="single" w:sz="4" w:space="0" w:color="auto"/>
            </w:tcBorders>
            <w:shd w:val="clear" w:color="auto" w:fill="auto"/>
            <w:hideMark/>
          </w:tcPr>
          <w:p w:rsidR="00B92080" w:rsidRPr="002E2870" w:rsidRDefault="00B92080" w:rsidP="00DB5405">
            <w:pPr>
              <w:rPr>
                <w:rFonts w:ascii="Palatino Linotype" w:hAnsi="Palatino Linotype" w:cs="Arial"/>
                <w:b/>
                <w:bCs/>
                <w:sz w:val="18"/>
                <w:szCs w:val="18"/>
              </w:rPr>
            </w:pPr>
            <w:r w:rsidRPr="002E2870">
              <w:rPr>
                <w:rFonts w:ascii="Palatino Linotype" w:hAnsi="Palatino Linotype" w:cs="Arial"/>
                <w:b/>
                <w:bCs/>
                <w:sz w:val="18"/>
                <w:szCs w:val="18"/>
              </w:rPr>
              <w:t>NSE, of which</w:t>
            </w:r>
          </w:p>
        </w:tc>
        <w:tc>
          <w:tcPr>
            <w:tcW w:w="1128" w:type="dxa"/>
            <w:tcBorders>
              <w:top w:val="single" w:sz="4" w:space="0" w:color="auto"/>
              <w:left w:val="nil"/>
              <w:bottom w:val="single" w:sz="4" w:space="0" w:color="auto"/>
              <w:right w:val="single" w:sz="4" w:space="0" w:color="auto"/>
            </w:tcBorders>
            <w:shd w:val="clear" w:color="auto" w:fill="auto"/>
            <w:noWrap/>
            <w:hideMark/>
          </w:tcPr>
          <w:p w:rsidR="00B92080" w:rsidRPr="002E2870" w:rsidRDefault="00B92080" w:rsidP="00DB5405">
            <w:pPr>
              <w:jc w:val="right"/>
              <w:rPr>
                <w:rFonts w:ascii="Palatino Linotype" w:hAnsi="Palatino Linotype" w:cs="Arial"/>
                <w:b/>
                <w:bCs/>
                <w:sz w:val="18"/>
                <w:szCs w:val="18"/>
              </w:rPr>
            </w:pPr>
            <w:r w:rsidRPr="002E2870">
              <w:rPr>
                <w:rFonts w:ascii="Palatino Linotype" w:hAnsi="Palatino Linotype" w:cs="Arial"/>
                <w:b/>
                <w:bCs/>
                <w:sz w:val="18"/>
                <w:szCs w:val="18"/>
              </w:rPr>
              <w:t xml:space="preserve">       6,362 </w:t>
            </w:r>
          </w:p>
        </w:tc>
        <w:tc>
          <w:tcPr>
            <w:tcW w:w="1236" w:type="dxa"/>
            <w:tcBorders>
              <w:top w:val="single" w:sz="4" w:space="0" w:color="auto"/>
              <w:left w:val="single" w:sz="4" w:space="0" w:color="auto"/>
              <w:bottom w:val="single" w:sz="4" w:space="0" w:color="auto"/>
              <w:right w:val="single" w:sz="4" w:space="0" w:color="auto"/>
            </w:tcBorders>
          </w:tcPr>
          <w:p w:rsidR="00B92080" w:rsidRPr="002E2870" w:rsidRDefault="00B92080" w:rsidP="00DB5405">
            <w:pPr>
              <w:jc w:val="right"/>
              <w:rPr>
                <w:rFonts w:ascii="Palatino Linotype" w:hAnsi="Palatino Linotype" w:cs="Arial"/>
                <w:b/>
                <w:bCs/>
                <w:sz w:val="18"/>
                <w:szCs w:val="18"/>
              </w:rPr>
            </w:pPr>
            <w:r w:rsidRPr="002E2870">
              <w:rPr>
                <w:rFonts w:ascii="Palatino Linotype" w:hAnsi="Palatino Linotype" w:cs="Arial"/>
                <w:b/>
                <w:bCs/>
                <w:sz w:val="18"/>
                <w:szCs w:val="18"/>
              </w:rPr>
              <w:t>2,474</w:t>
            </w:r>
          </w:p>
        </w:tc>
        <w:tc>
          <w:tcPr>
            <w:tcW w:w="1319" w:type="dxa"/>
            <w:tcBorders>
              <w:top w:val="single" w:sz="4" w:space="0" w:color="auto"/>
              <w:left w:val="single" w:sz="4" w:space="0" w:color="auto"/>
              <w:bottom w:val="single" w:sz="4" w:space="0" w:color="auto"/>
              <w:right w:val="single" w:sz="4" w:space="0" w:color="auto"/>
            </w:tcBorders>
            <w:shd w:val="clear" w:color="auto" w:fill="auto"/>
            <w:noWrap/>
          </w:tcPr>
          <w:p w:rsidR="00B92080" w:rsidRPr="002E2870" w:rsidRDefault="00B92080" w:rsidP="00DB5405">
            <w:pPr>
              <w:jc w:val="right"/>
              <w:rPr>
                <w:rFonts w:ascii="Palatino Linotype" w:hAnsi="Palatino Linotype" w:cs="Arial"/>
                <w:b/>
                <w:bCs/>
                <w:sz w:val="18"/>
                <w:szCs w:val="18"/>
              </w:rPr>
            </w:pPr>
            <w:r w:rsidRPr="002E2870">
              <w:rPr>
                <w:rFonts w:ascii="Palatino Linotype" w:hAnsi="Palatino Linotype" w:cs="Arial"/>
                <w:b/>
                <w:bCs/>
                <w:sz w:val="18"/>
                <w:szCs w:val="18"/>
              </w:rPr>
              <w:t>1,800</w:t>
            </w:r>
          </w:p>
        </w:tc>
        <w:tc>
          <w:tcPr>
            <w:tcW w:w="1830" w:type="dxa"/>
            <w:tcBorders>
              <w:top w:val="single" w:sz="4" w:space="0" w:color="auto"/>
              <w:left w:val="nil"/>
              <w:bottom w:val="single" w:sz="4" w:space="0" w:color="auto"/>
              <w:right w:val="single" w:sz="4" w:space="0" w:color="auto"/>
            </w:tcBorders>
            <w:shd w:val="clear" w:color="auto" w:fill="auto"/>
            <w:noWrap/>
          </w:tcPr>
          <w:p w:rsidR="00B92080" w:rsidRPr="002E2870" w:rsidRDefault="00B92080" w:rsidP="00DB5405">
            <w:pPr>
              <w:jc w:val="right"/>
              <w:rPr>
                <w:rFonts w:ascii="Palatino Linotype" w:hAnsi="Palatino Linotype" w:cs="Arial"/>
                <w:b/>
                <w:bCs/>
                <w:sz w:val="18"/>
                <w:szCs w:val="18"/>
              </w:rPr>
            </w:pPr>
            <w:r w:rsidRPr="002E2870">
              <w:rPr>
                <w:rFonts w:ascii="Palatino Linotype" w:hAnsi="Palatino Linotype" w:cs="Arial"/>
                <w:b/>
                <w:bCs/>
                <w:sz w:val="18"/>
                <w:szCs w:val="18"/>
              </w:rPr>
              <w:t>-27.2</w:t>
            </w:r>
          </w:p>
        </w:tc>
      </w:tr>
      <w:tr w:rsidR="00B92080" w:rsidRPr="002E2870" w:rsidTr="00DB5405">
        <w:trPr>
          <w:trHeight w:val="224"/>
          <w:jc w:val="center"/>
        </w:trPr>
        <w:tc>
          <w:tcPr>
            <w:tcW w:w="3271" w:type="dxa"/>
            <w:tcBorders>
              <w:top w:val="single" w:sz="4" w:space="0" w:color="auto"/>
              <w:left w:val="single" w:sz="4" w:space="0" w:color="auto"/>
              <w:bottom w:val="single" w:sz="4" w:space="0" w:color="auto"/>
              <w:right w:val="single" w:sz="4" w:space="0" w:color="auto"/>
            </w:tcBorders>
            <w:shd w:val="clear" w:color="auto" w:fill="auto"/>
          </w:tcPr>
          <w:p w:rsidR="00B92080" w:rsidRPr="002E2870" w:rsidRDefault="00B92080" w:rsidP="00DB5405">
            <w:pPr>
              <w:rPr>
                <w:rFonts w:ascii="Palatino Linotype" w:hAnsi="Palatino Linotype" w:cs="Arial"/>
                <w:b/>
                <w:bCs/>
                <w:sz w:val="18"/>
                <w:szCs w:val="18"/>
              </w:rPr>
            </w:pPr>
            <w:r w:rsidRPr="002E2870">
              <w:rPr>
                <w:rFonts w:ascii="Palatino Linotype" w:hAnsi="Palatino Linotype" w:cs="Arial"/>
                <w:bCs/>
                <w:i/>
                <w:sz w:val="18"/>
                <w:szCs w:val="18"/>
              </w:rPr>
              <w:t xml:space="preserve">             Futures</w:t>
            </w:r>
          </w:p>
        </w:tc>
        <w:tc>
          <w:tcPr>
            <w:tcW w:w="1128" w:type="dxa"/>
            <w:tcBorders>
              <w:top w:val="single" w:sz="4" w:space="0" w:color="auto"/>
              <w:left w:val="nil"/>
              <w:bottom w:val="single" w:sz="4" w:space="0" w:color="auto"/>
              <w:right w:val="single" w:sz="4" w:space="0" w:color="auto"/>
            </w:tcBorders>
            <w:shd w:val="clear" w:color="auto" w:fill="auto"/>
            <w:noWrap/>
          </w:tcPr>
          <w:p w:rsidR="00B92080" w:rsidRPr="002E2870" w:rsidRDefault="00B92080" w:rsidP="00DB5405">
            <w:pPr>
              <w:jc w:val="right"/>
              <w:rPr>
                <w:rFonts w:ascii="Palatino Linotype" w:hAnsi="Palatino Linotype" w:cs="Arial"/>
                <w:sz w:val="18"/>
                <w:szCs w:val="18"/>
              </w:rPr>
            </w:pPr>
            <w:r w:rsidRPr="002E2870">
              <w:rPr>
                <w:rFonts w:ascii="Palatino Linotype" w:hAnsi="Palatino Linotype" w:cs="Arial"/>
                <w:sz w:val="18"/>
                <w:szCs w:val="18"/>
              </w:rPr>
              <w:t xml:space="preserve">       6,362</w:t>
            </w:r>
          </w:p>
        </w:tc>
        <w:tc>
          <w:tcPr>
            <w:tcW w:w="1236" w:type="dxa"/>
            <w:tcBorders>
              <w:top w:val="single" w:sz="4" w:space="0" w:color="auto"/>
              <w:left w:val="single" w:sz="4" w:space="0" w:color="auto"/>
              <w:bottom w:val="single" w:sz="4" w:space="0" w:color="auto"/>
              <w:right w:val="single" w:sz="4" w:space="0" w:color="auto"/>
            </w:tcBorders>
          </w:tcPr>
          <w:p w:rsidR="00B92080" w:rsidRPr="002E2870" w:rsidRDefault="00B92080" w:rsidP="00DB5405">
            <w:pPr>
              <w:jc w:val="right"/>
              <w:rPr>
                <w:rFonts w:ascii="Palatino Linotype" w:hAnsi="Palatino Linotype" w:cs="Arial"/>
                <w:sz w:val="18"/>
                <w:szCs w:val="18"/>
              </w:rPr>
            </w:pPr>
            <w:r w:rsidRPr="002E2870">
              <w:rPr>
                <w:rFonts w:ascii="Palatino Linotype" w:hAnsi="Palatino Linotype" w:cs="Arial"/>
                <w:sz w:val="18"/>
                <w:szCs w:val="18"/>
              </w:rPr>
              <w:t>92</w:t>
            </w:r>
          </w:p>
        </w:tc>
        <w:tc>
          <w:tcPr>
            <w:tcW w:w="1319" w:type="dxa"/>
            <w:tcBorders>
              <w:top w:val="single" w:sz="4" w:space="0" w:color="auto"/>
              <w:left w:val="single" w:sz="4" w:space="0" w:color="auto"/>
              <w:bottom w:val="single" w:sz="4" w:space="0" w:color="auto"/>
              <w:right w:val="single" w:sz="4" w:space="0" w:color="auto"/>
            </w:tcBorders>
            <w:shd w:val="clear" w:color="auto" w:fill="auto"/>
            <w:noWrap/>
          </w:tcPr>
          <w:p w:rsidR="00B92080" w:rsidRPr="002E2870" w:rsidRDefault="00B92080" w:rsidP="00DB5405">
            <w:pPr>
              <w:jc w:val="right"/>
              <w:rPr>
                <w:rFonts w:ascii="Palatino Linotype" w:hAnsi="Palatino Linotype" w:cs="Arial"/>
                <w:sz w:val="18"/>
                <w:szCs w:val="18"/>
              </w:rPr>
            </w:pPr>
            <w:r w:rsidRPr="002E2870">
              <w:rPr>
                <w:rFonts w:ascii="Palatino Linotype" w:hAnsi="Palatino Linotype" w:cs="Arial"/>
                <w:sz w:val="18"/>
                <w:szCs w:val="18"/>
              </w:rPr>
              <w:t>66</w:t>
            </w:r>
          </w:p>
        </w:tc>
        <w:tc>
          <w:tcPr>
            <w:tcW w:w="1830" w:type="dxa"/>
            <w:tcBorders>
              <w:top w:val="single" w:sz="4" w:space="0" w:color="auto"/>
              <w:left w:val="nil"/>
              <w:bottom w:val="single" w:sz="4" w:space="0" w:color="auto"/>
              <w:right w:val="single" w:sz="4" w:space="0" w:color="auto"/>
            </w:tcBorders>
            <w:shd w:val="clear" w:color="auto" w:fill="auto"/>
            <w:noWrap/>
          </w:tcPr>
          <w:p w:rsidR="00B92080" w:rsidRPr="002E2870" w:rsidRDefault="00B92080" w:rsidP="00DB5405">
            <w:pPr>
              <w:jc w:val="right"/>
              <w:rPr>
                <w:rFonts w:ascii="Palatino Linotype" w:hAnsi="Palatino Linotype" w:cs="Arial"/>
                <w:sz w:val="18"/>
                <w:szCs w:val="18"/>
              </w:rPr>
            </w:pPr>
            <w:r w:rsidRPr="002E2870">
              <w:rPr>
                <w:rFonts w:ascii="Palatino Linotype" w:hAnsi="Palatino Linotype" w:cs="Arial"/>
                <w:sz w:val="18"/>
                <w:szCs w:val="18"/>
              </w:rPr>
              <w:t>-28.8</w:t>
            </w:r>
          </w:p>
        </w:tc>
      </w:tr>
      <w:tr w:rsidR="00B92080" w:rsidRPr="002E2870" w:rsidTr="00DB5405">
        <w:trPr>
          <w:trHeight w:val="224"/>
          <w:jc w:val="center"/>
        </w:trPr>
        <w:tc>
          <w:tcPr>
            <w:tcW w:w="3271" w:type="dxa"/>
            <w:tcBorders>
              <w:top w:val="single" w:sz="4" w:space="0" w:color="auto"/>
              <w:left w:val="single" w:sz="4" w:space="0" w:color="auto"/>
              <w:bottom w:val="single" w:sz="4" w:space="0" w:color="auto"/>
              <w:right w:val="single" w:sz="4" w:space="0" w:color="auto"/>
            </w:tcBorders>
            <w:shd w:val="clear" w:color="auto" w:fill="auto"/>
          </w:tcPr>
          <w:p w:rsidR="00B92080" w:rsidRPr="002E2870" w:rsidRDefault="00B92080" w:rsidP="00DB5405">
            <w:pPr>
              <w:rPr>
                <w:rFonts w:ascii="Palatino Linotype" w:hAnsi="Palatino Linotype" w:cs="Arial"/>
                <w:b/>
                <w:bCs/>
                <w:sz w:val="18"/>
                <w:szCs w:val="18"/>
              </w:rPr>
            </w:pPr>
            <w:r w:rsidRPr="002E2870">
              <w:rPr>
                <w:rFonts w:ascii="Palatino Linotype" w:hAnsi="Palatino Linotype" w:cs="Arial"/>
                <w:bCs/>
                <w:i/>
                <w:sz w:val="18"/>
                <w:szCs w:val="18"/>
              </w:rPr>
              <w:t xml:space="preserve">            Options</w:t>
            </w:r>
          </w:p>
        </w:tc>
        <w:tc>
          <w:tcPr>
            <w:tcW w:w="1128" w:type="dxa"/>
            <w:tcBorders>
              <w:top w:val="single" w:sz="4" w:space="0" w:color="auto"/>
              <w:left w:val="nil"/>
              <w:bottom w:val="single" w:sz="4" w:space="0" w:color="auto"/>
              <w:right w:val="single" w:sz="4" w:space="0" w:color="auto"/>
            </w:tcBorders>
            <w:shd w:val="clear" w:color="auto" w:fill="auto"/>
            <w:noWrap/>
          </w:tcPr>
          <w:p w:rsidR="00B92080" w:rsidRPr="002E2870" w:rsidRDefault="00B92080" w:rsidP="00DB5405">
            <w:pPr>
              <w:jc w:val="right"/>
              <w:rPr>
                <w:rFonts w:ascii="Palatino Linotype" w:hAnsi="Palatino Linotype" w:cs="Arial"/>
                <w:b/>
                <w:bCs/>
                <w:sz w:val="18"/>
                <w:szCs w:val="18"/>
              </w:rPr>
            </w:pPr>
            <w:r w:rsidRPr="002E2870">
              <w:rPr>
                <w:rFonts w:ascii="Palatino Linotype" w:hAnsi="Palatino Linotype" w:cs="Arial"/>
                <w:b/>
                <w:bCs/>
                <w:sz w:val="18"/>
                <w:szCs w:val="18"/>
              </w:rPr>
              <w:t>-</w:t>
            </w:r>
          </w:p>
        </w:tc>
        <w:tc>
          <w:tcPr>
            <w:tcW w:w="1236" w:type="dxa"/>
            <w:tcBorders>
              <w:top w:val="single" w:sz="4" w:space="0" w:color="auto"/>
              <w:left w:val="single" w:sz="4" w:space="0" w:color="auto"/>
              <w:bottom w:val="single" w:sz="4" w:space="0" w:color="auto"/>
              <w:right w:val="single" w:sz="4" w:space="0" w:color="auto"/>
            </w:tcBorders>
          </w:tcPr>
          <w:p w:rsidR="00B92080" w:rsidRPr="002E2870" w:rsidRDefault="00B92080" w:rsidP="00DB5405">
            <w:pPr>
              <w:jc w:val="right"/>
              <w:rPr>
                <w:rFonts w:ascii="Palatino Linotype" w:hAnsi="Palatino Linotype" w:cs="Arial"/>
                <w:sz w:val="18"/>
                <w:szCs w:val="18"/>
              </w:rPr>
            </w:pPr>
            <w:r w:rsidRPr="002E2870">
              <w:rPr>
                <w:rFonts w:ascii="Palatino Linotype" w:hAnsi="Palatino Linotype" w:cs="Arial"/>
                <w:sz w:val="18"/>
                <w:szCs w:val="18"/>
              </w:rPr>
              <w:t>2,382</w:t>
            </w:r>
          </w:p>
        </w:tc>
        <w:tc>
          <w:tcPr>
            <w:tcW w:w="1319" w:type="dxa"/>
            <w:tcBorders>
              <w:top w:val="single" w:sz="4" w:space="0" w:color="auto"/>
              <w:left w:val="single" w:sz="4" w:space="0" w:color="auto"/>
              <w:bottom w:val="single" w:sz="4" w:space="0" w:color="auto"/>
              <w:right w:val="single" w:sz="4" w:space="0" w:color="auto"/>
            </w:tcBorders>
            <w:shd w:val="clear" w:color="auto" w:fill="auto"/>
            <w:noWrap/>
          </w:tcPr>
          <w:p w:rsidR="00B92080" w:rsidRPr="002E2870" w:rsidRDefault="00B92080" w:rsidP="00DB5405">
            <w:pPr>
              <w:jc w:val="right"/>
              <w:rPr>
                <w:rFonts w:ascii="Palatino Linotype" w:hAnsi="Palatino Linotype" w:cs="Arial"/>
                <w:sz w:val="18"/>
                <w:szCs w:val="18"/>
              </w:rPr>
            </w:pPr>
            <w:r w:rsidRPr="002E2870">
              <w:rPr>
                <w:rFonts w:ascii="Palatino Linotype" w:hAnsi="Palatino Linotype" w:cs="Arial"/>
                <w:sz w:val="18"/>
                <w:szCs w:val="18"/>
              </w:rPr>
              <w:t>1,734</w:t>
            </w:r>
          </w:p>
        </w:tc>
        <w:tc>
          <w:tcPr>
            <w:tcW w:w="1830" w:type="dxa"/>
            <w:tcBorders>
              <w:top w:val="single" w:sz="4" w:space="0" w:color="auto"/>
              <w:left w:val="nil"/>
              <w:bottom w:val="single" w:sz="4" w:space="0" w:color="auto"/>
              <w:right w:val="single" w:sz="4" w:space="0" w:color="auto"/>
            </w:tcBorders>
            <w:shd w:val="clear" w:color="auto" w:fill="auto"/>
            <w:noWrap/>
          </w:tcPr>
          <w:p w:rsidR="00B92080" w:rsidRPr="002E2870" w:rsidRDefault="00B92080" w:rsidP="00DB5405">
            <w:pPr>
              <w:jc w:val="right"/>
              <w:rPr>
                <w:rFonts w:ascii="Palatino Linotype" w:hAnsi="Palatino Linotype" w:cs="Arial"/>
                <w:sz w:val="18"/>
                <w:szCs w:val="18"/>
              </w:rPr>
            </w:pPr>
            <w:r w:rsidRPr="002E2870">
              <w:rPr>
                <w:rFonts w:ascii="Palatino Linotype" w:hAnsi="Palatino Linotype" w:cs="Arial"/>
                <w:sz w:val="18"/>
                <w:szCs w:val="18"/>
              </w:rPr>
              <w:t>-27.2</w:t>
            </w:r>
          </w:p>
        </w:tc>
      </w:tr>
    </w:tbl>
    <w:p w:rsidR="00B92080" w:rsidRPr="002E2870" w:rsidRDefault="00B92080" w:rsidP="00B92080">
      <w:pPr>
        <w:jc w:val="both"/>
        <w:rPr>
          <w:rFonts w:ascii="Palatino Linotype" w:hAnsi="Palatino Linotype" w:cs="Arial"/>
          <w:bCs/>
          <w:sz w:val="18"/>
          <w:szCs w:val="18"/>
        </w:rPr>
      </w:pPr>
      <w:r w:rsidRPr="002E2870">
        <w:rPr>
          <w:rFonts w:ascii="Palatino Linotype" w:hAnsi="Palatino Linotype" w:cs="Arial"/>
          <w:b/>
          <w:bCs/>
          <w:sz w:val="18"/>
          <w:szCs w:val="18"/>
        </w:rPr>
        <w:t xml:space="preserve">      </w:t>
      </w:r>
      <w:r w:rsidRPr="002E2870">
        <w:rPr>
          <w:rFonts w:ascii="Palatino Linotype" w:hAnsi="Palatino Linotype" w:cs="Arial"/>
          <w:bCs/>
          <w:sz w:val="18"/>
          <w:szCs w:val="18"/>
        </w:rPr>
        <w:t>Source: NCDEX, MCX, ICEX, BSE and NSE.</w:t>
      </w:r>
    </w:p>
    <w:p w:rsidR="00B92080" w:rsidRPr="002E2870" w:rsidRDefault="00B92080" w:rsidP="00B92080">
      <w:pPr>
        <w:jc w:val="both"/>
        <w:rPr>
          <w:rFonts w:ascii="Palatino Linotype" w:hAnsi="Palatino Linotype" w:cs="Arial"/>
          <w:b/>
          <w:bCs/>
          <w:sz w:val="18"/>
          <w:szCs w:val="18"/>
        </w:rPr>
      </w:pPr>
    </w:p>
    <w:p w:rsidR="00B92080" w:rsidRPr="002E2870" w:rsidRDefault="00B92080" w:rsidP="00B92080">
      <w:pPr>
        <w:pStyle w:val="ListParagraph"/>
        <w:numPr>
          <w:ilvl w:val="0"/>
          <w:numId w:val="14"/>
        </w:numPr>
        <w:spacing w:line="23" w:lineRule="atLeast"/>
        <w:ind w:left="567" w:hanging="567"/>
        <w:jc w:val="both"/>
        <w:rPr>
          <w:rFonts w:ascii="Palatino Linotype" w:eastAsia="Times New Roman" w:hAnsi="Palatino Linotype"/>
          <w:b/>
          <w:sz w:val="22"/>
          <w:szCs w:val="22"/>
        </w:rPr>
      </w:pPr>
      <w:r w:rsidRPr="002E2870">
        <w:rPr>
          <w:rFonts w:ascii="Palatino Linotype" w:eastAsia="Times New Roman" w:hAnsi="Palatino Linotype"/>
          <w:b/>
          <w:sz w:val="22"/>
          <w:szCs w:val="22"/>
        </w:rPr>
        <w:t>Turnover</w:t>
      </w:r>
    </w:p>
    <w:p w:rsidR="00B92080" w:rsidRPr="002E2870" w:rsidRDefault="00B92080" w:rsidP="00B92080">
      <w:pPr>
        <w:numPr>
          <w:ilvl w:val="0"/>
          <w:numId w:val="11"/>
        </w:numPr>
        <w:pBdr>
          <w:top w:val="nil"/>
          <w:left w:val="nil"/>
          <w:bottom w:val="nil"/>
          <w:right w:val="nil"/>
          <w:between w:val="nil"/>
        </w:pBdr>
        <w:spacing w:line="276" w:lineRule="auto"/>
        <w:ind w:left="567" w:hanging="567"/>
        <w:jc w:val="both"/>
        <w:rPr>
          <w:rFonts w:ascii="Palatino Linotype" w:eastAsia="Palatino Linotype" w:hAnsi="Palatino Linotype" w:cs="Palatino Linotype"/>
          <w:sz w:val="22"/>
          <w:szCs w:val="22"/>
        </w:rPr>
      </w:pPr>
      <w:r w:rsidRPr="002E2870">
        <w:rPr>
          <w:rFonts w:ascii="Palatino Linotype" w:eastAsia="Palatino Linotype" w:hAnsi="Palatino Linotype" w:cs="Palatino Linotype"/>
          <w:sz w:val="22"/>
          <w:szCs w:val="22"/>
        </w:rPr>
        <w:t xml:space="preserve">During September 2020, pan- India turnover of the commodity derivatives decreased by 16.4 per cent to </w:t>
      </w:r>
      <w:r w:rsidRPr="002E2870">
        <w:rPr>
          <w:rFonts w:ascii="Times New Roman" w:eastAsia="Palatino Linotype" w:hAnsi="Times New Roman"/>
          <w:sz w:val="22"/>
          <w:szCs w:val="22"/>
        </w:rPr>
        <w:t>₹</w:t>
      </w:r>
      <w:r w:rsidRPr="002E2870">
        <w:rPr>
          <w:rFonts w:ascii="Palatino Linotype" w:eastAsia="Palatino Linotype" w:hAnsi="Palatino Linotype" w:cs="Palatino Linotype"/>
          <w:sz w:val="22"/>
          <w:szCs w:val="22"/>
        </w:rPr>
        <w:t xml:space="preserve">8,67,747 crore driven by fall in turnover at MCX, ICEX, BSE and NSE except NCDEX.  The agricultural segment contributed 4.1 per cent to the total turnover, while non-agricultural segment accounted for 95.9 per cent. </w:t>
      </w:r>
    </w:p>
    <w:p w:rsidR="00B92080" w:rsidRPr="002E2870" w:rsidRDefault="00B92080" w:rsidP="00B92080">
      <w:pPr>
        <w:numPr>
          <w:ilvl w:val="0"/>
          <w:numId w:val="11"/>
        </w:numPr>
        <w:pBdr>
          <w:top w:val="nil"/>
          <w:left w:val="nil"/>
          <w:bottom w:val="nil"/>
          <w:right w:val="nil"/>
          <w:between w:val="nil"/>
        </w:pBdr>
        <w:spacing w:line="276" w:lineRule="auto"/>
        <w:ind w:left="567" w:hanging="567"/>
        <w:jc w:val="both"/>
        <w:rPr>
          <w:rFonts w:ascii="Palatino Linotype" w:eastAsia="Palatino Linotype" w:hAnsi="Palatino Linotype" w:cs="Palatino Linotype"/>
          <w:sz w:val="22"/>
          <w:szCs w:val="22"/>
        </w:rPr>
      </w:pPr>
      <w:r w:rsidRPr="002E2870">
        <w:rPr>
          <w:rFonts w:ascii="Palatino Linotype" w:eastAsia="Palatino Linotype" w:hAnsi="Palatino Linotype" w:cs="Palatino Linotype"/>
          <w:sz w:val="22"/>
          <w:szCs w:val="22"/>
        </w:rPr>
        <w:t xml:space="preserve">The total turnover (futures &amp; options) at MCX decreased by 17.1 per cent to </w:t>
      </w:r>
      <w:r w:rsidRPr="002E2870">
        <w:rPr>
          <w:rFonts w:ascii="Times New Roman" w:eastAsia="Palatino Linotype" w:hAnsi="Times New Roman"/>
          <w:sz w:val="22"/>
          <w:szCs w:val="22"/>
        </w:rPr>
        <w:t>₹</w:t>
      </w:r>
      <w:r w:rsidRPr="002E2870">
        <w:rPr>
          <w:rFonts w:ascii="Palatino Linotype" w:eastAsia="Palatino Linotype" w:hAnsi="Palatino Linotype" w:cs="Palatino Linotype"/>
          <w:sz w:val="22"/>
          <w:szCs w:val="22"/>
        </w:rPr>
        <w:t xml:space="preserve">7,78,831 crore during September 2020 due to fall in traded value of bullion and metal futures by 32.6 per cent and 3.8 per cent respectively. However, turnover in energy and agri. futures increased by 39.4 per cent and 17.4 per cent respectively. The notional turnover of options segment at MCX </w:t>
      </w:r>
      <w:r w:rsidRPr="002E2870">
        <w:rPr>
          <w:rFonts w:ascii="Palatino Linotype" w:eastAsia="Palatino Linotype" w:hAnsi="Palatino Linotype" w:cs="Palatino Linotype"/>
          <w:sz w:val="22"/>
          <w:szCs w:val="22"/>
        </w:rPr>
        <w:lastRenderedPageBreak/>
        <w:t>decreased by 10.2 per cent</w:t>
      </w:r>
      <w:r w:rsidRPr="002E2870">
        <w:rPr>
          <w:rFonts w:ascii="Palatino Linotype" w:hAnsi="Palatino Linotype" w:cs="Arial"/>
          <w:bCs/>
          <w:sz w:val="22"/>
          <w:szCs w:val="22"/>
        </w:rPr>
        <w:t xml:space="preserve"> during the month, as turnover in bullion, metal and energy segments decreased by 8.8 per cent, 63.6 per cent and 22.2 per cent respectively. The options contracts contributed 3.3 per cent to the total turnover at MCX.</w:t>
      </w:r>
      <w:r w:rsidRPr="002E2870">
        <w:rPr>
          <w:rFonts w:ascii="Palatino Linotype" w:hAnsi="Palatino Linotype" w:cs="Arial"/>
          <w:bCs/>
        </w:rPr>
        <w:t xml:space="preserve"> </w:t>
      </w:r>
      <w:r w:rsidRPr="002E2870">
        <w:rPr>
          <w:rFonts w:ascii="Palatino Linotype" w:hAnsi="Palatino Linotype" w:cs="Arial"/>
          <w:bCs/>
          <w:sz w:val="22"/>
          <w:szCs w:val="22"/>
        </w:rPr>
        <w:t xml:space="preserve">The total turnover in iCOMDEX bullion futures indices </w:t>
      </w:r>
      <w:r w:rsidRPr="002E2870">
        <w:rPr>
          <w:rFonts w:ascii="Palatino Linotype" w:eastAsia="Palatino Linotype" w:hAnsi="Palatino Linotype" w:cs="Palatino Linotype"/>
          <w:sz w:val="22"/>
          <w:szCs w:val="22"/>
        </w:rPr>
        <w:t>increased</w:t>
      </w:r>
      <w:r w:rsidRPr="002E2870">
        <w:rPr>
          <w:rFonts w:ascii="Palatino Linotype" w:hAnsi="Palatino Linotype" w:cs="Arial"/>
          <w:bCs/>
          <w:sz w:val="22"/>
          <w:szCs w:val="22"/>
        </w:rPr>
        <w:t xml:space="preserve"> by </w:t>
      </w:r>
      <w:r w:rsidRPr="002E2870">
        <w:rPr>
          <w:rFonts w:ascii="Palatino Linotype" w:eastAsia="Palatino Linotype" w:hAnsi="Palatino Linotype" w:cs="Palatino Linotype"/>
          <w:sz w:val="22"/>
          <w:szCs w:val="22"/>
        </w:rPr>
        <w:t xml:space="preserve">144.5% per cent to </w:t>
      </w:r>
      <w:r w:rsidRPr="002E2870">
        <w:rPr>
          <w:rFonts w:ascii="Times New Roman" w:eastAsia="Palatino Linotype" w:hAnsi="Times New Roman"/>
          <w:sz w:val="22"/>
          <w:szCs w:val="22"/>
        </w:rPr>
        <w:t>₹</w:t>
      </w:r>
      <w:r w:rsidRPr="002E2870">
        <w:rPr>
          <w:rFonts w:ascii="Palatino Linotype" w:eastAsia="Palatino Linotype" w:hAnsi="Palatino Linotype" w:cs="Palatino Linotype"/>
          <w:sz w:val="22"/>
          <w:szCs w:val="22"/>
        </w:rPr>
        <w:t xml:space="preserve"> 5,183 crore during the month.</w:t>
      </w:r>
    </w:p>
    <w:p w:rsidR="00B92080" w:rsidRPr="002E2870" w:rsidRDefault="00B92080" w:rsidP="00B92080">
      <w:pPr>
        <w:numPr>
          <w:ilvl w:val="0"/>
          <w:numId w:val="11"/>
        </w:numPr>
        <w:pBdr>
          <w:top w:val="nil"/>
          <w:left w:val="nil"/>
          <w:bottom w:val="nil"/>
          <w:right w:val="nil"/>
          <w:between w:val="nil"/>
        </w:pBdr>
        <w:spacing w:line="276" w:lineRule="auto"/>
        <w:ind w:left="567" w:hanging="567"/>
        <w:jc w:val="both"/>
        <w:rPr>
          <w:rFonts w:ascii="Palatino Linotype" w:eastAsia="Palatino Linotype" w:hAnsi="Palatino Linotype" w:cs="Palatino Linotype"/>
          <w:sz w:val="22"/>
          <w:szCs w:val="22"/>
        </w:rPr>
      </w:pPr>
      <w:r w:rsidRPr="002E2870">
        <w:rPr>
          <w:rFonts w:ascii="Palatino Linotype" w:eastAsia="Palatino Linotype" w:hAnsi="Palatino Linotype" w:cs="Palatino Linotype"/>
          <w:sz w:val="22"/>
          <w:szCs w:val="22"/>
        </w:rPr>
        <w:t xml:space="preserve">During the month, the total turnover at NCDEX increased by 19.5 per cent to </w:t>
      </w:r>
      <w:r w:rsidRPr="002E2870">
        <w:rPr>
          <w:rFonts w:ascii="Times New Roman" w:eastAsia="Palatino Linotype" w:hAnsi="Times New Roman"/>
          <w:sz w:val="22"/>
          <w:szCs w:val="22"/>
        </w:rPr>
        <w:t>₹</w:t>
      </w:r>
      <w:r w:rsidRPr="002E2870">
        <w:rPr>
          <w:rFonts w:ascii="Palatino Linotype" w:eastAsia="Palatino Linotype" w:hAnsi="Palatino Linotype" w:cs="Palatino Linotype"/>
          <w:sz w:val="22"/>
          <w:szCs w:val="22"/>
        </w:rPr>
        <w:t xml:space="preserve">28,599 crore, due to increase in traded volume and value of eight out of total 16 traded commodities. Turnover in Agridex futures indices declined by 51.8% to </w:t>
      </w:r>
      <w:r w:rsidRPr="002E2870">
        <w:rPr>
          <w:rFonts w:ascii="Times New Roman" w:eastAsia="Palatino Linotype" w:hAnsi="Times New Roman"/>
          <w:sz w:val="22"/>
          <w:szCs w:val="22"/>
        </w:rPr>
        <w:t>₹</w:t>
      </w:r>
      <w:r w:rsidRPr="002E2870">
        <w:rPr>
          <w:rFonts w:ascii="Palatino Linotype" w:eastAsia="Palatino Linotype" w:hAnsi="Palatino Linotype" w:cs="Palatino Linotype"/>
          <w:sz w:val="22"/>
          <w:szCs w:val="22"/>
        </w:rPr>
        <w:t xml:space="preserve">12 crore during </w:t>
      </w:r>
      <w:r>
        <w:rPr>
          <w:rFonts w:ascii="Palatino Linotype" w:eastAsia="Palatino Linotype" w:hAnsi="Palatino Linotype" w:cs="Palatino Linotype"/>
          <w:sz w:val="22"/>
          <w:szCs w:val="22"/>
        </w:rPr>
        <w:t>September</w:t>
      </w:r>
      <w:r w:rsidRPr="002E2870">
        <w:rPr>
          <w:rFonts w:ascii="Palatino Linotype" w:eastAsia="Palatino Linotype" w:hAnsi="Palatino Linotype" w:cs="Palatino Linotype"/>
          <w:sz w:val="22"/>
          <w:szCs w:val="22"/>
        </w:rPr>
        <w:t xml:space="preserve"> 2020.</w:t>
      </w:r>
    </w:p>
    <w:p w:rsidR="00B92080" w:rsidRPr="002E2870" w:rsidRDefault="00B92080" w:rsidP="00B92080">
      <w:pPr>
        <w:numPr>
          <w:ilvl w:val="0"/>
          <w:numId w:val="11"/>
        </w:numPr>
        <w:pBdr>
          <w:top w:val="nil"/>
          <w:left w:val="nil"/>
          <w:bottom w:val="nil"/>
          <w:right w:val="nil"/>
          <w:between w:val="nil"/>
        </w:pBdr>
        <w:spacing w:line="276" w:lineRule="auto"/>
        <w:ind w:left="567" w:hanging="567"/>
        <w:jc w:val="both"/>
        <w:rPr>
          <w:rFonts w:ascii="Palatino Linotype" w:eastAsia="Palatino Linotype" w:hAnsi="Palatino Linotype" w:cs="Palatino Linotype"/>
          <w:sz w:val="22"/>
          <w:szCs w:val="22"/>
        </w:rPr>
      </w:pPr>
      <w:r w:rsidRPr="002E2870">
        <w:rPr>
          <w:rFonts w:ascii="Palatino Linotype" w:eastAsia="Palatino Linotype" w:hAnsi="Palatino Linotype" w:cs="Palatino Linotype"/>
          <w:sz w:val="22"/>
          <w:szCs w:val="22"/>
        </w:rPr>
        <w:t xml:space="preserve">In September 2020, turnover at ICEX decreased by 93.2 per cent to </w:t>
      </w:r>
      <w:r w:rsidRPr="002E2870">
        <w:rPr>
          <w:rFonts w:ascii="Times New Roman" w:eastAsia="Palatino Linotype" w:hAnsi="Times New Roman"/>
          <w:sz w:val="22"/>
          <w:szCs w:val="22"/>
        </w:rPr>
        <w:t>₹</w:t>
      </w:r>
      <w:r w:rsidRPr="002E2870">
        <w:rPr>
          <w:rFonts w:ascii="Palatino Linotype" w:eastAsia="Palatino Linotype" w:hAnsi="Palatino Linotype" w:cs="Palatino Linotype"/>
          <w:sz w:val="22"/>
          <w:szCs w:val="22"/>
        </w:rPr>
        <w:t xml:space="preserve">0.2 crore as traded value of agri. contracts declined by 98.2 per cent. While steel long contracts was not traded, gems and stone contracts recorded a total turnover of </w:t>
      </w:r>
      <w:r w:rsidRPr="002E2870">
        <w:rPr>
          <w:rFonts w:ascii="Times New Roman" w:eastAsia="Palatino Linotype" w:hAnsi="Times New Roman"/>
          <w:sz w:val="22"/>
          <w:szCs w:val="22"/>
        </w:rPr>
        <w:t>₹</w:t>
      </w:r>
      <w:r w:rsidRPr="002E2870">
        <w:rPr>
          <w:rFonts w:ascii="Palatino Linotype" w:eastAsia="Palatino Linotype" w:hAnsi="Palatino Linotype" w:cs="Palatino Linotype"/>
          <w:sz w:val="22"/>
          <w:szCs w:val="22"/>
        </w:rPr>
        <w:t xml:space="preserve">0.1 crore during the month. </w:t>
      </w:r>
    </w:p>
    <w:p w:rsidR="00B92080" w:rsidRPr="002E2870" w:rsidRDefault="00B92080" w:rsidP="00B92080">
      <w:pPr>
        <w:numPr>
          <w:ilvl w:val="0"/>
          <w:numId w:val="11"/>
        </w:numPr>
        <w:pBdr>
          <w:top w:val="nil"/>
          <w:left w:val="nil"/>
          <w:bottom w:val="nil"/>
          <w:right w:val="nil"/>
          <w:between w:val="nil"/>
        </w:pBdr>
        <w:spacing w:line="276" w:lineRule="auto"/>
        <w:ind w:left="567" w:hanging="567"/>
        <w:jc w:val="both"/>
        <w:rPr>
          <w:rFonts w:ascii="Palatino Linotype" w:eastAsia="Palatino Linotype" w:hAnsi="Palatino Linotype" w:cs="Palatino Linotype"/>
          <w:sz w:val="22"/>
          <w:szCs w:val="22"/>
        </w:rPr>
      </w:pPr>
      <w:r w:rsidRPr="002E2870">
        <w:rPr>
          <w:rFonts w:ascii="Palatino Linotype" w:eastAsia="Palatino Linotype" w:hAnsi="Palatino Linotype" w:cs="Palatino Linotype"/>
          <w:sz w:val="22"/>
          <w:szCs w:val="22"/>
        </w:rPr>
        <w:t xml:space="preserve">The total turnover at BSE decreased by 18.5 per cent to </w:t>
      </w:r>
      <w:r w:rsidRPr="002E2870">
        <w:rPr>
          <w:rFonts w:ascii="Times New Roman" w:eastAsia="Palatino Linotype" w:hAnsi="Times New Roman"/>
          <w:sz w:val="22"/>
          <w:szCs w:val="22"/>
        </w:rPr>
        <w:t>₹</w:t>
      </w:r>
      <w:r w:rsidRPr="002E2870">
        <w:rPr>
          <w:rFonts w:ascii="Palatino Linotype" w:eastAsia="Palatino Linotype" w:hAnsi="Palatino Linotype" w:cs="Palatino Linotype"/>
          <w:sz w:val="22"/>
          <w:szCs w:val="22"/>
        </w:rPr>
        <w:t xml:space="preserve"> 58,517 crore  driven by the decline in turnover in bullion options. In the futures segment bullion and agri. contracts were traded and recorded a total turnover of </w:t>
      </w:r>
      <w:r w:rsidRPr="002E2870">
        <w:rPr>
          <w:rFonts w:ascii="Times New Roman" w:eastAsia="Palatino Linotype" w:hAnsi="Times New Roman"/>
          <w:sz w:val="22"/>
          <w:szCs w:val="22"/>
        </w:rPr>
        <w:t>₹</w:t>
      </w:r>
      <w:r w:rsidRPr="002E2870">
        <w:rPr>
          <w:rFonts w:ascii="Palatino Linotype" w:eastAsia="Palatino Linotype" w:hAnsi="Palatino Linotype" w:cs="Palatino Linotype"/>
          <w:sz w:val="22"/>
          <w:szCs w:val="22"/>
        </w:rPr>
        <w:t xml:space="preserve">4 crore and  </w:t>
      </w:r>
      <w:r w:rsidRPr="002E2870">
        <w:rPr>
          <w:rFonts w:ascii="Times New Roman" w:eastAsia="Palatino Linotype" w:hAnsi="Times New Roman"/>
          <w:sz w:val="22"/>
          <w:szCs w:val="22"/>
        </w:rPr>
        <w:t>₹</w:t>
      </w:r>
      <w:r w:rsidRPr="002E2870">
        <w:rPr>
          <w:rFonts w:ascii="Palatino Linotype" w:eastAsia="Palatino Linotype" w:hAnsi="Palatino Linotype" w:cs="Palatino Linotype"/>
          <w:sz w:val="22"/>
          <w:szCs w:val="22"/>
        </w:rPr>
        <w:t xml:space="preserve"> 181 crore respectively.  </w:t>
      </w:r>
    </w:p>
    <w:p w:rsidR="00B92080" w:rsidRPr="002E2870" w:rsidRDefault="00B92080" w:rsidP="00B92080">
      <w:pPr>
        <w:numPr>
          <w:ilvl w:val="0"/>
          <w:numId w:val="11"/>
        </w:numPr>
        <w:pBdr>
          <w:top w:val="nil"/>
          <w:left w:val="nil"/>
          <w:bottom w:val="nil"/>
          <w:right w:val="nil"/>
          <w:between w:val="nil"/>
        </w:pBdr>
        <w:spacing w:line="276" w:lineRule="auto"/>
        <w:ind w:left="567" w:hanging="567"/>
        <w:jc w:val="both"/>
        <w:rPr>
          <w:rFonts w:ascii="Palatino Linotype" w:eastAsia="Palatino Linotype" w:hAnsi="Palatino Linotype" w:cs="Palatino Linotype"/>
          <w:sz w:val="22"/>
          <w:szCs w:val="22"/>
        </w:rPr>
      </w:pPr>
      <w:r w:rsidRPr="002E2870">
        <w:rPr>
          <w:rFonts w:ascii="Palatino Linotype" w:eastAsia="Palatino Linotype" w:hAnsi="Palatino Linotype" w:cs="Palatino Linotype"/>
          <w:sz w:val="22"/>
          <w:szCs w:val="22"/>
        </w:rPr>
        <w:t xml:space="preserve">The total turnover at NSE  decreased by 27.2 per cent to </w:t>
      </w:r>
      <w:r w:rsidRPr="002E2870">
        <w:rPr>
          <w:rFonts w:ascii="Times New Roman" w:eastAsia="Palatino Linotype" w:hAnsi="Times New Roman"/>
          <w:sz w:val="22"/>
          <w:szCs w:val="22"/>
        </w:rPr>
        <w:t>₹</w:t>
      </w:r>
      <w:r w:rsidRPr="002E2870">
        <w:rPr>
          <w:rFonts w:ascii="Palatino Linotype" w:eastAsia="Palatino Linotype" w:hAnsi="Palatino Linotype" w:cs="Palatino Linotype"/>
          <w:sz w:val="22"/>
          <w:szCs w:val="22"/>
        </w:rPr>
        <w:t xml:space="preserve">1,800 crore during the month on account of decrease in turnover of bullion options by 27.2 per cent and bullion futures by 28.8 per cent. </w:t>
      </w:r>
    </w:p>
    <w:p w:rsidR="00B92080" w:rsidRPr="002E2870" w:rsidRDefault="00B92080" w:rsidP="00B92080">
      <w:pPr>
        <w:numPr>
          <w:ilvl w:val="0"/>
          <w:numId w:val="11"/>
        </w:numPr>
        <w:pBdr>
          <w:top w:val="nil"/>
          <w:left w:val="nil"/>
          <w:bottom w:val="nil"/>
          <w:right w:val="nil"/>
          <w:between w:val="nil"/>
        </w:pBdr>
        <w:spacing w:line="276" w:lineRule="auto"/>
        <w:ind w:left="567" w:hanging="567"/>
        <w:jc w:val="both"/>
        <w:rPr>
          <w:rFonts w:ascii="Palatino Linotype" w:hAnsi="Palatino Linotype" w:cs="Arial"/>
          <w:bCs/>
          <w:sz w:val="22"/>
          <w:szCs w:val="22"/>
        </w:rPr>
      </w:pPr>
      <w:r w:rsidRPr="002E2870">
        <w:rPr>
          <w:rFonts w:ascii="Palatino Linotype" w:eastAsia="Palatino Linotype" w:hAnsi="Palatino Linotype" w:cs="Palatino Linotype"/>
          <w:sz w:val="22"/>
          <w:szCs w:val="22"/>
        </w:rPr>
        <w:t>The turnover of agricultural and non-agricultural commodities at exchanges is shown in Figures 15, 16 and 17 and the details are gi</w:t>
      </w:r>
      <w:r w:rsidRPr="002E2870">
        <w:rPr>
          <w:rFonts w:ascii="Palatino Linotype" w:hAnsi="Palatino Linotype" w:cs="Arial"/>
          <w:bCs/>
          <w:sz w:val="22"/>
          <w:szCs w:val="22"/>
        </w:rPr>
        <w:t>ven in Tables 65 to 69.</w:t>
      </w:r>
    </w:p>
    <w:p w:rsidR="00B92080" w:rsidRPr="002E2870" w:rsidRDefault="00B92080" w:rsidP="00B92080">
      <w:pPr>
        <w:jc w:val="both"/>
        <w:rPr>
          <w:rFonts w:ascii="Palatino Linotype" w:hAnsi="Palatino Linotype" w:cs="Arial"/>
          <w:bCs/>
        </w:rPr>
      </w:pPr>
    </w:p>
    <w:p w:rsidR="00B92080" w:rsidRPr="002E2870" w:rsidRDefault="00B92080" w:rsidP="00B92080">
      <w:pPr>
        <w:pStyle w:val="ListParagraph"/>
        <w:spacing w:after="0" w:line="240" w:lineRule="auto"/>
        <w:jc w:val="center"/>
        <w:rPr>
          <w:rFonts w:ascii="Palatino Linotype" w:hAnsi="Palatino Linotype" w:cs="Arial"/>
          <w:b/>
          <w:bCs/>
          <w:sz w:val="22"/>
          <w:szCs w:val="22"/>
        </w:rPr>
      </w:pPr>
      <w:r w:rsidRPr="002E2870">
        <w:rPr>
          <w:rFonts w:ascii="Palatino Linotype" w:hAnsi="Palatino Linotype" w:cs="Arial"/>
          <w:b/>
          <w:bCs/>
          <w:sz w:val="22"/>
          <w:szCs w:val="22"/>
        </w:rPr>
        <w:t>Figure 15: Trends in Turnover of Agricultural Commodity Derivatives</w:t>
      </w:r>
    </w:p>
    <w:p w:rsidR="00B92080" w:rsidRPr="002E2870" w:rsidRDefault="00B92080" w:rsidP="00B92080">
      <w:pPr>
        <w:pStyle w:val="ListParagraph"/>
        <w:spacing w:after="0" w:line="240" w:lineRule="auto"/>
        <w:ind w:left="0"/>
        <w:jc w:val="center"/>
        <w:rPr>
          <w:rFonts w:ascii="Palatino Linotype" w:hAnsi="Palatino Linotype" w:cs="Arial"/>
          <w:b/>
          <w:bCs/>
          <w:sz w:val="22"/>
          <w:szCs w:val="22"/>
        </w:rPr>
      </w:pPr>
      <w:r w:rsidRPr="002E2870">
        <w:rPr>
          <w:rFonts w:ascii="Palatino Linotype" w:hAnsi="Palatino Linotype"/>
          <w:noProof/>
          <w:lang w:val="en-IN" w:eastAsia="en-IN" w:bidi="hi-IN"/>
        </w:rPr>
        <w:drawing>
          <wp:inline distT="0" distB="0" distL="0" distR="0" wp14:anchorId="69D381A9" wp14:editId="722229FE">
            <wp:extent cx="5850890" cy="2390775"/>
            <wp:effectExtent l="0" t="0" r="16510" b="9525"/>
            <wp:docPr id="25" name="Chart 25">
              <a:extLst xmlns:a="http://schemas.openxmlformats.org/drawingml/2006/main">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http://schemas.microsoft.com/office/drawing/2014/chartex" xmlns="" id="{00000000-0008-0000-05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rsidR="00B92080" w:rsidRPr="002E2870" w:rsidRDefault="00B92080" w:rsidP="00B92080">
      <w:pPr>
        <w:rPr>
          <w:rFonts w:ascii="Palatino Linotype" w:hAnsi="Palatino Linotype"/>
          <w:b/>
          <w:sz w:val="18"/>
          <w:szCs w:val="18"/>
        </w:rPr>
      </w:pPr>
      <w:r w:rsidRPr="002E2870">
        <w:rPr>
          <w:rFonts w:ascii="Palatino Linotype" w:hAnsi="Palatino Linotype"/>
          <w:b/>
          <w:sz w:val="18"/>
          <w:szCs w:val="18"/>
        </w:rPr>
        <w:t>Source: MCX, NCDEX, BSE &amp; ICEX</w:t>
      </w:r>
    </w:p>
    <w:p w:rsidR="00B92080" w:rsidRPr="002E2870" w:rsidRDefault="00B92080" w:rsidP="00B92080">
      <w:pPr>
        <w:pStyle w:val="ListParagraph"/>
        <w:spacing w:after="0" w:line="240" w:lineRule="auto"/>
        <w:jc w:val="center"/>
        <w:rPr>
          <w:rFonts w:ascii="Palatino Linotype" w:hAnsi="Palatino Linotype"/>
          <w:b/>
          <w:sz w:val="22"/>
          <w:szCs w:val="22"/>
        </w:rPr>
      </w:pPr>
    </w:p>
    <w:p w:rsidR="00B92080" w:rsidRPr="002E2870" w:rsidRDefault="00B92080" w:rsidP="00B92080">
      <w:pPr>
        <w:pStyle w:val="ListParagraph"/>
        <w:spacing w:after="0" w:line="240" w:lineRule="auto"/>
        <w:ind w:left="426" w:hanging="862"/>
        <w:jc w:val="center"/>
        <w:rPr>
          <w:rFonts w:ascii="Palatino Linotype" w:hAnsi="Palatino Linotype"/>
          <w:b/>
          <w:sz w:val="22"/>
          <w:szCs w:val="22"/>
        </w:rPr>
      </w:pPr>
      <w:r w:rsidRPr="002E2870">
        <w:rPr>
          <w:rFonts w:ascii="Palatino Linotype" w:hAnsi="Palatino Linotype"/>
          <w:b/>
          <w:sz w:val="22"/>
          <w:szCs w:val="22"/>
        </w:rPr>
        <w:t xml:space="preserve">   </w:t>
      </w:r>
    </w:p>
    <w:p w:rsidR="00B92080" w:rsidRPr="002E2870" w:rsidRDefault="00B92080" w:rsidP="00B92080">
      <w:pPr>
        <w:rPr>
          <w:rFonts w:ascii="Palatino Linotype" w:eastAsia="Calibri" w:hAnsi="Palatino Linotype"/>
          <w:b/>
          <w:sz w:val="22"/>
          <w:szCs w:val="22"/>
          <w:lang w:val="en-US"/>
        </w:rPr>
      </w:pPr>
      <w:r w:rsidRPr="002E2870">
        <w:rPr>
          <w:rFonts w:ascii="Palatino Linotype" w:hAnsi="Palatino Linotype"/>
          <w:b/>
          <w:sz w:val="22"/>
          <w:szCs w:val="22"/>
        </w:rPr>
        <w:br w:type="page"/>
      </w:r>
    </w:p>
    <w:p w:rsidR="00B92080" w:rsidRPr="002E2870" w:rsidRDefault="00B92080" w:rsidP="00B92080">
      <w:pPr>
        <w:pStyle w:val="ListParagraph"/>
        <w:spacing w:after="0" w:line="240" w:lineRule="auto"/>
        <w:ind w:left="426" w:hanging="862"/>
        <w:jc w:val="center"/>
        <w:rPr>
          <w:rFonts w:ascii="Palatino Linotype" w:hAnsi="Palatino Linotype" w:cs="Arial"/>
          <w:b/>
          <w:bCs/>
          <w:sz w:val="22"/>
          <w:szCs w:val="22"/>
        </w:rPr>
      </w:pPr>
      <w:r w:rsidRPr="002E2870">
        <w:rPr>
          <w:rFonts w:ascii="Palatino Linotype" w:hAnsi="Palatino Linotype"/>
          <w:b/>
          <w:sz w:val="22"/>
          <w:szCs w:val="22"/>
        </w:rPr>
        <w:lastRenderedPageBreak/>
        <w:t xml:space="preserve">Figure 16: Trends in Turnover of Non-Agricultural Futures Commodity Derivatives contracts </w:t>
      </w:r>
    </w:p>
    <w:p w:rsidR="00B92080" w:rsidRPr="002E2870" w:rsidRDefault="00B92080" w:rsidP="00B92080">
      <w:pPr>
        <w:pStyle w:val="ListParagraph"/>
        <w:spacing w:after="0" w:line="240" w:lineRule="auto"/>
        <w:ind w:hanging="862"/>
        <w:jc w:val="center"/>
        <w:rPr>
          <w:rFonts w:ascii="Palatino Linotype" w:hAnsi="Palatino Linotype" w:cs="Arial"/>
          <w:b/>
          <w:bCs/>
          <w:sz w:val="22"/>
          <w:szCs w:val="22"/>
        </w:rPr>
      </w:pPr>
      <w:r w:rsidRPr="002E2870">
        <w:rPr>
          <w:rFonts w:ascii="Palatino Linotype" w:hAnsi="Palatino Linotype"/>
          <w:noProof/>
          <w:lang w:val="en-IN" w:eastAsia="en-IN" w:bidi="hi-IN"/>
        </w:rPr>
        <w:drawing>
          <wp:inline distT="0" distB="0" distL="0" distR="0" wp14:anchorId="23B1DEA0" wp14:editId="79B66295">
            <wp:extent cx="5850890" cy="2878372"/>
            <wp:effectExtent l="0" t="0" r="16510" b="17780"/>
            <wp:docPr id="26" name="Chart 26">
              <a:extLst xmlns:a="http://schemas.openxmlformats.org/drawingml/2006/main">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http://schemas.microsoft.com/office/drawing/2014/chartex" xmlns="" id="{00000000-0008-0000-0500-00000A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rsidR="00B92080" w:rsidRPr="002E2870" w:rsidRDefault="00B92080" w:rsidP="00B92080">
      <w:pPr>
        <w:spacing w:line="259" w:lineRule="auto"/>
        <w:rPr>
          <w:rFonts w:ascii="Palatino Linotype" w:hAnsi="Palatino Linotype"/>
          <w:sz w:val="18"/>
          <w:szCs w:val="18"/>
        </w:rPr>
      </w:pPr>
      <w:r w:rsidRPr="002E2870">
        <w:rPr>
          <w:rFonts w:ascii="Palatino Linotype" w:hAnsi="Palatino Linotype"/>
          <w:b/>
          <w:sz w:val="18"/>
          <w:szCs w:val="18"/>
        </w:rPr>
        <w:t xml:space="preserve">  </w:t>
      </w:r>
      <w:r w:rsidRPr="002E2870">
        <w:rPr>
          <w:rFonts w:ascii="Palatino Linotype" w:hAnsi="Palatino Linotype"/>
          <w:sz w:val="18"/>
          <w:szCs w:val="18"/>
        </w:rPr>
        <w:t xml:space="preserve">Source: MCX, ICEX, BSE &amp; NSE. </w:t>
      </w:r>
    </w:p>
    <w:p w:rsidR="00B92080" w:rsidRPr="002E2870" w:rsidRDefault="00B92080" w:rsidP="00B92080">
      <w:pPr>
        <w:pStyle w:val="ListParagraph"/>
        <w:spacing w:after="0" w:line="240" w:lineRule="auto"/>
        <w:ind w:left="426" w:hanging="862"/>
        <w:jc w:val="center"/>
        <w:rPr>
          <w:rFonts w:ascii="Palatino Linotype" w:hAnsi="Palatino Linotype"/>
          <w:b/>
          <w:sz w:val="22"/>
          <w:szCs w:val="22"/>
        </w:rPr>
      </w:pPr>
    </w:p>
    <w:p w:rsidR="00B92080" w:rsidRPr="002E2870" w:rsidRDefault="00B92080" w:rsidP="00B92080">
      <w:pPr>
        <w:pStyle w:val="ListParagraph"/>
        <w:spacing w:after="0" w:line="240" w:lineRule="auto"/>
        <w:ind w:left="426" w:hanging="862"/>
        <w:jc w:val="center"/>
        <w:rPr>
          <w:rFonts w:ascii="Palatino Linotype" w:hAnsi="Palatino Linotype"/>
          <w:b/>
          <w:sz w:val="22"/>
          <w:szCs w:val="22"/>
        </w:rPr>
      </w:pPr>
      <w:r w:rsidRPr="002E2870">
        <w:rPr>
          <w:rFonts w:ascii="Palatino Linotype" w:hAnsi="Palatino Linotype"/>
          <w:b/>
          <w:sz w:val="22"/>
          <w:szCs w:val="22"/>
        </w:rPr>
        <w:t>Figure 17: Trends in Turnover of Non-Agricultural Options Commodity Derivatives contracts</w:t>
      </w:r>
    </w:p>
    <w:p w:rsidR="00B92080" w:rsidRPr="002E2870" w:rsidRDefault="00B92080" w:rsidP="00B92080">
      <w:pPr>
        <w:pStyle w:val="ListParagraph"/>
        <w:spacing w:after="0" w:line="240" w:lineRule="auto"/>
        <w:ind w:left="426" w:hanging="862"/>
        <w:jc w:val="center"/>
        <w:rPr>
          <w:rFonts w:ascii="Palatino Linotype" w:hAnsi="Palatino Linotype" w:cs="Arial"/>
          <w:b/>
          <w:bCs/>
          <w:sz w:val="22"/>
          <w:szCs w:val="22"/>
        </w:rPr>
      </w:pPr>
      <w:r w:rsidRPr="002E2870">
        <w:rPr>
          <w:rFonts w:ascii="Palatino Linotype" w:hAnsi="Palatino Linotype"/>
          <w:noProof/>
          <w:lang w:val="en-IN" w:eastAsia="en-IN" w:bidi="hi-IN"/>
        </w:rPr>
        <w:drawing>
          <wp:inline distT="0" distB="0" distL="0" distR="0" wp14:anchorId="64F0F2C0" wp14:editId="0A9D9D13">
            <wp:extent cx="5940425" cy="2902226"/>
            <wp:effectExtent l="0" t="0" r="3175" b="12700"/>
            <wp:docPr id="27" name="Chart 27">
              <a:extLst xmlns:a="http://schemas.openxmlformats.org/drawingml/2006/main">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http://schemas.microsoft.com/office/drawing/2014/chartex" xmlns="" id="{00000000-0008-0000-0500-000009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rsidR="00297ABE" w:rsidRPr="00297ABE" w:rsidRDefault="00B92080" w:rsidP="00B92080">
      <w:pPr>
        <w:rPr>
          <w:rFonts w:ascii="Garamond" w:eastAsia="Garamond" w:hAnsi="Garamond" w:cs="Garamond"/>
          <w:b/>
          <w:color w:val="0D0D0D"/>
          <w:sz w:val="18"/>
          <w:szCs w:val="18"/>
        </w:rPr>
      </w:pPr>
      <w:r w:rsidRPr="002E2870">
        <w:rPr>
          <w:rFonts w:ascii="Palatino Linotype" w:hAnsi="Palatino Linotype"/>
          <w:b/>
          <w:sz w:val="18"/>
          <w:szCs w:val="18"/>
        </w:rPr>
        <w:t>Source: MCX, BSE &amp; NSE.</w:t>
      </w:r>
    </w:p>
    <w:p w:rsidR="00396049" w:rsidRDefault="00396049" w:rsidP="00FD1851">
      <w:pPr>
        <w:rPr>
          <w:rFonts w:ascii="Garamond" w:eastAsia="Garamond" w:hAnsi="Garamond" w:cs="Garamond"/>
          <w:b/>
          <w:color w:val="0D0D0D"/>
          <w:sz w:val="18"/>
          <w:szCs w:val="18"/>
        </w:rPr>
      </w:pPr>
    </w:p>
    <w:p w:rsidR="00396049" w:rsidRDefault="00396049">
      <w:pPr>
        <w:rPr>
          <w:rFonts w:ascii="Garamond" w:hAnsi="Garamond"/>
          <w:b/>
          <w:color w:val="0D0D0D" w:themeColor="text1" w:themeTint="F2"/>
          <w:sz w:val="18"/>
          <w:szCs w:val="18"/>
        </w:rPr>
      </w:pPr>
      <w:r>
        <w:rPr>
          <w:rFonts w:ascii="Garamond" w:hAnsi="Garamond"/>
          <w:b/>
          <w:color w:val="0D0D0D" w:themeColor="text1" w:themeTint="F2"/>
          <w:sz w:val="18"/>
          <w:szCs w:val="18"/>
        </w:rPr>
        <w:br w:type="page"/>
      </w:r>
    </w:p>
    <w:p w:rsidR="002576F1" w:rsidRDefault="002576F1" w:rsidP="00146D0E">
      <w:pPr>
        <w:spacing w:after="160" w:line="259" w:lineRule="auto"/>
        <w:rPr>
          <w:rFonts w:ascii="Garamond" w:hAnsi="Garamond"/>
          <w:b/>
          <w:color w:val="0D0D0D" w:themeColor="text1" w:themeTint="F2"/>
          <w:sz w:val="18"/>
          <w:szCs w:val="18"/>
        </w:rPr>
      </w:pPr>
    </w:p>
    <w:p w:rsidR="00D46528" w:rsidRPr="00D46528" w:rsidRDefault="00D46528" w:rsidP="00396049">
      <w:pPr>
        <w:keepNext/>
        <w:keepLines/>
        <w:spacing w:before="240" w:after="40"/>
        <w:contextualSpacing/>
        <w:jc w:val="center"/>
        <w:outlineLvl w:val="3"/>
        <w:rPr>
          <w:rFonts w:ascii="Palatino Linotype" w:eastAsia="Times New Roman" w:hAnsi="Palatino Linotype"/>
          <w:b/>
          <w:color w:val="000000"/>
          <w:lang w:val="en-IN" w:eastAsia="en-IN"/>
        </w:rPr>
      </w:pPr>
      <w:r w:rsidRPr="00D46528">
        <w:rPr>
          <w:rFonts w:ascii="Palatino Linotype" w:eastAsia="Times New Roman" w:hAnsi="Palatino Linotype"/>
          <w:b/>
          <w:color w:val="000000"/>
          <w:lang w:val="en-IN" w:eastAsia="en-IN"/>
        </w:rPr>
        <w:t>OVERVIEW OF THE GLOBAL FINANCIAL MARKETS</w:t>
      </w:r>
    </w:p>
    <w:p w:rsidR="00D46528" w:rsidRPr="00D46528" w:rsidRDefault="00D46528" w:rsidP="00D46528">
      <w:pPr>
        <w:ind w:left="360"/>
        <w:contextualSpacing/>
        <w:jc w:val="both"/>
        <w:rPr>
          <w:rFonts w:ascii="Times New Roman" w:eastAsia="Times New Roman" w:hAnsi="Times New Roman"/>
          <w:sz w:val="20"/>
          <w:szCs w:val="20"/>
          <w:cs/>
          <w:lang w:val="en-US" w:eastAsia="en-GB" w:bidi="bn-IN"/>
        </w:rPr>
      </w:pPr>
    </w:p>
    <w:p w:rsidR="00D46528" w:rsidRPr="00D46528" w:rsidRDefault="00D46528" w:rsidP="00D46528">
      <w:pPr>
        <w:spacing w:line="23" w:lineRule="atLeast"/>
        <w:ind w:left="360"/>
        <w:contextualSpacing/>
        <w:jc w:val="both"/>
        <w:rPr>
          <w:rFonts w:ascii="Times New Roman" w:eastAsia="Times New Roman" w:hAnsi="Times New Roman"/>
          <w:sz w:val="20"/>
          <w:szCs w:val="20"/>
          <w:cs/>
          <w:lang w:val="en-US" w:eastAsia="en-GB" w:bidi="bn-IN"/>
        </w:rPr>
      </w:pPr>
    </w:p>
    <w:p w:rsidR="000F236F" w:rsidRDefault="000F236F" w:rsidP="00B018BC">
      <w:pPr>
        <w:numPr>
          <w:ilvl w:val="0"/>
          <w:numId w:val="18"/>
        </w:numPr>
        <w:spacing w:before="100" w:beforeAutospacing="1" w:line="276" w:lineRule="auto"/>
        <w:contextualSpacing/>
        <w:jc w:val="both"/>
        <w:rPr>
          <w:rFonts w:ascii="Palatino Linotype" w:eastAsia="Times New Roman" w:hAnsi="Palatino Linotype"/>
          <w:sz w:val="22"/>
          <w:szCs w:val="22"/>
          <w:lang w:val="en-US"/>
        </w:rPr>
      </w:pPr>
      <w:r>
        <w:rPr>
          <w:rFonts w:ascii="Palatino Linotype" w:eastAsia="Times New Roman" w:hAnsi="Palatino Linotype"/>
          <w:sz w:val="22"/>
          <w:szCs w:val="22"/>
          <w:lang w:val="en-US"/>
        </w:rPr>
        <w:t xml:space="preserve">The ongoing coronavirus outbreak continued to cause human and economic distress around the globe even in September 2020. The month of September saw further rise in fresh COVID-19 infections in India (2.6 million compared to 2 million in previous month), while that in USA (1.3 million compared to 1.5 million in previous month) and Brazil (0.9 million compared to 1.2 million in previous month) moderated, according to data published by </w:t>
      </w:r>
      <w:r>
        <w:rPr>
          <w:rFonts w:ascii="Palatino Linotype" w:eastAsia="Times New Roman" w:hAnsi="Palatino Linotype"/>
          <w:i/>
          <w:sz w:val="22"/>
          <w:szCs w:val="22"/>
          <w:lang w:val="en-US"/>
        </w:rPr>
        <w:t>worldometer.info</w:t>
      </w:r>
      <w:r>
        <w:rPr>
          <w:rFonts w:ascii="Palatino Linotype" w:eastAsia="Times New Roman" w:hAnsi="Palatino Linotype"/>
          <w:sz w:val="22"/>
          <w:szCs w:val="22"/>
          <w:lang w:val="en-US"/>
        </w:rPr>
        <w:t>.</w:t>
      </w:r>
    </w:p>
    <w:p w:rsidR="000F236F" w:rsidRDefault="000F236F" w:rsidP="000F236F">
      <w:pPr>
        <w:spacing w:before="100" w:beforeAutospacing="1" w:line="276" w:lineRule="auto"/>
        <w:contextualSpacing/>
        <w:jc w:val="both"/>
        <w:rPr>
          <w:rFonts w:ascii="Calibri" w:hAnsi="Calibri"/>
          <w:sz w:val="20"/>
          <w:szCs w:val="20"/>
          <w:lang w:val="en-US"/>
        </w:rPr>
      </w:pPr>
    </w:p>
    <w:p w:rsidR="000F236F" w:rsidRDefault="000F236F" w:rsidP="000F236F">
      <w:pPr>
        <w:spacing w:before="100" w:beforeAutospacing="1" w:line="276" w:lineRule="auto"/>
        <w:contextualSpacing/>
        <w:jc w:val="both"/>
        <w:rPr>
          <w:rFonts w:ascii="Calibri" w:hAnsi="Calibri"/>
          <w:sz w:val="20"/>
          <w:szCs w:val="20"/>
          <w:lang w:val="en-US"/>
        </w:rPr>
      </w:pPr>
    </w:p>
    <w:p w:rsidR="000F236F" w:rsidRDefault="000F236F" w:rsidP="000F236F">
      <w:pPr>
        <w:spacing w:before="100" w:beforeAutospacing="1" w:line="276" w:lineRule="auto"/>
        <w:ind w:left="360"/>
        <w:contextualSpacing/>
        <w:jc w:val="both"/>
        <w:rPr>
          <w:rFonts w:ascii="Palatino Linotype" w:hAnsi="Palatino Linotype"/>
          <w:b/>
          <w:bCs/>
          <w:sz w:val="22"/>
          <w:szCs w:val="20"/>
          <w:lang w:val="en-US"/>
        </w:rPr>
      </w:pPr>
      <w:r>
        <w:rPr>
          <w:rFonts w:ascii="Palatino Linotype" w:eastAsia="Calibri" w:hAnsi="Palatino Linotype"/>
          <w:b/>
          <w:bCs/>
          <w:sz w:val="22"/>
          <w:szCs w:val="20"/>
          <w:lang w:val="en-US"/>
        </w:rPr>
        <w:t xml:space="preserve">Figure 1: World Growth Projections by IMF </w:t>
      </w:r>
    </w:p>
    <w:p w:rsidR="000F236F" w:rsidRDefault="000F236F" w:rsidP="000F236F">
      <w:pPr>
        <w:spacing w:before="100" w:beforeAutospacing="1" w:line="276" w:lineRule="auto"/>
        <w:ind w:left="360"/>
        <w:contextualSpacing/>
        <w:jc w:val="both"/>
        <w:rPr>
          <w:rFonts w:ascii="Palatino Linotype" w:hAnsi="Palatino Linotype"/>
          <w:sz w:val="20"/>
          <w:szCs w:val="20"/>
          <w:lang w:val="en-US"/>
        </w:rPr>
      </w:pPr>
      <w:r>
        <w:rPr>
          <w:rFonts w:ascii="Palatino Linotype" w:hAnsi="Palatino Linotype"/>
          <w:noProof/>
          <w:lang w:val="en-IN" w:eastAsia="en-IN" w:bidi="hi-IN"/>
        </w:rPr>
        <w:drawing>
          <wp:inline distT="0" distB="0" distL="114300" distR="114300" wp14:anchorId="4E098CA4" wp14:editId="5F65599A">
            <wp:extent cx="6045835" cy="2974340"/>
            <wp:effectExtent l="0" t="0" r="0" b="0"/>
            <wp:docPr id="1061" name="Image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rsidR="000F236F" w:rsidRDefault="000F236F" w:rsidP="000F236F">
      <w:pPr>
        <w:spacing w:after="200" w:line="276" w:lineRule="auto"/>
        <w:ind w:firstLine="360"/>
        <w:contextualSpacing/>
        <w:rPr>
          <w:rFonts w:ascii="Palatino Linotype" w:hAnsi="Palatino Linotype"/>
          <w:sz w:val="20"/>
          <w:szCs w:val="20"/>
          <w:lang w:val="en-US"/>
        </w:rPr>
      </w:pPr>
      <w:r>
        <w:rPr>
          <w:rFonts w:ascii="Palatino Linotype" w:eastAsia="Calibri" w:hAnsi="Palatino Linotype"/>
          <w:sz w:val="20"/>
          <w:szCs w:val="20"/>
          <w:lang w:val="en-US"/>
        </w:rPr>
        <w:t>Source: World Economic Outlook, October 2020 issue.</w:t>
      </w:r>
    </w:p>
    <w:p w:rsidR="000F236F" w:rsidRDefault="000F236F" w:rsidP="000F236F">
      <w:pPr>
        <w:spacing w:after="200" w:line="276" w:lineRule="auto"/>
        <w:contextualSpacing/>
        <w:rPr>
          <w:rFonts w:ascii="Calibri" w:hAnsi="Calibri"/>
          <w:sz w:val="20"/>
          <w:szCs w:val="20"/>
          <w:lang w:val="en-US"/>
        </w:rPr>
      </w:pPr>
    </w:p>
    <w:p w:rsidR="000F236F" w:rsidRDefault="000F236F" w:rsidP="000F236F">
      <w:pPr>
        <w:spacing w:before="100" w:beforeAutospacing="1" w:line="276" w:lineRule="auto"/>
        <w:ind w:left="360"/>
        <w:contextualSpacing/>
        <w:jc w:val="both"/>
        <w:rPr>
          <w:rFonts w:ascii="Palatino Linotype" w:eastAsia="Times New Roman" w:hAnsi="Palatino Linotype"/>
          <w:sz w:val="22"/>
          <w:szCs w:val="22"/>
          <w:lang w:val="en-US"/>
        </w:rPr>
      </w:pPr>
    </w:p>
    <w:p w:rsidR="000F236F" w:rsidRDefault="000F236F" w:rsidP="00B018BC">
      <w:pPr>
        <w:numPr>
          <w:ilvl w:val="0"/>
          <w:numId w:val="18"/>
        </w:numPr>
        <w:spacing w:before="100" w:beforeAutospacing="1" w:line="276" w:lineRule="auto"/>
        <w:contextualSpacing/>
        <w:jc w:val="both"/>
        <w:rPr>
          <w:rFonts w:ascii="Palatino Linotype" w:eastAsia="Times New Roman" w:hAnsi="Palatino Linotype"/>
          <w:sz w:val="22"/>
          <w:szCs w:val="22"/>
          <w:lang w:val="en-US"/>
        </w:rPr>
      </w:pPr>
      <w:r>
        <w:rPr>
          <w:rFonts w:ascii="Palatino Linotype" w:eastAsia="Times New Roman" w:hAnsi="Palatino Linotype"/>
          <w:sz w:val="22"/>
          <w:szCs w:val="22"/>
          <w:lang w:val="en-US"/>
        </w:rPr>
        <w:t xml:space="preserve">The world economic activity in month of September moderated after a good recovery in the past few months. The JPMorgan Global Composite Purchasing Managers’ Index (PMI), compiled by IHS Markit, declined a little to 52.10 in September 2020 from 52.40 in October 2020. A reading of PMI above 50 means growth or expansion in economic activity. </w:t>
      </w:r>
    </w:p>
    <w:p w:rsidR="000F236F" w:rsidRDefault="000F236F" w:rsidP="000F236F">
      <w:pPr>
        <w:spacing w:before="100" w:beforeAutospacing="1" w:line="276" w:lineRule="auto"/>
        <w:ind w:left="360"/>
        <w:contextualSpacing/>
        <w:jc w:val="both"/>
        <w:rPr>
          <w:rFonts w:ascii="Palatino Linotype" w:eastAsia="Times New Roman" w:hAnsi="Palatino Linotype"/>
          <w:sz w:val="22"/>
          <w:szCs w:val="22"/>
          <w:lang w:val="en-US"/>
        </w:rPr>
      </w:pPr>
    </w:p>
    <w:p w:rsidR="000F236F" w:rsidRDefault="000F236F" w:rsidP="00B018BC">
      <w:pPr>
        <w:numPr>
          <w:ilvl w:val="0"/>
          <w:numId w:val="18"/>
        </w:numPr>
        <w:spacing w:before="100" w:beforeAutospacing="1" w:line="276" w:lineRule="auto"/>
        <w:contextualSpacing/>
        <w:jc w:val="both"/>
        <w:rPr>
          <w:rFonts w:ascii="Palatino Linotype" w:eastAsia="Times New Roman" w:hAnsi="Palatino Linotype"/>
          <w:sz w:val="22"/>
          <w:szCs w:val="22"/>
          <w:lang w:val="en-US"/>
        </w:rPr>
      </w:pPr>
      <w:r>
        <w:rPr>
          <w:rFonts w:ascii="Palatino Linotype" w:eastAsia="Times New Roman" w:hAnsi="Palatino Linotype"/>
          <w:sz w:val="22"/>
          <w:szCs w:val="22"/>
          <w:lang w:val="en-US"/>
        </w:rPr>
        <w:t xml:space="preserve">Meanwhile, most of the global equity markets registered negative returns for the Month of September, after five successive months with positive returns. The Dow Jones Industrial Average of USA declined by 2.3 per cent in September 2020 over previous month. The S&amp;P 500 index decreased by 3.9 per cent, and the tech heavy NASDAQ Composite declined by 5.2 per cent in September 2020 over previous month. </w:t>
      </w:r>
    </w:p>
    <w:p w:rsidR="000F236F" w:rsidRDefault="000F236F" w:rsidP="000F236F">
      <w:pPr>
        <w:spacing w:before="100" w:beforeAutospacing="1" w:line="276" w:lineRule="auto"/>
        <w:ind w:left="360"/>
        <w:contextualSpacing/>
        <w:jc w:val="both"/>
        <w:rPr>
          <w:rFonts w:ascii="Palatino Linotype" w:eastAsia="Times New Roman" w:hAnsi="Palatino Linotype"/>
          <w:sz w:val="22"/>
          <w:szCs w:val="22"/>
          <w:lang w:val="en-US"/>
        </w:rPr>
      </w:pPr>
    </w:p>
    <w:p w:rsidR="000F236F" w:rsidRDefault="000F236F" w:rsidP="00B018BC">
      <w:pPr>
        <w:numPr>
          <w:ilvl w:val="0"/>
          <w:numId w:val="18"/>
        </w:numPr>
        <w:spacing w:before="100" w:beforeAutospacing="1" w:line="276" w:lineRule="auto"/>
        <w:contextualSpacing/>
        <w:jc w:val="both"/>
        <w:rPr>
          <w:rFonts w:ascii="Palatino Linotype" w:eastAsia="Times New Roman" w:hAnsi="Palatino Linotype"/>
          <w:strike/>
          <w:sz w:val="22"/>
          <w:szCs w:val="22"/>
          <w:lang w:val="en-US"/>
        </w:rPr>
      </w:pPr>
      <w:r>
        <w:rPr>
          <w:rFonts w:ascii="Palatino Linotype" w:eastAsia="Times New Roman" w:hAnsi="Palatino Linotype"/>
          <w:sz w:val="22"/>
          <w:szCs w:val="22"/>
          <w:lang w:val="en-US"/>
        </w:rPr>
        <w:t xml:space="preserve">The advanced markets underperformed emerging markets in September 2020. MSCI Emerging Market (EM) index decreased by 1.8 per cent in September 2020 over the previous month, while MSCI World index was down by 3.6 per cent during same period. </w:t>
      </w:r>
    </w:p>
    <w:p w:rsidR="000F236F" w:rsidRDefault="000F236F" w:rsidP="000F236F">
      <w:pPr>
        <w:spacing w:before="100" w:beforeAutospacing="1" w:line="276" w:lineRule="auto"/>
        <w:ind w:left="360"/>
        <w:contextualSpacing/>
        <w:jc w:val="both"/>
        <w:rPr>
          <w:rFonts w:ascii="Palatino Linotype" w:eastAsia="Times New Roman" w:hAnsi="Palatino Linotype"/>
          <w:sz w:val="22"/>
          <w:szCs w:val="22"/>
          <w:lang w:val="en-US"/>
        </w:rPr>
      </w:pPr>
    </w:p>
    <w:p w:rsidR="000F236F" w:rsidRDefault="000F236F" w:rsidP="00B018BC">
      <w:pPr>
        <w:numPr>
          <w:ilvl w:val="0"/>
          <w:numId w:val="18"/>
        </w:numPr>
        <w:spacing w:before="100" w:beforeAutospacing="1" w:line="276" w:lineRule="auto"/>
        <w:contextualSpacing/>
        <w:jc w:val="both"/>
        <w:rPr>
          <w:rFonts w:ascii="Palatino Linotype" w:eastAsia="Times New Roman" w:hAnsi="Palatino Linotype"/>
          <w:sz w:val="22"/>
          <w:szCs w:val="22"/>
          <w:lang w:val="en-US"/>
        </w:rPr>
      </w:pPr>
      <w:r>
        <w:rPr>
          <w:rFonts w:ascii="Palatino Linotype" w:eastAsia="Times New Roman" w:hAnsi="Palatino Linotype"/>
          <w:sz w:val="22"/>
          <w:szCs w:val="22"/>
          <w:lang w:val="en-US"/>
        </w:rPr>
        <w:lastRenderedPageBreak/>
        <w:t>The volatility returned to the equity markets during mid-September 2020, however subsided significantly towards the end of the month. The CBOE VIX index remained unchanged at 26.4 by the end of September 2020</w:t>
      </w:r>
    </w:p>
    <w:p w:rsidR="000F236F" w:rsidRDefault="000F236F" w:rsidP="000F236F">
      <w:pPr>
        <w:spacing w:before="100" w:beforeAutospacing="1" w:line="276" w:lineRule="auto"/>
        <w:ind w:left="360"/>
        <w:contextualSpacing/>
        <w:jc w:val="both"/>
        <w:rPr>
          <w:rFonts w:ascii="Palatino Linotype" w:eastAsia="Times New Roman" w:hAnsi="Palatino Linotype"/>
          <w:sz w:val="22"/>
          <w:szCs w:val="22"/>
          <w:lang w:val="en-US"/>
        </w:rPr>
      </w:pPr>
    </w:p>
    <w:p w:rsidR="000F236F" w:rsidRDefault="000F236F" w:rsidP="00B018BC">
      <w:pPr>
        <w:numPr>
          <w:ilvl w:val="0"/>
          <w:numId w:val="18"/>
        </w:numPr>
        <w:spacing w:before="100" w:beforeAutospacing="1" w:line="276" w:lineRule="auto"/>
        <w:contextualSpacing/>
        <w:jc w:val="both"/>
        <w:rPr>
          <w:rFonts w:ascii="Palatino Linotype" w:eastAsia="Times New Roman" w:hAnsi="Palatino Linotype"/>
          <w:sz w:val="22"/>
          <w:szCs w:val="22"/>
          <w:lang w:val="en-US"/>
        </w:rPr>
      </w:pPr>
      <w:r>
        <w:rPr>
          <w:rFonts w:ascii="Palatino Linotype" w:eastAsia="Times New Roman" w:hAnsi="Palatino Linotype"/>
          <w:sz w:val="22"/>
          <w:szCs w:val="22"/>
          <w:lang w:val="en-US"/>
        </w:rPr>
        <w:t>The yields in the bond markets softened during September 2020. The US 10-year government bond yield decreased by 2 bps to 0.68 per cent, while the 10 year Eurobond yield declined by 6 bps to 0.12 per cent.</w:t>
      </w:r>
    </w:p>
    <w:p w:rsidR="000F236F" w:rsidRDefault="000F236F" w:rsidP="000F236F">
      <w:pPr>
        <w:spacing w:before="100" w:beforeAutospacing="1" w:line="276" w:lineRule="auto"/>
        <w:ind w:left="360"/>
        <w:contextualSpacing/>
        <w:jc w:val="both"/>
        <w:rPr>
          <w:rFonts w:ascii="Palatino Linotype" w:eastAsia="Times New Roman" w:hAnsi="Palatino Linotype"/>
          <w:sz w:val="22"/>
          <w:szCs w:val="22"/>
          <w:lang w:val="en-US"/>
        </w:rPr>
      </w:pPr>
    </w:p>
    <w:p w:rsidR="000F236F" w:rsidRDefault="000F236F" w:rsidP="00B018BC">
      <w:pPr>
        <w:numPr>
          <w:ilvl w:val="0"/>
          <w:numId w:val="18"/>
        </w:numPr>
        <w:spacing w:before="100" w:beforeAutospacing="1" w:line="276" w:lineRule="auto"/>
        <w:contextualSpacing/>
        <w:jc w:val="both"/>
        <w:rPr>
          <w:rFonts w:ascii="Palatino Linotype" w:eastAsia="Times New Roman" w:hAnsi="Palatino Linotype"/>
          <w:sz w:val="22"/>
          <w:szCs w:val="22"/>
          <w:lang w:val="en-US"/>
        </w:rPr>
      </w:pPr>
      <w:r>
        <w:rPr>
          <w:rFonts w:ascii="Palatino Linotype" w:eastAsia="Times New Roman" w:hAnsi="Palatino Linotype"/>
          <w:sz w:val="22"/>
          <w:szCs w:val="22"/>
          <w:lang w:val="en-US"/>
        </w:rPr>
        <w:t>The crude oil prices increased by USD 2.5 per barrel (or by 5.6 per cent) to USD 40.2 per barrel in September 2020 on hope of rising demand globally. Gold prices too decreased by USD 92.8 per ounce (or by 4.2 per cent) to USD 1,885.8, after touching high of USD 2,089.2 during the month amid overall risk averseness. </w:t>
      </w:r>
    </w:p>
    <w:p w:rsidR="000F236F" w:rsidRDefault="000F236F" w:rsidP="000F236F">
      <w:pPr>
        <w:spacing w:before="100" w:beforeAutospacing="1" w:line="276" w:lineRule="auto"/>
        <w:ind w:left="360"/>
        <w:contextualSpacing/>
        <w:jc w:val="both"/>
        <w:rPr>
          <w:rFonts w:ascii="Palatino Linotype" w:eastAsia="Times New Roman" w:hAnsi="Palatino Linotype"/>
          <w:sz w:val="22"/>
          <w:szCs w:val="22"/>
          <w:lang w:val="en-US"/>
        </w:rPr>
      </w:pPr>
    </w:p>
    <w:p w:rsidR="000F236F" w:rsidRDefault="000F236F" w:rsidP="00B018BC">
      <w:pPr>
        <w:numPr>
          <w:ilvl w:val="0"/>
          <w:numId w:val="18"/>
        </w:numPr>
        <w:spacing w:before="100" w:beforeAutospacing="1" w:line="276" w:lineRule="auto"/>
        <w:contextualSpacing/>
        <w:jc w:val="both"/>
        <w:rPr>
          <w:rFonts w:ascii="Palatino Linotype" w:eastAsia="Times New Roman" w:hAnsi="Palatino Linotype"/>
          <w:sz w:val="22"/>
          <w:szCs w:val="22"/>
          <w:lang w:val="en-US"/>
        </w:rPr>
      </w:pPr>
      <w:r>
        <w:rPr>
          <w:rFonts w:ascii="Palatino Linotype" w:eastAsia="Times New Roman" w:hAnsi="Palatino Linotype"/>
          <w:sz w:val="22"/>
          <w:szCs w:val="22"/>
          <w:lang w:val="en-US"/>
        </w:rPr>
        <w:t>The US economy contracted by 9.0 per cent Q-o-Q (31.4 per cent Q-o-Q in annualised terms) in the Q2 of 2020, compared to contraction of 5.0 per cent in the Q1 of 2020. It is the biggest contraction ever, pushing the economy into a recession as the coronavirus pandemic forced many businesses to stay shut and people to stay at home during Q2 of 2020. The US unemployment rate fell to 7.9 per cent in September of 2020 from 8.4 per cent in the previous month, as gradual re-opening of economy continues. The US PMI data indicate the moderation in the economic activity in September 2020. The IHS Market’s US Composite PMI moderated up to 54.4 in September 2020 from 54.6 in August 2020.</w:t>
      </w:r>
    </w:p>
    <w:p w:rsidR="000F236F" w:rsidRDefault="000F236F" w:rsidP="000F236F">
      <w:pPr>
        <w:spacing w:after="200" w:line="276" w:lineRule="auto"/>
        <w:ind w:left="720"/>
        <w:contextualSpacing/>
        <w:rPr>
          <w:rFonts w:ascii="Palatino Linotype" w:eastAsia="Times New Roman" w:hAnsi="Palatino Linotype"/>
          <w:sz w:val="22"/>
          <w:szCs w:val="22"/>
          <w:lang w:val="en-US"/>
        </w:rPr>
      </w:pPr>
    </w:p>
    <w:p w:rsidR="000F236F" w:rsidRDefault="000F236F" w:rsidP="00B018BC">
      <w:pPr>
        <w:numPr>
          <w:ilvl w:val="0"/>
          <w:numId w:val="18"/>
        </w:numPr>
        <w:spacing w:before="100" w:beforeAutospacing="1" w:line="276" w:lineRule="auto"/>
        <w:contextualSpacing/>
        <w:jc w:val="both"/>
        <w:rPr>
          <w:rFonts w:ascii="Palatino Linotype" w:eastAsia="Times New Roman" w:hAnsi="Palatino Linotype"/>
          <w:sz w:val="22"/>
          <w:szCs w:val="22"/>
          <w:lang w:val="en-US"/>
        </w:rPr>
      </w:pPr>
      <w:r>
        <w:rPr>
          <w:rFonts w:ascii="Palatino Linotype" w:eastAsia="Times New Roman" w:hAnsi="Palatino Linotype"/>
          <w:sz w:val="22"/>
          <w:szCs w:val="22"/>
          <w:lang w:val="en-US"/>
        </w:rPr>
        <w:t xml:space="preserve">The UK economy contracted by 19.8 per cent Q-o-Q in Q2 of 2020, largest-ever contraction on record, as the coronavirus lockdown impacted the economic activity in the country. In the previous quarter GDP had contracted by 2.2 per cent Q-o-Q. The flash UK composite PMI for September 2020 dropped to 55.7, compared to 59.1 in previous month. </w:t>
      </w:r>
    </w:p>
    <w:p w:rsidR="000F236F" w:rsidRDefault="000F236F" w:rsidP="000F236F">
      <w:pPr>
        <w:spacing w:before="100" w:beforeAutospacing="1" w:line="276" w:lineRule="auto"/>
        <w:ind w:left="360"/>
        <w:contextualSpacing/>
        <w:jc w:val="both"/>
        <w:rPr>
          <w:rFonts w:ascii="Palatino Linotype" w:eastAsia="Times New Roman" w:hAnsi="Palatino Linotype"/>
          <w:sz w:val="22"/>
          <w:szCs w:val="22"/>
          <w:lang w:val="en-US"/>
        </w:rPr>
      </w:pPr>
    </w:p>
    <w:p w:rsidR="000F236F" w:rsidRDefault="000F236F" w:rsidP="00B018BC">
      <w:pPr>
        <w:numPr>
          <w:ilvl w:val="0"/>
          <w:numId w:val="18"/>
        </w:numPr>
        <w:spacing w:before="100" w:beforeAutospacing="1" w:line="276" w:lineRule="auto"/>
        <w:contextualSpacing/>
        <w:jc w:val="both"/>
        <w:rPr>
          <w:rFonts w:ascii="Palatino Linotype" w:eastAsia="Times New Roman" w:hAnsi="Palatino Linotype"/>
          <w:sz w:val="22"/>
          <w:szCs w:val="22"/>
          <w:lang w:val="en-US"/>
        </w:rPr>
      </w:pPr>
      <w:r>
        <w:rPr>
          <w:rFonts w:ascii="Palatino Linotype" w:eastAsia="Times New Roman" w:hAnsi="Palatino Linotype"/>
          <w:sz w:val="22"/>
          <w:szCs w:val="22"/>
          <w:lang w:val="en-US"/>
        </w:rPr>
        <w:t xml:space="preserve">The Eurozone economy contracted by 11.8 per cent Q-o-Q in Q2 of 2020, after a contraction of 3.3 per cent in Q1 of 2020. Among the Member States, Spain (-18.5 per cent Q-o-Q) recorded the highest decline compared to the previous quarter, followed by Portugal (-14.1 per cent), France (-13.8 per cent), Italy (-12.4 per cent), and Germany (-10.1 per cent). The economic activity in the Eurozone declined in August 2020. The flash Eurozone composite PMI for September 2020 fell to 53.7, compared to 51.9 in August 2020. The IMF expects Eurozone output to contract by 10.2 per cent in 2020. </w:t>
      </w:r>
    </w:p>
    <w:p w:rsidR="000F236F" w:rsidRDefault="000F236F" w:rsidP="000F236F">
      <w:pPr>
        <w:spacing w:before="100" w:beforeAutospacing="1" w:line="276" w:lineRule="auto"/>
        <w:ind w:left="360"/>
        <w:contextualSpacing/>
        <w:jc w:val="both"/>
        <w:rPr>
          <w:rFonts w:ascii="Palatino Linotype" w:eastAsia="Times New Roman" w:hAnsi="Palatino Linotype"/>
          <w:sz w:val="22"/>
          <w:szCs w:val="22"/>
          <w:lang w:val="en-US"/>
        </w:rPr>
      </w:pPr>
    </w:p>
    <w:p w:rsidR="000F236F" w:rsidRDefault="000F236F" w:rsidP="00B018BC">
      <w:pPr>
        <w:numPr>
          <w:ilvl w:val="0"/>
          <w:numId w:val="18"/>
        </w:numPr>
        <w:spacing w:before="100" w:beforeAutospacing="1" w:line="276" w:lineRule="auto"/>
        <w:contextualSpacing/>
        <w:jc w:val="both"/>
        <w:rPr>
          <w:rFonts w:ascii="Palatino Linotype" w:eastAsia="Times New Roman" w:hAnsi="Palatino Linotype"/>
          <w:sz w:val="22"/>
          <w:szCs w:val="22"/>
          <w:lang w:val="en-US"/>
        </w:rPr>
      </w:pPr>
      <w:r>
        <w:rPr>
          <w:rFonts w:ascii="Palatino Linotype" w:eastAsia="Times New Roman" w:hAnsi="Palatino Linotype"/>
          <w:sz w:val="22"/>
          <w:szCs w:val="22"/>
          <w:lang w:val="en-US"/>
        </w:rPr>
        <w:t>The state-run Brazilian Institute of Geography and Statistics (IBGE) announced on September 02, 2020 that Brazil's economy entered a technical recession after contracting 9.7 percent in the second quarter of the year compared to the first.</w:t>
      </w:r>
    </w:p>
    <w:p w:rsidR="000F236F" w:rsidRDefault="000F236F" w:rsidP="000F236F">
      <w:pPr>
        <w:spacing w:before="100" w:beforeAutospacing="1" w:line="276" w:lineRule="auto"/>
        <w:ind w:left="360"/>
        <w:contextualSpacing/>
        <w:jc w:val="both"/>
        <w:rPr>
          <w:rFonts w:ascii="Palatino Linotype" w:eastAsia="Times New Roman" w:hAnsi="Palatino Linotype"/>
          <w:sz w:val="22"/>
          <w:szCs w:val="22"/>
          <w:lang w:val="en-US"/>
        </w:rPr>
      </w:pPr>
    </w:p>
    <w:p w:rsidR="000F236F" w:rsidRDefault="00F91C2B" w:rsidP="00B018BC">
      <w:pPr>
        <w:numPr>
          <w:ilvl w:val="0"/>
          <w:numId w:val="18"/>
        </w:numPr>
        <w:spacing w:before="100" w:beforeAutospacing="1" w:line="276" w:lineRule="auto"/>
        <w:contextualSpacing/>
        <w:jc w:val="both"/>
        <w:rPr>
          <w:rFonts w:ascii="Palatino Linotype" w:eastAsia="Times New Roman" w:hAnsi="Palatino Linotype"/>
          <w:sz w:val="22"/>
          <w:szCs w:val="22"/>
          <w:lang w:val="en-US"/>
        </w:rPr>
      </w:pPr>
      <w:hyperlink r:id="rId30" w:tooltip="Australian Bureau of Statistics" w:history="1">
        <w:r w:rsidR="000F236F">
          <w:rPr>
            <w:rFonts w:ascii="Palatino Linotype" w:eastAsia="Times New Roman" w:hAnsi="Palatino Linotype"/>
            <w:sz w:val="22"/>
            <w:szCs w:val="22"/>
            <w:lang w:val="en-US"/>
          </w:rPr>
          <w:t>Bureau of Statistics</w:t>
        </w:r>
      </w:hyperlink>
      <w:r w:rsidR="000F236F">
        <w:rPr>
          <w:rFonts w:ascii="Palatino Linotype" w:eastAsia="Times New Roman" w:hAnsi="Palatino Linotype"/>
          <w:sz w:val="22"/>
          <w:szCs w:val="22"/>
          <w:lang w:val="en-US"/>
        </w:rPr>
        <w:t xml:space="preserve">, Australia reports a 7 per cent decline in </w:t>
      </w:r>
      <w:hyperlink r:id="rId31" w:tooltip="Gross domestic product" w:history="1">
        <w:r w:rsidR="000F236F">
          <w:rPr>
            <w:rFonts w:ascii="Palatino Linotype" w:eastAsia="Times New Roman" w:hAnsi="Palatino Linotype"/>
            <w:sz w:val="22"/>
            <w:szCs w:val="22"/>
            <w:lang w:val="en-US"/>
          </w:rPr>
          <w:t>GDP</w:t>
        </w:r>
      </w:hyperlink>
      <w:r w:rsidR="000F236F">
        <w:rPr>
          <w:rFonts w:ascii="Palatino Linotype" w:eastAsia="Times New Roman" w:hAnsi="Palatino Linotype"/>
          <w:sz w:val="22"/>
          <w:szCs w:val="22"/>
          <w:lang w:val="en-US"/>
        </w:rPr>
        <w:t xml:space="preserve"> in June quarter.</w:t>
      </w:r>
    </w:p>
    <w:p w:rsidR="000F236F" w:rsidRDefault="000F236F" w:rsidP="000F236F">
      <w:pPr>
        <w:spacing w:before="100" w:beforeAutospacing="1" w:line="276" w:lineRule="auto"/>
        <w:ind w:left="360"/>
        <w:contextualSpacing/>
        <w:jc w:val="both"/>
        <w:rPr>
          <w:rFonts w:ascii="Palatino Linotype" w:eastAsia="Times New Roman" w:hAnsi="Palatino Linotype"/>
          <w:sz w:val="22"/>
          <w:szCs w:val="22"/>
          <w:lang w:val="en-US"/>
        </w:rPr>
      </w:pPr>
    </w:p>
    <w:p w:rsidR="000F236F" w:rsidRDefault="000F236F" w:rsidP="00B018BC">
      <w:pPr>
        <w:numPr>
          <w:ilvl w:val="0"/>
          <w:numId w:val="18"/>
        </w:numPr>
        <w:spacing w:before="100" w:beforeAutospacing="1" w:line="276" w:lineRule="auto"/>
        <w:contextualSpacing/>
        <w:jc w:val="both"/>
        <w:rPr>
          <w:rFonts w:ascii="Palatino Linotype" w:eastAsia="Times New Roman" w:hAnsi="Palatino Linotype"/>
          <w:sz w:val="22"/>
          <w:szCs w:val="22"/>
          <w:lang w:val="en-US"/>
        </w:rPr>
      </w:pPr>
      <w:r>
        <w:rPr>
          <w:rFonts w:ascii="Palatino Linotype" w:eastAsia="Times New Roman" w:hAnsi="Palatino Linotype"/>
          <w:sz w:val="22"/>
          <w:szCs w:val="22"/>
          <w:lang w:val="en-US"/>
        </w:rPr>
        <w:lastRenderedPageBreak/>
        <w:t xml:space="preserve">In a widely anticipated move, the Federal Open Market Committee (FOMC), in its September meeting, left the interest rate unchanged at zero to 0.25 per cent to support the U.S. economy as it recovers from the deep impact of the COVID-19 lockdowns. The US federal reserve (Fed) also signaled that interest rates would remain near zero at least through 2023. In more dovish commentary, the Fed expressed its commitment in using its full range of tools to support the US economy in this challenging time, thereby promoting its maximum employment and price stability goals. According to Fed chair, Jerome Powell, the economic recovery in US has progressed more quickly than generally expected, however overall activity still remained below the level before start of the pandemic.  The IMF upwardly revised USA growth expectations for 2020 to -4.3 per cent from earlier forecast of -8.0 per cent. </w:t>
      </w:r>
    </w:p>
    <w:p w:rsidR="000F236F" w:rsidRDefault="000F236F" w:rsidP="000F236F">
      <w:pPr>
        <w:rPr>
          <w:rFonts w:ascii="Palatino Linotype" w:eastAsia="Times New Roman" w:hAnsi="Palatino Linotype"/>
          <w:sz w:val="22"/>
          <w:szCs w:val="22"/>
        </w:rPr>
      </w:pPr>
    </w:p>
    <w:p w:rsidR="000F236F" w:rsidRDefault="000F236F" w:rsidP="00B018BC">
      <w:pPr>
        <w:numPr>
          <w:ilvl w:val="0"/>
          <w:numId w:val="18"/>
        </w:numPr>
        <w:spacing w:before="100" w:beforeAutospacing="1" w:line="276" w:lineRule="auto"/>
        <w:contextualSpacing/>
        <w:jc w:val="both"/>
        <w:rPr>
          <w:rFonts w:ascii="Palatino Linotype" w:eastAsia="Times New Roman" w:hAnsi="Palatino Linotype"/>
          <w:sz w:val="22"/>
          <w:szCs w:val="22"/>
          <w:lang w:val="en-US"/>
        </w:rPr>
      </w:pPr>
      <w:r>
        <w:rPr>
          <w:rFonts w:ascii="Palatino Linotype" w:eastAsia="Times New Roman" w:hAnsi="Palatino Linotype"/>
          <w:sz w:val="22"/>
          <w:szCs w:val="22"/>
          <w:lang w:val="en-US"/>
        </w:rPr>
        <w:t>The European Central Bank (ECB) decided to keep its interest rates and emergency coronavirus stimulus program unchanged, while it monitors the economic strength of the Euro zone. The core inflation in the Eurozone dropped unexpectedly to 0.4 per cent in August 2020 from 1.2 per cent in July 2020, which may cause ECB to introduce more monetary stimulus. In April 2020, the ECB started Pandemic Emergency Purchase Program (PEPP), a more flexible program of government bond purchases. This was further expanded by 600 billion Euros in June 2020, bringing the size of the stimulus program to 1.35 trillion Euros ($1.54 trillion) to be deployed until June 2021, or until the bank believes the crisis is over.</w:t>
      </w:r>
    </w:p>
    <w:p w:rsidR="000F236F" w:rsidRDefault="000F236F" w:rsidP="000F236F">
      <w:pPr>
        <w:spacing w:before="100" w:beforeAutospacing="1" w:line="276" w:lineRule="auto"/>
        <w:ind w:left="360"/>
        <w:contextualSpacing/>
        <w:jc w:val="both"/>
        <w:rPr>
          <w:rFonts w:ascii="Palatino Linotype" w:eastAsia="Times New Roman" w:hAnsi="Palatino Linotype"/>
          <w:sz w:val="22"/>
          <w:szCs w:val="22"/>
          <w:rtl/>
          <w:cs/>
          <w:lang w:val="en-US"/>
        </w:rPr>
      </w:pPr>
    </w:p>
    <w:p w:rsidR="000F236F" w:rsidRDefault="000F236F" w:rsidP="00B018BC">
      <w:pPr>
        <w:numPr>
          <w:ilvl w:val="0"/>
          <w:numId w:val="18"/>
        </w:numPr>
        <w:spacing w:before="100" w:beforeAutospacing="1" w:line="276" w:lineRule="auto"/>
        <w:contextualSpacing/>
        <w:jc w:val="both"/>
        <w:rPr>
          <w:rFonts w:ascii="Palatino Linotype" w:eastAsia="Times New Roman" w:hAnsi="Palatino Linotype"/>
          <w:sz w:val="22"/>
          <w:szCs w:val="22"/>
          <w:lang w:val="en-US"/>
        </w:rPr>
      </w:pPr>
      <w:r>
        <w:rPr>
          <w:rFonts w:ascii="Palatino Linotype" w:eastAsia="Times New Roman" w:hAnsi="Palatino Linotype"/>
          <w:sz w:val="22"/>
          <w:szCs w:val="22"/>
          <w:lang w:val="en-US"/>
        </w:rPr>
        <w:t xml:space="preserve">GDP growth of China rebounded strongly by 3.2 per cent year-on-year in Q2 of 2020, after contracting by 6.8 per cent in Q1 of 2020. According to IMF projections, the Chinese economy is expected to slow down to 1.9 per cent in 2020 before recovering to strong growth of 8.2 per cent in 2021. </w:t>
      </w:r>
    </w:p>
    <w:p w:rsidR="000F236F" w:rsidRDefault="000F236F" w:rsidP="000F236F">
      <w:pPr>
        <w:spacing w:before="100" w:beforeAutospacing="1" w:line="276" w:lineRule="auto"/>
        <w:ind w:left="360"/>
        <w:contextualSpacing/>
        <w:jc w:val="both"/>
        <w:rPr>
          <w:rFonts w:ascii="Palatino Linotype" w:eastAsia="Times New Roman" w:hAnsi="Palatino Linotype"/>
          <w:sz w:val="22"/>
          <w:szCs w:val="22"/>
          <w:lang w:val="en-US"/>
        </w:rPr>
      </w:pPr>
    </w:p>
    <w:p w:rsidR="000F236F" w:rsidRDefault="000F236F" w:rsidP="00B018BC">
      <w:pPr>
        <w:numPr>
          <w:ilvl w:val="0"/>
          <w:numId w:val="18"/>
        </w:numPr>
        <w:spacing w:before="100" w:beforeAutospacing="1" w:line="276" w:lineRule="auto"/>
        <w:contextualSpacing/>
        <w:jc w:val="both"/>
        <w:rPr>
          <w:rFonts w:ascii="Palatino Linotype" w:eastAsia="Times New Roman" w:hAnsi="Palatino Linotype"/>
          <w:sz w:val="22"/>
          <w:szCs w:val="22"/>
          <w:lang w:val="en-US"/>
        </w:rPr>
      </w:pPr>
      <w:r>
        <w:rPr>
          <w:rFonts w:ascii="Palatino Linotype" w:eastAsia="Times New Roman" w:hAnsi="Palatino Linotype"/>
          <w:sz w:val="22"/>
          <w:szCs w:val="22"/>
          <w:lang w:val="en-US"/>
        </w:rPr>
        <w:t xml:space="preserve">India’s GDP growth contracted sharply by 23.9 per cent Y-o-Y in Q1 of 2020-21, the biggest contraction on record, compared to 3.1 per cent in Q4 of 2019-20. The business activity in construction (-50.3 per cent), hotels and transportation (-47.0 per cent) and manufacturing (-39.3 per cent) sectors recorded the biggest falls. Meanwhile, India GDP forecast by IMF for 2020-21 was revised sharply downwards to -10.3 per cent, compared to its earlier forecast of growth of -4.5.  According to IMF projections, the Indian economy is expected to grow by 8.8 per cent in 2021. </w:t>
      </w:r>
    </w:p>
    <w:p w:rsidR="000F236F" w:rsidRDefault="000F236F" w:rsidP="000F236F">
      <w:pPr>
        <w:spacing w:before="100" w:beforeAutospacing="1" w:line="276" w:lineRule="auto"/>
        <w:ind w:left="360"/>
        <w:contextualSpacing/>
        <w:jc w:val="both"/>
        <w:rPr>
          <w:rFonts w:ascii="Palatino Linotype" w:eastAsia="Times New Roman" w:hAnsi="Palatino Linotype"/>
          <w:sz w:val="22"/>
          <w:szCs w:val="22"/>
          <w:lang w:val="en-US"/>
        </w:rPr>
      </w:pPr>
    </w:p>
    <w:p w:rsidR="000F236F" w:rsidRDefault="000F236F" w:rsidP="00B018BC">
      <w:pPr>
        <w:numPr>
          <w:ilvl w:val="0"/>
          <w:numId w:val="18"/>
        </w:numPr>
        <w:spacing w:before="100" w:beforeAutospacing="1" w:line="276" w:lineRule="auto"/>
        <w:contextualSpacing/>
        <w:jc w:val="both"/>
        <w:rPr>
          <w:rFonts w:ascii="Palatino Linotype" w:eastAsia="Times New Roman" w:hAnsi="Palatino Linotype"/>
          <w:sz w:val="22"/>
          <w:szCs w:val="22"/>
          <w:lang w:val="en-US"/>
        </w:rPr>
      </w:pPr>
      <w:r>
        <w:rPr>
          <w:rFonts w:ascii="Palatino Linotype" w:eastAsia="Times New Roman" w:hAnsi="Palatino Linotype"/>
          <w:sz w:val="22"/>
          <w:szCs w:val="22"/>
          <w:lang w:val="en-US"/>
        </w:rPr>
        <w:t>Retail inflation (CPI Inflation) in India spiked to 7.3 per cent in September 2020 from 6.7 per cent in previous month. Index of Industrial Production (IIP) contracted at slower pace (-8.0 per cent Y-o-Y) in August 2020, compared to 10.4 per cent contraction in July 2020. India’s PMI data indicated strong pick up in the economic activity in the month of September 2020.  India’s composite PMI expanded for the first time in six months rising from 46.0 in August to 54.6 in September. The manufacturing PMI for September improved remarkably to 56.8 in September from 52.0 in August, the highest reading for the indicator since January 2012. The services PMI too improved to 49.8 in September from 41.8 in August.</w:t>
      </w:r>
    </w:p>
    <w:p w:rsidR="00DB5405" w:rsidRDefault="00DB5405" w:rsidP="00DB5405">
      <w:pPr>
        <w:pStyle w:val="ListParagraph"/>
        <w:rPr>
          <w:rFonts w:ascii="Palatino Linotype" w:eastAsia="Times New Roman" w:hAnsi="Palatino Linotype"/>
          <w:sz w:val="22"/>
          <w:szCs w:val="22"/>
        </w:rPr>
      </w:pPr>
    </w:p>
    <w:p w:rsidR="00DB5405" w:rsidRDefault="00DB5405" w:rsidP="00DB5405">
      <w:pPr>
        <w:numPr>
          <w:ilvl w:val="0"/>
          <w:numId w:val="18"/>
        </w:numPr>
        <w:spacing w:before="100" w:beforeAutospacing="1" w:line="276" w:lineRule="auto"/>
        <w:contextualSpacing/>
        <w:jc w:val="both"/>
        <w:rPr>
          <w:rFonts w:ascii="Palatino Linotype" w:eastAsia="Times New Roman" w:hAnsi="Palatino Linotype"/>
          <w:sz w:val="22"/>
          <w:szCs w:val="22"/>
          <w:lang w:val="en-US"/>
        </w:rPr>
      </w:pPr>
      <w:r>
        <w:rPr>
          <w:rFonts w:ascii="Palatino Linotype" w:eastAsia="Times New Roman" w:hAnsi="Palatino Linotype"/>
          <w:sz w:val="22"/>
          <w:szCs w:val="22"/>
          <w:lang w:val="en-US"/>
        </w:rPr>
        <w:lastRenderedPageBreak/>
        <w:t>The International Monetary Fund (IMF), in its World Economic Outlook, October 2020 issue, revised upward the world economic growth for 2020 to -4.4 per cent from -4.9 per cent forecast made in June 2020, due to better than expected growth in advanced economies and China during the second quarter of the year and signs of a more rapid recovery in the third quarter. The IMF’s projection assumes that social distancing due to the coronavirus pandemic will continue into 2021, and that local transmission will fall everywhere by the end of 2022.</w:t>
      </w:r>
    </w:p>
    <w:p w:rsidR="00DB5405" w:rsidRDefault="00DB5405" w:rsidP="00DB5405">
      <w:pPr>
        <w:spacing w:before="100" w:beforeAutospacing="1" w:line="276" w:lineRule="auto"/>
        <w:contextualSpacing/>
        <w:jc w:val="both"/>
        <w:rPr>
          <w:rFonts w:ascii="Palatino Linotype" w:eastAsia="Times New Roman" w:hAnsi="Palatino Linotype"/>
          <w:sz w:val="22"/>
          <w:szCs w:val="22"/>
          <w:lang w:val="en-US"/>
        </w:rPr>
      </w:pPr>
    </w:p>
    <w:p w:rsidR="00DB5405" w:rsidRDefault="00DB5405" w:rsidP="00DB5405">
      <w:pPr>
        <w:numPr>
          <w:ilvl w:val="0"/>
          <w:numId w:val="18"/>
        </w:numPr>
        <w:spacing w:before="100" w:beforeAutospacing="1" w:line="276" w:lineRule="auto"/>
        <w:contextualSpacing/>
        <w:jc w:val="both"/>
        <w:rPr>
          <w:rFonts w:ascii="Palatino Linotype" w:eastAsia="Times New Roman" w:hAnsi="Palatino Linotype"/>
          <w:sz w:val="22"/>
          <w:szCs w:val="22"/>
          <w:lang w:val="en-US"/>
        </w:rPr>
      </w:pPr>
      <w:r>
        <w:rPr>
          <w:rFonts w:ascii="Palatino Linotype" w:eastAsia="Times New Roman" w:hAnsi="Palatino Linotype"/>
          <w:sz w:val="22"/>
          <w:szCs w:val="22"/>
          <w:lang w:val="en-US"/>
        </w:rPr>
        <w:t>The IMF chief economist, Gita Gopinath, on October 13, warned that although the global economy is coming back, the ascent will likely be long, uneven, and uncertain. The growth prospects have worsened significantly in some emerging market and developing economies. Emerging market and developing economies are seen contracting by 3.3 per cent this year, but in places like India, GDP is seen falling by more than 10 per cent.</w:t>
      </w:r>
    </w:p>
    <w:p w:rsidR="00DB5405" w:rsidRDefault="00DB5405" w:rsidP="00DB5405">
      <w:pPr>
        <w:spacing w:before="100" w:beforeAutospacing="1" w:line="276" w:lineRule="auto"/>
        <w:ind w:left="360"/>
        <w:contextualSpacing/>
        <w:jc w:val="both"/>
        <w:rPr>
          <w:rFonts w:ascii="Palatino Linotype" w:eastAsia="Times New Roman" w:hAnsi="Palatino Linotype"/>
          <w:sz w:val="22"/>
          <w:szCs w:val="22"/>
          <w:lang w:val="en-US"/>
        </w:rPr>
      </w:pPr>
    </w:p>
    <w:p w:rsidR="000F236F" w:rsidRDefault="000F236F" w:rsidP="000F236F">
      <w:pPr>
        <w:spacing w:line="23" w:lineRule="atLeast"/>
        <w:ind w:left="720"/>
        <w:contextualSpacing/>
        <w:rPr>
          <w:rFonts w:ascii="Garamond" w:eastAsia="Times New Roman" w:hAnsi="Garamond"/>
          <w:b/>
          <w:strike/>
          <w:sz w:val="22"/>
          <w:szCs w:val="22"/>
          <w:lang w:val="en-US" w:eastAsia="en-GB"/>
        </w:rPr>
      </w:pPr>
    </w:p>
    <w:p w:rsidR="000F236F" w:rsidRDefault="000F236F" w:rsidP="000F236F">
      <w:pPr>
        <w:spacing w:line="23" w:lineRule="atLeast"/>
        <w:ind w:left="180"/>
        <w:contextualSpacing/>
        <w:rPr>
          <w:rFonts w:ascii="Palatino Linotype" w:eastAsia="Times New Roman" w:hAnsi="Palatino Linotype"/>
          <w:b/>
          <w:sz w:val="22"/>
          <w:szCs w:val="22"/>
          <w:lang w:val="en-US" w:eastAsia="en-GB"/>
        </w:rPr>
      </w:pPr>
      <w:r>
        <w:rPr>
          <w:rFonts w:ascii="Palatino Linotype" w:eastAsia="Times New Roman" w:hAnsi="Palatino Linotype"/>
          <w:b/>
          <w:sz w:val="22"/>
          <w:szCs w:val="22"/>
          <w:lang w:val="en-US" w:eastAsia="en-GB"/>
        </w:rPr>
        <w:t>Market Trends</w:t>
      </w:r>
      <w:r>
        <w:rPr>
          <w:rFonts w:ascii="Palatino Linotype" w:eastAsia="Times New Roman" w:hAnsi="Palatino Linotype"/>
          <w:b/>
          <w:sz w:val="22"/>
          <w:szCs w:val="22"/>
          <w:vertAlign w:val="superscript"/>
          <w:lang w:val="en-US" w:eastAsia="en-GB"/>
        </w:rPr>
        <w:footnoteReference w:id="3"/>
      </w:r>
      <w:r>
        <w:rPr>
          <w:rFonts w:ascii="Palatino Linotype" w:eastAsia="Times New Roman" w:hAnsi="Palatino Linotype"/>
          <w:b/>
          <w:sz w:val="22"/>
          <w:szCs w:val="22"/>
          <w:lang w:val="en-US" w:eastAsia="en-GB"/>
        </w:rPr>
        <w:t xml:space="preserve"> – </w:t>
      </w:r>
    </w:p>
    <w:p w:rsidR="000F236F" w:rsidRDefault="000F236F" w:rsidP="000F236F">
      <w:pPr>
        <w:spacing w:line="23" w:lineRule="atLeast"/>
        <w:ind w:left="180"/>
        <w:contextualSpacing/>
        <w:rPr>
          <w:rFonts w:ascii="Palatino Linotype" w:eastAsia="Times New Roman" w:hAnsi="Palatino Linotype"/>
          <w:b/>
          <w:sz w:val="22"/>
          <w:szCs w:val="22"/>
          <w:lang w:val="en-US" w:eastAsia="en-GB"/>
        </w:rPr>
      </w:pPr>
    </w:p>
    <w:p w:rsidR="000F236F" w:rsidRDefault="000F236F" w:rsidP="000F236F">
      <w:pPr>
        <w:spacing w:line="360" w:lineRule="auto"/>
        <w:ind w:left="720"/>
        <w:contextualSpacing/>
        <w:rPr>
          <w:rFonts w:ascii="Palatino Linotype" w:eastAsia="Times New Roman" w:hAnsi="Palatino Linotype"/>
          <w:b/>
          <w:sz w:val="22"/>
          <w:szCs w:val="22"/>
          <w:lang w:val="en-US" w:eastAsia="en-GB"/>
        </w:rPr>
      </w:pPr>
      <w:r>
        <w:rPr>
          <w:rFonts w:ascii="Palatino Linotype" w:eastAsia="Times New Roman" w:hAnsi="Palatino Linotype"/>
          <w:b/>
          <w:sz w:val="22"/>
          <w:szCs w:val="22"/>
          <w:u w:val="single"/>
          <w:lang w:val="en-US" w:eastAsia="en-GB"/>
        </w:rPr>
        <w:t>Equity Markets (Figures 2-3, Table A1)</w:t>
      </w:r>
      <w:r>
        <w:rPr>
          <w:rFonts w:ascii="Palatino Linotype" w:eastAsia="Times New Roman" w:hAnsi="Palatino Linotype"/>
          <w:b/>
          <w:sz w:val="22"/>
          <w:szCs w:val="22"/>
          <w:lang w:val="en-US" w:eastAsia="en-GB"/>
        </w:rPr>
        <w:t>-</w:t>
      </w:r>
    </w:p>
    <w:p w:rsidR="000F236F" w:rsidRDefault="000F236F" w:rsidP="00B018BC">
      <w:pPr>
        <w:numPr>
          <w:ilvl w:val="0"/>
          <w:numId w:val="18"/>
        </w:numPr>
        <w:spacing w:line="276" w:lineRule="auto"/>
        <w:ind w:left="357" w:hanging="357"/>
        <w:jc w:val="both"/>
        <w:rPr>
          <w:rFonts w:ascii="Palatino Linotype" w:eastAsia="Times New Roman" w:hAnsi="Palatino Linotype"/>
          <w:bCs/>
          <w:color w:val="FF0000"/>
          <w:sz w:val="22"/>
          <w:szCs w:val="22"/>
          <w:lang w:val="en-US" w:eastAsia="en-GB"/>
        </w:rPr>
      </w:pPr>
      <w:r>
        <w:rPr>
          <w:rFonts w:ascii="Palatino Linotype" w:eastAsia="Times New Roman" w:hAnsi="Palatino Linotype"/>
          <w:bCs/>
          <w:sz w:val="22"/>
          <w:szCs w:val="22"/>
          <w:lang w:val="en-US" w:eastAsia="en-GB"/>
        </w:rPr>
        <w:t>In the month of September 2020, highest annualized monthly volatility amongst the BRICS countries was observed in Shanghai Composite (37.8 per cent) followed by Nifty 50 Index (</w:t>
      </w:r>
      <w:r>
        <w:rPr>
          <w:rFonts w:ascii="Palatino Linotype" w:eastAsia="Times New Roman" w:hAnsi="Palatino Linotype"/>
          <w:sz w:val="22"/>
          <w:szCs w:val="22"/>
          <w:lang w:val="en-IN" w:eastAsia="en-IN"/>
        </w:rPr>
        <w:t>36.3 per cent</w:t>
      </w:r>
      <w:r>
        <w:rPr>
          <w:rFonts w:ascii="Palatino Linotype" w:eastAsia="Times New Roman" w:hAnsi="Palatino Linotype"/>
          <w:bCs/>
          <w:sz w:val="22"/>
          <w:szCs w:val="22"/>
          <w:lang w:val="en-US" w:eastAsia="en-GB"/>
        </w:rPr>
        <w:t xml:space="preserve">) and S&amp;P BSE SENSEX (35.5 per cent). The lowest annualized volatility among BRICS was observed in South Africa FTSE (20.5 per cent) and Brazil IBOVESPA (28.8 per cent). Among the developed markets, highest annualized volatility was observed in US Nasdaq composite (74.8 per cent) and the lowest was observed at Singapore STI (14.5 per cent)). </w:t>
      </w:r>
    </w:p>
    <w:p w:rsidR="000F236F" w:rsidRDefault="000F236F" w:rsidP="000F236F">
      <w:pPr>
        <w:spacing w:line="276" w:lineRule="auto"/>
        <w:ind w:left="357"/>
        <w:jc w:val="both"/>
        <w:rPr>
          <w:rFonts w:ascii="Garamond" w:eastAsia="Times New Roman" w:hAnsi="Garamond"/>
          <w:bCs/>
          <w:color w:val="FF0000"/>
          <w:lang w:val="en-US" w:eastAsia="en-GB"/>
        </w:rPr>
      </w:pPr>
    </w:p>
    <w:p w:rsidR="000F236F" w:rsidRDefault="000F236F" w:rsidP="00B018BC">
      <w:pPr>
        <w:numPr>
          <w:ilvl w:val="0"/>
          <w:numId w:val="18"/>
        </w:numPr>
        <w:spacing w:line="276" w:lineRule="auto"/>
        <w:contextualSpacing/>
        <w:jc w:val="both"/>
        <w:rPr>
          <w:rFonts w:ascii="Palatino Linotype" w:eastAsia="Times New Roman" w:hAnsi="Palatino Linotype"/>
          <w:bCs/>
          <w:sz w:val="22"/>
          <w:szCs w:val="22"/>
          <w:lang w:val="en-US" w:eastAsia="en-GB"/>
        </w:rPr>
      </w:pPr>
      <w:r>
        <w:rPr>
          <w:rFonts w:ascii="Palatino Linotype" w:eastAsia="Times New Roman" w:hAnsi="Palatino Linotype"/>
          <w:bCs/>
          <w:sz w:val="22"/>
          <w:szCs w:val="22"/>
          <w:lang w:val="en-US" w:eastAsia="en-GB"/>
        </w:rPr>
        <w:t>In most of the analyzed markets, monthly decline was observed in indices during September 2020. In BRICS nations the lowest decline was observed in India (Nifty 50 (1.2 per cent) and S&amp;P BSE SENSEX (1.5 per cent)) followed by</w:t>
      </w:r>
      <w:r>
        <w:t xml:space="preserve"> </w:t>
      </w:r>
      <w:r>
        <w:rPr>
          <w:rFonts w:ascii="Palatino Linotype" w:eastAsia="Times New Roman" w:hAnsi="Palatino Linotype"/>
          <w:bCs/>
          <w:sz w:val="22"/>
          <w:szCs w:val="22"/>
          <w:lang w:val="en-US" w:eastAsia="en-GB"/>
        </w:rPr>
        <w:t xml:space="preserve">South Africa FTSE (2.2 per cent). The highest monthly decline was observed in Russia Traded (8.0 per cent) followed by Shanghai Composite (5.2 per cent). Among the developed economies, in the month of September 2020, highest growth was observed for Japan Nikkei (0.2 per cent) followed by South Korea Kospi (0.1 per cent). Monthly decline in growth was observed in Hong Kong Hang Seng (-6.8 per cent) followed by US Nasdaq Composite (-5.2 per cent) and France CAC 40 (2.9 per cent). Growth for Germany DAX, UK FTSE and Dow Jones was -1.4, -1.6 and -2.3 per cent respectively. </w:t>
      </w:r>
    </w:p>
    <w:p w:rsidR="000F236F" w:rsidRDefault="000F236F" w:rsidP="000F236F">
      <w:pPr>
        <w:spacing w:line="276" w:lineRule="auto"/>
        <w:jc w:val="both"/>
        <w:rPr>
          <w:rFonts w:ascii="Palatino Linotype" w:eastAsia="Times New Roman" w:hAnsi="Palatino Linotype"/>
          <w:bCs/>
          <w:sz w:val="22"/>
          <w:szCs w:val="22"/>
          <w:lang w:eastAsia="en-GB"/>
        </w:rPr>
      </w:pPr>
    </w:p>
    <w:p w:rsidR="000F236F" w:rsidRDefault="000F236F" w:rsidP="000F236F">
      <w:pPr>
        <w:rPr>
          <w:rFonts w:ascii="Garamond" w:hAnsi="Garamond"/>
          <w:b/>
          <w:bCs/>
          <w:noProof/>
          <w:lang w:val="en-US"/>
        </w:rPr>
      </w:pPr>
      <w:r>
        <w:rPr>
          <w:rFonts w:ascii="Garamond" w:hAnsi="Garamond"/>
          <w:b/>
          <w:bCs/>
          <w:noProof/>
          <w:lang w:val="en-US"/>
        </w:rPr>
        <w:br w:type="page"/>
      </w:r>
    </w:p>
    <w:p w:rsidR="000F236F" w:rsidRDefault="000F236F" w:rsidP="000F236F">
      <w:pPr>
        <w:spacing w:line="23" w:lineRule="atLeast"/>
        <w:jc w:val="both"/>
        <w:outlineLvl w:val="0"/>
        <w:rPr>
          <w:rFonts w:ascii="Garamond" w:hAnsi="Garamond"/>
          <w:b/>
          <w:bCs/>
          <w:szCs w:val="22"/>
        </w:rPr>
      </w:pPr>
      <w:r>
        <w:rPr>
          <w:rFonts w:ascii="Garamond" w:hAnsi="Garamond"/>
          <w:b/>
          <w:bCs/>
          <w:noProof/>
          <w:lang w:val="en-US"/>
        </w:rPr>
        <w:lastRenderedPageBreak/>
        <w:t>Figure</w:t>
      </w:r>
      <w:r>
        <w:rPr>
          <w:rFonts w:ascii="Garamond" w:hAnsi="Garamond"/>
          <w:b/>
          <w:bCs/>
          <w:szCs w:val="22"/>
        </w:rPr>
        <w:t xml:space="preserve"> 2: Stock Market Trends in Selected Developed Markets</w:t>
      </w:r>
    </w:p>
    <w:p w:rsidR="000F236F" w:rsidRDefault="000F236F" w:rsidP="000F236F">
      <w:pPr>
        <w:spacing w:line="23" w:lineRule="atLeast"/>
        <w:jc w:val="both"/>
        <w:outlineLvl w:val="0"/>
        <w:rPr>
          <w:rFonts w:ascii="Garamond" w:hAnsi="Garamond"/>
          <w:bCs/>
          <w:sz w:val="22"/>
          <w:szCs w:val="22"/>
        </w:rPr>
      </w:pPr>
    </w:p>
    <w:p w:rsidR="000F236F" w:rsidRDefault="000F236F" w:rsidP="000F236F">
      <w:pPr>
        <w:spacing w:line="23" w:lineRule="atLeast"/>
        <w:jc w:val="both"/>
        <w:outlineLvl w:val="0"/>
        <w:rPr>
          <w:rFonts w:ascii="Garamond" w:hAnsi="Garamond"/>
          <w:bCs/>
          <w:sz w:val="18"/>
          <w:szCs w:val="18"/>
        </w:rPr>
      </w:pPr>
      <w:r>
        <w:rPr>
          <w:rFonts w:ascii="Garamond" w:hAnsi="Garamond"/>
          <w:bCs/>
          <w:noProof/>
          <w:sz w:val="18"/>
          <w:szCs w:val="18"/>
          <w:lang w:val="en-IN" w:eastAsia="en-IN" w:bidi="hi-IN"/>
        </w:rPr>
        <w:object w:dxaOrig="12126" w:dyaOrig="7585" w14:anchorId="2F57A09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1062" o:spid="_x0000_i1025" type="#_x0000_t75" style="width:464.25pt;height:290.15pt;visibility:visible;mso-wrap-distance-left:0;mso-wrap-distance-right:0" o:ole="">
            <v:imagedata r:id="rId32" o:title="" embosscolor="white"/>
          </v:shape>
          <o:OLEObject Type="Embed" ProgID="Excel.Sheet.8" ShapeID="1062" DrawAspect="Content" ObjectID="_1665917644" r:id="rId33"/>
        </w:object>
      </w:r>
    </w:p>
    <w:p w:rsidR="000F236F" w:rsidRDefault="000F236F" w:rsidP="000F236F">
      <w:pPr>
        <w:spacing w:line="23" w:lineRule="atLeast"/>
        <w:jc w:val="both"/>
        <w:outlineLvl w:val="0"/>
        <w:rPr>
          <w:rFonts w:ascii="Garamond" w:hAnsi="Garamond"/>
          <w:bCs/>
          <w:sz w:val="18"/>
          <w:szCs w:val="18"/>
        </w:rPr>
      </w:pPr>
      <w:r>
        <w:rPr>
          <w:rFonts w:ascii="Garamond" w:hAnsi="Garamond"/>
          <w:bCs/>
          <w:sz w:val="18"/>
          <w:szCs w:val="18"/>
        </w:rPr>
        <w:t>Note: All indices have been normalised to 100 on 30 September 2019.</w:t>
      </w:r>
    </w:p>
    <w:p w:rsidR="000F236F" w:rsidRDefault="000F236F" w:rsidP="000F236F">
      <w:pPr>
        <w:spacing w:line="23" w:lineRule="atLeast"/>
        <w:jc w:val="both"/>
        <w:outlineLvl w:val="0"/>
        <w:rPr>
          <w:rFonts w:ascii="Garamond" w:hAnsi="Garamond"/>
          <w:bCs/>
          <w:sz w:val="18"/>
          <w:szCs w:val="18"/>
        </w:rPr>
      </w:pPr>
      <w:r>
        <w:rPr>
          <w:rFonts w:ascii="Garamond" w:hAnsi="Garamond"/>
          <w:bCs/>
          <w:sz w:val="18"/>
          <w:szCs w:val="18"/>
        </w:rPr>
        <w:t>Source: Bloomberg</w:t>
      </w:r>
    </w:p>
    <w:p w:rsidR="000F236F" w:rsidRDefault="000F236F" w:rsidP="000F236F">
      <w:pPr>
        <w:spacing w:line="23" w:lineRule="atLeast"/>
        <w:rPr>
          <w:rFonts w:ascii="Garamond" w:hAnsi="Garamond"/>
          <w:bCs/>
          <w:sz w:val="22"/>
          <w:szCs w:val="22"/>
        </w:rPr>
      </w:pPr>
    </w:p>
    <w:p w:rsidR="000F236F" w:rsidRDefault="000F236F" w:rsidP="000F236F">
      <w:pPr>
        <w:spacing w:line="23" w:lineRule="atLeast"/>
        <w:rPr>
          <w:rFonts w:ascii="Garamond" w:hAnsi="Garamond"/>
          <w:b/>
          <w:bCs/>
          <w:szCs w:val="22"/>
        </w:rPr>
      </w:pPr>
    </w:p>
    <w:p w:rsidR="000F236F" w:rsidRDefault="000F236F" w:rsidP="000F236F">
      <w:pPr>
        <w:spacing w:line="23" w:lineRule="atLeast"/>
        <w:rPr>
          <w:rFonts w:ascii="Garamond" w:hAnsi="Garamond"/>
          <w:b/>
          <w:bCs/>
          <w:szCs w:val="22"/>
        </w:rPr>
      </w:pPr>
      <w:r>
        <w:rPr>
          <w:rFonts w:ascii="Garamond" w:hAnsi="Garamond"/>
          <w:b/>
          <w:bCs/>
          <w:szCs w:val="22"/>
        </w:rPr>
        <w:t>Figure 3: Stock Market Trends in Selected Emerging Markets</w:t>
      </w:r>
    </w:p>
    <w:p w:rsidR="000F236F" w:rsidRDefault="000F236F" w:rsidP="000F236F">
      <w:pPr>
        <w:spacing w:line="23" w:lineRule="atLeast"/>
        <w:rPr>
          <w:rFonts w:ascii="Garamond" w:hAnsi="Garamond"/>
          <w:bCs/>
          <w:sz w:val="22"/>
          <w:szCs w:val="22"/>
        </w:rPr>
      </w:pPr>
      <w:r>
        <w:rPr>
          <w:rFonts w:ascii="Garamond" w:hAnsi="Garamond"/>
          <w:bCs/>
          <w:noProof/>
          <w:sz w:val="22"/>
          <w:szCs w:val="22"/>
          <w:lang w:val="en-IN" w:eastAsia="en-IN" w:bidi="hi-IN"/>
        </w:rPr>
        <w:drawing>
          <wp:inline distT="0" distB="0" distL="0" distR="0" wp14:anchorId="4E2B439C" wp14:editId="6CCD8944">
            <wp:extent cx="5906020" cy="3697355"/>
            <wp:effectExtent l="0" t="0" r="0" b="0"/>
            <wp:docPr id="1063" name="Pictur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42"/>
                    <pic:cNvPicPr/>
                  </pic:nvPicPr>
                  <pic:blipFill>
                    <a:blip r:embed="rId34" cstate="print"/>
                    <a:srcRect/>
                    <a:stretch/>
                  </pic:blipFill>
                  <pic:spPr>
                    <a:xfrm>
                      <a:off x="0" y="0"/>
                      <a:ext cx="5906020" cy="3697355"/>
                    </a:xfrm>
                    <a:prstGeom prst="rect">
                      <a:avLst/>
                    </a:prstGeom>
                  </pic:spPr>
                </pic:pic>
              </a:graphicData>
            </a:graphic>
          </wp:inline>
        </w:drawing>
      </w:r>
    </w:p>
    <w:p w:rsidR="000F236F" w:rsidRDefault="000F236F" w:rsidP="000F236F">
      <w:pPr>
        <w:spacing w:line="23" w:lineRule="atLeast"/>
        <w:jc w:val="both"/>
        <w:outlineLvl w:val="0"/>
        <w:rPr>
          <w:rFonts w:ascii="Garamond" w:hAnsi="Garamond"/>
          <w:bCs/>
          <w:sz w:val="18"/>
          <w:szCs w:val="18"/>
        </w:rPr>
      </w:pPr>
      <w:r>
        <w:rPr>
          <w:rFonts w:ascii="Garamond" w:hAnsi="Garamond"/>
          <w:bCs/>
          <w:sz w:val="18"/>
          <w:szCs w:val="18"/>
        </w:rPr>
        <w:t>Note: All indices have been normalised to 100 on 30 September 2019.</w:t>
      </w:r>
    </w:p>
    <w:p w:rsidR="000F236F" w:rsidRDefault="000F236F" w:rsidP="000F236F">
      <w:pPr>
        <w:spacing w:line="23" w:lineRule="atLeast"/>
        <w:jc w:val="both"/>
        <w:outlineLvl w:val="0"/>
        <w:rPr>
          <w:rFonts w:ascii="Garamond" w:hAnsi="Garamond"/>
          <w:bCs/>
          <w:sz w:val="18"/>
          <w:szCs w:val="18"/>
        </w:rPr>
      </w:pPr>
      <w:r>
        <w:rPr>
          <w:rFonts w:ascii="Garamond" w:hAnsi="Garamond"/>
          <w:bCs/>
          <w:sz w:val="18"/>
          <w:szCs w:val="18"/>
        </w:rPr>
        <w:t>Source: Bloomberg</w:t>
      </w:r>
    </w:p>
    <w:p w:rsidR="000F236F" w:rsidRDefault="000F236F" w:rsidP="000F236F">
      <w:pPr>
        <w:spacing w:line="23" w:lineRule="atLeast"/>
        <w:ind w:left="360"/>
        <w:contextualSpacing/>
        <w:jc w:val="both"/>
        <w:rPr>
          <w:rFonts w:ascii="Garamond" w:hAnsi="Garamond"/>
          <w:bCs/>
          <w:strike/>
          <w:sz w:val="22"/>
          <w:szCs w:val="22"/>
          <w:lang w:val="en-US"/>
        </w:rPr>
      </w:pPr>
    </w:p>
    <w:p w:rsidR="000F236F" w:rsidRDefault="000F236F" w:rsidP="000F236F">
      <w:pPr>
        <w:spacing w:line="360" w:lineRule="auto"/>
        <w:ind w:left="720"/>
        <w:contextualSpacing/>
        <w:rPr>
          <w:rFonts w:ascii="Garamond" w:eastAsia="Times New Roman" w:hAnsi="Garamond"/>
          <w:b/>
          <w:szCs w:val="22"/>
          <w:u w:val="single"/>
          <w:lang w:val="en-US" w:eastAsia="en-GB"/>
        </w:rPr>
      </w:pPr>
    </w:p>
    <w:p w:rsidR="000F236F" w:rsidRDefault="000F236F" w:rsidP="000F236F">
      <w:pPr>
        <w:spacing w:line="276" w:lineRule="auto"/>
        <w:ind w:left="720"/>
        <w:contextualSpacing/>
        <w:rPr>
          <w:rFonts w:ascii="Garamond" w:hAnsi="Garamond"/>
          <w:bCs/>
          <w:strike/>
          <w:sz w:val="22"/>
          <w:szCs w:val="22"/>
          <w:lang w:val="en-US"/>
        </w:rPr>
      </w:pPr>
      <w:r>
        <w:rPr>
          <w:rFonts w:ascii="Garamond" w:eastAsia="Times New Roman" w:hAnsi="Garamond"/>
          <w:b/>
          <w:sz w:val="22"/>
          <w:szCs w:val="22"/>
          <w:u w:val="single"/>
          <w:lang w:val="en-US" w:eastAsia="en-GB"/>
        </w:rPr>
        <w:lastRenderedPageBreak/>
        <w:t>BOND Market (Figures 4-5)</w:t>
      </w:r>
    </w:p>
    <w:p w:rsidR="000F236F" w:rsidRDefault="000F236F" w:rsidP="00B018BC">
      <w:pPr>
        <w:numPr>
          <w:ilvl w:val="0"/>
          <w:numId w:val="18"/>
        </w:numPr>
        <w:spacing w:line="276" w:lineRule="auto"/>
        <w:contextualSpacing/>
        <w:jc w:val="both"/>
        <w:rPr>
          <w:rFonts w:ascii="Palatino Linotype" w:hAnsi="Palatino Linotype"/>
          <w:bCs/>
          <w:color w:val="FF0000"/>
          <w:sz w:val="22"/>
          <w:szCs w:val="22"/>
          <w:lang w:val="en-US"/>
        </w:rPr>
      </w:pPr>
      <w:r>
        <w:rPr>
          <w:rFonts w:ascii="Palatino Linotype" w:eastAsia="Times New Roman" w:hAnsi="Palatino Linotype"/>
          <w:bCs/>
          <w:color w:val="000000"/>
          <w:sz w:val="22"/>
          <w:szCs w:val="22"/>
          <w:lang w:val="en-US" w:eastAsia="en-GB"/>
        </w:rPr>
        <w:t>Among the countries analysed for bond yield</w:t>
      </w:r>
      <w:r>
        <w:rPr>
          <w:rFonts w:ascii="Palatino Linotype" w:eastAsia="Times New Roman" w:hAnsi="Palatino Linotype"/>
          <w:bCs/>
          <w:color w:val="000000"/>
          <w:sz w:val="22"/>
          <w:szCs w:val="22"/>
          <w:vertAlign w:val="superscript"/>
          <w:lang w:val="en-US" w:eastAsia="en-GB"/>
        </w:rPr>
        <w:footnoteReference w:id="4"/>
      </w:r>
      <w:r>
        <w:rPr>
          <w:rFonts w:ascii="Palatino Linotype" w:eastAsia="Times New Roman" w:hAnsi="Palatino Linotype"/>
          <w:bCs/>
          <w:color w:val="000000"/>
          <w:sz w:val="22"/>
          <w:szCs w:val="22"/>
          <w:lang w:val="en-US" w:eastAsia="en-GB"/>
        </w:rPr>
        <w:t>, 10-year bond yield showed a negative change for most developed and developing economies (Chart 3 &amp; 4) except for Germany, Brazil, China and Russia in September 2020.</w:t>
      </w:r>
    </w:p>
    <w:p w:rsidR="000F236F" w:rsidRDefault="000F236F" w:rsidP="000F236F">
      <w:pPr>
        <w:spacing w:line="276" w:lineRule="auto"/>
        <w:ind w:left="360"/>
        <w:contextualSpacing/>
        <w:jc w:val="both"/>
        <w:rPr>
          <w:rFonts w:ascii="Palatino Linotype" w:hAnsi="Palatino Linotype"/>
          <w:bCs/>
          <w:color w:val="FF0000"/>
          <w:sz w:val="22"/>
          <w:szCs w:val="22"/>
          <w:lang w:val="en-US"/>
        </w:rPr>
      </w:pPr>
    </w:p>
    <w:p w:rsidR="000F236F" w:rsidRDefault="000F236F" w:rsidP="000F236F">
      <w:pPr>
        <w:spacing w:line="23" w:lineRule="atLeast"/>
        <w:rPr>
          <w:rFonts w:ascii="Garamond" w:hAnsi="Garamond"/>
          <w:bCs/>
          <w:strike/>
          <w:sz w:val="22"/>
          <w:szCs w:val="22"/>
        </w:rPr>
      </w:pPr>
    </w:p>
    <w:p w:rsidR="000F236F" w:rsidRDefault="000F236F" w:rsidP="000F236F">
      <w:pPr>
        <w:rPr>
          <w:rFonts w:ascii="Garamond" w:hAnsi="Garamond"/>
          <w:b/>
          <w:bCs/>
          <w:szCs w:val="22"/>
        </w:rPr>
      </w:pPr>
      <w:r>
        <w:rPr>
          <w:rFonts w:ascii="Garamond" w:hAnsi="Garamond"/>
          <w:b/>
          <w:bCs/>
          <w:szCs w:val="22"/>
        </w:rPr>
        <w:t>Figure 4: Movement of 10-year Government Bond Yields in Developed Nations</w:t>
      </w:r>
    </w:p>
    <w:p w:rsidR="000F236F" w:rsidRDefault="000F236F" w:rsidP="000F236F">
      <w:pPr>
        <w:rPr>
          <w:rFonts w:ascii="Garamond" w:hAnsi="Garamond"/>
          <w:bCs/>
          <w:sz w:val="22"/>
          <w:szCs w:val="22"/>
        </w:rPr>
      </w:pPr>
    </w:p>
    <w:p w:rsidR="000F236F" w:rsidRDefault="000F236F" w:rsidP="000F236F">
      <w:pPr>
        <w:spacing w:line="23" w:lineRule="atLeast"/>
        <w:jc w:val="both"/>
        <w:outlineLvl w:val="0"/>
        <w:rPr>
          <w:rFonts w:ascii="Garamond" w:hAnsi="Garamond"/>
          <w:bCs/>
          <w:sz w:val="22"/>
          <w:szCs w:val="22"/>
        </w:rPr>
      </w:pPr>
      <w:r>
        <w:rPr>
          <w:rFonts w:ascii="Garamond" w:hAnsi="Garamond"/>
          <w:bCs/>
          <w:noProof/>
          <w:sz w:val="22"/>
          <w:szCs w:val="22"/>
          <w:lang w:val="en-IN" w:eastAsia="en-IN" w:bidi="hi-IN"/>
        </w:rPr>
        <w:drawing>
          <wp:inline distT="0" distB="0" distL="0" distR="0" wp14:anchorId="2417EE7D" wp14:editId="452503C2">
            <wp:extent cx="5933887" cy="2969121"/>
            <wp:effectExtent l="0" t="0" r="0" b="3175"/>
            <wp:docPr id="1064" name="Pictur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43"/>
                    <pic:cNvPicPr/>
                  </pic:nvPicPr>
                  <pic:blipFill>
                    <a:blip r:embed="rId35" cstate="print"/>
                    <a:srcRect/>
                    <a:stretch/>
                  </pic:blipFill>
                  <pic:spPr>
                    <a:xfrm>
                      <a:off x="0" y="0"/>
                      <a:ext cx="5933887" cy="2969121"/>
                    </a:xfrm>
                    <a:prstGeom prst="rect">
                      <a:avLst/>
                    </a:prstGeom>
                  </pic:spPr>
                </pic:pic>
              </a:graphicData>
            </a:graphic>
          </wp:inline>
        </w:drawing>
      </w:r>
    </w:p>
    <w:p w:rsidR="000F236F" w:rsidRDefault="000F236F" w:rsidP="000F236F">
      <w:pPr>
        <w:spacing w:line="23" w:lineRule="atLeast"/>
        <w:jc w:val="both"/>
        <w:outlineLvl w:val="0"/>
        <w:rPr>
          <w:rFonts w:ascii="Garamond" w:hAnsi="Garamond"/>
          <w:bCs/>
          <w:sz w:val="18"/>
          <w:szCs w:val="18"/>
        </w:rPr>
      </w:pPr>
      <w:r>
        <w:rPr>
          <w:rFonts w:ascii="Garamond" w:hAnsi="Garamond"/>
          <w:bCs/>
          <w:sz w:val="18"/>
          <w:szCs w:val="18"/>
        </w:rPr>
        <w:t>Source: Bloomberg</w:t>
      </w:r>
    </w:p>
    <w:p w:rsidR="000F236F" w:rsidRDefault="000F236F" w:rsidP="000F236F">
      <w:pPr>
        <w:spacing w:line="23" w:lineRule="atLeast"/>
        <w:jc w:val="both"/>
        <w:outlineLvl w:val="0"/>
        <w:rPr>
          <w:rFonts w:ascii="Garamond" w:hAnsi="Garamond"/>
          <w:bCs/>
          <w:sz w:val="22"/>
          <w:szCs w:val="22"/>
        </w:rPr>
      </w:pPr>
    </w:p>
    <w:p w:rsidR="000F236F" w:rsidRDefault="000F236F" w:rsidP="000F236F">
      <w:pPr>
        <w:rPr>
          <w:rFonts w:ascii="Garamond" w:hAnsi="Garamond"/>
          <w:bCs/>
          <w:strike/>
          <w:sz w:val="22"/>
          <w:szCs w:val="22"/>
        </w:rPr>
      </w:pPr>
    </w:p>
    <w:p w:rsidR="000F236F" w:rsidRDefault="000F236F" w:rsidP="000F236F">
      <w:pPr>
        <w:spacing w:line="23" w:lineRule="atLeast"/>
        <w:jc w:val="both"/>
        <w:outlineLvl w:val="0"/>
        <w:rPr>
          <w:rFonts w:ascii="Garamond" w:hAnsi="Garamond"/>
          <w:b/>
          <w:bCs/>
          <w:szCs w:val="22"/>
        </w:rPr>
      </w:pPr>
      <w:r>
        <w:rPr>
          <w:rFonts w:ascii="Garamond" w:hAnsi="Garamond"/>
          <w:b/>
          <w:bCs/>
          <w:szCs w:val="22"/>
        </w:rPr>
        <w:t>Figure 5: Movement of 10-year Government Bond Yields in BRIC Nations</w:t>
      </w:r>
    </w:p>
    <w:p w:rsidR="000F236F" w:rsidRDefault="000F236F" w:rsidP="000F236F">
      <w:pPr>
        <w:spacing w:line="23" w:lineRule="atLeast"/>
        <w:jc w:val="both"/>
        <w:outlineLvl w:val="0"/>
        <w:rPr>
          <w:rFonts w:ascii="Garamond" w:hAnsi="Garamond"/>
          <w:bCs/>
          <w:sz w:val="22"/>
          <w:szCs w:val="22"/>
        </w:rPr>
      </w:pPr>
      <w:r>
        <w:rPr>
          <w:rFonts w:ascii="Garamond" w:hAnsi="Garamond"/>
          <w:bCs/>
          <w:noProof/>
          <w:sz w:val="22"/>
          <w:szCs w:val="22"/>
          <w:lang w:val="en-IN" w:eastAsia="en-IN" w:bidi="hi-IN"/>
        </w:rPr>
        <w:drawing>
          <wp:inline distT="0" distB="0" distL="0" distR="0" wp14:anchorId="380DF4DB" wp14:editId="0A774510">
            <wp:extent cx="5871897" cy="2941982"/>
            <wp:effectExtent l="0" t="0" r="0" b="0"/>
            <wp:docPr id="1065" name="Pictur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Picture 44"/>
                    <pic:cNvPicPr/>
                  </pic:nvPicPr>
                  <pic:blipFill>
                    <a:blip r:embed="rId36" cstate="print"/>
                    <a:srcRect/>
                    <a:stretch/>
                  </pic:blipFill>
                  <pic:spPr>
                    <a:xfrm>
                      <a:off x="0" y="0"/>
                      <a:ext cx="5871897" cy="2941982"/>
                    </a:xfrm>
                    <a:prstGeom prst="rect">
                      <a:avLst/>
                    </a:prstGeom>
                  </pic:spPr>
                </pic:pic>
              </a:graphicData>
            </a:graphic>
          </wp:inline>
        </w:drawing>
      </w:r>
    </w:p>
    <w:p w:rsidR="000F236F" w:rsidRDefault="000F236F" w:rsidP="000F236F">
      <w:pPr>
        <w:spacing w:line="23" w:lineRule="atLeast"/>
        <w:jc w:val="both"/>
        <w:outlineLvl w:val="0"/>
        <w:rPr>
          <w:rFonts w:ascii="Garamond" w:hAnsi="Garamond"/>
          <w:bCs/>
          <w:sz w:val="18"/>
          <w:szCs w:val="18"/>
        </w:rPr>
      </w:pPr>
      <w:r>
        <w:rPr>
          <w:rFonts w:ascii="Garamond" w:hAnsi="Garamond"/>
          <w:bCs/>
          <w:sz w:val="18"/>
          <w:szCs w:val="18"/>
        </w:rPr>
        <w:t>Source: Bloomberg</w:t>
      </w:r>
    </w:p>
    <w:p w:rsidR="000F236F" w:rsidRDefault="000F236F" w:rsidP="000F236F">
      <w:pPr>
        <w:spacing w:line="23" w:lineRule="atLeast"/>
        <w:jc w:val="both"/>
        <w:rPr>
          <w:rFonts w:ascii="Garamond" w:eastAsia="Times New Roman" w:hAnsi="Garamond"/>
          <w:bCs/>
          <w:sz w:val="22"/>
          <w:szCs w:val="22"/>
          <w:lang w:val="en-US"/>
        </w:rPr>
      </w:pPr>
    </w:p>
    <w:p w:rsidR="000F236F" w:rsidRDefault="000F236F" w:rsidP="000F236F">
      <w:pPr>
        <w:rPr>
          <w:rFonts w:ascii="Garamond" w:eastAsia="Times New Roman" w:hAnsi="Garamond"/>
          <w:b/>
          <w:strike/>
          <w:szCs w:val="22"/>
          <w:u w:val="single"/>
          <w:lang w:val="en-US"/>
        </w:rPr>
      </w:pPr>
      <w:r>
        <w:rPr>
          <w:rFonts w:ascii="Garamond" w:eastAsia="Times New Roman" w:hAnsi="Garamond"/>
          <w:b/>
          <w:strike/>
          <w:szCs w:val="22"/>
          <w:u w:val="single"/>
          <w:lang w:val="en-US"/>
        </w:rPr>
        <w:br w:type="page"/>
      </w:r>
    </w:p>
    <w:p w:rsidR="000F236F" w:rsidRDefault="000F236F" w:rsidP="000F236F">
      <w:pPr>
        <w:spacing w:line="360" w:lineRule="auto"/>
        <w:jc w:val="both"/>
        <w:rPr>
          <w:rFonts w:ascii="Palatino Linotype" w:eastAsia="Times New Roman" w:hAnsi="Palatino Linotype"/>
          <w:b/>
          <w:sz w:val="22"/>
          <w:szCs w:val="22"/>
          <w:lang w:val="en-US"/>
        </w:rPr>
      </w:pPr>
      <w:r>
        <w:rPr>
          <w:rFonts w:ascii="Palatino Linotype" w:eastAsia="Times New Roman" w:hAnsi="Palatino Linotype"/>
          <w:b/>
          <w:sz w:val="22"/>
          <w:szCs w:val="22"/>
          <w:u w:val="single"/>
          <w:lang w:val="en-US"/>
        </w:rPr>
        <w:lastRenderedPageBreak/>
        <w:t>Fund Mobilisation by Issuance of Equity and Bonds (Table A2)</w:t>
      </w:r>
      <w:r>
        <w:rPr>
          <w:rFonts w:ascii="Palatino Linotype" w:eastAsia="Times New Roman" w:hAnsi="Palatino Linotype"/>
          <w:b/>
          <w:sz w:val="22"/>
          <w:szCs w:val="22"/>
          <w:lang w:val="en-US"/>
        </w:rPr>
        <w:t xml:space="preserve"> – </w:t>
      </w:r>
    </w:p>
    <w:p w:rsidR="000F236F" w:rsidRDefault="000F236F" w:rsidP="00B018BC">
      <w:pPr>
        <w:numPr>
          <w:ilvl w:val="0"/>
          <w:numId w:val="18"/>
        </w:numPr>
        <w:spacing w:line="276" w:lineRule="auto"/>
        <w:jc w:val="both"/>
        <w:rPr>
          <w:rFonts w:ascii="Palatino Linotype" w:eastAsia="Times New Roman" w:hAnsi="Palatino Linotype"/>
          <w:bCs/>
          <w:sz w:val="22"/>
          <w:szCs w:val="22"/>
          <w:lang w:val="en-US" w:eastAsia="en-GB"/>
        </w:rPr>
      </w:pPr>
      <w:r>
        <w:rPr>
          <w:rFonts w:ascii="Palatino Linotype" w:eastAsia="Times New Roman" w:hAnsi="Palatino Linotype"/>
          <w:bCs/>
          <w:sz w:val="22"/>
          <w:szCs w:val="22"/>
          <w:lang w:val="en-US" w:eastAsia="en-GB"/>
        </w:rPr>
        <w:t xml:space="preserve">There was a 15.8 per cent decrease in the fund mobilization at the selected analyzed exchanges world-wide during August 2020 (at 3,76,973 million USD) against previous month (at 4,47,550 million USD). Only 15.5 per cent of the total fund mobilization in </w:t>
      </w:r>
      <w:r>
        <w:rPr>
          <w:rFonts w:ascii="Palatino Linotype" w:eastAsia="Times New Roman" w:hAnsi="Palatino Linotype"/>
          <w:bCs/>
          <w:color w:val="000000"/>
          <w:sz w:val="22"/>
          <w:szCs w:val="22"/>
          <w:lang w:val="en-US" w:eastAsia="en-GB"/>
        </w:rPr>
        <w:t xml:space="preserve">August 2020 </w:t>
      </w:r>
      <w:r>
        <w:rPr>
          <w:rFonts w:ascii="Palatino Linotype" w:eastAsia="Times New Roman" w:hAnsi="Palatino Linotype"/>
          <w:bCs/>
          <w:sz w:val="22"/>
          <w:szCs w:val="22"/>
          <w:lang w:val="en-US" w:eastAsia="en-GB"/>
        </w:rPr>
        <w:t>was in equity and remaining was in debt.</w:t>
      </w:r>
    </w:p>
    <w:p w:rsidR="000F236F" w:rsidRDefault="000F236F" w:rsidP="00B018BC">
      <w:pPr>
        <w:numPr>
          <w:ilvl w:val="0"/>
          <w:numId w:val="18"/>
        </w:numPr>
        <w:spacing w:line="276" w:lineRule="auto"/>
        <w:ind w:left="357" w:hanging="357"/>
        <w:jc w:val="both"/>
        <w:rPr>
          <w:rFonts w:ascii="Palatino Linotype" w:eastAsia="Times New Roman" w:hAnsi="Palatino Linotype"/>
          <w:bCs/>
          <w:sz w:val="22"/>
          <w:szCs w:val="22"/>
          <w:lang w:val="en-US" w:eastAsia="en-GB"/>
        </w:rPr>
      </w:pPr>
      <w:r>
        <w:rPr>
          <w:rFonts w:ascii="Palatino Linotype" w:eastAsia="Times New Roman" w:hAnsi="Palatino Linotype"/>
          <w:bCs/>
          <w:sz w:val="22"/>
          <w:szCs w:val="22"/>
          <w:lang w:val="en-US" w:eastAsia="en-GB"/>
        </w:rPr>
        <w:t>As per the data available on World Federation of Exchanges (WFE)</w:t>
      </w:r>
      <w:r>
        <w:rPr>
          <w:rStyle w:val="FootnoteReference"/>
          <w:rFonts w:ascii="Palatino Linotype" w:eastAsia="Times New Roman" w:hAnsi="Palatino Linotype"/>
          <w:bCs/>
          <w:sz w:val="22"/>
          <w:szCs w:val="22"/>
          <w:lang w:val="en-US" w:eastAsia="en-GB"/>
        </w:rPr>
        <w:footnoteReference w:id="5"/>
      </w:r>
      <w:r>
        <w:rPr>
          <w:rFonts w:ascii="Palatino Linotype" w:eastAsia="Times New Roman" w:hAnsi="Palatino Linotype"/>
          <w:bCs/>
          <w:sz w:val="22"/>
          <w:szCs w:val="22"/>
          <w:lang w:val="en-US" w:eastAsia="en-GB"/>
        </w:rPr>
        <w:t>, highest amount mobilized through equities and bonds in August 2020 was at LSE Group (63,609 million USD) followed by</w:t>
      </w:r>
      <w:r>
        <w:rPr>
          <w:rFonts w:ascii="Palatino Linotype" w:hAnsi="Palatino Linotype"/>
          <w:sz w:val="22"/>
          <w:szCs w:val="22"/>
        </w:rPr>
        <w:t xml:space="preserve"> </w:t>
      </w:r>
      <w:r>
        <w:rPr>
          <w:rFonts w:ascii="Palatino Linotype" w:eastAsia="Times New Roman" w:hAnsi="Palatino Linotype"/>
          <w:bCs/>
          <w:sz w:val="22"/>
          <w:szCs w:val="22"/>
          <w:lang w:val="en-US" w:eastAsia="en-GB"/>
        </w:rPr>
        <w:t xml:space="preserve">NSE (61,964 million USD) and Korea Exchange (51,808 million USD). </w:t>
      </w:r>
    </w:p>
    <w:p w:rsidR="000F236F" w:rsidRDefault="000F236F" w:rsidP="00B018BC">
      <w:pPr>
        <w:numPr>
          <w:ilvl w:val="0"/>
          <w:numId w:val="18"/>
        </w:numPr>
        <w:spacing w:line="276" w:lineRule="auto"/>
        <w:ind w:left="357" w:hanging="357"/>
        <w:jc w:val="both"/>
        <w:rPr>
          <w:rFonts w:ascii="Palatino Linotype" w:eastAsia="Times New Roman" w:hAnsi="Palatino Linotype"/>
          <w:bCs/>
          <w:sz w:val="22"/>
          <w:szCs w:val="22"/>
          <w:lang w:val="en-US" w:eastAsia="en-GB"/>
        </w:rPr>
      </w:pPr>
      <w:r>
        <w:rPr>
          <w:rFonts w:ascii="Palatino Linotype" w:eastAsia="Times New Roman" w:hAnsi="Palatino Linotype"/>
          <w:bCs/>
          <w:sz w:val="22"/>
          <w:szCs w:val="22"/>
          <w:lang w:val="en-US" w:eastAsia="en-GB"/>
        </w:rPr>
        <w:t>In August 2020, at LSE Group, 277 million USD were raised through equity and the remaining amount was raised through bonds whereas at NSE 6,617 million USD were raised through equity and the remaining amount was raised through bonds. At Korea Exchange entire amount mobilized was though bonds.</w:t>
      </w:r>
    </w:p>
    <w:p w:rsidR="000F236F" w:rsidRDefault="000F236F" w:rsidP="00B018BC">
      <w:pPr>
        <w:numPr>
          <w:ilvl w:val="0"/>
          <w:numId w:val="18"/>
        </w:numPr>
        <w:spacing w:line="276" w:lineRule="auto"/>
        <w:ind w:left="357" w:hanging="357"/>
        <w:jc w:val="both"/>
        <w:rPr>
          <w:rFonts w:ascii="Palatino Linotype" w:eastAsia="Times New Roman" w:hAnsi="Palatino Linotype"/>
          <w:bCs/>
          <w:sz w:val="22"/>
          <w:szCs w:val="22"/>
          <w:lang w:val="en-US" w:eastAsia="en-GB"/>
        </w:rPr>
      </w:pPr>
      <w:r>
        <w:rPr>
          <w:rFonts w:ascii="Palatino Linotype" w:eastAsia="Times New Roman" w:hAnsi="Palatino Linotype"/>
          <w:bCs/>
          <w:sz w:val="22"/>
          <w:szCs w:val="22"/>
          <w:lang w:val="en-US" w:eastAsia="en-GB"/>
        </w:rPr>
        <w:t xml:space="preserve">Maximum fund mobilization through equities in August 2020 was at Shanghai Stock Exchange (13,796 million USD) followed by Shenzhen Stock Exchange (12,478 million USD).   </w:t>
      </w:r>
    </w:p>
    <w:p w:rsidR="000F236F" w:rsidRDefault="000F236F" w:rsidP="000F236F">
      <w:pPr>
        <w:spacing w:line="276" w:lineRule="auto"/>
        <w:jc w:val="both"/>
        <w:rPr>
          <w:rFonts w:ascii="Palatino Linotype" w:eastAsia="Times New Roman" w:hAnsi="Palatino Linotype"/>
          <w:bCs/>
          <w:strike/>
          <w:sz w:val="22"/>
          <w:szCs w:val="22"/>
          <w:lang w:val="en-US"/>
        </w:rPr>
      </w:pPr>
    </w:p>
    <w:p w:rsidR="000F236F" w:rsidRDefault="000F236F" w:rsidP="000F236F">
      <w:pPr>
        <w:spacing w:line="276" w:lineRule="auto"/>
        <w:ind w:left="284"/>
        <w:jc w:val="both"/>
        <w:rPr>
          <w:rFonts w:ascii="Palatino Linotype" w:eastAsia="Times New Roman" w:hAnsi="Palatino Linotype"/>
          <w:b/>
          <w:sz w:val="22"/>
          <w:szCs w:val="22"/>
          <w:lang w:val="en-US"/>
        </w:rPr>
      </w:pPr>
      <w:r>
        <w:rPr>
          <w:rFonts w:ascii="Palatino Linotype" w:eastAsia="Times New Roman" w:hAnsi="Palatino Linotype"/>
          <w:b/>
          <w:sz w:val="22"/>
          <w:szCs w:val="22"/>
          <w:u w:val="single"/>
          <w:lang w:val="en-US"/>
        </w:rPr>
        <w:t>Market Capitalisation of Major</w:t>
      </w:r>
      <w:r>
        <w:rPr>
          <w:rFonts w:ascii="Palatino Linotype" w:eastAsia="Times New Roman" w:hAnsi="Palatino Linotype"/>
          <w:b/>
          <w:sz w:val="22"/>
          <w:szCs w:val="22"/>
          <w:lang w:val="en-US"/>
        </w:rPr>
        <w:t xml:space="preserve"> Exchanges (Table A3) –</w:t>
      </w:r>
    </w:p>
    <w:p w:rsidR="000F236F" w:rsidRDefault="000F236F" w:rsidP="000F236F">
      <w:pPr>
        <w:spacing w:line="276" w:lineRule="auto"/>
        <w:ind w:left="360"/>
        <w:contextualSpacing/>
        <w:jc w:val="both"/>
        <w:rPr>
          <w:rFonts w:ascii="Palatino Linotype" w:eastAsia="Times New Roman" w:hAnsi="Palatino Linotype"/>
          <w:b/>
          <w:sz w:val="22"/>
          <w:szCs w:val="22"/>
          <w:lang w:val="en-US" w:eastAsia="en-GB"/>
        </w:rPr>
      </w:pPr>
    </w:p>
    <w:p w:rsidR="000F236F" w:rsidRDefault="000F236F" w:rsidP="00B018BC">
      <w:pPr>
        <w:numPr>
          <w:ilvl w:val="0"/>
          <w:numId w:val="18"/>
        </w:numPr>
        <w:spacing w:line="276" w:lineRule="auto"/>
        <w:ind w:left="357" w:hanging="357"/>
        <w:jc w:val="both"/>
        <w:rPr>
          <w:rFonts w:ascii="Palatino Linotype" w:eastAsia="Times New Roman" w:hAnsi="Palatino Linotype"/>
          <w:bCs/>
          <w:sz w:val="22"/>
          <w:szCs w:val="22"/>
          <w:lang w:val="en-US" w:eastAsia="en-GB"/>
        </w:rPr>
      </w:pPr>
      <w:r>
        <w:rPr>
          <w:rFonts w:ascii="Palatino Linotype" w:eastAsia="Times New Roman" w:hAnsi="Palatino Linotype"/>
          <w:bCs/>
          <w:sz w:val="22"/>
          <w:szCs w:val="22"/>
          <w:lang w:val="en-US" w:eastAsia="en-GB"/>
        </w:rPr>
        <w:t>Most of the analysed markets including developed markets</w:t>
      </w:r>
      <w:r>
        <w:rPr>
          <w:rStyle w:val="FootnoteReference"/>
          <w:rFonts w:ascii="Palatino Linotype" w:eastAsia="Times New Roman" w:hAnsi="Palatino Linotype"/>
          <w:bCs/>
          <w:sz w:val="22"/>
          <w:szCs w:val="22"/>
          <w:lang w:val="en-US" w:eastAsia="en-GB"/>
        </w:rPr>
        <w:footnoteReference w:id="6"/>
      </w:r>
      <w:r>
        <w:rPr>
          <w:rFonts w:ascii="Palatino Linotype" w:eastAsia="Times New Roman" w:hAnsi="Palatino Linotype"/>
          <w:bCs/>
          <w:sz w:val="22"/>
          <w:szCs w:val="22"/>
          <w:lang w:val="en-US" w:eastAsia="en-GB"/>
        </w:rPr>
        <w:t>, reflected a decrease in market capitalization in the month of September 2020 as compared to previous month.</w:t>
      </w:r>
    </w:p>
    <w:p w:rsidR="000F236F" w:rsidRDefault="000F236F" w:rsidP="00B018BC">
      <w:pPr>
        <w:numPr>
          <w:ilvl w:val="0"/>
          <w:numId w:val="18"/>
        </w:numPr>
        <w:spacing w:line="276" w:lineRule="auto"/>
        <w:ind w:left="357" w:hanging="357"/>
        <w:jc w:val="both"/>
        <w:rPr>
          <w:rFonts w:ascii="Palatino Linotype" w:eastAsia="Times New Roman" w:hAnsi="Palatino Linotype"/>
          <w:bCs/>
          <w:sz w:val="22"/>
          <w:szCs w:val="22"/>
          <w:lang w:val="en-US" w:eastAsia="en-GB"/>
        </w:rPr>
      </w:pPr>
      <w:r>
        <w:rPr>
          <w:rFonts w:ascii="Palatino Linotype" w:eastAsia="Times New Roman" w:hAnsi="Palatino Linotype"/>
          <w:bCs/>
          <w:sz w:val="22"/>
          <w:szCs w:val="22"/>
          <w:lang w:val="en-US" w:eastAsia="en-GB"/>
        </w:rPr>
        <w:t>Among the developed markets highest increase in market capitalization was observed for South Korea (2.4 per cent) followed by Japan (1.5 per cent). Remaining analyzed developed markets reflected a decrease in the market capitilaization in September as compared to the previous month. Highest decline in market capitalization among the developed markets was in UK (-4.5 per cent) followed by USA (-3.9 per cent) and Singapore (-3.8 per cent).</w:t>
      </w:r>
    </w:p>
    <w:p w:rsidR="000F236F" w:rsidRDefault="000F236F" w:rsidP="00B018BC">
      <w:pPr>
        <w:numPr>
          <w:ilvl w:val="0"/>
          <w:numId w:val="18"/>
        </w:numPr>
        <w:spacing w:line="276" w:lineRule="auto"/>
        <w:ind w:hanging="357"/>
        <w:contextualSpacing/>
        <w:jc w:val="both"/>
        <w:rPr>
          <w:rFonts w:ascii="Palatino Linotype" w:eastAsia="Times New Roman" w:hAnsi="Palatino Linotype"/>
          <w:b/>
          <w:sz w:val="22"/>
          <w:szCs w:val="22"/>
          <w:u w:val="single"/>
          <w:lang w:val="en-US"/>
        </w:rPr>
      </w:pPr>
      <w:r>
        <w:rPr>
          <w:rFonts w:ascii="Palatino Linotype" w:eastAsia="Times New Roman" w:hAnsi="Palatino Linotype"/>
          <w:bCs/>
          <w:sz w:val="22"/>
          <w:szCs w:val="22"/>
          <w:lang w:val="en-US" w:eastAsia="en-GB"/>
        </w:rPr>
        <w:t xml:space="preserve">Among BRICS nations the increase in market cap over the previous month was observed only for India (0.4 per cent). Rest of the BRICS economies reflected a decline in market capitalization. Highest decline was observed in Brazil (-9.8 per cent) followed by Russia (-7.3 per cent). </w:t>
      </w:r>
    </w:p>
    <w:p w:rsidR="000F236F" w:rsidRDefault="000F236F" w:rsidP="000F236F">
      <w:pPr>
        <w:spacing w:line="276" w:lineRule="auto"/>
        <w:ind w:left="360"/>
        <w:contextualSpacing/>
        <w:jc w:val="both"/>
        <w:rPr>
          <w:rFonts w:ascii="Palatino Linotype" w:eastAsia="Times New Roman" w:hAnsi="Palatino Linotype"/>
          <w:b/>
          <w:sz w:val="22"/>
          <w:szCs w:val="22"/>
          <w:lang w:val="en-US" w:eastAsia="en-GB"/>
        </w:rPr>
      </w:pPr>
      <w:r>
        <w:rPr>
          <w:rFonts w:ascii="Palatino Linotype" w:eastAsia="Times New Roman" w:hAnsi="Palatino Linotype"/>
          <w:b/>
          <w:sz w:val="22"/>
          <w:szCs w:val="22"/>
          <w:u w:val="single"/>
          <w:lang w:val="en-US"/>
        </w:rPr>
        <w:t xml:space="preserve">Derivatives </w:t>
      </w:r>
      <w:r>
        <w:rPr>
          <w:rFonts w:ascii="Palatino Linotype" w:eastAsia="Times New Roman" w:hAnsi="Palatino Linotype"/>
          <w:b/>
          <w:sz w:val="22"/>
          <w:szCs w:val="22"/>
          <w:lang w:val="en-US" w:eastAsia="en-GB"/>
        </w:rPr>
        <w:t xml:space="preserve">(Figures 6-7, Table A4–A8) – </w:t>
      </w:r>
    </w:p>
    <w:p w:rsidR="000F236F" w:rsidRDefault="000F236F" w:rsidP="000F236F">
      <w:pPr>
        <w:spacing w:line="276" w:lineRule="auto"/>
        <w:ind w:left="360"/>
        <w:contextualSpacing/>
        <w:jc w:val="both"/>
        <w:rPr>
          <w:rFonts w:ascii="Palatino Linotype" w:eastAsia="Times New Roman" w:hAnsi="Palatino Linotype"/>
          <w:b/>
          <w:sz w:val="22"/>
          <w:szCs w:val="22"/>
          <w:lang w:val="en-US" w:eastAsia="en-GB"/>
        </w:rPr>
      </w:pPr>
    </w:p>
    <w:p w:rsidR="000F236F" w:rsidRDefault="000F236F" w:rsidP="00B018BC">
      <w:pPr>
        <w:numPr>
          <w:ilvl w:val="0"/>
          <w:numId w:val="18"/>
        </w:numPr>
        <w:spacing w:line="276" w:lineRule="auto"/>
        <w:ind w:left="357" w:hanging="357"/>
        <w:jc w:val="both"/>
        <w:rPr>
          <w:rFonts w:ascii="Palatino Linotype" w:eastAsia="Times New Roman" w:hAnsi="Palatino Linotype"/>
          <w:bCs/>
          <w:sz w:val="22"/>
          <w:szCs w:val="22"/>
          <w:lang w:val="en-US" w:eastAsia="en-GB"/>
        </w:rPr>
      </w:pPr>
      <w:r>
        <w:rPr>
          <w:rFonts w:ascii="Palatino Linotype" w:eastAsia="Times New Roman" w:hAnsi="Palatino Linotype"/>
          <w:bCs/>
          <w:sz w:val="22"/>
          <w:szCs w:val="22"/>
          <w:lang w:val="en-US" w:eastAsia="en-GB"/>
        </w:rPr>
        <w:t>During August 2020 the highest number of Single Stock Futures contracts traded was at Borsa Istanbul (11,58,75,595) followed by Korea Exchange (10,50,61,166). The highest number of single stock options were traded at B3 - Brasil Bolsa Balcão (16,46,45,220) followed by Nasdaq - US (15,31,60,868).</w:t>
      </w:r>
    </w:p>
    <w:p w:rsidR="000F236F" w:rsidRDefault="000F236F" w:rsidP="00B018BC">
      <w:pPr>
        <w:numPr>
          <w:ilvl w:val="0"/>
          <w:numId w:val="18"/>
        </w:numPr>
        <w:spacing w:line="276" w:lineRule="auto"/>
        <w:ind w:left="357" w:hanging="357"/>
        <w:jc w:val="both"/>
        <w:rPr>
          <w:rFonts w:ascii="Palatino Linotype" w:eastAsia="Times New Roman" w:hAnsi="Palatino Linotype"/>
          <w:bCs/>
          <w:sz w:val="22"/>
          <w:szCs w:val="22"/>
          <w:lang w:val="en-US" w:eastAsia="en-GB"/>
        </w:rPr>
      </w:pPr>
      <w:r>
        <w:rPr>
          <w:rFonts w:ascii="Palatino Linotype" w:eastAsia="Times New Roman" w:hAnsi="Palatino Linotype"/>
          <w:bCs/>
          <w:sz w:val="22"/>
          <w:szCs w:val="22"/>
          <w:lang w:val="en-US" w:eastAsia="en-GB"/>
        </w:rPr>
        <w:t>In the same period, highest number of contracts of Index Futures were traded at B3 - Brasil Bolsa Balcão (26,42,45,759) followed by CME Group (7,47,90,977). Among the Stock Index Options, the highest number of contacts were traded at NSE (52,17,31,380) followed by Cboe Global Markets (2,90,28,798).</w:t>
      </w:r>
    </w:p>
    <w:p w:rsidR="000F236F" w:rsidRDefault="000F236F" w:rsidP="00B018BC">
      <w:pPr>
        <w:numPr>
          <w:ilvl w:val="0"/>
          <w:numId w:val="18"/>
        </w:numPr>
        <w:spacing w:line="276" w:lineRule="auto"/>
        <w:ind w:left="357" w:hanging="357"/>
        <w:jc w:val="both"/>
        <w:rPr>
          <w:rFonts w:ascii="Palatino Linotype" w:eastAsia="Times New Roman" w:hAnsi="Palatino Linotype"/>
          <w:bCs/>
          <w:sz w:val="22"/>
          <w:szCs w:val="22"/>
          <w:lang w:val="en-US" w:eastAsia="en-GB"/>
        </w:rPr>
      </w:pPr>
      <w:r>
        <w:rPr>
          <w:rFonts w:ascii="Palatino Linotype" w:eastAsia="Times New Roman" w:hAnsi="Palatino Linotype"/>
          <w:bCs/>
          <w:sz w:val="22"/>
          <w:szCs w:val="22"/>
          <w:lang w:val="en-US" w:eastAsia="en-GB"/>
        </w:rPr>
        <w:t>Highest number of Currency Futures contracts were traded at B3 - Brasil Bolsa Balcão (7,45,81,672) followed by Moscow Exchange (6,97,36,655). The highest number of Currency Options were traded at NSE (7,08,21,217) followed by BSE India Limited (3,79,15,729).</w:t>
      </w:r>
    </w:p>
    <w:p w:rsidR="000F236F" w:rsidRDefault="000F236F" w:rsidP="00B018BC">
      <w:pPr>
        <w:numPr>
          <w:ilvl w:val="0"/>
          <w:numId w:val="18"/>
        </w:numPr>
        <w:spacing w:line="276" w:lineRule="auto"/>
        <w:ind w:left="357" w:hanging="357"/>
        <w:jc w:val="both"/>
        <w:rPr>
          <w:rFonts w:ascii="Palatino Linotype" w:eastAsia="Times New Roman" w:hAnsi="Palatino Linotype"/>
          <w:bCs/>
          <w:sz w:val="22"/>
          <w:szCs w:val="22"/>
          <w:lang w:val="en-US" w:eastAsia="en-GB"/>
        </w:rPr>
      </w:pPr>
      <w:r>
        <w:rPr>
          <w:rFonts w:ascii="Palatino Linotype" w:eastAsia="Times New Roman" w:hAnsi="Palatino Linotype"/>
          <w:bCs/>
          <w:sz w:val="22"/>
          <w:szCs w:val="22"/>
          <w:lang w:val="en-US" w:eastAsia="en-GB"/>
        </w:rPr>
        <w:lastRenderedPageBreak/>
        <w:t>In August 2020, the highest number of Interest Rate (IR) Futures were traded at CME Group (13,01,35,014) followed by B3 - Brasil Bolsa Balcão (4,59,87,974) whereas the highest number of Interest Rate Options contracts were traded at CME Group (2,04,29,004) followed by B3 - Brasil Bolsa Balcão (1,06,52,056).</w:t>
      </w:r>
    </w:p>
    <w:p w:rsidR="000F236F" w:rsidRDefault="000F236F" w:rsidP="00B018BC">
      <w:pPr>
        <w:numPr>
          <w:ilvl w:val="0"/>
          <w:numId w:val="18"/>
        </w:numPr>
        <w:spacing w:line="276" w:lineRule="auto"/>
        <w:ind w:left="357" w:hanging="357"/>
        <w:jc w:val="both"/>
        <w:rPr>
          <w:rFonts w:ascii="Palatino Linotype" w:eastAsia="Times New Roman" w:hAnsi="Palatino Linotype"/>
          <w:bCs/>
          <w:sz w:val="22"/>
          <w:szCs w:val="22"/>
          <w:lang w:val="en-US" w:eastAsia="en-GB"/>
        </w:rPr>
      </w:pPr>
      <w:r>
        <w:rPr>
          <w:rFonts w:ascii="Palatino Linotype" w:eastAsia="Times New Roman" w:hAnsi="Palatino Linotype"/>
          <w:bCs/>
          <w:sz w:val="22"/>
          <w:szCs w:val="22"/>
          <w:lang w:val="en-US" w:eastAsia="en-GB"/>
        </w:rPr>
        <w:t>The highest number of Commodity Futures contracts were traded at Shanghai Futures Exchange (21,20,83,407) followed by Dalian Commodity Exchange (16,55,08,944) in August 2020. Among the Commodity Options the highest number of contracts were traded at CME Group (1,08,15,383) followed by Dalian Commodity Exchange (38,23,600) during the same period.</w:t>
      </w:r>
    </w:p>
    <w:p w:rsidR="000F236F" w:rsidRDefault="000F236F" w:rsidP="00B018BC">
      <w:pPr>
        <w:numPr>
          <w:ilvl w:val="0"/>
          <w:numId w:val="18"/>
        </w:numPr>
        <w:spacing w:line="276" w:lineRule="auto"/>
        <w:ind w:left="357" w:hanging="357"/>
        <w:contextualSpacing/>
        <w:jc w:val="both"/>
        <w:rPr>
          <w:rFonts w:ascii="Palatino Linotype" w:hAnsi="Palatino Linotype"/>
          <w:bCs/>
          <w:strike/>
          <w:sz w:val="22"/>
          <w:szCs w:val="22"/>
          <w:lang w:val="en-US"/>
        </w:rPr>
      </w:pPr>
      <w:r>
        <w:rPr>
          <w:rFonts w:ascii="Palatino Linotype" w:eastAsia="Times New Roman" w:hAnsi="Palatino Linotype"/>
          <w:bCs/>
          <w:sz w:val="22"/>
          <w:szCs w:val="22"/>
          <w:lang w:val="en-US" w:eastAsia="en-GB"/>
        </w:rPr>
        <w:t>In September 2020, Won and Rand were most appreciating currencies against dollar among the analysed currencies. Ruble and Pound were most depreciating currencies.</w:t>
      </w:r>
    </w:p>
    <w:p w:rsidR="000F236F" w:rsidRDefault="000F236F" w:rsidP="000F236F">
      <w:pPr>
        <w:spacing w:line="276" w:lineRule="auto"/>
        <w:ind w:left="360"/>
        <w:contextualSpacing/>
        <w:jc w:val="both"/>
        <w:rPr>
          <w:rFonts w:ascii="Palatino Linotype" w:hAnsi="Palatino Linotype"/>
          <w:bCs/>
          <w:strike/>
          <w:sz w:val="22"/>
          <w:szCs w:val="22"/>
          <w:lang w:val="en-US"/>
        </w:rPr>
      </w:pPr>
    </w:p>
    <w:p w:rsidR="000F236F" w:rsidRDefault="000F236F" w:rsidP="000F236F">
      <w:pPr>
        <w:spacing w:line="276" w:lineRule="auto"/>
        <w:outlineLvl w:val="0"/>
        <w:rPr>
          <w:rFonts w:ascii="Palatino Linotype" w:eastAsia="Times New Roman" w:hAnsi="Palatino Linotype"/>
          <w:b/>
          <w:strike/>
          <w:sz w:val="22"/>
          <w:szCs w:val="22"/>
          <w:u w:val="single"/>
        </w:rPr>
      </w:pPr>
    </w:p>
    <w:p w:rsidR="000F236F" w:rsidRDefault="000F236F" w:rsidP="000F236F">
      <w:pPr>
        <w:spacing w:line="276" w:lineRule="auto"/>
        <w:outlineLvl w:val="0"/>
        <w:rPr>
          <w:rFonts w:ascii="Palatino Linotype" w:eastAsia="Times New Roman" w:hAnsi="Palatino Linotype"/>
          <w:b/>
          <w:sz w:val="22"/>
          <w:szCs w:val="22"/>
          <w:lang w:eastAsia="en-GB"/>
        </w:rPr>
      </w:pPr>
      <w:r>
        <w:rPr>
          <w:rFonts w:ascii="Palatino Linotype" w:eastAsia="Times New Roman" w:hAnsi="Palatino Linotype"/>
          <w:b/>
          <w:sz w:val="22"/>
          <w:szCs w:val="22"/>
          <w:u w:val="single"/>
        </w:rPr>
        <w:t xml:space="preserve">US Treasury Securities </w:t>
      </w:r>
      <w:r>
        <w:rPr>
          <w:rFonts w:ascii="Palatino Linotype" w:eastAsia="Times New Roman" w:hAnsi="Palatino Linotype"/>
          <w:b/>
          <w:sz w:val="22"/>
          <w:szCs w:val="22"/>
          <w:lang w:eastAsia="en-GB"/>
        </w:rPr>
        <w:t>(Table A9)</w:t>
      </w:r>
    </w:p>
    <w:p w:rsidR="000F236F" w:rsidRDefault="000F236F" w:rsidP="000F236F">
      <w:pPr>
        <w:spacing w:line="276" w:lineRule="auto"/>
        <w:outlineLvl w:val="0"/>
        <w:rPr>
          <w:rFonts w:ascii="Palatino Linotype" w:hAnsi="Palatino Linotype"/>
          <w:bCs/>
          <w:sz w:val="22"/>
          <w:szCs w:val="22"/>
        </w:rPr>
      </w:pPr>
    </w:p>
    <w:p w:rsidR="000F236F" w:rsidRDefault="000F236F" w:rsidP="00B018BC">
      <w:pPr>
        <w:numPr>
          <w:ilvl w:val="0"/>
          <w:numId w:val="18"/>
        </w:numPr>
        <w:spacing w:line="276" w:lineRule="auto"/>
        <w:ind w:left="357" w:hanging="357"/>
        <w:contextualSpacing/>
        <w:jc w:val="both"/>
        <w:rPr>
          <w:rFonts w:ascii="Palatino Linotype" w:hAnsi="Palatino Linotype"/>
          <w:bCs/>
          <w:strike/>
          <w:sz w:val="22"/>
          <w:szCs w:val="22"/>
          <w:lang w:val="en-US"/>
        </w:rPr>
      </w:pPr>
      <w:r>
        <w:rPr>
          <w:rFonts w:ascii="Palatino Linotype" w:eastAsia="Times New Roman" w:hAnsi="Palatino Linotype"/>
          <w:bCs/>
          <w:sz w:val="22"/>
          <w:szCs w:val="22"/>
          <w:lang w:val="en-US" w:eastAsia="en-GB"/>
        </w:rPr>
        <w:t>At the end of July 2020, Japan was the biggest foreign holder of US Treasury Securities with 18.2 per cent followed by China with 15.1 per cent. The total major foreign holding of US Treasury Securities was USD 7,087.2 billion. The holdings of US Treasury Securities by India slightly increased to 2.7 per cent at the end of July 2020 from 2.6 per cent a month earlier.</w:t>
      </w:r>
    </w:p>
    <w:p w:rsidR="000F236F" w:rsidRDefault="000F236F" w:rsidP="000F236F">
      <w:pPr>
        <w:rPr>
          <w:rFonts w:ascii="Garamond" w:hAnsi="Garamond"/>
          <w:b/>
          <w:bCs/>
          <w:szCs w:val="22"/>
        </w:rPr>
      </w:pPr>
    </w:p>
    <w:p w:rsidR="000F236F" w:rsidRDefault="000F236F" w:rsidP="000F236F">
      <w:pPr>
        <w:rPr>
          <w:rFonts w:ascii="Garamond" w:hAnsi="Garamond"/>
          <w:b/>
          <w:bCs/>
          <w:szCs w:val="22"/>
        </w:rPr>
      </w:pPr>
    </w:p>
    <w:p w:rsidR="000F236F" w:rsidRDefault="000F236F" w:rsidP="000F236F">
      <w:pPr>
        <w:rPr>
          <w:rFonts w:ascii="Garamond" w:hAnsi="Garamond"/>
          <w:bCs/>
          <w:szCs w:val="22"/>
        </w:rPr>
      </w:pPr>
      <w:r>
        <w:rPr>
          <w:rFonts w:ascii="Garamond" w:hAnsi="Garamond"/>
          <w:b/>
          <w:bCs/>
          <w:szCs w:val="22"/>
        </w:rPr>
        <w:t>Figure 6: Movement of the Major Currencies against USD</w:t>
      </w:r>
    </w:p>
    <w:p w:rsidR="000F236F" w:rsidRDefault="000F236F" w:rsidP="000F236F">
      <w:pPr>
        <w:spacing w:line="23" w:lineRule="atLeast"/>
        <w:jc w:val="both"/>
        <w:rPr>
          <w:rFonts w:ascii="Garamond" w:hAnsi="Garamond"/>
          <w:bCs/>
          <w:sz w:val="18"/>
          <w:szCs w:val="18"/>
        </w:rPr>
      </w:pPr>
      <w:r>
        <w:rPr>
          <w:rFonts w:ascii="Garamond" w:hAnsi="Garamond"/>
          <w:bCs/>
          <w:noProof/>
          <w:sz w:val="18"/>
          <w:szCs w:val="18"/>
          <w:lang w:val="en-IN" w:eastAsia="en-IN" w:bidi="hi-IN"/>
        </w:rPr>
        <w:drawing>
          <wp:inline distT="0" distB="0" distL="0" distR="0" wp14:anchorId="1CA11F93" wp14:editId="6C451D0C">
            <wp:extent cx="6148003" cy="3649649"/>
            <wp:effectExtent l="0" t="0" r="5715" b="8255"/>
            <wp:docPr id="1066" name="Pictur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Picture 45"/>
                    <pic:cNvPicPr/>
                  </pic:nvPicPr>
                  <pic:blipFill>
                    <a:blip r:embed="rId37" cstate="print"/>
                    <a:srcRect/>
                    <a:stretch/>
                  </pic:blipFill>
                  <pic:spPr>
                    <a:xfrm>
                      <a:off x="0" y="0"/>
                      <a:ext cx="6148003" cy="3649649"/>
                    </a:xfrm>
                    <a:prstGeom prst="rect">
                      <a:avLst/>
                    </a:prstGeom>
                  </pic:spPr>
                </pic:pic>
              </a:graphicData>
            </a:graphic>
          </wp:inline>
        </w:drawing>
      </w:r>
    </w:p>
    <w:p w:rsidR="000F236F" w:rsidRDefault="000F236F" w:rsidP="000F236F">
      <w:pPr>
        <w:spacing w:line="23" w:lineRule="atLeast"/>
        <w:jc w:val="both"/>
        <w:rPr>
          <w:rFonts w:ascii="Garamond" w:hAnsi="Garamond"/>
          <w:bCs/>
          <w:sz w:val="18"/>
          <w:szCs w:val="18"/>
        </w:rPr>
      </w:pPr>
      <w:r>
        <w:rPr>
          <w:rFonts w:ascii="Garamond" w:hAnsi="Garamond"/>
          <w:bCs/>
          <w:sz w:val="18"/>
          <w:szCs w:val="18"/>
        </w:rPr>
        <w:t>Note: All indices have been normalised to 100 on 30 September 2019.</w:t>
      </w:r>
    </w:p>
    <w:p w:rsidR="000F236F" w:rsidRDefault="000F236F" w:rsidP="000F236F">
      <w:pPr>
        <w:spacing w:line="23" w:lineRule="atLeast"/>
        <w:outlineLvl w:val="0"/>
        <w:rPr>
          <w:rFonts w:ascii="Garamond" w:hAnsi="Garamond"/>
          <w:bCs/>
          <w:sz w:val="18"/>
          <w:szCs w:val="18"/>
        </w:rPr>
      </w:pPr>
      <w:r>
        <w:rPr>
          <w:rFonts w:ascii="Garamond" w:hAnsi="Garamond"/>
          <w:bCs/>
          <w:sz w:val="18"/>
          <w:szCs w:val="18"/>
        </w:rPr>
        <w:t>Source: Bloomberg</w:t>
      </w:r>
    </w:p>
    <w:p w:rsidR="000F236F" w:rsidRDefault="000F236F" w:rsidP="000F236F">
      <w:pPr>
        <w:rPr>
          <w:rFonts w:ascii="Garamond" w:hAnsi="Garamond"/>
          <w:b/>
          <w:bCs/>
          <w:szCs w:val="22"/>
        </w:rPr>
      </w:pPr>
    </w:p>
    <w:p w:rsidR="000F236F" w:rsidRDefault="000F236F" w:rsidP="000F236F">
      <w:pPr>
        <w:rPr>
          <w:rFonts w:ascii="Garamond" w:hAnsi="Garamond"/>
          <w:b/>
          <w:bCs/>
          <w:szCs w:val="22"/>
        </w:rPr>
      </w:pPr>
    </w:p>
    <w:p w:rsidR="000F236F" w:rsidRDefault="000F236F" w:rsidP="000F236F">
      <w:pPr>
        <w:rPr>
          <w:rFonts w:ascii="Garamond" w:hAnsi="Garamond"/>
          <w:b/>
          <w:bCs/>
          <w:szCs w:val="22"/>
        </w:rPr>
      </w:pPr>
      <w:r>
        <w:rPr>
          <w:rFonts w:ascii="Garamond" w:hAnsi="Garamond"/>
          <w:b/>
          <w:bCs/>
          <w:szCs w:val="22"/>
        </w:rPr>
        <w:br w:type="page"/>
      </w:r>
      <w:r>
        <w:rPr>
          <w:rFonts w:ascii="Garamond" w:hAnsi="Garamond"/>
          <w:b/>
          <w:bCs/>
          <w:szCs w:val="22"/>
        </w:rPr>
        <w:lastRenderedPageBreak/>
        <w:t>Figure 7: Movement of the US Dollar Index and MSCI EM Currency Index</w:t>
      </w:r>
    </w:p>
    <w:p w:rsidR="000F236F" w:rsidRDefault="000F236F" w:rsidP="000F236F">
      <w:pPr>
        <w:spacing w:line="23" w:lineRule="atLeast"/>
        <w:outlineLvl w:val="0"/>
        <w:rPr>
          <w:rFonts w:ascii="Garamond" w:hAnsi="Garamond"/>
          <w:bCs/>
          <w:sz w:val="22"/>
          <w:szCs w:val="22"/>
        </w:rPr>
      </w:pPr>
    </w:p>
    <w:p w:rsidR="000F236F" w:rsidRDefault="000F236F" w:rsidP="000F236F">
      <w:pPr>
        <w:spacing w:line="23" w:lineRule="atLeast"/>
        <w:outlineLvl w:val="0"/>
        <w:rPr>
          <w:rFonts w:ascii="Garamond" w:hAnsi="Garamond"/>
          <w:bCs/>
          <w:sz w:val="22"/>
          <w:szCs w:val="22"/>
        </w:rPr>
      </w:pPr>
      <w:r>
        <w:rPr>
          <w:rFonts w:ascii="Garamond" w:hAnsi="Garamond"/>
          <w:bCs/>
          <w:noProof/>
          <w:sz w:val="22"/>
          <w:szCs w:val="22"/>
          <w:lang w:val="en-IN" w:eastAsia="en-IN" w:bidi="hi-IN"/>
        </w:rPr>
        <w:drawing>
          <wp:inline distT="0" distB="0" distL="0" distR="0" wp14:anchorId="32783C9D" wp14:editId="49BA1233">
            <wp:extent cx="6051816" cy="3276987"/>
            <wp:effectExtent l="0" t="0" r="6350" b="0"/>
            <wp:docPr id="1067" name="Pictur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Picture 46"/>
                    <pic:cNvPicPr/>
                  </pic:nvPicPr>
                  <pic:blipFill>
                    <a:blip r:embed="rId38" cstate="print"/>
                    <a:srcRect/>
                    <a:stretch/>
                  </pic:blipFill>
                  <pic:spPr>
                    <a:xfrm>
                      <a:off x="0" y="0"/>
                      <a:ext cx="6051816" cy="3276987"/>
                    </a:xfrm>
                    <a:prstGeom prst="rect">
                      <a:avLst/>
                    </a:prstGeom>
                  </pic:spPr>
                </pic:pic>
              </a:graphicData>
            </a:graphic>
          </wp:inline>
        </w:drawing>
      </w:r>
    </w:p>
    <w:p w:rsidR="000F236F" w:rsidRDefault="000F236F" w:rsidP="000F236F">
      <w:pPr>
        <w:tabs>
          <w:tab w:val="left" w:pos="3760"/>
        </w:tabs>
        <w:spacing w:line="23" w:lineRule="atLeast"/>
        <w:rPr>
          <w:rFonts w:ascii="Garamond" w:hAnsi="Garamond"/>
          <w:bCs/>
          <w:sz w:val="18"/>
          <w:szCs w:val="18"/>
        </w:rPr>
      </w:pPr>
      <w:r>
        <w:rPr>
          <w:rFonts w:ascii="Garamond" w:hAnsi="Garamond"/>
          <w:bCs/>
          <w:sz w:val="18"/>
          <w:szCs w:val="18"/>
        </w:rPr>
        <w:t>Note:</w:t>
      </w:r>
    </w:p>
    <w:p w:rsidR="000F236F" w:rsidRDefault="000F236F" w:rsidP="00B018BC">
      <w:pPr>
        <w:widowControl w:val="0"/>
        <w:numPr>
          <w:ilvl w:val="0"/>
          <w:numId w:val="17"/>
        </w:numPr>
        <w:autoSpaceDE w:val="0"/>
        <w:autoSpaceDN w:val="0"/>
        <w:adjustRightInd w:val="0"/>
        <w:spacing w:line="23" w:lineRule="atLeast"/>
        <w:ind w:right="1788"/>
        <w:jc w:val="both"/>
        <w:rPr>
          <w:rFonts w:ascii="Garamond" w:eastAsia="Times New Roman" w:hAnsi="Garamond"/>
          <w:bCs/>
          <w:sz w:val="18"/>
          <w:szCs w:val="18"/>
        </w:rPr>
      </w:pPr>
      <w:r>
        <w:rPr>
          <w:rFonts w:ascii="Garamond" w:eastAsia="Times New Roman" w:hAnsi="Garamond"/>
          <w:bCs/>
          <w:sz w:val="18"/>
          <w:szCs w:val="18"/>
        </w:rPr>
        <w:t>All indices have been normalised to 100 on 30 September 2019.</w:t>
      </w:r>
    </w:p>
    <w:p w:rsidR="000F236F" w:rsidRDefault="000F236F" w:rsidP="00B018BC">
      <w:pPr>
        <w:widowControl w:val="0"/>
        <w:numPr>
          <w:ilvl w:val="0"/>
          <w:numId w:val="17"/>
        </w:numPr>
        <w:autoSpaceDE w:val="0"/>
        <w:autoSpaceDN w:val="0"/>
        <w:adjustRightInd w:val="0"/>
        <w:spacing w:line="23" w:lineRule="atLeast"/>
        <w:ind w:right="1788"/>
        <w:jc w:val="both"/>
        <w:rPr>
          <w:rFonts w:ascii="Garamond" w:eastAsia="Times New Roman" w:hAnsi="Garamond"/>
          <w:bCs/>
          <w:sz w:val="18"/>
          <w:szCs w:val="18"/>
        </w:rPr>
      </w:pPr>
      <w:r>
        <w:rPr>
          <w:rFonts w:ascii="Garamond" w:eastAsia="Times New Roman" w:hAnsi="Garamond"/>
          <w:bCs/>
          <w:sz w:val="18"/>
          <w:szCs w:val="18"/>
        </w:rPr>
        <w:t>The U.S. Dollar Index is an index of the value of the United States dollar relative to a basket of foreign currencies. The Index goes up when the U.S. dollar gains value compared to other currencies. The index is maintained and published by Intercontinental Exchange. It is a weighted geometric mean of the dollar's value relative to following select currencies: Euro, Japanese yen, Pound sterling, Canadian dollar, Swedish krona, Swiss franc.</w:t>
      </w:r>
    </w:p>
    <w:p w:rsidR="000F236F" w:rsidRDefault="000F236F" w:rsidP="00B018BC">
      <w:pPr>
        <w:widowControl w:val="0"/>
        <w:numPr>
          <w:ilvl w:val="0"/>
          <w:numId w:val="17"/>
        </w:numPr>
        <w:autoSpaceDE w:val="0"/>
        <w:autoSpaceDN w:val="0"/>
        <w:adjustRightInd w:val="0"/>
        <w:spacing w:line="23" w:lineRule="atLeast"/>
        <w:ind w:right="1788"/>
        <w:jc w:val="both"/>
        <w:rPr>
          <w:rFonts w:ascii="Garamond" w:eastAsia="Times New Roman" w:hAnsi="Garamond"/>
          <w:bCs/>
          <w:sz w:val="18"/>
          <w:szCs w:val="18"/>
        </w:rPr>
      </w:pPr>
      <w:r>
        <w:rPr>
          <w:rFonts w:ascii="Garamond" w:eastAsia="Times New Roman" w:hAnsi="Garamond"/>
          <w:bCs/>
          <w:sz w:val="18"/>
          <w:szCs w:val="18"/>
        </w:rPr>
        <w:t>The MSCI Emerging Markets (EM) Currency Index tracks the performance of twenty-five emerging-market currencies relative to the US Dollar.</w:t>
      </w:r>
    </w:p>
    <w:p w:rsidR="000F236F" w:rsidRDefault="000F236F" w:rsidP="000F236F">
      <w:pPr>
        <w:spacing w:line="23" w:lineRule="atLeast"/>
        <w:outlineLvl w:val="0"/>
        <w:rPr>
          <w:rFonts w:ascii="Garamond" w:hAnsi="Garamond"/>
          <w:bCs/>
          <w:sz w:val="18"/>
          <w:szCs w:val="18"/>
        </w:rPr>
      </w:pPr>
      <w:r>
        <w:rPr>
          <w:rFonts w:ascii="Garamond" w:hAnsi="Garamond"/>
          <w:bCs/>
          <w:sz w:val="18"/>
          <w:szCs w:val="18"/>
        </w:rPr>
        <w:t>Source: Bloomberg</w:t>
      </w:r>
    </w:p>
    <w:p w:rsidR="000F236F" w:rsidRDefault="000F236F" w:rsidP="000F236F">
      <w:pPr>
        <w:spacing w:after="240" w:line="23" w:lineRule="atLeast"/>
        <w:jc w:val="both"/>
        <w:rPr>
          <w:rFonts w:ascii="Garamond" w:eastAsia="Times New Roman" w:hAnsi="Garamond"/>
          <w:bCs/>
          <w:strike/>
          <w:sz w:val="18"/>
          <w:szCs w:val="18"/>
          <w:lang w:eastAsia="en-GB"/>
        </w:rPr>
      </w:pPr>
    </w:p>
    <w:p w:rsidR="000F236F" w:rsidRDefault="000F236F" w:rsidP="000F236F">
      <w:pPr>
        <w:spacing w:after="240" w:line="23" w:lineRule="atLeast"/>
        <w:jc w:val="both"/>
        <w:rPr>
          <w:rFonts w:ascii="Garamond" w:eastAsia="Times New Roman" w:hAnsi="Garamond"/>
          <w:bCs/>
          <w:strike/>
          <w:sz w:val="18"/>
          <w:szCs w:val="18"/>
          <w:lang w:eastAsia="en-GB"/>
        </w:rPr>
      </w:pPr>
    </w:p>
    <w:p w:rsidR="000F236F" w:rsidRDefault="000F236F" w:rsidP="000F236F">
      <w:pPr>
        <w:spacing w:after="240" w:line="23" w:lineRule="atLeast"/>
        <w:jc w:val="both"/>
        <w:rPr>
          <w:rFonts w:ascii="Garamond" w:eastAsia="Times New Roman" w:hAnsi="Garamond"/>
          <w:bCs/>
          <w:strike/>
          <w:sz w:val="18"/>
          <w:szCs w:val="18"/>
          <w:lang w:eastAsia="en-GB"/>
        </w:rPr>
      </w:pPr>
    </w:p>
    <w:p w:rsidR="000F236F" w:rsidRDefault="000F236F" w:rsidP="000F236F">
      <w:pPr>
        <w:spacing w:after="240" w:line="23" w:lineRule="atLeast"/>
        <w:jc w:val="both"/>
        <w:rPr>
          <w:rFonts w:ascii="Garamond" w:eastAsia="Times New Roman" w:hAnsi="Garamond"/>
          <w:bCs/>
          <w:strike/>
          <w:sz w:val="18"/>
          <w:szCs w:val="18"/>
          <w:lang w:eastAsia="en-GB"/>
        </w:rPr>
      </w:pPr>
    </w:p>
    <w:p w:rsidR="000F236F" w:rsidRDefault="000F236F" w:rsidP="000F236F">
      <w:pPr>
        <w:spacing w:after="240" w:line="23" w:lineRule="atLeast"/>
        <w:jc w:val="both"/>
        <w:rPr>
          <w:rFonts w:ascii="Garamond" w:eastAsia="Times New Roman" w:hAnsi="Garamond"/>
          <w:bCs/>
          <w:strike/>
          <w:sz w:val="18"/>
          <w:szCs w:val="18"/>
          <w:lang w:eastAsia="en-GB"/>
        </w:rPr>
      </w:pPr>
    </w:p>
    <w:p w:rsidR="000F236F" w:rsidRDefault="000F236F" w:rsidP="000F236F">
      <w:pPr>
        <w:spacing w:after="240" w:line="23" w:lineRule="atLeast"/>
        <w:jc w:val="both"/>
        <w:rPr>
          <w:rFonts w:ascii="Garamond" w:eastAsia="Times New Roman" w:hAnsi="Garamond"/>
          <w:bCs/>
          <w:strike/>
          <w:sz w:val="18"/>
          <w:szCs w:val="18"/>
          <w:lang w:eastAsia="en-GB"/>
        </w:rPr>
      </w:pPr>
    </w:p>
    <w:p w:rsidR="000F236F" w:rsidRDefault="000F236F" w:rsidP="000F236F">
      <w:pPr>
        <w:spacing w:after="240" w:line="23" w:lineRule="atLeast"/>
        <w:jc w:val="both"/>
        <w:rPr>
          <w:rFonts w:ascii="Garamond" w:eastAsia="Times New Roman" w:hAnsi="Garamond"/>
          <w:bCs/>
          <w:strike/>
          <w:sz w:val="18"/>
          <w:szCs w:val="18"/>
          <w:lang w:eastAsia="en-GB"/>
        </w:rPr>
      </w:pPr>
    </w:p>
    <w:p w:rsidR="000F236F" w:rsidRDefault="000F236F" w:rsidP="000F236F">
      <w:pPr>
        <w:spacing w:after="240" w:line="23" w:lineRule="atLeast"/>
        <w:jc w:val="both"/>
        <w:rPr>
          <w:rFonts w:ascii="Garamond" w:eastAsia="Times New Roman" w:hAnsi="Garamond"/>
          <w:bCs/>
          <w:strike/>
          <w:sz w:val="18"/>
          <w:szCs w:val="18"/>
          <w:lang w:eastAsia="en-GB"/>
        </w:rPr>
      </w:pPr>
    </w:p>
    <w:p w:rsidR="000F236F" w:rsidRDefault="000F236F" w:rsidP="000F236F">
      <w:pPr>
        <w:rPr>
          <w:rFonts w:ascii="Garamond" w:hAnsi="Garamond"/>
          <w:b/>
          <w:bCs/>
          <w:szCs w:val="22"/>
        </w:rPr>
      </w:pPr>
      <w:r>
        <w:rPr>
          <w:rFonts w:ascii="Garamond" w:hAnsi="Garamond"/>
          <w:b/>
          <w:bCs/>
          <w:szCs w:val="22"/>
        </w:rPr>
        <w:br w:type="page"/>
      </w:r>
    </w:p>
    <w:p w:rsidR="000F236F" w:rsidRDefault="000F236F" w:rsidP="000F236F">
      <w:pPr>
        <w:rPr>
          <w:rFonts w:ascii="Garamond" w:hAnsi="Garamond"/>
          <w:b/>
          <w:bCs/>
          <w:szCs w:val="22"/>
        </w:rPr>
      </w:pPr>
      <w:r>
        <w:rPr>
          <w:rFonts w:ascii="Garamond" w:hAnsi="Garamond"/>
          <w:b/>
          <w:bCs/>
          <w:szCs w:val="22"/>
        </w:rPr>
        <w:lastRenderedPageBreak/>
        <w:t>Table A1: Performance of Stock Indices</w:t>
      </w:r>
    </w:p>
    <w:tbl>
      <w:tblPr>
        <w:tblW w:w="11116" w:type="dxa"/>
        <w:jc w:val="center"/>
        <w:tblLook w:val="04A0" w:firstRow="1" w:lastRow="0" w:firstColumn="1" w:lastColumn="0" w:noHBand="0" w:noVBand="1"/>
      </w:tblPr>
      <w:tblGrid>
        <w:gridCol w:w="1266"/>
        <w:gridCol w:w="1801"/>
        <w:gridCol w:w="1566"/>
        <w:gridCol w:w="1096"/>
        <w:gridCol w:w="1023"/>
        <w:gridCol w:w="1101"/>
        <w:gridCol w:w="1116"/>
        <w:gridCol w:w="1312"/>
        <w:gridCol w:w="835"/>
      </w:tblGrid>
      <w:tr w:rsidR="000F236F" w:rsidTr="00DB5405">
        <w:trPr>
          <w:trHeight w:val="199"/>
          <w:jc w:val="center"/>
        </w:trPr>
        <w:tc>
          <w:tcPr>
            <w:tcW w:w="1266" w:type="dxa"/>
            <w:vMerge w:val="restart"/>
            <w:tcBorders>
              <w:top w:val="single" w:sz="8" w:space="0" w:color="auto"/>
              <w:left w:val="single" w:sz="8" w:space="0" w:color="auto"/>
              <w:bottom w:val="single" w:sz="8" w:space="0" w:color="000000"/>
              <w:right w:val="single" w:sz="8" w:space="0" w:color="auto"/>
            </w:tcBorders>
            <w:shd w:val="clear" w:color="000000" w:fill="B4C6E7"/>
            <w:hideMark/>
          </w:tcPr>
          <w:p w:rsidR="000F236F" w:rsidRDefault="000F236F" w:rsidP="00DB5405">
            <w:pPr>
              <w:jc w:val="center"/>
              <w:rPr>
                <w:rFonts w:ascii="Garamond" w:eastAsia="Times New Roman" w:hAnsi="Garamond" w:cs="Calibri"/>
                <w:b/>
                <w:bCs/>
                <w:color w:val="000000"/>
                <w:sz w:val="20"/>
                <w:szCs w:val="20"/>
                <w:lang w:val="en-IN" w:eastAsia="en-IN"/>
              </w:rPr>
            </w:pPr>
            <w:r>
              <w:rPr>
                <w:rFonts w:ascii="Garamond" w:eastAsia="Times New Roman" w:hAnsi="Garamond" w:cs="Calibri"/>
                <w:b/>
                <w:bCs/>
                <w:color w:val="000000"/>
                <w:sz w:val="20"/>
                <w:szCs w:val="20"/>
                <w:lang w:val="en-IN" w:eastAsia="en-IN"/>
              </w:rPr>
              <w:t>Country</w:t>
            </w:r>
          </w:p>
        </w:tc>
        <w:tc>
          <w:tcPr>
            <w:tcW w:w="1801" w:type="dxa"/>
            <w:vMerge w:val="restart"/>
            <w:tcBorders>
              <w:top w:val="single" w:sz="8" w:space="0" w:color="auto"/>
              <w:left w:val="single" w:sz="8" w:space="0" w:color="auto"/>
              <w:bottom w:val="single" w:sz="8" w:space="0" w:color="000000"/>
              <w:right w:val="single" w:sz="8" w:space="0" w:color="auto"/>
            </w:tcBorders>
            <w:shd w:val="clear" w:color="000000" w:fill="B4C6E7"/>
            <w:hideMark/>
          </w:tcPr>
          <w:p w:rsidR="000F236F" w:rsidRDefault="000F236F" w:rsidP="00DB5405">
            <w:pPr>
              <w:jc w:val="center"/>
              <w:rPr>
                <w:rFonts w:ascii="Garamond" w:eastAsia="Times New Roman" w:hAnsi="Garamond" w:cs="Calibri"/>
                <w:b/>
                <w:bCs/>
                <w:color w:val="000000"/>
                <w:sz w:val="20"/>
                <w:szCs w:val="20"/>
                <w:lang w:val="en-IN" w:eastAsia="en-IN"/>
              </w:rPr>
            </w:pPr>
            <w:r>
              <w:rPr>
                <w:rFonts w:ascii="Garamond" w:eastAsia="Times New Roman" w:hAnsi="Garamond" w:cs="Calibri"/>
                <w:b/>
                <w:bCs/>
                <w:color w:val="000000"/>
                <w:sz w:val="20"/>
                <w:szCs w:val="20"/>
                <w:lang w:val="en-IN" w:eastAsia="en-IN"/>
              </w:rPr>
              <w:t>Name of the Index</w:t>
            </w:r>
          </w:p>
        </w:tc>
        <w:tc>
          <w:tcPr>
            <w:tcW w:w="1566" w:type="dxa"/>
            <w:tcBorders>
              <w:top w:val="single" w:sz="8" w:space="0" w:color="auto"/>
              <w:left w:val="nil"/>
              <w:bottom w:val="nil"/>
              <w:right w:val="single" w:sz="8" w:space="0" w:color="auto"/>
            </w:tcBorders>
            <w:shd w:val="clear" w:color="000000" w:fill="B4C6E7"/>
            <w:noWrap/>
            <w:hideMark/>
          </w:tcPr>
          <w:p w:rsidR="000F236F" w:rsidRDefault="000F236F" w:rsidP="00DB5405">
            <w:pPr>
              <w:jc w:val="center"/>
              <w:rPr>
                <w:rFonts w:ascii="Garamond" w:eastAsia="Times New Roman" w:hAnsi="Garamond" w:cs="Calibri"/>
                <w:b/>
                <w:bCs/>
                <w:color w:val="000000"/>
                <w:sz w:val="20"/>
                <w:szCs w:val="20"/>
                <w:lang w:val="en-IN" w:eastAsia="en-IN"/>
              </w:rPr>
            </w:pPr>
            <w:r>
              <w:rPr>
                <w:rFonts w:ascii="Garamond" w:eastAsia="Times New Roman" w:hAnsi="Garamond" w:cs="Calibri"/>
                <w:b/>
                <w:bCs/>
                <w:color w:val="000000"/>
                <w:sz w:val="20"/>
                <w:szCs w:val="20"/>
                <w:lang w:val="en-IN" w:eastAsia="en-IN"/>
              </w:rPr>
              <w:t>Closing Value as on</w:t>
            </w:r>
          </w:p>
        </w:tc>
        <w:tc>
          <w:tcPr>
            <w:tcW w:w="4336" w:type="dxa"/>
            <w:gridSpan w:val="4"/>
            <w:tcBorders>
              <w:top w:val="single" w:sz="8" w:space="0" w:color="auto"/>
              <w:left w:val="nil"/>
              <w:bottom w:val="single" w:sz="8" w:space="0" w:color="auto"/>
              <w:right w:val="single" w:sz="8" w:space="0" w:color="000000"/>
            </w:tcBorders>
            <w:shd w:val="clear" w:color="000000" w:fill="B4C6E7"/>
            <w:hideMark/>
          </w:tcPr>
          <w:p w:rsidR="000F236F" w:rsidRDefault="000F236F" w:rsidP="00DB5405">
            <w:pPr>
              <w:jc w:val="center"/>
              <w:rPr>
                <w:rFonts w:ascii="Garamond" w:eastAsia="Times New Roman" w:hAnsi="Garamond" w:cs="Calibri"/>
                <w:b/>
                <w:bCs/>
                <w:color w:val="000000"/>
                <w:sz w:val="20"/>
                <w:szCs w:val="20"/>
                <w:lang w:val="en-IN" w:eastAsia="en-IN"/>
              </w:rPr>
            </w:pPr>
            <w:r>
              <w:rPr>
                <w:rFonts w:ascii="Garamond" w:eastAsia="Times New Roman" w:hAnsi="Garamond" w:cs="Calibri"/>
                <w:b/>
                <w:bCs/>
                <w:color w:val="000000"/>
                <w:sz w:val="20"/>
                <w:szCs w:val="20"/>
                <w:lang w:val="en-IN" w:eastAsia="en-IN"/>
              </w:rPr>
              <w:t>Closing Value before</w:t>
            </w:r>
          </w:p>
        </w:tc>
        <w:tc>
          <w:tcPr>
            <w:tcW w:w="1312" w:type="dxa"/>
            <w:vMerge w:val="restart"/>
            <w:tcBorders>
              <w:top w:val="single" w:sz="8" w:space="0" w:color="auto"/>
              <w:left w:val="single" w:sz="8" w:space="0" w:color="auto"/>
              <w:bottom w:val="single" w:sz="8" w:space="0" w:color="000000"/>
              <w:right w:val="single" w:sz="8" w:space="0" w:color="auto"/>
            </w:tcBorders>
            <w:shd w:val="clear" w:color="000000" w:fill="B4C6E7"/>
            <w:hideMark/>
          </w:tcPr>
          <w:p w:rsidR="000F236F" w:rsidRDefault="000F236F" w:rsidP="00DB5405">
            <w:pPr>
              <w:jc w:val="center"/>
              <w:rPr>
                <w:rFonts w:ascii="Garamond" w:eastAsia="Times New Roman" w:hAnsi="Garamond" w:cs="Calibri"/>
                <w:b/>
                <w:bCs/>
                <w:color w:val="000000"/>
                <w:sz w:val="20"/>
                <w:szCs w:val="20"/>
                <w:lang w:val="en-IN" w:eastAsia="en-IN"/>
              </w:rPr>
            </w:pPr>
            <w:r>
              <w:rPr>
                <w:rFonts w:ascii="Garamond" w:eastAsia="Times New Roman" w:hAnsi="Garamond" w:cs="Calibri"/>
                <w:b/>
                <w:bCs/>
                <w:color w:val="000000"/>
                <w:sz w:val="20"/>
                <w:szCs w:val="20"/>
                <w:lang w:val="en-IN" w:eastAsia="en-IN"/>
              </w:rPr>
              <w:t>Monthly Volatility (Annualised)</w:t>
            </w:r>
          </w:p>
        </w:tc>
        <w:tc>
          <w:tcPr>
            <w:tcW w:w="835" w:type="dxa"/>
            <w:vMerge w:val="restart"/>
            <w:tcBorders>
              <w:top w:val="single" w:sz="8" w:space="0" w:color="auto"/>
              <w:left w:val="single" w:sz="8" w:space="0" w:color="auto"/>
              <w:bottom w:val="single" w:sz="8" w:space="0" w:color="000000"/>
              <w:right w:val="single" w:sz="8" w:space="0" w:color="auto"/>
            </w:tcBorders>
            <w:shd w:val="clear" w:color="000000" w:fill="B4C6E7"/>
            <w:hideMark/>
          </w:tcPr>
          <w:p w:rsidR="000F236F" w:rsidRDefault="000F236F" w:rsidP="00DB5405">
            <w:pPr>
              <w:jc w:val="center"/>
              <w:rPr>
                <w:rFonts w:ascii="Garamond" w:eastAsia="Times New Roman" w:hAnsi="Garamond" w:cs="Calibri"/>
                <w:b/>
                <w:bCs/>
                <w:color w:val="000000"/>
                <w:sz w:val="20"/>
                <w:szCs w:val="20"/>
                <w:lang w:val="en-IN" w:eastAsia="en-IN"/>
              </w:rPr>
            </w:pPr>
            <w:r>
              <w:rPr>
                <w:rFonts w:ascii="Garamond" w:eastAsia="Times New Roman" w:hAnsi="Garamond" w:cs="Calibri"/>
                <w:b/>
                <w:bCs/>
                <w:color w:val="000000"/>
                <w:sz w:val="20"/>
                <w:szCs w:val="20"/>
                <w:lang w:val="en-IN" w:eastAsia="en-IN"/>
              </w:rPr>
              <w:t>P/E Ratio</w:t>
            </w:r>
          </w:p>
        </w:tc>
      </w:tr>
      <w:tr w:rsidR="000F236F" w:rsidTr="00DB5405">
        <w:trPr>
          <w:trHeight w:val="199"/>
          <w:jc w:val="center"/>
        </w:trPr>
        <w:tc>
          <w:tcPr>
            <w:tcW w:w="1266" w:type="dxa"/>
            <w:vMerge/>
            <w:tcBorders>
              <w:top w:val="single" w:sz="8" w:space="0" w:color="auto"/>
              <w:left w:val="single" w:sz="8" w:space="0" w:color="auto"/>
              <w:bottom w:val="single" w:sz="8" w:space="0" w:color="000000"/>
              <w:right w:val="single" w:sz="8" w:space="0" w:color="auto"/>
            </w:tcBorders>
            <w:vAlign w:val="center"/>
            <w:hideMark/>
          </w:tcPr>
          <w:p w:rsidR="000F236F" w:rsidRDefault="000F236F" w:rsidP="00DB5405">
            <w:pPr>
              <w:rPr>
                <w:rFonts w:ascii="Garamond" w:eastAsia="Times New Roman" w:hAnsi="Garamond" w:cs="Calibri"/>
                <w:b/>
                <w:bCs/>
                <w:color w:val="000000"/>
                <w:sz w:val="20"/>
                <w:szCs w:val="20"/>
                <w:lang w:val="en-IN" w:eastAsia="en-IN"/>
              </w:rPr>
            </w:pPr>
          </w:p>
        </w:tc>
        <w:tc>
          <w:tcPr>
            <w:tcW w:w="1801" w:type="dxa"/>
            <w:vMerge/>
            <w:tcBorders>
              <w:top w:val="single" w:sz="8" w:space="0" w:color="auto"/>
              <w:left w:val="single" w:sz="8" w:space="0" w:color="auto"/>
              <w:bottom w:val="single" w:sz="8" w:space="0" w:color="000000"/>
              <w:right w:val="single" w:sz="8" w:space="0" w:color="auto"/>
            </w:tcBorders>
            <w:vAlign w:val="center"/>
            <w:hideMark/>
          </w:tcPr>
          <w:p w:rsidR="000F236F" w:rsidRDefault="000F236F" w:rsidP="00DB5405">
            <w:pPr>
              <w:rPr>
                <w:rFonts w:ascii="Garamond" w:eastAsia="Times New Roman" w:hAnsi="Garamond" w:cs="Calibri"/>
                <w:b/>
                <w:bCs/>
                <w:color w:val="000000"/>
                <w:sz w:val="20"/>
                <w:szCs w:val="20"/>
                <w:lang w:val="en-IN" w:eastAsia="en-IN"/>
              </w:rPr>
            </w:pPr>
          </w:p>
        </w:tc>
        <w:tc>
          <w:tcPr>
            <w:tcW w:w="1566" w:type="dxa"/>
            <w:tcBorders>
              <w:top w:val="nil"/>
              <w:left w:val="nil"/>
              <w:bottom w:val="single" w:sz="8" w:space="0" w:color="auto"/>
              <w:right w:val="single" w:sz="8" w:space="0" w:color="auto"/>
            </w:tcBorders>
            <w:shd w:val="clear" w:color="000000" w:fill="B4C6E7"/>
            <w:noWrap/>
            <w:hideMark/>
          </w:tcPr>
          <w:p w:rsidR="000F236F" w:rsidRDefault="000F236F" w:rsidP="00DB5405">
            <w:pPr>
              <w:jc w:val="center"/>
              <w:rPr>
                <w:rFonts w:ascii="Garamond" w:eastAsia="Times New Roman" w:hAnsi="Garamond" w:cs="Calibri"/>
                <w:b/>
                <w:bCs/>
                <w:color w:val="000000"/>
                <w:sz w:val="20"/>
                <w:szCs w:val="20"/>
                <w:lang w:val="en-IN" w:eastAsia="en-IN"/>
              </w:rPr>
            </w:pPr>
            <w:r>
              <w:rPr>
                <w:rFonts w:ascii="Garamond" w:eastAsia="Times New Roman" w:hAnsi="Garamond" w:cs="Calibri"/>
                <w:b/>
                <w:bCs/>
                <w:color w:val="000000"/>
                <w:sz w:val="20"/>
                <w:szCs w:val="20"/>
                <w:lang w:val="en-IN" w:eastAsia="en-IN"/>
              </w:rPr>
              <w:t>30-Sep-2020</w:t>
            </w:r>
          </w:p>
        </w:tc>
        <w:tc>
          <w:tcPr>
            <w:tcW w:w="1096" w:type="dxa"/>
            <w:tcBorders>
              <w:top w:val="nil"/>
              <w:left w:val="nil"/>
              <w:bottom w:val="single" w:sz="8" w:space="0" w:color="auto"/>
              <w:right w:val="single" w:sz="8" w:space="0" w:color="auto"/>
            </w:tcBorders>
            <w:shd w:val="clear" w:color="000000" w:fill="B4C6E7"/>
            <w:noWrap/>
            <w:hideMark/>
          </w:tcPr>
          <w:p w:rsidR="000F236F" w:rsidRDefault="000F236F" w:rsidP="00DB5405">
            <w:pPr>
              <w:jc w:val="center"/>
              <w:rPr>
                <w:rFonts w:ascii="Garamond" w:eastAsia="Times New Roman" w:hAnsi="Garamond" w:cs="Calibri"/>
                <w:b/>
                <w:bCs/>
                <w:color w:val="000000"/>
                <w:sz w:val="20"/>
                <w:szCs w:val="20"/>
                <w:lang w:val="en-IN" w:eastAsia="en-IN"/>
              </w:rPr>
            </w:pPr>
            <w:r>
              <w:rPr>
                <w:rFonts w:ascii="Garamond" w:eastAsia="Times New Roman" w:hAnsi="Garamond" w:cs="Calibri"/>
                <w:b/>
                <w:bCs/>
                <w:color w:val="000000"/>
                <w:sz w:val="20"/>
                <w:szCs w:val="20"/>
                <w:lang w:val="en-IN" w:eastAsia="en-IN"/>
              </w:rPr>
              <w:t>1-Month</w:t>
            </w:r>
          </w:p>
        </w:tc>
        <w:tc>
          <w:tcPr>
            <w:tcW w:w="1023" w:type="dxa"/>
            <w:tcBorders>
              <w:top w:val="nil"/>
              <w:left w:val="nil"/>
              <w:bottom w:val="single" w:sz="8" w:space="0" w:color="auto"/>
              <w:right w:val="single" w:sz="8" w:space="0" w:color="auto"/>
            </w:tcBorders>
            <w:shd w:val="clear" w:color="000000" w:fill="B4C6E7"/>
            <w:noWrap/>
            <w:hideMark/>
          </w:tcPr>
          <w:p w:rsidR="000F236F" w:rsidRDefault="000F236F" w:rsidP="00DB5405">
            <w:pPr>
              <w:jc w:val="center"/>
              <w:rPr>
                <w:rFonts w:ascii="Garamond" w:eastAsia="Times New Roman" w:hAnsi="Garamond" w:cs="Calibri"/>
                <w:b/>
                <w:bCs/>
                <w:color w:val="000000"/>
                <w:sz w:val="20"/>
                <w:szCs w:val="20"/>
                <w:lang w:val="en-IN" w:eastAsia="en-IN"/>
              </w:rPr>
            </w:pPr>
            <w:r>
              <w:rPr>
                <w:rFonts w:ascii="Garamond" w:eastAsia="Times New Roman" w:hAnsi="Garamond" w:cs="Calibri"/>
                <w:b/>
                <w:bCs/>
                <w:color w:val="000000"/>
                <w:sz w:val="20"/>
                <w:szCs w:val="20"/>
                <w:lang w:val="en-IN" w:eastAsia="en-IN"/>
              </w:rPr>
              <w:t>3-Month</w:t>
            </w:r>
          </w:p>
        </w:tc>
        <w:tc>
          <w:tcPr>
            <w:tcW w:w="1101" w:type="dxa"/>
            <w:tcBorders>
              <w:top w:val="nil"/>
              <w:left w:val="nil"/>
              <w:bottom w:val="single" w:sz="8" w:space="0" w:color="auto"/>
              <w:right w:val="single" w:sz="8" w:space="0" w:color="auto"/>
            </w:tcBorders>
            <w:shd w:val="clear" w:color="000000" w:fill="B4C6E7"/>
            <w:noWrap/>
            <w:hideMark/>
          </w:tcPr>
          <w:p w:rsidR="000F236F" w:rsidRDefault="000F236F" w:rsidP="00DB5405">
            <w:pPr>
              <w:jc w:val="center"/>
              <w:rPr>
                <w:rFonts w:ascii="Garamond" w:eastAsia="Times New Roman" w:hAnsi="Garamond" w:cs="Calibri"/>
                <w:b/>
                <w:bCs/>
                <w:color w:val="000000"/>
                <w:sz w:val="20"/>
                <w:szCs w:val="20"/>
                <w:lang w:val="en-IN" w:eastAsia="en-IN"/>
              </w:rPr>
            </w:pPr>
            <w:r>
              <w:rPr>
                <w:rFonts w:ascii="Garamond" w:eastAsia="Times New Roman" w:hAnsi="Garamond" w:cs="Calibri"/>
                <w:b/>
                <w:bCs/>
                <w:color w:val="000000"/>
                <w:sz w:val="20"/>
                <w:szCs w:val="20"/>
                <w:lang w:val="en-IN" w:eastAsia="en-IN"/>
              </w:rPr>
              <w:t>6-Month</w:t>
            </w:r>
          </w:p>
        </w:tc>
        <w:tc>
          <w:tcPr>
            <w:tcW w:w="1116" w:type="dxa"/>
            <w:tcBorders>
              <w:top w:val="nil"/>
              <w:left w:val="nil"/>
              <w:bottom w:val="single" w:sz="8" w:space="0" w:color="auto"/>
              <w:right w:val="single" w:sz="8" w:space="0" w:color="auto"/>
            </w:tcBorders>
            <w:shd w:val="clear" w:color="000000" w:fill="B4C6E7"/>
            <w:noWrap/>
            <w:hideMark/>
          </w:tcPr>
          <w:p w:rsidR="000F236F" w:rsidRDefault="000F236F" w:rsidP="00DB5405">
            <w:pPr>
              <w:jc w:val="center"/>
              <w:rPr>
                <w:rFonts w:ascii="Garamond" w:eastAsia="Times New Roman" w:hAnsi="Garamond" w:cs="Calibri"/>
                <w:b/>
                <w:bCs/>
                <w:color w:val="000000"/>
                <w:sz w:val="20"/>
                <w:szCs w:val="20"/>
                <w:lang w:val="en-IN" w:eastAsia="en-IN"/>
              </w:rPr>
            </w:pPr>
            <w:r>
              <w:rPr>
                <w:rFonts w:ascii="Garamond" w:eastAsia="Times New Roman" w:hAnsi="Garamond" w:cs="Calibri"/>
                <w:b/>
                <w:bCs/>
                <w:color w:val="000000"/>
                <w:sz w:val="20"/>
                <w:szCs w:val="20"/>
                <w:lang w:val="en-IN" w:eastAsia="en-IN"/>
              </w:rPr>
              <w:t>1-Year</w:t>
            </w:r>
          </w:p>
        </w:tc>
        <w:tc>
          <w:tcPr>
            <w:tcW w:w="1312" w:type="dxa"/>
            <w:vMerge/>
            <w:tcBorders>
              <w:top w:val="single" w:sz="8" w:space="0" w:color="auto"/>
              <w:left w:val="single" w:sz="8" w:space="0" w:color="auto"/>
              <w:bottom w:val="single" w:sz="8" w:space="0" w:color="000000"/>
              <w:right w:val="single" w:sz="8" w:space="0" w:color="auto"/>
            </w:tcBorders>
            <w:vAlign w:val="center"/>
            <w:hideMark/>
          </w:tcPr>
          <w:p w:rsidR="000F236F" w:rsidRDefault="000F236F" w:rsidP="00DB5405">
            <w:pPr>
              <w:rPr>
                <w:rFonts w:ascii="Garamond" w:eastAsia="Times New Roman" w:hAnsi="Garamond" w:cs="Calibri"/>
                <w:b/>
                <w:bCs/>
                <w:color w:val="000000"/>
                <w:sz w:val="20"/>
                <w:szCs w:val="20"/>
                <w:lang w:val="en-IN" w:eastAsia="en-IN"/>
              </w:rPr>
            </w:pPr>
          </w:p>
        </w:tc>
        <w:tc>
          <w:tcPr>
            <w:tcW w:w="835" w:type="dxa"/>
            <w:vMerge/>
            <w:tcBorders>
              <w:top w:val="single" w:sz="8" w:space="0" w:color="auto"/>
              <w:left w:val="single" w:sz="8" w:space="0" w:color="auto"/>
              <w:bottom w:val="single" w:sz="8" w:space="0" w:color="000000"/>
              <w:right w:val="single" w:sz="8" w:space="0" w:color="auto"/>
            </w:tcBorders>
            <w:vAlign w:val="center"/>
            <w:hideMark/>
          </w:tcPr>
          <w:p w:rsidR="000F236F" w:rsidRDefault="000F236F" w:rsidP="00DB5405">
            <w:pPr>
              <w:rPr>
                <w:rFonts w:ascii="Garamond" w:eastAsia="Times New Roman" w:hAnsi="Garamond" w:cs="Calibri"/>
                <w:b/>
                <w:bCs/>
                <w:color w:val="000000"/>
                <w:sz w:val="20"/>
                <w:szCs w:val="20"/>
                <w:lang w:val="en-IN" w:eastAsia="en-IN"/>
              </w:rPr>
            </w:pPr>
          </w:p>
        </w:tc>
      </w:tr>
      <w:tr w:rsidR="000F236F" w:rsidTr="00DB5405">
        <w:trPr>
          <w:trHeight w:val="199"/>
          <w:jc w:val="center"/>
        </w:trPr>
        <w:tc>
          <w:tcPr>
            <w:tcW w:w="11116" w:type="dxa"/>
            <w:gridSpan w:val="9"/>
            <w:tcBorders>
              <w:top w:val="single" w:sz="8" w:space="0" w:color="auto"/>
              <w:left w:val="single" w:sz="8" w:space="0" w:color="auto"/>
              <w:bottom w:val="single" w:sz="8" w:space="0" w:color="auto"/>
              <w:right w:val="single" w:sz="8" w:space="0" w:color="000000"/>
            </w:tcBorders>
            <w:shd w:val="clear" w:color="000000" w:fill="D9E1F2"/>
            <w:noWrap/>
            <w:hideMark/>
          </w:tcPr>
          <w:p w:rsidR="000F236F" w:rsidRDefault="000F236F" w:rsidP="00DB5405">
            <w:pPr>
              <w:jc w:val="center"/>
              <w:rPr>
                <w:rFonts w:ascii="Garamond" w:eastAsia="Times New Roman" w:hAnsi="Garamond" w:cs="Calibri"/>
                <w:b/>
                <w:bCs/>
                <w:color w:val="000000"/>
                <w:sz w:val="20"/>
                <w:szCs w:val="20"/>
                <w:lang w:val="en-IN" w:eastAsia="en-IN"/>
              </w:rPr>
            </w:pPr>
            <w:r>
              <w:rPr>
                <w:rFonts w:ascii="Garamond" w:eastAsia="Times New Roman" w:hAnsi="Garamond" w:cs="Calibri"/>
                <w:b/>
                <w:bCs/>
                <w:color w:val="000000"/>
                <w:sz w:val="20"/>
                <w:szCs w:val="20"/>
                <w:lang w:val="en-IN" w:eastAsia="en-IN"/>
              </w:rPr>
              <w:t>BRICS Nations</w:t>
            </w:r>
          </w:p>
        </w:tc>
      </w:tr>
      <w:tr w:rsidR="000F236F" w:rsidTr="00DB5405">
        <w:trPr>
          <w:trHeight w:val="298"/>
          <w:jc w:val="center"/>
        </w:trPr>
        <w:tc>
          <w:tcPr>
            <w:tcW w:w="1266" w:type="dxa"/>
            <w:tcBorders>
              <w:top w:val="nil"/>
              <w:left w:val="single" w:sz="8" w:space="0" w:color="auto"/>
              <w:bottom w:val="nil"/>
              <w:right w:val="single" w:sz="8" w:space="0" w:color="auto"/>
            </w:tcBorders>
            <w:shd w:val="clear" w:color="000000" w:fill="D9E1F2"/>
            <w:noWrap/>
            <w:hideMark/>
          </w:tcPr>
          <w:p w:rsidR="000F236F" w:rsidRDefault="000F236F" w:rsidP="00DB5405">
            <w:pPr>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Brazil</w:t>
            </w:r>
          </w:p>
        </w:tc>
        <w:tc>
          <w:tcPr>
            <w:tcW w:w="1801" w:type="dxa"/>
            <w:tcBorders>
              <w:top w:val="nil"/>
              <w:left w:val="nil"/>
              <w:bottom w:val="nil"/>
              <w:right w:val="single" w:sz="8" w:space="0" w:color="auto"/>
            </w:tcBorders>
            <w:shd w:val="clear" w:color="000000" w:fill="D9E1F2"/>
            <w:noWrap/>
            <w:hideMark/>
          </w:tcPr>
          <w:p w:rsidR="000F236F" w:rsidRDefault="000F236F" w:rsidP="00DB5405">
            <w:pPr>
              <w:rPr>
                <w:rFonts w:ascii="Garamond" w:eastAsia="Times New Roman" w:hAnsi="Garamond" w:cs="Calibri"/>
                <w:color w:val="000000"/>
                <w:sz w:val="18"/>
                <w:szCs w:val="18"/>
                <w:lang w:val="en-IN" w:eastAsia="en-IN"/>
              </w:rPr>
            </w:pPr>
            <w:r>
              <w:rPr>
                <w:rFonts w:ascii="Garamond" w:eastAsia="Times New Roman" w:hAnsi="Garamond" w:cs="Calibri"/>
                <w:color w:val="000000"/>
                <w:sz w:val="18"/>
                <w:szCs w:val="18"/>
                <w:lang w:val="en-IN" w:eastAsia="en-IN"/>
              </w:rPr>
              <w:t xml:space="preserve">BRAZIL IBOVESPA </w:t>
            </w:r>
          </w:p>
        </w:tc>
        <w:tc>
          <w:tcPr>
            <w:tcW w:w="1566" w:type="dxa"/>
            <w:tcBorders>
              <w:top w:val="nil"/>
              <w:left w:val="nil"/>
              <w:bottom w:val="nil"/>
              <w:right w:val="single" w:sz="8" w:space="0" w:color="auto"/>
            </w:tcBorders>
            <w:shd w:val="clear" w:color="auto" w:fill="auto"/>
            <w:noWrap/>
            <w:hideMark/>
          </w:tcPr>
          <w:p w:rsidR="000F236F" w:rsidRDefault="000F236F" w:rsidP="00DB5405">
            <w:pPr>
              <w:ind w:firstLineChars="100" w:firstLine="200"/>
              <w:jc w:val="right"/>
              <w:rPr>
                <w:rFonts w:ascii="Garamond" w:hAnsi="Garamond" w:cs="Calibri"/>
                <w:sz w:val="20"/>
                <w:szCs w:val="20"/>
              </w:rPr>
            </w:pPr>
            <w:r>
              <w:rPr>
                <w:rFonts w:ascii="Garamond" w:hAnsi="Garamond" w:cs="Calibri"/>
                <w:sz w:val="20"/>
                <w:szCs w:val="20"/>
              </w:rPr>
              <w:t>94603.4</w:t>
            </w:r>
          </w:p>
        </w:tc>
        <w:tc>
          <w:tcPr>
            <w:tcW w:w="1096" w:type="dxa"/>
            <w:tcBorders>
              <w:top w:val="nil"/>
              <w:left w:val="nil"/>
              <w:bottom w:val="nil"/>
              <w:right w:val="single" w:sz="8" w:space="0" w:color="auto"/>
            </w:tcBorders>
            <w:shd w:val="clear" w:color="auto" w:fill="auto"/>
            <w:noWrap/>
            <w:hideMark/>
          </w:tcPr>
          <w:p w:rsidR="000F236F" w:rsidRDefault="000F236F" w:rsidP="00DB5405">
            <w:pPr>
              <w:ind w:firstLineChars="100" w:firstLine="200"/>
              <w:jc w:val="right"/>
              <w:rPr>
                <w:rFonts w:ascii="Garamond" w:hAnsi="Garamond" w:cs="Calibri"/>
                <w:sz w:val="20"/>
                <w:szCs w:val="20"/>
              </w:rPr>
            </w:pPr>
            <w:r>
              <w:rPr>
                <w:rFonts w:ascii="Garamond" w:hAnsi="Garamond" w:cs="Calibri"/>
                <w:sz w:val="20"/>
                <w:szCs w:val="20"/>
              </w:rPr>
              <w:t>99369.2</w:t>
            </w:r>
          </w:p>
        </w:tc>
        <w:tc>
          <w:tcPr>
            <w:tcW w:w="1023" w:type="dxa"/>
            <w:tcBorders>
              <w:top w:val="nil"/>
              <w:left w:val="nil"/>
              <w:bottom w:val="nil"/>
              <w:right w:val="single" w:sz="8" w:space="0" w:color="auto"/>
            </w:tcBorders>
            <w:shd w:val="clear" w:color="auto" w:fill="auto"/>
            <w:noWrap/>
            <w:hideMark/>
          </w:tcPr>
          <w:p w:rsidR="000F236F" w:rsidRDefault="000F236F" w:rsidP="00DB5405">
            <w:pPr>
              <w:ind w:firstLineChars="100" w:firstLine="200"/>
              <w:jc w:val="right"/>
              <w:rPr>
                <w:rFonts w:ascii="Garamond" w:hAnsi="Garamond" w:cs="Calibri"/>
                <w:sz w:val="20"/>
                <w:szCs w:val="20"/>
              </w:rPr>
            </w:pPr>
            <w:r>
              <w:rPr>
                <w:rFonts w:ascii="Garamond" w:hAnsi="Garamond" w:cs="Calibri"/>
                <w:sz w:val="20"/>
                <w:szCs w:val="20"/>
              </w:rPr>
              <w:t>95055.8</w:t>
            </w:r>
          </w:p>
        </w:tc>
        <w:tc>
          <w:tcPr>
            <w:tcW w:w="1101" w:type="dxa"/>
            <w:tcBorders>
              <w:top w:val="nil"/>
              <w:left w:val="nil"/>
              <w:bottom w:val="nil"/>
              <w:right w:val="single" w:sz="8" w:space="0" w:color="auto"/>
            </w:tcBorders>
            <w:shd w:val="clear" w:color="auto" w:fill="auto"/>
            <w:noWrap/>
            <w:hideMark/>
          </w:tcPr>
          <w:p w:rsidR="000F236F" w:rsidRDefault="000F236F" w:rsidP="00DB5405">
            <w:pPr>
              <w:ind w:firstLineChars="100" w:firstLine="200"/>
              <w:jc w:val="right"/>
              <w:rPr>
                <w:rFonts w:ascii="Garamond" w:hAnsi="Garamond" w:cs="Calibri"/>
                <w:sz w:val="20"/>
                <w:szCs w:val="20"/>
              </w:rPr>
            </w:pPr>
            <w:r>
              <w:rPr>
                <w:rFonts w:ascii="Garamond" w:hAnsi="Garamond" w:cs="Calibri"/>
                <w:sz w:val="20"/>
                <w:szCs w:val="20"/>
              </w:rPr>
              <w:t>73019.8</w:t>
            </w:r>
          </w:p>
        </w:tc>
        <w:tc>
          <w:tcPr>
            <w:tcW w:w="1116" w:type="dxa"/>
            <w:tcBorders>
              <w:top w:val="nil"/>
              <w:left w:val="nil"/>
              <w:bottom w:val="nil"/>
              <w:right w:val="single" w:sz="8" w:space="0" w:color="auto"/>
            </w:tcBorders>
            <w:shd w:val="clear" w:color="auto" w:fill="auto"/>
            <w:noWrap/>
            <w:hideMark/>
          </w:tcPr>
          <w:p w:rsidR="000F236F" w:rsidRDefault="000F236F" w:rsidP="00DB5405">
            <w:pPr>
              <w:ind w:firstLineChars="100" w:firstLine="200"/>
              <w:jc w:val="right"/>
              <w:rPr>
                <w:rFonts w:ascii="Garamond" w:hAnsi="Garamond" w:cs="Calibri"/>
                <w:sz w:val="20"/>
                <w:szCs w:val="20"/>
              </w:rPr>
            </w:pPr>
            <w:r>
              <w:rPr>
                <w:rFonts w:ascii="Garamond" w:hAnsi="Garamond" w:cs="Calibri"/>
                <w:sz w:val="20"/>
                <w:szCs w:val="20"/>
              </w:rPr>
              <w:t>104745.3</w:t>
            </w:r>
          </w:p>
        </w:tc>
        <w:tc>
          <w:tcPr>
            <w:tcW w:w="1312" w:type="dxa"/>
            <w:tcBorders>
              <w:top w:val="nil"/>
              <w:left w:val="nil"/>
              <w:bottom w:val="nil"/>
              <w:right w:val="single" w:sz="8" w:space="0" w:color="auto"/>
            </w:tcBorders>
            <w:shd w:val="clear" w:color="auto" w:fill="auto"/>
            <w:noWrap/>
            <w:hideMark/>
          </w:tcPr>
          <w:p w:rsidR="000F236F" w:rsidRDefault="000F236F" w:rsidP="00DB5405">
            <w:pPr>
              <w:ind w:firstLineChars="100" w:firstLine="200"/>
              <w:jc w:val="right"/>
              <w:rPr>
                <w:rFonts w:ascii="Garamond" w:hAnsi="Garamond" w:cs="Calibri"/>
                <w:sz w:val="20"/>
                <w:szCs w:val="20"/>
              </w:rPr>
            </w:pPr>
            <w:r>
              <w:rPr>
                <w:rFonts w:ascii="Garamond" w:hAnsi="Garamond" w:cs="Calibri"/>
                <w:sz w:val="20"/>
                <w:szCs w:val="20"/>
              </w:rPr>
              <w:t>28.8</w:t>
            </w:r>
          </w:p>
        </w:tc>
        <w:tc>
          <w:tcPr>
            <w:tcW w:w="835" w:type="dxa"/>
            <w:tcBorders>
              <w:top w:val="nil"/>
              <w:left w:val="nil"/>
              <w:bottom w:val="nil"/>
              <w:right w:val="single" w:sz="8" w:space="0" w:color="auto"/>
            </w:tcBorders>
            <w:shd w:val="clear" w:color="auto" w:fill="auto"/>
            <w:noWrap/>
            <w:hideMark/>
          </w:tcPr>
          <w:p w:rsidR="000F236F" w:rsidRDefault="000F236F" w:rsidP="00DB5405">
            <w:pPr>
              <w:ind w:firstLineChars="100" w:firstLine="200"/>
              <w:jc w:val="right"/>
              <w:rPr>
                <w:rFonts w:ascii="Garamond" w:hAnsi="Garamond" w:cs="Calibri"/>
                <w:sz w:val="20"/>
                <w:szCs w:val="20"/>
              </w:rPr>
            </w:pPr>
            <w:r>
              <w:rPr>
                <w:rFonts w:ascii="Garamond" w:hAnsi="Garamond" w:cs="Calibri"/>
                <w:sz w:val="20"/>
                <w:szCs w:val="20"/>
              </w:rPr>
              <w:t>74.0</w:t>
            </w:r>
          </w:p>
        </w:tc>
      </w:tr>
      <w:tr w:rsidR="000F236F" w:rsidTr="00DB5405">
        <w:trPr>
          <w:trHeight w:val="189"/>
          <w:jc w:val="center"/>
        </w:trPr>
        <w:tc>
          <w:tcPr>
            <w:tcW w:w="1266" w:type="dxa"/>
            <w:tcBorders>
              <w:top w:val="nil"/>
              <w:left w:val="single" w:sz="8" w:space="0" w:color="auto"/>
              <w:bottom w:val="nil"/>
              <w:right w:val="single" w:sz="8" w:space="0" w:color="auto"/>
            </w:tcBorders>
            <w:shd w:val="clear" w:color="000000" w:fill="D9E1F2"/>
            <w:noWrap/>
            <w:hideMark/>
          </w:tcPr>
          <w:p w:rsidR="000F236F" w:rsidRDefault="000F236F" w:rsidP="00DB5405">
            <w:pPr>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Russia</w:t>
            </w:r>
          </w:p>
        </w:tc>
        <w:tc>
          <w:tcPr>
            <w:tcW w:w="1801" w:type="dxa"/>
            <w:tcBorders>
              <w:top w:val="nil"/>
              <w:left w:val="nil"/>
              <w:bottom w:val="nil"/>
              <w:right w:val="single" w:sz="8" w:space="0" w:color="auto"/>
            </w:tcBorders>
            <w:shd w:val="clear" w:color="000000" w:fill="D9E1F2"/>
            <w:noWrap/>
            <w:hideMark/>
          </w:tcPr>
          <w:p w:rsidR="000F236F" w:rsidRDefault="000F236F" w:rsidP="00DB5405">
            <w:pPr>
              <w:rPr>
                <w:rFonts w:ascii="Garamond" w:eastAsia="Times New Roman" w:hAnsi="Garamond" w:cs="Calibri"/>
                <w:color w:val="000000"/>
                <w:sz w:val="18"/>
                <w:szCs w:val="18"/>
                <w:lang w:val="en-IN" w:eastAsia="en-IN"/>
              </w:rPr>
            </w:pPr>
            <w:r>
              <w:rPr>
                <w:rFonts w:ascii="Garamond" w:eastAsia="Times New Roman" w:hAnsi="Garamond" w:cs="Calibri"/>
                <w:color w:val="000000"/>
                <w:sz w:val="18"/>
                <w:szCs w:val="18"/>
                <w:lang w:val="en-IN" w:eastAsia="en-IN"/>
              </w:rPr>
              <w:t xml:space="preserve">RUSSIAN TRADED </w:t>
            </w:r>
          </w:p>
        </w:tc>
        <w:tc>
          <w:tcPr>
            <w:tcW w:w="1566" w:type="dxa"/>
            <w:tcBorders>
              <w:top w:val="nil"/>
              <w:left w:val="nil"/>
              <w:bottom w:val="nil"/>
              <w:right w:val="single" w:sz="8" w:space="0" w:color="auto"/>
            </w:tcBorders>
            <w:shd w:val="clear" w:color="auto" w:fill="auto"/>
            <w:noWrap/>
            <w:hideMark/>
          </w:tcPr>
          <w:p w:rsidR="000F236F" w:rsidRDefault="000F236F" w:rsidP="00DB5405">
            <w:pPr>
              <w:ind w:firstLineChars="100" w:firstLine="200"/>
              <w:jc w:val="right"/>
              <w:rPr>
                <w:rFonts w:ascii="Garamond" w:hAnsi="Garamond" w:cs="Calibri"/>
                <w:sz w:val="20"/>
                <w:szCs w:val="20"/>
              </w:rPr>
            </w:pPr>
            <w:r>
              <w:rPr>
                <w:rFonts w:ascii="Garamond" w:hAnsi="Garamond" w:cs="Calibri"/>
                <w:sz w:val="20"/>
                <w:szCs w:val="20"/>
              </w:rPr>
              <w:t>1488.1</w:t>
            </w:r>
          </w:p>
        </w:tc>
        <w:tc>
          <w:tcPr>
            <w:tcW w:w="1096" w:type="dxa"/>
            <w:tcBorders>
              <w:top w:val="nil"/>
              <w:left w:val="nil"/>
              <w:bottom w:val="nil"/>
              <w:right w:val="single" w:sz="8" w:space="0" w:color="auto"/>
            </w:tcBorders>
            <w:shd w:val="clear" w:color="auto" w:fill="auto"/>
            <w:noWrap/>
            <w:hideMark/>
          </w:tcPr>
          <w:p w:rsidR="000F236F" w:rsidRDefault="000F236F" w:rsidP="00DB5405">
            <w:pPr>
              <w:ind w:firstLineChars="100" w:firstLine="200"/>
              <w:jc w:val="right"/>
              <w:rPr>
                <w:rFonts w:ascii="Garamond" w:hAnsi="Garamond" w:cs="Calibri"/>
                <w:sz w:val="20"/>
                <w:szCs w:val="20"/>
              </w:rPr>
            </w:pPr>
            <w:r>
              <w:rPr>
                <w:rFonts w:ascii="Garamond" w:hAnsi="Garamond" w:cs="Calibri"/>
                <w:sz w:val="20"/>
                <w:szCs w:val="20"/>
              </w:rPr>
              <w:t>1617.5</w:t>
            </w:r>
          </w:p>
        </w:tc>
        <w:tc>
          <w:tcPr>
            <w:tcW w:w="1023" w:type="dxa"/>
            <w:tcBorders>
              <w:top w:val="nil"/>
              <w:left w:val="nil"/>
              <w:bottom w:val="nil"/>
              <w:right w:val="single" w:sz="8" w:space="0" w:color="auto"/>
            </w:tcBorders>
            <w:shd w:val="clear" w:color="auto" w:fill="auto"/>
            <w:noWrap/>
            <w:hideMark/>
          </w:tcPr>
          <w:p w:rsidR="000F236F" w:rsidRDefault="000F236F" w:rsidP="00DB5405">
            <w:pPr>
              <w:ind w:firstLineChars="100" w:firstLine="200"/>
              <w:jc w:val="right"/>
              <w:rPr>
                <w:rFonts w:ascii="Garamond" w:hAnsi="Garamond" w:cs="Calibri"/>
                <w:sz w:val="20"/>
                <w:szCs w:val="20"/>
              </w:rPr>
            </w:pPr>
            <w:r>
              <w:rPr>
                <w:rFonts w:ascii="Garamond" w:hAnsi="Garamond" w:cs="Calibri"/>
                <w:sz w:val="20"/>
                <w:szCs w:val="20"/>
              </w:rPr>
              <w:t>1628.3</w:t>
            </w:r>
          </w:p>
        </w:tc>
        <w:tc>
          <w:tcPr>
            <w:tcW w:w="1101" w:type="dxa"/>
            <w:tcBorders>
              <w:top w:val="nil"/>
              <w:left w:val="nil"/>
              <w:bottom w:val="nil"/>
              <w:right w:val="single" w:sz="8" w:space="0" w:color="auto"/>
            </w:tcBorders>
            <w:shd w:val="clear" w:color="auto" w:fill="auto"/>
            <w:noWrap/>
            <w:hideMark/>
          </w:tcPr>
          <w:p w:rsidR="000F236F" w:rsidRDefault="000F236F" w:rsidP="00DB5405">
            <w:pPr>
              <w:ind w:firstLineChars="100" w:firstLine="200"/>
              <w:jc w:val="right"/>
              <w:rPr>
                <w:rFonts w:ascii="Garamond" w:hAnsi="Garamond" w:cs="Calibri"/>
                <w:sz w:val="20"/>
                <w:szCs w:val="20"/>
              </w:rPr>
            </w:pPr>
            <w:r>
              <w:rPr>
                <w:rFonts w:ascii="Garamond" w:hAnsi="Garamond" w:cs="Calibri"/>
                <w:sz w:val="20"/>
                <w:szCs w:val="20"/>
              </w:rPr>
              <w:t>1383.6</w:t>
            </w:r>
          </w:p>
        </w:tc>
        <w:tc>
          <w:tcPr>
            <w:tcW w:w="1116" w:type="dxa"/>
            <w:tcBorders>
              <w:top w:val="nil"/>
              <w:left w:val="nil"/>
              <w:bottom w:val="nil"/>
              <w:right w:val="single" w:sz="8" w:space="0" w:color="auto"/>
            </w:tcBorders>
            <w:shd w:val="clear" w:color="auto" w:fill="auto"/>
            <w:noWrap/>
            <w:hideMark/>
          </w:tcPr>
          <w:p w:rsidR="000F236F" w:rsidRDefault="000F236F" w:rsidP="00DB5405">
            <w:pPr>
              <w:ind w:firstLineChars="100" w:firstLine="200"/>
              <w:jc w:val="right"/>
              <w:rPr>
                <w:rFonts w:ascii="Garamond" w:hAnsi="Garamond" w:cs="Calibri"/>
                <w:sz w:val="20"/>
                <w:szCs w:val="20"/>
              </w:rPr>
            </w:pPr>
            <w:r>
              <w:rPr>
                <w:rFonts w:ascii="Garamond" w:hAnsi="Garamond" w:cs="Calibri"/>
                <w:sz w:val="20"/>
                <w:szCs w:val="20"/>
              </w:rPr>
              <w:t>1949.7</w:t>
            </w:r>
          </w:p>
        </w:tc>
        <w:tc>
          <w:tcPr>
            <w:tcW w:w="1312" w:type="dxa"/>
            <w:tcBorders>
              <w:top w:val="nil"/>
              <w:left w:val="nil"/>
              <w:bottom w:val="nil"/>
              <w:right w:val="single" w:sz="8" w:space="0" w:color="auto"/>
            </w:tcBorders>
            <w:shd w:val="clear" w:color="auto" w:fill="auto"/>
            <w:noWrap/>
            <w:hideMark/>
          </w:tcPr>
          <w:p w:rsidR="000F236F" w:rsidRDefault="000F236F" w:rsidP="00DB5405">
            <w:pPr>
              <w:ind w:firstLineChars="100" w:firstLine="200"/>
              <w:jc w:val="right"/>
              <w:rPr>
                <w:rFonts w:ascii="Garamond" w:hAnsi="Garamond" w:cs="Calibri"/>
                <w:sz w:val="20"/>
                <w:szCs w:val="20"/>
              </w:rPr>
            </w:pPr>
            <w:r>
              <w:rPr>
                <w:rFonts w:ascii="Garamond" w:hAnsi="Garamond" w:cs="Calibri"/>
                <w:sz w:val="20"/>
                <w:szCs w:val="20"/>
              </w:rPr>
              <w:t>31.5</w:t>
            </w:r>
          </w:p>
        </w:tc>
        <w:tc>
          <w:tcPr>
            <w:tcW w:w="835" w:type="dxa"/>
            <w:tcBorders>
              <w:top w:val="nil"/>
              <w:left w:val="nil"/>
              <w:bottom w:val="nil"/>
              <w:right w:val="single" w:sz="8" w:space="0" w:color="auto"/>
            </w:tcBorders>
            <w:shd w:val="clear" w:color="auto" w:fill="auto"/>
            <w:noWrap/>
            <w:hideMark/>
          </w:tcPr>
          <w:p w:rsidR="000F236F" w:rsidRDefault="000F236F" w:rsidP="00DB5405">
            <w:pPr>
              <w:ind w:firstLineChars="100" w:firstLine="200"/>
              <w:jc w:val="right"/>
              <w:rPr>
                <w:rFonts w:ascii="Garamond" w:hAnsi="Garamond" w:cs="Calibri"/>
                <w:sz w:val="20"/>
                <w:szCs w:val="20"/>
              </w:rPr>
            </w:pPr>
            <w:r>
              <w:rPr>
                <w:rFonts w:ascii="Garamond" w:hAnsi="Garamond" w:cs="Calibri"/>
                <w:sz w:val="20"/>
                <w:szCs w:val="20"/>
              </w:rPr>
              <w:t>7.0</w:t>
            </w:r>
          </w:p>
        </w:tc>
      </w:tr>
      <w:tr w:rsidR="000F236F" w:rsidTr="00DB5405">
        <w:trPr>
          <w:trHeight w:val="189"/>
          <w:jc w:val="center"/>
        </w:trPr>
        <w:tc>
          <w:tcPr>
            <w:tcW w:w="1266" w:type="dxa"/>
            <w:tcBorders>
              <w:top w:val="nil"/>
              <w:left w:val="single" w:sz="8" w:space="0" w:color="auto"/>
              <w:bottom w:val="nil"/>
              <w:right w:val="single" w:sz="8" w:space="0" w:color="auto"/>
            </w:tcBorders>
            <w:shd w:val="clear" w:color="000000" w:fill="D9E1F2"/>
            <w:noWrap/>
            <w:hideMark/>
          </w:tcPr>
          <w:p w:rsidR="000F236F" w:rsidRDefault="000F236F" w:rsidP="00DB5405">
            <w:pPr>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India</w:t>
            </w:r>
          </w:p>
        </w:tc>
        <w:tc>
          <w:tcPr>
            <w:tcW w:w="1801" w:type="dxa"/>
            <w:tcBorders>
              <w:top w:val="nil"/>
              <w:left w:val="nil"/>
              <w:bottom w:val="nil"/>
              <w:right w:val="single" w:sz="8" w:space="0" w:color="auto"/>
            </w:tcBorders>
            <w:shd w:val="clear" w:color="000000" w:fill="D9E1F2"/>
            <w:noWrap/>
            <w:hideMark/>
          </w:tcPr>
          <w:p w:rsidR="000F236F" w:rsidRDefault="000F236F" w:rsidP="00DB5405">
            <w:pPr>
              <w:rPr>
                <w:rFonts w:ascii="Garamond" w:eastAsia="Times New Roman" w:hAnsi="Garamond" w:cs="Calibri"/>
                <w:color w:val="000000"/>
                <w:sz w:val="18"/>
                <w:szCs w:val="18"/>
                <w:lang w:val="en-IN" w:eastAsia="en-IN"/>
              </w:rPr>
            </w:pPr>
            <w:r>
              <w:rPr>
                <w:rFonts w:ascii="Garamond" w:eastAsia="Times New Roman" w:hAnsi="Garamond" w:cs="Calibri"/>
                <w:color w:val="000000"/>
                <w:sz w:val="18"/>
                <w:szCs w:val="18"/>
                <w:lang w:val="en-IN" w:eastAsia="en-IN"/>
              </w:rPr>
              <w:t>Nifty 50</w:t>
            </w:r>
          </w:p>
        </w:tc>
        <w:tc>
          <w:tcPr>
            <w:tcW w:w="1566" w:type="dxa"/>
            <w:tcBorders>
              <w:top w:val="nil"/>
              <w:left w:val="nil"/>
              <w:bottom w:val="nil"/>
              <w:right w:val="single" w:sz="8" w:space="0" w:color="auto"/>
            </w:tcBorders>
            <w:shd w:val="clear" w:color="auto" w:fill="auto"/>
            <w:noWrap/>
            <w:hideMark/>
          </w:tcPr>
          <w:p w:rsidR="000F236F" w:rsidRDefault="000F236F" w:rsidP="00DB5405">
            <w:pPr>
              <w:ind w:firstLineChars="100" w:firstLine="200"/>
              <w:jc w:val="right"/>
              <w:rPr>
                <w:rFonts w:ascii="Garamond" w:hAnsi="Garamond" w:cs="Calibri"/>
                <w:sz w:val="20"/>
                <w:szCs w:val="20"/>
              </w:rPr>
            </w:pPr>
            <w:r>
              <w:rPr>
                <w:rFonts w:ascii="Garamond" w:hAnsi="Garamond" w:cs="Calibri"/>
                <w:sz w:val="20"/>
                <w:szCs w:val="20"/>
              </w:rPr>
              <w:t>11247.6</w:t>
            </w:r>
          </w:p>
        </w:tc>
        <w:tc>
          <w:tcPr>
            <w:tcW w:w="1096" w:type="dxa"/>
            <w:tcBorders>
              <w:top w:val="nil"/>
              <w:left w:val="nil"/>
              <w:bottom w:val="nil"/>
              <w:right w:val="single" w:sz="8" w:space="0" w:color="auto"/>
            </w:tcBorders>
            <w:shd w:val="clear" w:color="auto" w:fill="auto"/>
            <w:noWrap/>
            <w:hideMark/>
          </w:tcPr>
          <w:p w:rsidR="000F236F" w:rsidRDefault="000F236F" w:rsidP="00DB5405">
            <w:pPr>
              <w:ind w:firstLineChars="100" w:firstLine="200"/>
              <w:jc w:val="right"/>
              <w:rPr>
                <w:rFonts w:ascii="Garamond" w:hAnsi="Garamond" w:cs="Calibri"/>
                <w:sz w:val="20"/>
                <w:szCs w:val="20"/>
              </w:rPr>
            </w:pPr>
            <w:r>
              <w:rPr>
                <w:rFonts w:ascii="Garamond" w:hAnsi="Garamond" w:cs="Calibri"/>
                <w:sz w:val="20"/>
                <w:szCs w:val="20"/>
              </w:rPr>
              <w:t>11387.5</w:t>
            </w:r>
          </w:p>
        </w:tc>
        <w:tc>
          <w:tcPr>
            <w:tcW w:w="1023" w:type="dxa"/>
            <w:tcBorders>
              <w:top w:val="nil"/>
              <w:left w:val="nil"/>
              <w:bottom w:val="nil"/>
              <w:right w:val="single" w:sz="8" w:space="0" w:color="auto"/>
            </w:tcBorders>
            <w:shd w:val="clear" w:color="auto" w:fill="auto"/>
            <w:noWrap/>
            <w:hideMark/>
          </w:tcPr>
          <w:p w:rsidR="000F236F" w:rsidRDefault="000F236F" w:rsidP="00DB5405">
            <w:pPr>
              <w:ind w:firstLineChars="100" w:firstLine="200"/>
              <w:jc w:val="right"/>
              <w:rPr>
                <w:rFonts w:ascii="Garamond" w:hAnsi="Garamond" w:cs="Calibri"/>
                <w:sz w:val="20"/>
                <w:szCs w:val="20"/>
              </w:rPr>
            </w:pPr>
            <w:r>
              <w:rPr>
                <w:rFonts w:ascii="Garamond" w:hAnsi="Garamond" w:cs="Calibri"/>
                <w:sz w:val="20"/>
                <w:szCs w:val="20"/>
              </w:rPr>
              <w:t>10302.1</w:t>
            </w:r>
          </w:p>
        </w:tc>
        <w:tc>
          <w:tcPr>
            <w:tcW w:w="1101" w:type="dxa"/>
            <w:tcBorders>
              <w:top w:val="nil"/>
              <w:left w:val="nil"/>
              <w:bottom w:val="nil"/>
              <w:right w:val="single" w:sz="8" w:space="0" w:color="auto"/>
            </w:tcBorders>
            <w:shd w:val="clear" w:color="auto" w:fill="auto"/>
            <w:noWrap/>
            <w:hideMark/>
          </w:tcPr>
          <w:p w:rsidR="000F236F" w:rsidRDefault="000F236F" w:rsidP="00DB5405">
            <w:pPr>
              <w:ind w:firstLineChars="100" w:firstLine="200"/>
              <w:jc w:val="right"/>
              <w:rPr>
                <w:rFonts w:ascii="Garamond" w:hAnsi="Garamond" w:cs="Calibri"/>
                <w:sz w:val="20"/>
                <w:szCs w:val="20"/>
              </w:rPr>
            </w:pPr>
            <w:r>
              <w:rPr>
                <w:rFonts w:ascii="Garamond" w:hAnsi="Garamond" w:cs="Calibri"/>
                <w:sz w:val="20"/>
                <w:szCs w:val="20"/>
              </w:rPr>
              <w:t>8597.8</w:t>
            </w:r>
          </w:p>
        </w:tc>
        <w:tc>
          <w:tcPr>
            <w:tcW w:w="1116" w:type="dxa"/>
            <w:tcBorders>
              <w:top w:val="nil"/>
              <w:left w:val="nil"/>
              <w:bottom w:val="nil"/>
              <w:right w:val="single" w:sz="8" w:space="0" w:color="auto"/>
            </w:tcBorders>
            <w:shd w:val="clear" w:color="auto" w:fill="auto"/>
            <w:noWrap/>
            <w:hideMark/>
          </w:tcPr>
          <w:p w:rsidR="000F236F" w:rsidRDefault="000F236F" w:rsidP="00DB5405">
            <w:pPr>
              <w:ind w:firstLineChars="100" w:firstLine="200"/>
              <w:jc w:val="right"/>
              <w:rPr>
                <w:rFonts w:ascii="Garamond" w:hAnsi="Garamond" w:cs="Calibri"/>
                <w:sz w:val="20"/>
                <w:szCs w:val="20"/>
              </w:rPr>
            </w:pPr>
            <w:r>
              <w:rPr>
                <w:rFonts w:ascii="Garamond" w:hAnsi="Garamond" w:cs="Calibri"/>
                <w:sz w:val="20"/>
                <w:szCs w:val="20"/>
              </w:rPr>
              <w:t>11474.5</w:t>
            </w:r>
          </w:p>
        </w:tc>
        <w:tc>
          <w:tcPr>
            <w:tcW w:w="1312" w:type="dxa"/>
            <w:tcBorders>
              <w:top w:val="nil"/>
              <w:left w:val="nil"/>
              <w:bottom w:val="nil"/>
              <w:right w:val="single" w:sz="8" w:space="0" w:color="auto"/>
            </w:tcBorders>
            <w:shd w:val="clear" w:color="auto" w:fill="auto"/>
            <w:noWrap/>
            <w:hideMark/>
          </w:tcPr>
          <w:p w:rsidR="000F236F" w:rsidRDefault="000F236F" w:rsidP="00DB5405">
            <w:pPr>
              <w:ind w:firstLineChars="100" w:firstLine="200"/>
              <w:jc w:val="right"/>
              <w:rPr>
                <w:rFonts w:ascii="Garamond" w:hAnsi="Garamond" w:cs="Calibri"/>
                <w:sz w:val="20"/>
                <w:szCs w:val="20"/>
              </w:rPr>
            </w:pPr>
            <w:r>
              <w:rPr>
                <w:rFonts w:ascii="Garamond" w:hAnsi="Garamond" w:cs="Calibri"/>
                <w:sz w:val="20"/>
                <w:szCs w:val="20"/>
              </w:rPr>
              <w:t>36.3</w:t>
            </w:r>
          </w:p>
        </w:tc>
        <w:tc>
          <w:tcPr>
            <w:tcW w:w="835" w:type="dxa"/>
            <w:tcBorders>
              <w:top w:val="nil"/>
              <w:left w:val="nil"/>
              <w:bottom w:val="nil"/>
              <w:right w:val="single" w:sz="8" w:space="0" w:color="auto"/>
            </w:tcBorders>
            <w:shd w:val="clear" w:color="auto" w:fill="auto"/>
            <w:noWrap/>
            <w:hideMark/>
          </w:tcPr>
          <w:p w:rsidR="000F236F" w:rsidRDefault="000F236F" w:rsidP="00DB5405">
            <w:pPr>
              <w:ind w:firstLineChars="100" w:firstLine="200"/>
              <w:jc w:val="right"/>
              <w:rPr>
                <w:rFonts w:ascii="Garamond" w:hAnsi="Garamond" w:cs="Calibri"/>
                <w:sz w:val="20"/>
                <w:szCs w:val="20"/>
              </w:rPr>
            </w:pPr>
            <w:r>
              <w:rPr>
                <w:rFonts w:ascii="Garamond" w:hAnsi="Garamond" w:cs="Calibri"/>
                <w:sz w:val="20"/>
                <w:szCs w:val="20"/>
              </w:rPr>
              <w:t>32.7</w:t>
            </w:r>
          </w:p>
        </w:tc>
      </w:tr>
      <w:tr w:rsidR="000F236F" w:rsidTr="00DB5405">
        <w:trPr>
          <w:trHeight w:val="189"/>
          <w:jc w:val="center"/>
        </w:trPr>
        <w:tc>
          <w:tcPr>
            <w:tcW w:w="1266" w:type="dxa"/>
            <w:tcBorders>
              <w:top w:val="nil"/>
              <w:left w:val="single" w:sz="8" w:space="0" w:color="auto"/>
              <w:bottom w:val="nil"/>
              <w:right w:val="single" w:sz="8" w:space="0" w:color="auto"/>
            </w:tcBorders>
            <w:shd w:val="clear" w:color="000000" w:fill="D9E1F2"/>
            <w:noWrap/>
            <w:hideMark/>
          </w:tcPr>
          <w:p w:rsidR="000F236F" w:rsidRDefault="000F236F" w:rsidP="00DB5405">
            <w:pPr>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India</w:t>
            </w:r>
          </w:p>
        </w:tc>
        <w:tc>
          <w:tcPr>
            <w:tcW w:w="1801" w:type="dxa"/>
            <w:tcBorders>
              <w:top w:val="nil"/>
              <w:left w:val="nil"/>
              <w:bottom w:val="nil"/>
              <w:right w:val="single" w:sz="8" w:space="0" w:color="auto"/>
            </w:tcBorders>
            <w:shd w:val="clear" w:color="000000" w:fill="D9E1F2"/>
            <w:noWrap/>
            <w:hideMark/>
          </w:tcPr>
          <w:p w:rsidR="000F236F" w:rsidRDefault="000F236F" w:rsidP="00DB5405">
            <w:pPr>
              <w:rPr>
                <w:rFonts w:ascii="Garamond" w:eastAsia="Times New Roman" w:hAnsi="Garamond" w:cs="Calibri"/>
                <w:color w:val="000000"/>
                <w:sz w:val="18"/>
                <w:szCs w:val="18"/>
                <w:lang w:val="en-IN" w:eastAsia="en-IN"/>
              </w:rPr>
            </w:pPr>
            <w:r>
              <w:rPr>
                <w:rFonts w:ascii="Garamond" w:eastAsia="Times New Roman" w:hAnsi="Garamond" w:cs="Calibri"/>
                <w:color w:val="000000"/>
                <w:sz w:val="18"/>
                <w:szCs w:val="18"/>
                <w:lang w:val="en-IN" w:eastAsia="en-IN"/>
              </w:rPr>
              <w:t xml:space="preserve">S&amp;P BSE SENSEX </w:t>
            </w:r>
          </w:p>
        </w:tc>
        <w:tc>
          <w:tcPr>
            <w:tcW w:w="1566" w:type="dxa"/>
            <w:tcBorders>
              <w:top w:val="nil"/>
              <w:left w:val="nil"/>
              <w:bottom w:val="nil"/>
              <w:right w:val="single" w:sz="8" w:space="0" w:color="auto"/>
            </w:tcBorders>
            <w:shd w:val="clear" w:color="auto" w:fill="auto"/>
            <w:noWrap/>
            <w:hideMark/>
          </w:tcPr>
          <w:p w:rsidR="000F236F" w:rsidRDefault="000F236F" w:rsidP="00DB5405">
            <w:pPr>
              <w:ind w:firstLineChars="100" w:firstLine="200"/>
              <w:jc w:val="right"/>
              <w:rPr>
                <w:rFonts w:ascii="Garamond" w:hAnsi="Garamond" w:cs="Calibri"/>
                <w:sz w:val="20"/>
                <w:szCs w:val="20"/>
              </w:rPr>
            </w:pPr>
            <w:r>
              <w:rPr>
                <w:rFonts w:ascii="Garamond" w:hAnsi="Garamond" w:cs="Calibri"/>
                <w:sz w:val="20"/>
                <w:szCs w:val="20"/>
              </w:rPr>
              <w:t>38067.9</w:t>
            </w:r>
          </w:p>
        </w:tc>
        <w:tc>
          <w:tcPr>
            <w:tcW w:w="1096" w:type="dxa"/>
            <w:tcBorders>
              <w:top w:val="nil"/>
              <w:left w:val="nil"/>
              <w:bottom w:val="nil"/>
              <w:right w:val="single" w:sz="8" w:space="0" w:color="auto"/>
            </w:tcBorders>
            <w:shd w:val="clear" w:color="auto" w:fill="auto"/>
            <w:noWrap/>
            <w:hideMark/>
          </w:tcPr>
          <w:p w:rsidR="000F236F" w:rsidRDefault="000F236F" w:rsidP="00DB5405">
            <w:pPr>
              <w:ind w:firstLineChars="100" w:firstLine="200"/>
              <w:jc w:val="right"/>
              <w:rPr>
                <w:rFonts w:ascii="Garamond" w:hAnsi="Garamond" w:cs="Calibri"/>
                <w:sz w:val="20"/>
                <w:szCs w:val="20"/>
              </w:rPr>
            </w:pPr>
            <w:r>
              <w:rPr>
                <w:rFonts w:ascii="Garamond" w:hAnsi="Garamond" w:cs="Calibri"/>
                <w:sz w:val="20"/>
                <w:szCs w:val="20"/>
              </w:rPr>
              <w:t>38628.3</w:t>
            </w:r>
          </w:p>
        </w:tc>
        <w:tc>
          <w:tcPr>
            <w:tcW w:w="1023" w:type="dxa"/>
            <w:tcBorders>
              <w:top w:val="nil"/>
              <w:left w:val="nil"/>
              <w:bottom w:val="nil"/>
              <w:right w:val="single" w:sz="8" w:space="0" w:color="auto"/>
            </w:tcBorders>
            <w:shd w:val="clear" w:color="auto" w:fill="auto"/>
            <w:noWrap/>
            <w:hideMark/>
          </w:tcPr>
          <w:p w:rsidR="000F236F" w:rsidRDefault="000F236F" w:rsidP="00DB5405">
            <w:pPr>
              <w:ind w:firstLineChars="100" w:firstLine="200"/>
              <w:jc w:val="right"/>
              <w:rPr>
                <w:rFonts w:ascii="Garamond" w:hAnsi="Garamond" w:cs="Calibri"/>
                <w:sz w:val="20"/>
                <w:szCs w:val="20"/>
              </w:rPr>
            </w:pPr>
            <w:r>
              <w:rPr>
                <w:rFonts w:ascii="Garamond" w:hAnsi="Garamond" w:cs="Calibri"/>
                <w:sz w:val="20"/>
                <w:szCs w:val="20"/>
              </w:rPr>
              <w:t>34915.8</w:t>
            </w:r>
          </w:p>
        </w:tc>
        <w:tc>
          <w:tcPr>
            <w:tcW w:w="1101" w:type="dxa"/>
            <w:tcBorders>
              <w:top w:val="nil"/>
              <w:left w:val="nil"/>
              <w:bottom w:val="nil"/>
              <w:right w:val="single" w:sz="8" w:space="0" w:color="auto"/>
            </w:tcBorders>
            <w:shd w:val="clear" w:color="auto" w:fill="auto"/>
            <w:noWrap/>
            <w:hideMark/>
          </w:tcPr>
          <w:p w:rsidR="000F236F" w:rsidRDefault="000F236F" w:rsidP="00DB5405">
            <w:pPr>
              <w:ind w:firstLineChars="100" w:firstLine="200"/>
              <w:jc w:val="right"/>
              <w:rPr>
                <w:rFonts w:ascii="Garamond" w:hAnsi="Garamond" w:cs="Calibri"/>
                <w:sz w:val="20"/>
                <w:szCs w:val="20"/>
              </w:rPr>
            </w:pPr>
            <w:r>
              <w:rPr>
                <w:rFonts w:ascii="Garamond" w:hAnsi="Garamond" w:cs="Calibri"/>
                <w:sz w:val="20"/>
                <w:szCs w:val="20"/>
              </w:rPr>
              <w:t>29468.5</w:t>
            </w:r>
          </w:p>
        </w:tc>
        <w:tc>
          <w:tcPr>
            <w:tcW w:w="1116" w:type="dxa"/>
            <w:tcBorders>
              <w:top w:val="nil"/>
              <w:left w:val="nil"/>
              <w:bottom w:val="nil"/>
              <w:right w:val="single" w:sz="8" w:space="0" w:color="auto"/>
            </w:tcBorders>
            <w:shd w:val="clear" w:color="auto" w:fill="auto"/>
            <w:noWrap/>
            <w:hideMark/>
          </w:tcPr>
          <w:p w:rsidR="000F236F" w:rsidRDefault="000F236F" w:rsidP="00DB5405">
            <w:pPr>
              <w:ind w:firstLineChars="100" w:firstLine="200"/>
              <w:jc w:val="right"/>
              <w:rPr>
                <w:rFonts w:ascii="Garamond" w:hAnsi="Garamond" w:cs="Calibri"/>
                <w:sz w:val="20"/>
                <w:szCs w:val="20"/>
              </w:rPr>
            </w:pPr>
            <w:r>
              <w:rPr>
                <w:rFonts w:ascii="Garamond" w:hAnsi="Garamond" w:cs="Calibri"/>
                <w:sz w:val="20"/>
                <w:szCs w:val="20"/>
              </w:rPr>
              <w:t>38667.3</w:t>
            </w:r>
          </w:p>
        </w:tc>
        <w:tc>
          <w:tcPr>
            <w:tcW w:w="1312" w:type="dxa"/>
            <w:tcBorders>
              <w:top w:val="nil"/>
              <w:left w:val="nil"/>
              <w:bottom w:val="nil"/>
              <w:right w:val="single" w:sz="8" w:space="0" w:color="auto"/>
            </w:tcBorders>
            <w:shd w:val="clear" w:color="auto" w:fill="auto"/>
            <w:noWrap/>
            <w:hideMark/>
          </w:tcPr>
          <w:p w:rsidR="000F236F" w:rsidRDefault="000F236F" w:rsidP="00DB5405">
            <w:pPr>
              <w:ind w:firstLineChars="100" w:firstLine="200"/>
              <w:jc w:val="right"/>
              <w:rPr>
                <w:rFonts w:ascii="Garamond" w:hAnsi="Garamond" w:cs="Calibri"/>
                <w:sz w:val="20"/>
                <w:szCs w:val="20"/>
              </w:rPr>
            </w:pPr>
            <w:r>
              <w:rPr>
                <w:rFonts w:ascii="Garamond" w:hAnsi="Garamond" w:cs="Calibri"/>
                <w:sz w:val="20"/>
                <w:szCs w:val="20"/>
              </w:rPr>
              <w:t>35.5</w:t>
            </w:r>
          </w:p>
        </w:tc>
        <w:tc>
          <w:tcPr>
            <w:tcW w:w="835" w:type="dxa"/>
            <w:tcBorders>
              <w:top w:val="nil"/>
              <w:left w:val="nil"/>
              <w:bottom w:val="nil"/>
              <w:right w:val="single" w:sz="8" w:space="0" w:color="auto"/>
            </w:tcBorders>
            <w:shd w:val="clear" w:color="auto" w:fill="auto"/>
            <w:noWrap/>
            <w:hideMark/>
          </w:tcPr>
          <w:p w:rsidR="000F236F" w:rsidRDefault="000F236F" w:rsidP="00DB5405">
            <w:pPr>
              <w:ind w:firstLineChars="100" w:firstLine="200"/>
              <w:jc w:val="right"/>
              <w:rPr>
                <w:rFonts w:ascii="Garamond" w:hAnsi="Garamond" w:cs="Calibri"/>
                <w:sz w:val="20"/>
                <w:szCs w:val="20"/>
              </w:rPr>
            </w:pPr>
            <w:r>
              <w:rPr>
                <w:rFonts w:ascii="Garamond" w:hAnsi="Garamond" w:cs="Calibri"/>
                <w:sz w:val="20"/>
                <w:szCs w:val="20"/>
              </w:rPr>
              <w:t>27.9</w:t>
            </w:r>
          </w:p>
        </w:tc>
      </w:tr>
      <w:tr w:rsidR="000F236F" w:rsidTr="00DB5405">
        <w:trPr>
          <w:trHeight w:val="189"/>
          <w:jc w:val="center"/>
        </w:trPr>
        <w:tc>
          <w:tcPr>
            <w:tcW w:w="1266" w:type="dxa"/>
            <w:tcBorders>
              <w:top w:val="nil"/>
              <w:left w:val="single" w:sz="8" w:space="0" w:color="auto"/>
              <w:bottom w:val="nil"/>
              <w:right w:val="single" w:sz="8" w:space="0" w:color="auto"/>
            </w:tcBorders>
            <w:shd w:val="clear" w:color="000000" w:fill="D9E1F2"/>
            <w:noWrap/>
            <w:hideMark/>
          </w:tcPr>
          <w:p w:rsidR="000F236F" w:rsidRDefault="000F236F" w:rsidP="00DB5405">
            <w:pPr>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China</w:t>
            </w:r>
          </w:p>
        </w:tc>
        <w:tc>
          <w:tcPr>
            <w:tcW w:w="1801" w:type="dxa"/>
            <w:tcBorders>
              <w:top w:val="nil"/>
              <w:left w:val="nil"/>
              <w:bottom w:val="nil"/>
              <w:right w:val="single" w:sz="8" w:space="0" w:color="auto"/>
            </w:tcBorders>
            <w:shd w:val="clear" w:color="000000" w:fill="D9E1F2"/>
            <w:noWrap/>
            <w:hideMark/>
          </w:tcPr>
          <w:p w:rsidR="000F236F" w:rsidRDefault="000F236F" w:rsidP="00DB5405">
            <w:pPr>
              <w:rPr>
                <w:rFonts w:ascii="Garamond" w:eastAsia="Times New Roman" w:hAnsi="Garamond" w:cs="Calibri"/>
                <w:color w:val="000000"/>
                <w:sz w:val="18"/>
                <w:szCs w:val="18"/>
                <w:lang w:val="en-IN" w:eastAsia="en-IN"/>
              </w:rPr>
            </w:pPr>
            <w:r>
              <w:rPr>
                <w:rFonts w:ascii="Garamond" w:eastAsia="Times New Roman" w:hAnsi="Garamond" w:cs="Calibri"/>
                <w:color w:val="000000"/>
                <w:sz w:val="18"/>
                <w:szCs w:val="18"/>
                <w:lang w:val="en-IN" w:eastAsia="en-IN"/>
              </w:rPr>
              <w:t>SHANGHAI SE COMPOSITE</w:t>
            </w:r>
          </w:p>
        </w:tc>
        <w:tc>
          <w:tcPr>
            <w:tcW w:w="1566" w:type="dxa"/>
            <w:tcBorders>
              <w:top w:val="nil"/>
              <w:left w:val="nil"/>
              <w:bottom w:val="nil"/>
              <w:right w:val="single" w:sz="8" w:space="0" w:color="auto"/>
            </w:tcBorders>
            <w:shd w:val="clear" w:color="auto" w:fill="auto"/>
            <w:noWrap/>
            <w:hideMark/>
          </w:tcPr>
          <w:p w:rsidR="000F236F" w:rsidRDefault="000F236F" w:rsidP="00DB5405">
            <w:pPr>
              <w:ind w:firstLineChars="100" w:firstLine="200"/>
              <w:jc w:val="right"/>
              <w:rPr>
                <w:rFonts w:ascii="Garamond" w:hAnsi="Garamond" w:cs="Calibri"/>
                <w:sz w:val="20"/>
                <w:szCs w:val="20"/>
              </w:rPr>
            </w:pPr>
            <w:r>
              <w:rPr>
                <w:rFonts w:ascii="Garamond" w:hAnsi="Garamond" w:cs="Calibri"/>
                <w:sz w:val="20"/>
                <w:szCs w:val="20"/>
              </w:rPr>
              <w:t>3218.1</w:t>
            </w:r>
          </w:p>
        </w:tc>
        <w:tc>
          <w:tcPr>
            <w:tcW w:w="1096" w:type="dxa"/>
            <w:tcBorders>
              <w:top w:val="nil"/>
              <w:left w:val="nil"/>
              <w:bottom w:val="nil"/>
              <w:right w:val="single" w:sz="8" w:space="0" w:color="auto"/>
            </w:tcBorders>
            <w:shd w:val="clear" w:color="auto" w:fill="auto"/>
            <w:noWrap/>
            <w:hideMark/>
          </w:tcPr>
          <w:p w:rsidR="000F236F" w:rsidRDefault="000F236F" w:rsidP="00DB5405">
            <w:pPr>
              <w:ind w:firstLineChars="100" w:firstLine="200"/>
              <w:jc w:val="right"/>
              <w:rPr>
                <w:rFonts w:ascii="Garamond" w:hAnsi="Garamond" w:cs="Calibri"/>
                <w:sz w:val="20"/>
                <w:szCs w:val="20"/>
              </w:rPr>
            </w:pPr>
            <w:r>
              <w:rPr>
                <w:rFonts w:ascii="Garamond" w:hAnsi="Garamond" w:cs="Calibri"/>
                <w:sz w:val="20"/>
                <w:szCs w:val="20"/>
              </w:rPr>
              <w:t>3395.7</w:t>
            </w:r>
          </w:p>
        </w:tc>
        <w:tc>
          <w:tcPr>
            <w:tcW w:w="1023" w:type="dxa"/>
            <w:tcBorders>
              <w:top w:val="nil"/>
              <w:left w:val="nil"/>
              <w:bottom w:val="nil"/>
              <w:right w:val="single" w:sz="8" w:space="0" w:color="auto"/>
            </w:tcBorders>
            <w:shd w:val="clear" w:color="auto" w:fill="auto"/>
            <w:noWrap/>
            <w:hideMark/>
          </w:tcPr>
          <w:p w:rsidR="000F236F" w:rsidRDefault="000F236F" w:rsidP="00DB5405">
            <w:pPr>
              <w:ind w:firstLineChars="100" w:firstLine="200"/>
              <w:jc w:val="right"/>
              <w:rPr>
                <w:rFonts w:ascii="Garamond" w:hAnsi="Garamond" w:cs="Calibri"/>
                <w:sz w:val="20"/>
                <w:szCs w:val="20"/>
              </w:rPr>
            </w:pPr>
            <w:r>
              <w:rPr>
                <w:rFonts w:ascii="Garamond" w:hAnsi="Garamond" w:cs="Calibri"/>
                <w:sz w:val="20"/>
                <w:szCs w:val="20"/>
              </w:rPr>
              <w:t>2984.7</w:t>
            </w:r>
          </w:p>
        </w:tc>
        <w:tc>
          <w:tcPr>
            <w:tcW w:w="1101" w:type="dxa"/>
            <w:tcBorders>
              <w:top w:val="nil"/>
              <w:left w:val="nil"/>
              <w:bottom w:val="nil"/>
              <w:right w:val="single" w:sz="8" w:space="0" w:color="auto"/>
            </w:tcBorders>
            <w:shd w:val="clear" w:color="auto" w:fill="auto"/>
            <w:noWrap/>
            <w:hideMark/>
          </w:tcPr>
          <w:p w:rsidR="000F236F" w:rsidRDefault="000F236F" w:rsidP="00DB5405">
            <w:pPr>
              <w:ind w:firstLineChars="100" w:firstLine="200"/>
              <w:jc w:val="right"/>
              <w:rPr>
                <w:rFonts w:ascii="Garamond" w:hAnsi="Garamond" w:cs="Calibri"/>
                <w:sz w:val="20"/>
                <w:szCs w:val="20"/>
              </w:rPr>
            </w:pPr>
            <w:r>
              <w:rPr>
                <w:rFonts w:ascii="Garamond" w:hAnsi="Garamond" w:cs="Calibri"/>
                <w:sz w:val="20"/>
                <w:szCs w:val="20"/>
              </w:rPr>
              <w:t>2750.3</w:t>
            </w:r>
          </w:p>
        </w:tc>
        <w:tc>
          <w:tcPr>
            <w:tcW w:w="1116" w:type="dxa"/>
            <w:tcBorders>
              <w:top w:val="nil"/>
              <w:left w:val="nil"/>
              <w:bottom w:val="nil"/>
              <w:right w:val="single" w:sz="8" w:space="0" w:color="auto"/>
            </w:tcBorders>
            <w:shd w:val="clear" w:color="auto" w:fill="auto"/>
            <w:noWrap/>
            <w:hideMark/>
          </w:tcPr>
          <w:p w:rsidR="000F236F" w:rsidRDefault="000F236F" w:rsidP="00DB5405">
            <w:pPr>
              <w:ind w:firstLineChars="100" w:firstLine="200"/>
              <w:jc w:val="right"/>
              <w:rPr>
                <w:rFonts w:ascii="Garamond" w:hAnsi="Garamond" w:cs="Calibri"/>
                <w:sz w:val="20"/>
                <w:szCs w:val="20"/>
              </w:rPr>
            </w:pPr>
            <w:r>
              <w:rPr>
                <w:rFonts w:ascii="Garamond" w:hAnsi="Garamond" w:cs="Calibri"/>
                <w:sz w:val="20"/>
                <w:szCs w:val="20"/>
              </w:rPr>
              <w:t>2905.2</w:t>
            </w:r>
          </w:p>
        </w:tc>
        <w:tc>
          <w:tcPr>
            <w:tcW w:w="1312" w:type="dxa"/>
            <w:tcBorders>
              <w:top w:val="nil"/>
              <w:left w:val="nil"/>
              <w:bottom w:val="nil"/>
              <w:right w:val="single" w:sz="8" w:space="0" w:color="auto"/>
            </w:tcBorders>
            <w:shd w:val="clear" w:color="auto" w:fill="auto"/>
            <w:noWrap/>
            <w:hideMark/>
          </w:tcPr>
          <w:p w:rsidR="000F236F" w:rsidRDefault="000F236F" w:rsidP="00DB5405">
            <w:pPr>
              <w:ind w:firstLineChars="100" w:firstLine="200"/>
              <w:jc w:val="right"/>
              <w:rPr>
                <w:rFonts w:ascii="Garamond" w:hAnsi="Garamond" w:cs="Calibri"/>
                <w:sz w:val="20"/>
                <w:szCs w:val="20"/>
              </w:rPr>
            </w:pPr>
            <w:r>
              <w:rPr>
                <w:rFonts w:ascii="Garamond" w:hAnsi="Garamond" w:cs="Calibri"/>
                <w:sz w:val="20"/>
                <w:szCs w:val="20"/>
              </w:rPr>
              <w:t>37.8</w:t>
            </w:r>
          </w:p>
        </w:tc>
        <w:tc>
          <w:tcPr>
            <w:tcW w:w="835" w:type="dxa"/>
            <w:tcBorders>
              <w:top w:val="nil"/>
              <w:left w:val="nil"/>
              <w:bottom w:val="nil"/>
              <w:right w:val="single" w:sz="8" w:space="0" w:color="auto"/>
            </w:tcBorders>
            <w:shd w:val="clear" w:color="auto" w:fill="auto"/>
            <w:noWrap/>
            <w:hideMark/>
          </w:tcPr>
          <w:p w:rsidR="000F236F" w:rsidRDefault="000F236F" w:rsidP="00DB5405">
            <w:pPr>
              <w:ind w:firstLineChars="100" w:firstLine="200"/>
              <w:jc w:val="right"/>
              <w:rPr>
                <w:rFonts w:ascii="Garamond" w:hAnsi="Garamond" w:cs="Calibri"/>
                <w:sz w:val="20"/>
                <w:szCs w:val="20"/>
              </w:rPr>
            </w:pPr>
            <w:r>
              <w:rPr>
                <w:rFonts w:ascii="Garamond" w:hAnsi="Garamond" w:cs="Calibri"/>
                <w:sz w:val="20"/>
                <w:szCs w:val="20"/>
              </w:rPr>
              <w:t>17.4</w:t>
            </w:r>
          </w:p>
        </w:tc>
      </w:tr>
      <w:tr w:rsidR="000F236F" w:rsidTr="00DB5405">
        <w:trPr>
          <w:trHeight w:val="199"/>
          <w:jc w:val="center"/>
        </w:trPr>
        <w:tc>
          <w:tcPr>
            <w:tcW w:w="1266" w:type="dxa"/>
            <w:tcBorders>
              <w:top w:val="nil"/>
              <w:left w:val="single" w:sz="8" w:space="0" w:color="auto"/>
              <w:bottom w:val="single" w:sz="8" w:space="0" w:color="auto"/>
              <w:right w:val="single" w:sz="8" w:space="0" w:color="auto"/>
            </w:tcBorders>
            <w:shd w:val="clear" w:color="000000" w:fill="D9E1F2"/>
            <w:noWrap/>
            <w:hideMark/>
          </w:tcPr>
          <w:p w:rsidR="000F236F" w:rsidRDefault="000F236F" w:rsidP="00DB5405">
            <w:pPr>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South Africa</w:t>
            </w:r>
          </w:p>
        </w:tc>
        <w:tc>
          <w:tcPr>
            <w:tcW w:w="1801" w:type="dxa"/>
            <w:tcBorders>
              <w:top w:val="nil"/>
              <w:left w:val="nil"/>
              <w:bottom w:val="single" w:sz="8" w:space="0" w:color="auto"/>
              <w:right w:val="single" w:sz="8" w:space="0" w:color="auto"/>
            </w:tcBorders>
            <w:shd w:val="clear" w:color="000000" w:fill="D9E1F2"/>
            <w:noWrap/>
            <w:hideMark/>
          </w:tcPr>
          <w:p w:rsidR="000F236F" w:rsidRDefault="000F236F" w:rsidP="00DB5405">
            <w:pPr>
              <w:rPr>
                <w:rFonts w:ascii="Garamond" w:eastAsia="Times New Roman" w:hAnsi="Garamond" w:cs="Calibri"/>
                <w:color w:val="000000"/>
                <w:sz w:val="18"/>
                <w:szCs w:val="18"/>
                <w:lang w:val="en-IN" w:eastAsia="en-IN"/>
              </w:rPr>
            </w:pPr>
            <w:r>
              <w:rPr>
                <w:rFonts w:ascii="Garamond" w:eastAsia="Times New Roman" w:hAnsi="Garamond" w:cs="Calibri"/>
                <w:color w:val="000000"/>
                <w:sz w:val="18"/>
                <w:szCs w:val="18"/>
                <w:lang w:val="en-IN" w:eastAsia="en-IN"/>
              </w:rPr>
              <w:t>FTSE/JSE AFRICA ALL SHR</w:t>
            </w:r>
          </w:p>
        </w:tc>
        <w:tc>
          <w:tcPr>
            <w:tcW w:w="1566" w:type="dxa"/>
            <w:tcBorders>
              <w:top w:val="nil"/>
              <w:left w:val="nil"/>
              <w:bottom w:val="single" w:sz="8" w:space="0" w:color="auto"/>
              <w:right w:val="single" w:sz="8" w:space="0" w:color="auto"/>
            </w:tcBorders>
            <w:shd w:val="clear" w:color="auto" w:fill="auto"/>
            <w:noWrap/>
            <w:hideMark/>
          </w:tcPr>
          <w:p w:rsidR="000F236F" w:rsidRDefault="000F236F" w:rsidP="00DB5405">
            <w:pPr>
              <w:ind w:firstLineChars="100" w:firstLine="200"/>
              <w:jc w:val="right"/>
              <w:rPr>
                <w:rFonts w:ascii="Garamond" w:hAnsi="Garamond" w:cs="Calibri"/>
                <w:sz w:val="20"/>
                <w:szCs w:val="20"/>
              </w:rPr>
            </w:pPr>
            <w:r>
              <w:rPr>
                <w:rFonts w:ascii="Garamond" w:hAnsi="Garamond" w:cs="Calibri"/>
                <w:sz w:val="20"/>
                <w:szCs w:val="20"/>
              </w:rPr>
              <w:t>54265.0</w:t>
            </w:r>
          </w:p>
        </w:tc>
        <w:tc>
          <w:tcPr>
            <w:tcW w:w="1096" w:type="dxa"/>
            <w:tcBorders>
              <w:top w:val="nil"/>
              <w:left w:val="nil"/>
              <w:bottom w:val="single" w:sz="8" w:space="0" w:color="auto"/>
              <w:right w:val="single" w:sz="8" w:space="0" w:color="auto"/>
            </w:tcBorders>
            <w:shd w:val="clear" w:color="auto" w:fill="auto"/>
            <w:noWrap/>
            <w:hideMark/>
          </w:tcPr>
          <w:p w:rsidR="000F236F" w:rsidRDefault="000F236F" w:rsidP="00DB5405">
            <w:pPr>
              <w:ind w:firstLineChars="100" w:firstLine="200"/>
              <w:jc w:val="right"/>
              <w:rPr>
                <w:rFonts w:ascii="Garamond" w:hAnsi="Garamond" w:cs="Calibri"/>
                <w:sz w:val="20"/>
                <w:szCs w:val="20"/>
              </w:rPr>
            </w:pPr>
            <w:r>
              <w:rPr>
                <w:rFonts w:ascii="Garamond" w:hAnsi="Garamond" w:cs="Calibri"/>
                <w:sz w:val="20"/>
                <w:szCs w:val="20"/>
              </w:rPr>
              <w:t>55476.1</w:t>
            </w:r>
          </w:p>
        </w:tc>
        <w:tc>
          <w:tcPr>
            <w:tcW w:w="1023" w:type="dxa"/>
            <w:tcBorders>
              <w:top w:val="nil"/>
              <w:left w:val="nil"/>
              <w:bottom w:val="single" w:sz="8" w:space="0" w:color="auto"/>
              <w:right w:val="single" w:sz="8" w:space="0" w:color="auto"/>
            </w:tcBorders>
            <w:shd w:val="clear" w:color="auto" w:fill="auto"/>
            <w:noWrap/>
            <w:hideMark/>
          </w:tcPr>
          <w:p w:rsidR="000F236F" w:rsidRDefault="000F236F" w:rsidP="00DB5405">
            <w:pPr>
              <w:ind w:firstLineChars="100" w:firstLine="200"/>
              <w:jc w:val="right"/>
              <w:rPr>
                <w:rFonts w:ascii="Garamond" w:hAnsi="Garamond" w:cs="Calibri"/>
                <w:sz w:val="20"/>
                <w:szCs w:val="20"/>
              </w:rPr>
            </w:pPr>
            <w:r>
              <w:rPr>
                <w:rFonts w:ascii="Garamond" w:hAnsi="Garamond" w:cs="Calibri"/>
                <w:sz w:val="20"/>
                <w:szCs w:val="20"/>
              </w:rPr>
              <w:t>54362.4</w:t>
            </w:r>
          </w:p>
        </w:tc>
        <w:tc>
          <w:tcPr>
            <w:tcW w:w="1101" w:type="dxa"/>
            <w:tcBorders>
              <w:top w:val="nil"/>
              <w:left w:val="nil"/>
              <w:bottom w:val="single" w:sz="8" w:space="0" w:color="auto"/>
              <w:right w:val="single" w:sz="8" w:space="0" w:color="auto"/>
            </w:tcBorders>
            <w:shd w:val="clear" w:color="auto" w:fill="auto"/>
            <w:noWrap/>
            <w:hideMark/>
          </w:tcPr>
          <w:p w:rsidR="000F236F" w:rsidRDefault="000F236F" w:rsidP="00DB5405">
            <w:pPr>
              <w:ind w:firstLineChars="100" w:firstLine="200"/>
              <w:jc w:val="right"/>
              <w:rPr>
                <w:rFonts w:ascii="Garamond" w:hAnsi="Garamond" w:cs="Calibri"/>
                <w:sz w:val="20"/>
                <w:szCs w:val="20"/>
              </w:rPr>
            </w:pPr>
            <w:r>
              <w:rPr>
                <w:rFonts w:ascii="Garamond" w:hAnsi="Garamond" w:cs="Calibri"/>
                <w:sz w:val="20"/>
                <w:szCs w:val="20"/>
              </w:rPr>
              <w:t>44490.3</w:t>
            </w:r>
          </w:p>
        </w:tc>
        <w:tc>
          <w:tcPr>
            <w:tcW w:w="1116" w:type="dxa"/>
            <w:tcBorders>
              <w:top w:val="nil"/>
              <w:left w:val="nil"/>
              <w:bottom w:val="single" w:sz="8" w:space="0" w:color="auto"/>
              <w:right w:val="single" w:sz="8" w:space="0" w:color="auto"/>
            </w:tcBorders>
            <w:shd w:val="clear" w:color="auto" w:fill="auto"/>
            <w:noWrap/>
            <w:hideMark/>
          </w:tcPr>
          <w:p w:rsidR="000F236F" w:rsidRDefault="000F236F" w:rsidP="00DB5405">
            <w:pPr>
              <w:ind w:firstLineChars="100" w:firstLine="200"/>
              <w:jc w:val="right"/>
              <w:rPr>
                <w:rFonts w:ascii="Garamond" w:hAnsi="Garamond" w:cs="Calibri"/>
                <w:sz w:val="20"/>
                <w:szCs w:val="20"/>
              </w:rPr>
            </w:pPr>
            <w:r>
              <w:rPr>
                <w:rFonts w:ascii="Garamond" w:hAnsi="Garamond" w:cs="Calibri"/>
                <w:sz w:val="20"/>
                <w:szCs w:val="20"/>
              </w:rPr>
              <w:t>54825.0</w:t>
            </w:r>
          </w:p>
        </w:tc>
        <w:tc>
          <w:tcPr>
            <w:tcW w:w="1312" w:type="dxa"/>
            <w:tcBorders>
              <w:top w:val="nil"/>
              <w:left w:val="nil"/>
              <w:bottom w:val="nil"/>
              <w:right w:val="single" w:sz="8" w:space="0" w:color="auto"/>
            </w:tcBorders>
            <w:shd w:val="clear" w:color="auto" w:fill="auto"/>
            <w:noWrap/>
            <w:hideMark/>
          </w:tcPr>
          <w:p w:rsidR="000F236F" w:rsidRDefault="000F236F" w:rsidP="00DB5405">
            <w:pPr>
              <w:ind w:firstLineChars="100" w:firstLine="200"/>
              <w:jc w:val="right"/>
              <w:rPr>
                <w:rFonts w:ascii="Garamond" w:hAnsi="Garamond" w:cs="Calibri"/>
                <w:sz w:val="20"/>
                <w:szCs w:val="20"/>
              </w:rPr>
            </w:pPr>
            <w:r>
              <w:rPr>
                <w:rFonts w:ascii="Garamond" w:hAnsi="Garamond" w:cs="Calibri"/>
                <w:sz w:val="20"/>
                <w:szCs w:val="20"/>
              </w:rPr>
              <w:t>20.5</w:t>
            </w:r>
          </w:p>
        </w:tc>
        <w:tc>
          <w:tcPr>
            <w:tcW w:w="835" w:type="dxa"/>
            <w:tcBorders>
              <w:top w:val="nil"/>
              <w:left w:val="nil"/>
              <w:bottom w:val="nil"/>
              <w:right w:val="single" w:sz="8" w:space="0" w:color="auto"/>
            </w:tcBorders>
            <w:shd w:val="clear" w:color="auto" w:fill="auto"/>
            <w:noWrap/>
            <w:hideMark/>
          </w:tcPr>
          <w:p w:rsidR="000F236F" w:rsidRDefault="000F236F" w:rsidP="00DB5405">
            <w:pPr>
              <w:ind w:firstLineChars="100" w:firstLine="200"/>
              <w:jc w:val="right"/>
              <w:rPr>
                <w:rFonts w:ascii="Garamond" w:hAnsi="Garamond" w:cs="Calibri"/>
                <w:sz w:val="20"/>
                <w:szCs w:val="20"/>
              </w:rPr>
            </w:pPr>
            <w:r>
              <w:rPr>
                <w:rFonts w:ascii="Garamond" w:hAnsi="Garamond" w:cs="Calibri"/>
                <w:sz w:val="20"/>
                <w:szCs w:val="20"/>
              </w:rPr>
              <w:t>22.2</w:t>
            </w:r>
          </w:p>
        </w:tc>
      </w:tr>
      <w:tr w:rsidR="000F236F" w:rsidTr="00DB5405">
        <w:trPr>
          <w:trHeight w:val="199"/>
          <w:jc w:val="center"/>
        </w:trPr>
        <w:tc>
          <w:tcPr>
            <w:tcW w:w="11116" w:type="dxa"/>
            <w:gridSpan w:val="9"/>
            <w:tcBorders>
              <w:top w:val="single" w:sz="8" w:space="0" w:color="auto"/>
              <w:left w:val="single" w:sz="8" w:space="0" w:color="auto"/>
              <w:bottom w:val="single" w:sz="8" w:space="0" w:color="auto"/>
              <w:right w:val="single" w:sz="8" w:space="0" w:color="000000"/>
            </w:tcBorders>
            <w:shd w:val="clear" w:color="000000" w:fill="D9E1F2"/>
            <w:hideMark/>
          </w:tcPr>
          <w:p w:rsidR="000F236F" w:rsidRDefault="000F236F" w:rsidP="00DB5405">
            <w:pPr>
              <w:jc w:val="center"/>
              <w:rPr>
                <w:rFonts w:ascii="Garamond" w:eastAsia="Times New Roman" w:hAnsi="Garamond" w:cs="Calibri"/>
                <w:b/>
                <w:bCs/>
                <w:color w:val="000000"/>
                <w:sz w:val="20"/>
                <w:szCs w:val="20"/>
                <w:lang w:val="en-IN" w:eastAsia="en-IN"/>
              </w:rPr>
            </w:pPr>
            <w:r>
              <w:rPr>
                <w:rFonts w:ascii="Garamond" w:eastAsia="Times New Roman" w:hAnsi="Garamond" w:cs="Calibri"/>
                <w:b/>
                <w:bCs/>
                <w:color w:val="000000"/>
                <w:sz w:val="20"/>
                <w:szCs w:val="20"/>
                <w:lang w:val="en-IN" w:eastAsia="en-IN"/>
              </w:rPr>
              <w:t>Developed Markets</w:t>
            </w:r>
          </w:p>
        </w:tc>
      </w:tr>
      <w:tr w:rsidR="000F236F" w:rsidTr="00DB5405">
        <w:trPr>
          <w:trHeight w:val="189"/>
          <w:jc w:val="center"/>
        </w:trPr>
        <w:tc>
          <w:tcPr>
            <w:tcW w:w="1266" w:type="dxa"/>
            <w:tcBorders>
              <w:top w:val="nil"/>
              <w:left w:val="single" w:sz="8" w:space="0" w:color="auto"/>
              <w:bottom w:val="nil"/>
              <w:right w:val="single" w:sz="8" w:space="0" w:color="auto"/>
            </w:tcBorders>
            <w:shd w:val="clear" w:color="000000" w:fill="D9E1F2"/>
            <w:noWrap/>
            <w:hideMark/>
          </w:tcPr>
          <w:p w:rsidR="000F236F" w:rsidRDefault="000F236F" w:rsidP="00DB5405">
            <w:pPr>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USA</w:t>
            </w:r>
          </w:p>
        </w:tc>
        <w:tc>
          <w:tcPr>
            <w:tcW w:w="1801" w:type="dxa"/>
            <w:tcBorders>
              <w:top w:val="nil"/>
              <w:left w:val="nil"/>
              <w:bottom w:val="nil"/>
              <w:right w:val="single" w:sz="8" w:space="0" w:color="auto"/>
            </w:tcBorders>
            <w:shd w:val="clear" w:color="000000" w:fill="D9E1F2"/>
            <w:noWrap/>
            <w:hideMark/>
          </w:tcPr>
          <w:p w:rsidR="000F236F" w:rsidRDefault="000F236F" w:rsidP="00DB5405">
            <w:pPr>
              <w:rPr>
                <w:rFonts w:ascii="Garamond" w:eastAsia="Times New Roman" w:hAnsi="Garamond" w:cs="Calibri"/>
                <w:color w:val="000000"/>
                <w:sz w:val="18"/>
                <w:szCs w:val="18"/>
                <w:lang w:val="en-IN" w:eastAsia="en-IN"/>
              </w:rPr>
            </w:pPr>
            <w:r>
              <w:rPr>
                <w:rFonts w:ascii="Garamond" w:eastAsia="Times New Roman" w:hAnsi="Garamond" w:cs="Calibri"/>
                <w:color w:val="000000"/>
                <w:sz w:val="18"/>
                <w:szCs w:val="18"/>
                <w:lang w:val="en-IN" w:eastAsia="en-IN"/>
              </w:rPr>
              <w:t xml:space="preserve">NASDAQ COMPOSITE </w:t>
            </w:r>
          </w:p>
        </w:tc>
        <w:tc>
          <w:tcPr>
            <w:tcW w:w="1566" w:type="dxa"/>
            <w:tcBorders>
              <w:top w:val="nil"/>
              <w:left w:val="nil"/>
              <w:bottom w:val="nil"/>
              <w:right w:val="single" w:sz="8" w:space="0" w:color="auto"/>
            </w:tcBorders>
            <w:shd w:val="clear" w:color="auto" w:fill="auto"/>
            <w:noWrap/>
            <w:hideMark/>
          </w:tcPr>
          <w:p w:rsidR="000F236F" w:rsidRDefault="000F236F" w:rsidP="00DB5405">
            <w:pPr>
              <w:ind w:firstLineChars="100" w:firstLine="200"/>
              <w:jc w:val="right"/>
              <w:rPr>
                <w:rFonts w:ascii="Garamond" w:hAnsi="Garamond" w:cs="Calibri"/>
                <w:sz w:val="20"/>
                <w:szCs w:val="20"/>
              </w:rPr>
            </w:pPr>
            <w:r>
              <w:rPr>
                <w:rFonts w:ascii="Garamond" w:hAnsi="Garamond" w:cs="Calibri"/>
                <w:sz w:val="20"/>
                <w:szCs w:val="20"/>
              </w:rPr>
              <w:t>11167.5</w:t>
            </w:r>
          </w:p>
        </w:tc>
        <w:tc>
          <w:tcPr>
            <w:tcW w:w="1096" w:type="dxa"/>
            <w:tcBorders>
              <w:top w:val="nil"/>
              <w:left w:val="nil"/>
              <w:bottom w:val="nil"/>
              <w:right w:val="single" w:sz="8" w:space="0" w:color="auto"/>
            </w:tcBorders>
            <w:shd w:val="clear" w:color="auto" w:fill="auto"/>
            <w:noWrap/>
            <w:hideMark/>
          </w:tcPr>
          <w:p w:rsidR="000F236F" w:rsidRDefault="000F236F" w:rsidP="00DB5405">
            <w:pPr>
              <w:ind w:firstLineChars="100" w:firstLine="200"/>
              <w:jc w:val="right"/>
              <w:rPr>
                <w:rFonts w:ascii="Garamond" w:hAnsi="Garamond" w:cs="Calibri"/>
                <w:sz w:val="20"/>
                <w:szCs w:val="20"/>
              </w:rPr>
            </w:pPr>
            <w:r>
              <w:rPr>
                <w:rFonts w:ascii="Garamond" w:hAnsi="Garamond" w:cs="Calibri"/>
                <w:sz w:val="20"/>
                <w:szCs w:val="20"/>
              </w:rPr>
              <w:t>11775.5</w:t>
            </w:r>
          </w:p>
        </w:tc>
        <w:tc>
          <w:tcPr>
            <w:tcW w:w="1023" w:type="dxa"/>
            <w:tcBorders>
              <w:top w:val="nil"/>
              <w:left w:val="nil"/>
              <w:bottom w:val="nil"/>
              <w:right w:val="single" w:sz="8" w:space="0" w:color="auto"/>
            </w:tcBorders>
            <w:shd w:val="clear" w:color="auto" w:fill="auto"/>
            <w:noWrap/>
            <w:hideMark/>
          </w:tcPr>
          <w:p w:rsidR="000F236F" w:rsidRDefault="000F236F" w:rsidP="00DB5405">
            <w:pPr>
              <w:ind w:firstLineChars="100" w:firstLine="200"/>
              <w:jc w:val="right"/>
              <w:rPr>
                <w:rFonts w:ascii="Garamond" w:hAnsi="Garamond" w:cs="Calibri"/>
                <w:sz w:val="20"/>
                <w:szCs w:val="20"/>
              </w:rPr>
            </w:pPr>
            <w:r>
              <w:rPr>
                <w:rFonts w:ascii="Garamond" w:hAnsi="Garamond" w:cs="Calibri"/>
                <w:sz w:val="20"/>
                <w:szCs w:val="20"/>
              </w:rPr>
              <w:t>10058.8</w:t>
            </w:r>
          </w:p>
        </w:tc>
        <w:tc>
          <w:tcPr>
            <w:tcW w:w="1101" w:type="dxa"/>
            <w:tcBorders>
              <w:top w:val="nil"/>
              <w:left w:val="nil"/>
              <w:bottom w:val="nil"/>
              <w:right w:val="single" w:sz="8" w:space="0" w:color="auto"/>
            </w:tcBorders>
            <w:shd w:val="clear" w:color="auto" w:fill="auto"/>
            <w:noWrap/>
            <w:hideMark/>
          </w:tcPr>
          <w:p w:rsidR="000F236F" w:rsidRDefault="000F236F" w:rsidP="00DB5405">
            <w:pPr>
              <w:ind w:firstLineChars="100" w:firstLine="200"/>
              <w:jc w:val="right"/>
              <w:rPr>
                <w:rFonts w:ascii="Garamond" w:hAnsi="Garamond" w:cs="Calibri"/>
                <w:sz w:val="20"/>
                <w:szCs w:val="20"/>
              </w:rPr>
            </w:pPr>
            <w:r>
              <w:rPr>
                <w:rFonts w:ascii="Garamond" w:hAnsi="Garamond" w:cs="Calibri"/>
                <w:sz w:val="20"/>
                <w:szCs w:val="20"/>
              </w:rPr>
              <w:t>7700.1</w:t>
            </w:r>
          </w:p>
        </w:tc>
        <w:tc>
          <w:tcPr>
            <w:tcW w:w="1116" w:type="dxa"/>
            <w:tcBorders>
              <w:top w:val="nil"/>
              <w:left w:val="nil"/>
              <w:bottom w:val="nil"/>
              <w:right w:val="single" w:sz="8" w:space="0" w:color="auto"/>
            </w:tcBorders>
            <w:shd w:val="clear" w:color="auto" w:fill="auto"/>
            <w:noWrap/>
            <w:hideMark/>
          </w:tcPr>
          <w:p w:rsidR="000F236F" w:rsidRDefault="000F236F" w:rsidP="00DB5405">
            <w:pPr>
              <w:ind w:firstLineChars="100" w:firstLine="200"/>
              <w:jc w:val="right"/>
              <w:rPr>
                <w:rFonts w:ascii="Garamond" w:hAnsi="Garamond" w:cs="Calibri"/>
                <w:sz w:val="20"/>
                <w:szCs w:val="20"/>
              </w:rPr>
            </w:pPr>
            <w:r>
              <w:rPr>
                <w:rFonts w:ascii="Garamond" w:hAnsi="Garamond" w:cs="Calibri"/>
                <w:sz w:val="20"/>
                <w:szCs w:val="20"/>
              </w:rPr>
              <w:t>7999.3</w:t>
            </w:r>
          </w:p>
        </w:tc>
        <w:tc>
          <w:tcPr>
            <w:tcW w:w="1312" w:type="dxa"/>
            <w:tcBorders>
              <w:top w:val="nil"/>
              <w:left w:val="nil"/>
              <w:bottom w:val="nil"/>
              <w:right w:val="single" w:sz="8" w:space="0" w:color="auto"/>
            </w:tcBorders>
            <w:shd w:val="clear" w:color="auto" w:fill="auto"/>
            <w:noWrap/>
            <w:hideMark/>
          </w:tcPr>
          <w:p w:rsidR="000F236F" w:rsidRDefault="000F236F" w:rsidP="00DB5405">
            <w:pPr>
              <w:ind w:firstLineChars="100" w:firstLine="200"/>
              <w:jc w:val="right"/>
              <w:rPr>
                <w:rFonts w:ascii="Garamond" w:hAnsi="Garamond" w:cs="Calibri"/>
                <w:sz w:val="20"/>
                <w:szCs w:val="20"/>
              </w:rPr>
            </w:pPr>
            <w:r>
              <w:rPr>
                <w:rFonts w:ascii="Garamond" w:hAnsi="Garamond" w:cs="Calibri"/>
                <w:sz w:val="20"/>
                <w:szCs w:val="20"/>
              </w:rPr>
              <w:t>74.8</w:t>
            </w:r>
          </w:p>
        </w:tc>
        <w:tc>
          <w:tcPr>
            <w:tcW w:w="835" w:type="dxa"/>
            <w:tcBorders>
              <w:top w:val="nil"/>
              <w:left w:val="nil"/>
              <w:bottom w:val="nil"/>
              <w:right w:val="single" w:sz="8" w:space="0" w:color="auto"/>
            </w:tcBorders>
            <w:shd w:val="clear" w:color="auto" w:fill="auto"/>
            <w:noWrap/>
            <w:hideMark/>
          </w:tcPr>
          <w:p w:rsidR="000F236F" w:rsidRDefault="000F236F" w:rsidP="00DB5405">
            <w:pPr>
              <w:ind w:firstLineChars="100" w:firstLine="200"/>
              <w:jc w:val="right"/>
              <w:rPr>
                <w:rFonts w:ascii="Garamond" w:hAnsi="Garamond" w:cs="Calibri"/>
                <w:sz w:val="20"/>
                <w:szCs w:val="20"/>
              </w:rPr>
            </w:pPr>
            <w:r>
              <w:rPr>
                <w:rFonts w:ascii="Garamond" w:hAnsi="Garamond" w:cs="Calibri"/>
                <w:sz w:val="20"/>
                <w:szCs w:val="20"/>
              </w:rPr>
              <w:t>65.7</w:t>
            </w:r>
          </w:p>
        </w:tc>
      </w:tr>
      <w:tr w:rsidR="000F236F" w:rsidTr="00DB5405">
        <w:trPr>
          <w:trHeight w:val="189"/>
          <w:jc w:val="center"/>
        </w:trPr>
        <w:tc>
          <w:tcPr>
            <w:tcW w:w="1266" w:type="dxa"/>
            <w:tcBorders>
              <w:top w:val="nil"/>
              <w:left w:val="single" w:sz="8" w:space="0" w:color="auto"/>
              <w:bottom w:val="nil"/>
              <w:right w:val="single" w:sz="8" w:space="0" w:color="auto"/>
            </w:tcBorders>
            <w:shd w:val="clear" w:color="000000" w:fill="D9E1F2"/>
            <w:noWrap/>
            <w:hideMark/>
          </w:tcPr>
          <w:p w:rsidR="000F236F" w:rsidRDefault="000F236F" w:rsidP="00DB5405">
            <w:pPr>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USA</w:t>
            </w:r>
          </w:p>
        </w:tc>
        <w:tc>
          <w:tcPr>
            <w:tcW w:w="1801" w:type="dxa"/>
            <w:tcBorders>
              <w:top w:val="nil"/>
              <w:left w:val="nil"/>
              <w:bottom w:val="nil"/>
              <w:right w:val="single" w:sz="8" w:space="0" w:color="auto"/>
            </w:tcBorders>
            <w:shd w:val="clear" w:color="000000" w:fill="D9E1F2"/>
            <w:noWrap/>
            <w:hideMark/>
          </w:tcPr>
          <w:p w:rsidR="000F236F" w:rsidRDefault="000F236F" w:rsidP="00DB5405">
            <w:pPr>
              <w:rPr>
                <w:rFonts w:ascii="Garamond" w:eastAsia="Times New Roman" w:hAnsi="Garamond" w:cs="Calibri"/>
                <w:color w:val="000000"/>
                <w:sz w:val="18"/>
                <w:szCs w:val="18"/>
                <w:lang w:val="en-IN" w:eastAsia="en-IN"/>
              </w:rPr>
            </w:pPr>
            <w:r>
              <w:rPr>
                <w:rFonts w:ascii="Garamond" w:eastAsia="Times New Roman" w:hAnsi="Garamond" w:cs="Calibri"/>
                <w:color w:val="000000"/>
                <w:sz w:val="18"/>
                <w:szCs w:val="18"/>
                <w:lang w:val="en-IN" w:eastAsia="en-IN"/>
              </w:rPr>
              <w:t>DOW JONES INDUS. AVG</w:t>
            </w:r>
          </w:p>
        </w:tc>
        <w:tc>
          <w:tcPr>
            <w:tcW w:w="1566" w:type="dxa"/>
            <w:tcBorders>
              <w:top w:val="nil"/>
              <w:left w:val="nil"/>
              <w:bottom w:val="nil"/>
              <w:right w:val="single" w:sz="8" w:space="0" w:color="auto"/>
            </w:tcBorders>
            <w:shd w:val="clear" w:color="auto" w:fill="auto"/>
            <w:noWrap/>
            <w:hideMark/>
          </w:tcPr>
          <w:p w:rsidR="000F236F" w:rsidRDefault="000F236F" w:rsidP="00DB5405">
            <w:pPr>
              <w:ind w:firstLineChars="100" w:firstLine="200"/>
              <w:jc w:val="right"/>
              <w:rPr>
                <w:rFonts w:ascii="Garamond" w:hAnsi="Garamond" w:cs="Calibri"/>
                <w:sz w:val="20"/>
                <w:szCs w:val="20"/>
              </w:rPr>
            </w:pPr>
            <w:r>
              <w:rPr>
                <w:rFonts w:ascii="Garamond" w:hAnsi="Garamond" w:cs="Calibri"/>
                <w:sz w:val="20"/>
                <w:szCs w:val="20"/>
              </w:rPr>
              <w:t>27781.7</w:t>
            </w:r>
          </w:p>
        </w:tc>
        <w:tc>
          <w:tcPr>
            <w:tcW w:w="1096" w:type="dxa"/>
            <w:tcBorders>
              <w:top w:val="nil"/>
              <w:left w:val="nil"/>
              <w:bottom w:val="nil"/>
              <w:right w:val="single" w:sz="8" w:space="0" w:color="auto"/>
            </w:tcBorders>
            <w:shd w:val="clear" w:color="auto" w:fill="auto"/>
            <w:noWrap/>
            <w:hideMark/>
          </w:tcPr>
          <w:p w:rsidR="000F236F" w:rsidRDefault="000F236F" w:rsidP="00DB5405">
            <w:pPr>
              <w:ind w:firstLineChars="100" w:firstLine="200"/>
              <w:jc w:val="right"/>
              <w:rPr>
                <w:rFonts w:ascii="Garamond" w:hAnsi="Garamond" w:cs="Calibri"/>
                <w:sz w:val="20"/>
                <w:szCs w:val="20"/>
              </w:rPr>
            </w:pPr>
            <w:r>
              <w:rPr>
                <w:rFonts w:ascii="Garamond" w:hAnsi="Garamond" w:cs="Calibri"/>
                <w:sz w:val="20"/>
                <w:szCs w:val="20"/>
              </w:rPr>
              <w:t>28430.1</w:t>
            </w:r>
          </w:p>
        </w:tc>
        <w:tc>
          <w:tcPr>
            <w:tcW w:w="1023" w:type="dxa"/>
            <w:tcBorders>
              <w:top w:val="nil"/>
              <w:left w:val="nil"/>
              <w:bottom w:val="nil"/>
              <w:right w:val="single" w:sz="8" w:space="0" w:color="auto"/>
            </w:tcBorders>
            <w:shd w:val="clear" w:color="auto" w:fill="auto"/>
            <w:noWrap/>
            <w:hideMark/>
          </w:tcPr>
          <w:p w:rsidR="000F236F" w:rsidRDefault="000F236F" w:rsidP="00DB5405">
            <w:pPr>
              <w:ind w:firstLineChars="100" w:firstLine="200"/>
              <w:jc w:val="right"/>
              <w:rPr>
                <w:rFonts w:ascii="Garamond" w:hAnsi="Garamond" w:cs="Calibri"/>
                <w:sz w:val="20"/>
                <w:szCs w:val="20"/>
              </w:rPr>
            </w:pPr>
            <w:r>
              <w:rPr>
                <w:rFonts w:ascii="Garamond" w:hAnsi="Garamond" w:cs="Calibri"/>
                <w:sz w:val="20"/>
                <w:szCs w:val="20"/>
              </w:rPr>
              <w:t>25812.9</w:t>
            </w:r>
          </w:p>
        </w:tc>
        <w:tc>
          <w:tcPr>
            <w:tcW w:w="1101" w:type="dxa"/>
            <w:tcBorders>
              <w:top w:val="nil"/>
              <w:left w:val="nil"/>
              <w:bottom w:val="nil"/>
              <w:right w:val="single" w:sz="8" w:space="0" w:color="auto"/>
            </w:tcBorders>
            <w:shd w:val="clear" w:color="auto" w:fill="auto"/>
            <w:noWrap/>
            <w:hideMark/>
          </w:tcPr>
          <w:p w:rsidR="000F236F" w:rsidRDefault="000F236F" w:rsidP="00DB5405">
            <w:pPr>
              <w:ind w:firstLineChars="100" w:firstLine="200"/>
              <w:jc w:val="right"/>
              <w:rPr>
                <w:rFonts w:ascii="Garamond" w:hAnsi="Garamond" w:cs="Calibri"/>
                <w:sz w:val="20"/>
                <w:szCs w:val="20"/>
              </w:rPr>
            </w:pPr>
            <w:r>
              <w:rPr>
                <w:rFonts w:ascii="Garamond" w:hAnsi="Garamond" w:cs="Calibri"/>
                <w:sz w:val="20"/>
                <w:szCs w:val="20"/>
              </w:rPr>
              <w:t>21917.2</w:t>
            </w:r>
          </w:p>
        </w:tc>
        <w:tc>
          <w:tcPr>
            <w:tcW w:w="1116" w:type="dxa"/>
            <w:tcBorders>
              <w:top w:val="nil"/>
              <w:left w:val="nil"/>
              <w:bottom w:val="nil"/>
              <w:right w:val="single" w:sz="8" w:space="0" w:color="auto"/>
            </w:tcBorders>
            <w:shd w:val="clear" w:color="auto" w:fill="auto"/>
            <w:noWrap/>
            <w:hideMark/>
          </w:tcPr>
          <w:p w:rsidR="000F236F" w:rsidRDefault="000F236F" w:rsidP="00DB5405">
            <w:pPr>
              <w:ind w:firstLineChars="100" w:firstLine="200"/>
              <w:jc w:val="right"/>
              <w:rPr>
                <w:rFonts w:ascii="Garamond" w:hAnsi="Garamond" w:cs="Calibri"/>
                <w:sz w:val="20"/>
                <w:szCs w:val="20"/>
              </w:rPr>
            </w:pPr>
            <w:r>
              <w:rPr>
                <w:rFonts w:ascii="Garamond" w:hAnsi="Garamond" w:cs="Calibri"/>
                <w:sz w:val="20"/>
                <w:szCs w:val="20"/>
              </w:rPr>
              <w:t>26916.8</w:t>
            </w:r>
          </w:p>
        </w:tc>
        <w:tc>
          <w:tcPr>
            <w:tcW w:w="1312" w:type="dxa"/>
            <w:tcBorders>
              <w:top w:val="nil"/>
              <w:left w:val="nil"/>
              <w:bottom w:val="nil"/>
              <w:right w:val="single" w:sz="8" w:space="0" w:color="auto"/>
            </w:tcBorders>
            <w:shd w:val="clear" w:color="auto" w:fill="auto"/>
            <w:noWrap/>
            <w:hideMark/>
          </w:tcPr>
          <w:p w:rsidR="000F236F" w:rsidRDefault="000F236F" w:rsidP="00DB5405">
            <w:pPr>
              <w:ind w:firstLineChars="100" w:firstLine="200"/>
              <w:jc w:val="right"/>
              <w:rPr>
                <w:rFonts w:ascii="Garamond" w:hAnsi="Garamond" w:cs="Calibri"/>
                <w:sz w:val="20"/>
                <w:szCs w:val="20"/>
              </w:rPr>
            </w:pPr>
            <w:r>
              <w:rPr>
                <w:rFonts w:ascii="Garamond" w:hAnsi="Garamond" w:cs="Calibri"/>
                <w:sz w:val="20"/>
                <w:szCs w:val="20"/>
              </w:rPr>
              <w:t>52.1</w:t>
            </w:r>
          </w:p>
        </w:tc>
        <w:tc>
          <w:tcPr>
            <w:tcW w:w="835" w:type="dxa"/>
            <w:tcBorders>
              <w:top w:val="nil"/>
              <w:left w:val="nil"/>
              <w:bottom w:val="nil"/>
              <w:right w:val="single" w:sz="8" w:space="0" w:color="auto"/>
            </w:tcBorders>
            <w:shd w:val="clear" w:color="auto" w:fill="auto"/>
            <w:noWrap/>
            <w:hideMark/>
          </w:tcPr>
          <w:p w:rsidR="000F236F" w:rsidRDefault="000F236F" w:rsidP="00DB5405">
            <w:pPr>
              <w:ind w:firstLineChars="100" w:firstLine="200"/>
              <w:jc w:val="right"/>
              <w:rPr>
                <w:rFonts w:ascii="Garamond" w:hAnsi="Garamond" w:cs="Calibri"/>
                <w:sz w:val="20"/>
                <w:szCs w:val="20"/>
              </w:rPr>
            </w:pPr>
            <w:r>
              <w:rPr>
                <w:rFonts w:ascii="Garamond" w:hAnsi="Garamond" w:cs="Calibri"/>
                <w:sz w:val="20"/>
                <w:szCs w:val="20"/>
              </w:rPr>
              <w:t>23.9</w:t>
            </w:r>
          </w:p>
        </w:tc>
      </w:tr>
      <w:tr w:rsidR="000F236F" w:rsidTr="00DB5405">
        <w:trPr>
          <w:trHeight w:val="189"/>
          <w:jc w:val="center"/>
        </w:trPr>
        <w:tc>
          <w:tcPr>
            <w:tcW w:w="1266" w:type="dxa"/>
            <w:tcBorders>
              <w:top w:val="nil"/>
              <w:left w:val="single" w:sz="8" w:space="0" w:color="auto"/>
              <w:bottom w:val="nil"/>
              <w:right w:val="single" w:sz="8" w:space="0" w:color="auto"/>
            </w:tcBorders>
            <w:shd w:val="clear" w:color="000000" w:fill="D9E1F2"/>
            <w:noWrap/>
            <w:hideMark/>
          </w:tcPr>
          <w:p w:rsidR="000F236F" w:rsidRDefault="000F236F" w:rsidP="00DB5405">
            <w:pPr>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France</w:t>
            </w:r>
          </w:p>
        </w:tc>
        <w:tc>
          <w:tcPr>
            <w:tcW w:w="1801" w:type="dxa"/>
            <w:tcBorders>
              <w:top w:val="nil"/>
              <w:left w:val="nil"/>
              <w:bottom w:val="nil"/>
              <w:right w:val="single" w:sz="8" w:space="0" w:color="auto"/>
            </w:tcBorders>
            <w:shd w:val="clear" w:color="000000" w:fill="D9E1F2"/>
            <w:noWrap/>
            <w:hideMark/>
          </w:tcPr>
          <w:p w:rsidR="000F236F" w:rsidRDefault="000F236F" w:rsidP="00DB5405">
            <w:pPr>
              <w:rPr>
                <w:rFonts w:ascii="Garamond" w:eastAsia="Times New Roman" w:hAnsi="Garamond" w:cs="Calibri"/>
                <w:color w:val="000000"/>
                <w:sz w:val="18"/>
                <w:szCs w:val="18"/>
                <w:lang w:val="en-IN" w:eastAsia="en-IN"/>
              </w:rPr>
            </w:pPr>
            <w:r>
              <w:rPr>
                <w:rFonts w:ascii="Garamond" w:eastAsia="Times New Roman" w:hAnsi="Garamond" w:cs="Calibri"/>
                <w:color w:val="000000"/>
                <w:sz w:val="18"/>
                <w:szCs w:val="18"/>
                <w:lang w:val="en-IN" w:eastAsia="en-IN"/>
              </w:rPr>
              <w:t xml:space="preserve">CAC 40 </w:t>
            </w:r>
          </w:p>
        </w:tc>
        <w:tc>
          <w:tcPr>
            <w:tcW w:w="1566" w:type="dxa"/>
            <w:tcBorders>
              <w:top w:val="nil"/>
              <w:left w:val="nil"/>
              <w:bottom w:val="nil"/>
              <w:right w:val="single" w:sz="8" w:space="0" w:color="auto"/>
            </w:tcBorders>
            <w:shd w:val="clear" w:color="auto" w:fill="auto"/>
            <w:noWrap/>
            <w:hideMark/>
          </w:tcPr>
          <w:p w:rsidR="000F236F" w:rsidRDefault="000F236F" w:rsidP="00DB5405">
            <w:pPr>
              <w:ind w:firstLineChars="100" w:firstLine="200"/>
              <w:jc w:val="right"/>
              <w:rPr>
                <w:rFonts w:ascii="Garamond" w:hAnsi="Garamond" w:cs="Calibri"/>
                <w:sz w:val="20"/>
                <w:szCs w:val="20"/>
              </w:rPr>
            </w:pPr>
            <w:r>
              <w:rPr>
                <w:rFonts w:ascii="Garamond" w:hAnsi="Garamond" w:cs="Calibri"/>
                <w:sz w:val="20"/>
                <w:szCs w:val="20"/>
              </w:rPr>
              <w:t>4803.4</w:t>
            </w:r>
          </w:p>
        </w:tc>
        <w:tc>
          <w:tcPr>
            <w:tcW w:w="1096" w:type="dxa"/>
            <w:tcBorders>
              <w:top w:val="nil"/>
              <w:left w:val="nil"/>
              <w:bottom w:val="nil"/>
              <w:right w:val="single" w:sz="8" w:space="0" w:color="auto"/>
            </w:tcBorders>
            <w:shd w:val="clear" w:color="auto" w:fill="auto"/>
            <w:noWrap/>
            <w:hideMark/>
          </w:tcPr>
          <w:p w:rsidR="000F236F" w:rsidRDefault="000F236F" w:rsidP="00DB5405">
            <w:pPr>
              <w:ind w:firstLineChars="100" w:firstLine="200"/>
              <w:jc w:val="right"/>
              <w:rPr>
                <w:rFonts w:ascii="Garamond" w:hAnsi="Garamond" w:cs="Calibri"/>
                <w:sz w:val="20"/>
                <w:szCs w:val="20"/>
              </w:rPr>
            </w:pPr>
            <w:r>
              <w:rPr>
                <w:rFonts w:ascii="Garamond" w:hAnsi="Garamond" w:cs="Calibri"/>
                <w:sz w:val="20"/>
                <w:szCs w:val="20"/>
              </w:rPr>
              <w:t>4947.2</w:t>
            </w:r>
          </w:p>
        </w:tc>
        <w:tc>
          <w:tcPr>
            <w:tcW w:w="1023" w:type="dxa"/>
            <w:tcBorders>
              <w:top w:val="nil"/>
              <w:left w:val="nil"/>
              <w:bottom w:val="nil"/>
              <w:right w:val="single" w:sz="8" w:space="0" w:color="auto"/>
            </w:tcBorders>
            <w:shd w:val="clear" w:color="auto" w:fill="auto"/>
            <w:noWrap/>
            <w:hideMark/>
          </w:tcPr>
          <w:p w:rsidR="000F236F" w:rsidRDefault="000F236F" w:rsidP="00DB5405">
            <w:pPr>
              <w:ind w:firstLineChars="100" w:firstLine="200"/>
              <w:jc w:val="right"/>
              <w:rPr>
                <w:rFonts w:ascii="Garamond" w:hAnsi="Garamond" w:cs="Calibri"/>
                <w:sz w:val="20"/>
                <w:szCs w:val="20"/>
              </w:rPr>
            </w:pPr>
            <w:r>
              <w:rPr>
                <w:rFonts w:ascii="Garamond" w:hAnsi="Garamond" w:cs="Calibri"/>
                <w:sz w:val="20"/>
                <w:szCs w:val="20"/>
              </w:rPr>
              <w:t>4936.0</w:t>
            </w:r>
          </w:p>
        </w:tc>
        <w:tc>
          <w:tcPr>
            <w:tcW w:w="1101" w:type="dxa"/>
            <w:tcBorders>
              <w:top w:val="nil"/>
              <w:left w:val="nil"/>
              <w:bottom w:val="nil"/>
              <w:right w:val="single" w:sz="8" w:space="0" w:color="auto"/>
            </w:tcBorders>
            <w:shd w:val="clear" w:color="auto" w:fill="auto"/>
            <w:noWrap/>
            <w:hideMark/>
          </w:tcPr>
          <w:p w:rsidR="000F236F" w:rsidRDefault="000F236F" w:rsidP="00DB5405">
            <w:pPr>
              <w:ind w:firstLineChars="100" w:firstLine="200"/>
              <w:jc w:val="right"/>
              <w:rPr>
                <w:rFonts w:ascii="Garamond" w:hAnsi="Garamond" w:cs="Calibri"/>
                <w:sz w:val="20"/>
                <w:szCs w:val="20"/>
              </w:rPr>
            </w:pPr>
            <w:r>
              <w:rPr>
                <w:rFonts w:ascii="Garamond" w:hAnsi="Garamond" w:cs="Calibri"/>
                <w:sz w:val="20"/>
                <w:szCs w:val="20"/>
              </w:rPr>
              <w:t>4396.1</w:t>
            </w:r>
          </w:p>
        </w:tc>
        <w:tc>
          <w:tcPr>
            <w:tcW w:w="1116" w:type="dxa"/>
            <w:tcBorders>
              <w:top w:val="nil"/>
              <w:left w:val="nil"/>
              <w:bottom w:val="nil"/>
              <w:right w:val="single" w:sz="8" w:space="0" w:color="auto"/>
            </w:tcBorders>
            <w:shd w:val="clear" w:color="auto" w:fill="auto"/>
            <w:noWrap/>
            <w:hideMark/>
          </w:tcPr>
          <w:p w:rsidR="000F236F" w:rsidRDefault="000F236F" w:rsidP="00DB5405">
            <w:pPr>
              <w:ind w:firstLineChars="100" w:firstLine="200"/>
              <w:jc w:val="right"/>
              <w:rPr>
                <w:rFonts w:ascii="Garamond" w:hAnsi="Garamond" w:cs="Calibri"/>
                <w:sz w:val="20"/>
                <w:szCs w:val="20"/>
              </w:rPr>
            </w:pPr>
            <w:r>
              <w:rPr>
                <w:rFonts w:ascii="Garamond" w:hAnsi="Garamond" w:cs="Calibri"/>
                <w:sz w:val="20"/>
                <w:szCs w:val="20"/>
              </w:rPr>
              <w:t>5677.8</w:t>
            </w:r>
          </w:p>
        </w:tc>
        <w:tc>
          <w:tcPr>
            <w:tcW w:w="1312" w:type="dxa"/>
            <w:tcBorders>
              <w:top w:val="nil"/>
              <w:left w:val="nil"/>
              <w:bottom w:val="nil"/>
              <w:right w:val="single" w:sz="8" w:space="0" w:color="auto"/>
            </w:tcBorders>
            <w:shd w:val="clear" w:color="auto" w:fill="auto"/>
            <w:noWrap/>
            <w:hideMark/>
          </w:tcPr>
          <w:p w:rsidR="000F236F" w:rsidRDefault="000F236F" w:rsidP="00DB5405">
            <w:pPr>
              <w:ind w:firstLineChars="100" w:firstLine="200"/>
              <w:jc w:val="right"/>
              <w:rPr>
                <w:rFonts w:ascii="Garamond" w:hAnsi="Garamond" w:cs="Calibri"/>
                <w:sz w:val="20"/>
                <w:szCs w:val="20"/>
              </w:rPr>
            </w:pPr>
            <w:r>
              <w:rPr>
                <w:rFonts w:ascii="Garamond" w:hAnsi="Garamond" w:cs="Calibri"/>
                <w:sz w:val="20"/>
                <w:szCs w:val="20"/>
              </w:rPr>
              <w:t>20.3</w:t>
            </w:r>
          </w:p>
        </w:tc>
        <w:tc>
          <w:tcPr>
            <w:tcW w:w="835" w:type="dxa"/>
            <w:tcBorders>
              <w:top w:val="nil"/>
              <w:left w:val="nil"/>
              <w:bottom w:val="nil"/>
              <w:right w:val="single" w:sz="8" w:space="0" w:color="auto"/>
            </w:tcBorders>
            <w:shd w:val="clear" w:color="auto" w:fill="auto"/>
            <w:noWrap/>
            <w:hideMark/>
          </w:tcPr>
          <w:p w:rsidR="000F236F" w:rsidRDefault="000F236F" w:rsidP="00DB5405">
            <w:pPr>
              <w:ind w:firstLineChars="100" w:firstLine="200"/>
              <w:jc w:val="right"/>
              <w:rPr>
                <w:rFonts w:ascii="Garamond" w:hAnsi="Garamond" w:cs="Calibri"/>
                <w:sz w:val="20"/>
                <w:szCs w:val="20"/>
              </w:rPr>
            </w:pPr>
            <w:r>
              <w:rPr>
                <w:rFonts w:ascii="Garamond" w:hAnsi="Garamond" w:cs="Calibri"/>
                <w:sz w:val="20"/>
                <w:szCs w:val="20"/>
              </w:rPr>
              <w:t>42.7</w:t>
            </w:r>
          </w:p>
        </w:tc>
      </w:tr>
      <w:tr w:rsidR="000F236F" w:rsidTr="00DB5405">
        <w:trPr>
          <w:trHeight w:val="189"/>
          <w:jc w:val="center"/>
        </w:trPr>
        <w:tc>
          <w:tcPr>
            <w:tcW w:w="1266" w:type="dxa"/>
            <w:tcBorders>
              <w:top w:val="nil"/>
              <w:left w:val="single" w:sz="8" w:space="0" w:color="auto"/>
              <w:bottom w:val="nil"/>
              <w:right w:val="single" w:sz="8" w:space="0" w:color="auto"/>
            </w:tcBorders>
            <w:shd w:val="clear" w:color="000000" w:fill="D9E1F2"/>
            <w:noWrap/>
            <w:hideMark/>
          </w:tcPr>
          <w:p w:rsidR="000F236F" w:rsidRDefault="000F236F" w:rsidP="00DB5405">
            <w:pPr>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Germany</w:t>
            </w:r>
          </w:p>
        </w:tc>
        <w:tc>
          <w:tcPr>
            <w:tcW w:w="1801" w:type="dxa"/>
            <w:tcBorders>
              <w:top w:val="nil"/>
              <w:left w:val="nil"/>
              <w:bottom w:val="nil"/>
              <w:right w:val="single" w:sz="8" w:space="0" w:color="auto"/>
            </w:tcBorders>
            <w:shd w:val="clear" w:color="000000" w:fill="D9E1F2"/>
            <w:noWrap/>
            <w:hideMark/>
          </w:tcPr>
          <w:p w:rsidR="000F236F" w:rsidRDefault="000F236F" w:rsidP="00DB5405">
            <w:pPr>
              <w:rPr>
                <w:rFonts w:ascii="Garamond" w:eastAsia="Times New Roman" w:hAnsi="Garamond" w:cs="Calibri"/>
                <w:color w:val="000000"/>
                <w:sz w:val="18"/>
                <w:szCs w:val="18"/>
                <w:lang w:val="en-IN" w:eastAsia="en-IN"/>
              </w:rPr>
            </w:pPr>
            <w:r>
              <w:rPr>
                <w:rFonts w:ascii="Garamond" w:eastAsia="Times New Roman" w:hAnsi="Garamond" w:cs="Calibri"/>
                <w:color w:val="000000"/>
                <w:sz w:val="18"/>
                <w:szCs w:val="18"/>
                <w:lang w:val="en-IN" w:eastAsia="en-IN"/>
              </w:rPr>
              <w:t xml:space="preserve">DAX </w:t>
            </w:r>
          </w:p>
        </w:tc>
        <w:tc>
          <w:tcPr>
            <w:tcW w:w="1566" w:type="dxa"/>
            <w:tcBorders>
              <w:top w:val="nil"/>
              <w:left w:val="nil"/>
              <w:bottom w:val="nil"/>
              <w:right w:val="single" w:sz="8" w:space="0" w:color="auto"/>
            </w:tcBorders>
            <w:shd w:val="clear" w:color="auto" w:fill="auto"/>
            <w:noWrap/>
            <w:hideMark/>
          </w:tcPr>
          <w:p w:rsidR="000F236F" w:rsidRDefault="000F236F" w:rsidP="00DB5405">
            <w:pPr>
              <w:ind w:firstLineChars="100" w:firstLine="200"/>
              <w:jc w:val="right"/>
              <w:rPr>
                <w:rFonts w:ascii="Garamond" w:hAnsi="Garamond" w:cs="Calibri"/>
                <w:sz w:val="20"/>
                <w:szCs w:val="20"/>
              </w:rPr>
            </w:pPr>
            <w:r>
              <w:rPr>
                <w:rFonts w:ascii="Garamond" w:hAnsi="Garamond" w:cs="Calibri"/>
                <w:sz w:val="20"/>
                <w:szCs w:val="20"/>
              </w:rPr>
              <w:t>12760.7</w:t>
            </w:r>
          </w:p>
        </w:tc>
        <w:tc>
          <w:tcPr>
            <w:tcW w:w="1096" w:type="dxa"/>
            <w:tcBorders>
              <w:top w:val="nil"/>
              <w:left w:val="nil"/>
              <w:bottom w:val="nil"/>
              <w:right w:val="single" w:sz="8" w:space="0" w:color="auto"/>
            </w:tcBorders>
            <w:shd w:val="clear" w:color="auto" w:fill="auto"/>
            <w:noWrap/>
            <w:hideMark/>
          </w:tcPr>
          <w:p w:rsidR="000F236F" w:rsidRDefault="000F236F" w:rsidP="00DB5405">
            <w:pPr>
              <w:ind w:firstLineChars="100" w:firstLine="200"/>
              <w:jc w:val="right"/>
              <w:rPr>
                <w:rFonts w:ascii="Garamond" w:hAnsi="Garamond" w:cs="Calibri"/>
                <w:sz w:val="20"/>
                <w:szCs w:val="20"/>
              </w:rPr>
            </w:pPr>
            <w:r>
              <w:rPr>
                <w:rFonts w:ascii="Garamond" w:hAnsi="Garamond" w:cs="Calibri"/>
                <w:sz w:val="20"/>
                <w:szCs w:val="20"/>
              </w:rPr>
              <w:t>12945.4</w:t>
            </w:r>
          </w:p>
        </w:tc>
        <w:tc>
          <w:tcPr>
            <w:tcW w:w="1023" w:type="dxa"/>
            <w:tcBorders>
              <w:top w:val="nil"/>
              <w:left w:val="nil"/>
              <w:bottom w:val="nil"/>
              <w:right w:val="single" w:sz="8" w:space="0" w:color="auto"/>
            </w:tcBorders>
            <w:shd w:val="clear" w:color="auto" w:fill="auto"/>
            <w:noWrap/>
            <w:hideMark/>
          </w:tcPr>
          <w:p w:rsidR="000F236F" w:rsidRDefault="000F236F" w:rsidP="00DB5405">
            <w:pPr>
              <w:ind w:firstLineChars="100" w:firstLine="200"/>
              <w:jc w:val="right"/>
              <w:rPr>
                <w:rFonts w:ascii="Garamond" w:hAnsi="Garamond" w:cs="Calibri"/>
                <w:sz w:val="20"/>
                <w:szCs w:val="20"/>
              </w:rPr>
            </w:pPr>
            <w:r>
              <w:rPr>
                <w:rFonts w:ascii="Garamond" w:hAnsi="Garamond" w:cs="Calibri"/>
                <w:sz w:val="20"/>
                <w:szCs w:val="20"/>
              </w:rPr>
              <w:t>12310.9</w:t>
            </w:r>
          </w:p>
        </w:tc>
        <w:tc>
          <w:tcPr>
            <w:tcW w:w="1101" w:type="dxa"/>
            <w:tcBorders>
              <w:top w:val="nil"/>
              <w:left w:val="nil"/>
              <w:bottom w:val="nil"/>
              <w:right w:val="single" w:sz="8" w:space="0" w:color="auto"/>
            </w:tcBorders>
            <w:shd w:val="clear" w:color="auto" w:fill="auto"/>
            <w:noWrap/>
            <w:hideMark/>
          </w:tcPr>
          <w:p w:rsidR="000F236F" w:rsidRDefault="000F236F" w:rsidP="00DB5405">
            <w:pPr>
              <w:ind w:firstLineChars="100" w:firstLine="200"/>
              <w:jc w:val="right"/>
              <w:rPr>
                <w:rFonts w:ascii="Garamond" w:hAnsi="Garamond" w:cs="Calibri"/>
                <w:sz w:val="20"/>
                <w:szCs w:val="20"/>
              </w:rPr>
            </w:pPr>
            <w:r>
              <w:rPr>
                <w:rFonts w:ascii="Garamond" w:hAnsi="Garamond" w:cs="Calibri"/>
                <w:sz w:val="20"/>
                <w:szCs w:val="20"/>
              </w:rPr>
              <w:t>9935.8</w:t>
            </w:r>
          </w:p>
        </w:tc>
        <w:tc>
          <w:tcPr>
            <w:tcW w:w="1116" w:type="dxa"/>
            <w:tcBorders>
              <w:top w:val="nil"/>
              <w:left w:val="nil"/>
              <w:bottom w:val="nil"/>
              <w:right w:val="single" w:sz="8" w:space="0" w:color="auto"/>
            </w:tcBorders>
            <w:shd w:val="clear" w:color="auto" w:fill="auto"/>
            <w:noWrap/>
            <w:hideMark/>
          </w:tcPr>
          <w:p w:rsidR="000F236F" w:rsidRDefault="000F236F" w:rsidP="00DB5405">
            <w:pPr>
              <w:ind w:firstLineChars="100" w:firstLine="200"/>
              <w:jc w:val="right"/>
              <w:rPr>
                <w:rFonts w:ascii="Garamond" w:hAnsi="Garamond" w:cs="Calibri"/>
                <w:sz w:val="20"/>
                <w:szCs w:val="20"/>
              </w:rPr>
            </w:pPr>
            <w:r>
              <w:rPr>
                <w:rFonts w:ascii="Garamond" w:hAnsi="Garamond" w:cs="Calibri"/>
                <w:sz w:val="20"/>
                <w:szCs w:val="20"/>
              </w:rPr>
              <w:t>12428.1</w:t>
            </w:r>
          </w:p>
        </w:tc>
        <w:tc>
          <w:tcPr>
            <w:tcW w:w="1312" w:type="dxa"/>
            <w:tcBorders>
              <w:top w:val="nil"/>
              <w:left w:val="nil"/>
              <w:bottom w:val="nil"/>
              <w:right w:val="single" w:sz="8" w:space="0" w:color="auto"/>
            </w:tcBorders>
            <w:shd w:val="clear" w:color="auto" w:fill="auto"/>
            <w:noWrap/>
            <w:hideMark/>
          </w:tcPr>
          <w:p w:rsidR="000F236F" w:rsidRDefault="000F236F" w:rsidP="00DB5405">
            <w:pPr>
              <w:ind w:firstLineChars="100" w:firstLine="200"/>
              <w:jc w:val="right"/>
              <w:rPr>
                <w:rFonts w:ascii="Garamond" w:hAnsi="Garamond" w:cs="Calibri"/>
                <w:sz w:val="20"/>
                <w:szCs w:val="20"/>
              </w:rPr>
            </w:pPr>
            <w:r>
              <w:rPr>
                <w:rFonts w:ascii="Garamond" w:hAnsi="Garamond" w:cs="Calibri"/>
                <w:sz w:val="20"/>
                <w:szCs w:val="20"/>
              </w:rPr>
              <w:t>32.3</w:t>
            </w:r>
          </w:p>
        </w:tc>
        <w:tc>
          <w:tcPr>
            <w:tcW w:w="835" w:type="dxa"/>
            <w:tcBorders>
              <w:top w:val="nil"/>
              <w:left w:val="nil"/>
              <w:bottom w:val="nil"/>
              <w:right w:val="single" w:sz="8" w:space="0" w:color="auto"/>
            </w:tcBorders>
            <w:shd w:val="clear" w:color="auto" w:fill="auto"/>
            <w:noWrap/>
            <w:hideMark/>
          </w:tcPr>
          <w:p w:rsidR="000F236F" w:rsidRDefault="000F236F" w:rsidP="00DB5405">
            <w:pPr>
              <w:ind w:firstLineChars="100" w:firstLine="200"/>
              <w:jc w:val="right"/>
              <w:rPr>
                <w:rFonts w:ascii="Garamond" w:hAnsi="Garamond" w:cs="Calibri"/>
                <w:sz w:val="20"/>
                <w:szCs w:val="20"/>
              </w:rPr>
            </w:pPr>
            <w:r>
              <w:rPr>
                <w:rFonts w:ascii="Garamond" w:hAnsi="Garamond" w:cs="Calibri"/>
                <w:sz w:val="20"/>
                <w:szCs w:val="20"/>
              </w:rPr>
              <w:t>39.3</w:t>
            </w:r>
          </w:p>
        </w:tc>
      </w:tr>
      <w:tr w:rsidR="000F236F" w:rsidTr="00DB5405">
        <w:trPr>
          <w:trHeight w:val="189"/>
          <w:jc w:val="center"/>
        </w:trPr>
        <w:tc>
          <w:tcPr>
            <w:tcW w:w="1266" w:type="dxa"/>
            <w:tcBorders>
              <w:top w:val="nil"/>
              <w:left w:val="single" w:sz="8" w:space="0" w:color="auto"/>
              <w:bottom w:val="nil"/>
              <w:right w:val="single" w:sz="8" w:space="0" w:color="auto"/>
            </w:tcBorders>
            <w:shd w:val="clear" w:color="000000" w:fill="D9E1F2"/>
            <w:noWrap/>
            <w:hideMark/>
          </w:tcPr>
          <w:p w:rsidR="000F236F" w:rsidRDefault="000F236F" w:rsidP="00DB5405">
            <w:pPr>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UK</w:t>
            </w:r>
          </w:p>
        </w:tc>
        <w:tc>
          <w:tcPr>
            <w:tcW w:w="1801" w:type="dxa"/>
            <w:tcBorders>
              <w:top w:val="nil"/>
              <w:left w:val="nil"/>
              <w:bottom w:val="nil"/>
              <w:right w:val="single" w:sz="8" w:space="0" w:color="auto"/>
            </w:tcBorders>
            <w:shd w:val="clear" w:color="000000" w:fill="D9E1F2"/>
            <w:noWrap/>
            <w:hideMark/>
          </w:tcPr>
          <w:p w:rsidR="000F236F" w:rsidRDefault="000F236F" w:rsidP="00DB5405">
            <w:pPr>
              <w:rPr>
                <w:rFonts w:ascii="Garamond" w:eastAsia="Times New Roman" w:hAnsi="Garamond" w:cs="Calibri"/>
                <w:color w:val="000000"/>
                <w:sz w:val="18"/>
                <w:szCs w:val="18"/>
                <w:lang w:val="en-IN" w:eastAsia="en-IN"/>
              </w:rPr>
            </w:pPr>
            <w:r>
              <w:rPr>
                <w:rFonts w:ascii="Garamond" w:eastAsia="Times New Roman" w:hAnsi="Garamond" w:cs="Calibri"/>
                <w:color w:val="000000"/>
                <w:sz w:val="18"/>
                <w:szCs w:val="18"/>
                <w:lang w:val="en-IN" w:eastAsia="en-IN"/>
              </w:rPr>
              <w:t xml:space="preserve">FTSE 100 </w:t>
            </w:r>
          </w:p>
        </w:tc>
        <w:tc>
          <w:tcPr>
            <w:tcW w:w="1566" w:type="dxa"/>
            <w:tcBorders>
              <w:top w:val="nil"/>
              <w:left w:val="nil"/>
              <w:bottom w:val="nil"/>
              <w:right w:val="single" w:sz="8" w:space="0" w:color="auto"/>
            </w:tcBorders>
            <w:shd w:val="clear" w:color="auto" w:fill="auto"/>
            <w:noWrap/>
            <w:hideMark/>
          </w:tcPr>
          <w:p w:rsidR="000F236F" w:rsidRDefault="000F236F" w:rsidP="00DB5405">
            <w:pPr>
              <w:ind w:firstLineChars="100" w:firstLine="200"/>
              <w:jc w:val="right"/>
              <w:rPr>
                <w:rFonts w:ascii="Garamond" w:hAnsi="Garamond" w:cs="Calibri"/>
                <w:sz w:val="20"/>
                <w:szCs w:val="20"/>
              </w:rPr>
            </w:pPr>
            <w:r>
              <w:rPr>
                <w:rFonts w:ascii="Garamond" w:hAnsi="Garamond" w:cs="Calibri"/>
                <w:sz w:val="20"/>
                <w:szCs w:val="20"/>
              </w:rPr>
              <w:t>5866.1</w:t>
            </w:r>
          </w:p>
        </w:tc>
        <w:tc>
          <w:tcPr>
            <w:tcW w:w="1096" w:type="dxa"/>
            <w:tcBorders>
              <w:top w:val="nil"/>
              <w:left w:val="nil"/>
              <w:bottom w:val="nil"/>
              <w:right w:val="single" w:sz="8" w:space="0" w:color="auto"/>
            </w:tcBorders>
            <w:shd w:val="clear" w:color="auto" w:fill="auto"/>
            <w:noWrap/>
            <w:hideMark/>
          </w:tcPr>
          <w:p w:rsidR="000F236F" w:rsidRDefault="000F236F" w:rsidP="00DB5405">
            <w:pPr>
              <w:ind w:firstLineChars="100" w:firstLine="200"/>
              <w:jc w:val="right"/>
              <w:rPr>
                <w:rFonts w:ascii="Garamond" w:hAnsi="Garamond" w:cs="Calibri"/>
                <w:sz w:val="20"/>
                <w:szCs w:val="20"/>
              </w:rPr>
            </w:pPr>
            <w:r>
              <w:rPr>
                <w:rFonts w:ascii="Garamond" w:hAnsi="Garamond" w:cs="Calibri"/>
                <w:sz w:val="20"/>
                <w:szCs w:val="20"/>
              </w:rPr>
              <w:t>5963.6</w:t>
            </w:r>
          </w:p>
        </w:tc>
        <w:tc>
          <w:tcPr>
            <w:tcW w:w="1023" w:type="dxa"/>
            <w:tcBorders>
              <w:top w:val="nil"/>
              <w:left w:val="nil"/>
              <w:bottom w:val="nil"/>
              <w:right w:val="single" w:sz="8" w:space="0" w:color="auto"/>
            </w:tcBorders>
            <w:shd w:val="clear" w:color="auto" w:fill="auto"/>
            <w:noWrap/>
            <w:hideMark/>
          </w:tcPr>
          <w:p w:rsidR="000F236F" w:rsidRDefault="000F236F" w:rsidP="00DB5405">
            <w:pPr>
              <w:ind w:firstLineChars="100" w:firstLine="200"/>
              <w:jc w:val="right"/>
              <w:rPr>
                <w:rFonts w:ascii="Garamond" w:hAnsi="Garamond" w:cs="Calibri"/>
                <w:sz w:val="20"/>
                <w:szCs w:val="20"/>
              </w:rPr>
            </w:pPr>
            <w:r>
              <w:rPr>
                <w:rFonts w:ascii="Garamond" w:hAnsi="Garamond" w:cs="Calibri"/>
                <w:sz w:val="20"/>
                <w:szCs w:val="20"/>
              </w:rPr>
              <w:t>6169.7</w:t>
            </w:r>
          </w:p>
        </w:tc>
        <w:tc>
          <w:tcPr>
            <w:tcW w:w="1101" w:type="dxa"/>
            <w:tcBorders>
              <w:top w:val="nil"/>
              <w:left w:val="nil"/>
              <w:bottom w:val="nil"/>
              <w:right w:val="single" w:sz="8" w:space="0" w:color="auto"/>
            </w:tcBorders>
            <w:shd w:val="clear" w:color="auto" w:fill="auto"/>
            <w:noWrap/>
            <w:hideMark/>
          </w:tcPr>
          <w:p w:rsidR="000F236F" w:rsidRDefault="000F236F" w:rsidP="00DB5405">
            <w:pPr>
              <w:ind w:firstLineChars="100" w:firstLine="200"/>
              <w:jc w:val="right"/>
              <w:rPr>
                <w:rFonts w:ascii="Garamond" w:hAnsi="Garamond" w:cs="Calibri"/>
                <w:sz w:val="20"/>
                <w:szCs w:val="20"/>
              </w:rPr>
            </w:pPr>
            <w:r>
              <w:rPr>
                <w:rFonts w:ascii="Garamond" w:hAnsi="Garamond" w:cs="Calibri"/>
                <w:sz w:val="20"/>
                <w:szCs w:val="20"/>
              </w:rPr>
              <w:t>5672.0</w:t>
            </w:r>
          </w:p>
        </w:tc>
        <w:tc>
          <w:tcPr>
            <w:tcW w:w="1116" w:type="dxa"/>
            <w:tcBorders>
              <w:top w:val="nil"/>
              <w:left w:val="nil"/>
              <w:bottom w:val="nil"/>
              <w:right w:val="single" w:sz="8" w:space="0" w:color="auto"/>
            </w:tcBorders>
            <w:shd w:val="clear" w:color="auto" w:fill="auto"/>
            <w:noWrap/>
            <w:hideMark/>
          </w:tcPr>
          <w:p w:rsidR="000F236F" w:rsidRDefault="000F236F" w:rsidP="00DB5405">
            <w:pPr>
              <w:ind w:firstLineChars="100" w:firstLine="200"/>
              <w:jc w:val="right"/>
              <w:rPr>
                <w:rFonts w:ascii="Garamond" w:hAnsi="Garamond" w:cs="Calibri"/>
                <w:sz w:val="20"/>
                <w:szCs w:val="20"/>
              </w:rPr>
            </w:pPr>
            <w:r>
              <w:rPr>
                <w:rFonts w:ascii="Garamond" w:hAnsi="Garamond" w:cs="Calibri"/>
                <w:sz w:val="20"/>
                <w:szCs w:val="20"/>
              </w:rPr>
              <w:t>7408.2</w:t>
            </w:r>
          </w:p>
        </w:tc>
        <w:tc>
          <w:tcPr>
            <w:tcW w:w="1312" w:type="dxa"/>
            <w:tcBorders>
              <w:top w:val="nil"/>
              <w:left w:val="nil"/>
              <w:bottom w:val="nil"/>
              <w:right w:val="single" w:sz="8" w:space="0" w:color="auto"/>
            </w:tcBorders>
            <w:shd w:val="clear" w:color="auto" w:fill="auto"/>
            <w:noWrap/>
            <w:hideMark/>
          </w:tcPr>
          <w:p w:rsidR="000F236F" w:rsidRDefault="000F236F" w:rsidP="00DB5405">
            <w:pPr>
              <w:ind w:firstLineChars="100" w:firstLine="200"/>
              <w:jc w:val="right"/>
              <w:rPr>
                <w:rFonts w:ascii="Garamond" w:hAnsi="Garamond" w:cs="Calibri"/>
                <w:sz w:val="20"/>
                <w:szCs w:val="20"/>
              </w:rPr>
            </w:pPr>
            <w:r>
              <w:rPr>
                <w:rFonts w:ascii="Garamond" w:hAnsi="Garamond" w:cs="Calibri"/>
                <w:sz w:val="20"/>
                <w:szCs w:val="20"/>
              </w:rPr>
              <w:t>25.6</w:t>
            </w:r>
          </w:p>
        </w:tc>
        <w:tc>
          <w:tcPr>
            <w:tcW w:w="835" w:type="dxa"/>
            <w:tcBorders>
              <w:top w:val="nil"/>
              <w:left w:val="nil"/>
              <w:bottom w:val="nil"/>
              <w:right w:val="single" w:sz="8" w:space="0" w:color="auto"/>
            </w:tcBorders>
            <w:shd w:val="clear" w:color="auto" w:fill="auto"/>
            <w:noWrap/>
            <w:hideMark/>
          </w:tcPr>
          <w:p w:rsidR="000F236F" w:rsidRDefault="000F236F" w:rsidP="00DB5405">
            <w:pPr>
              <w:ind w:firstLineChars="100" w:firstLine="200"/>
              <w:jc w:val="right"/>
              <w:rPr>
                <w:rFonts w:ascii="Garamond" w:hAnsi="Garamond" w:cs="Calibri"/>
                <w:sz w:val="20"/>
                <w:szCs w:val="20"/>
              </w:rPr>
            </w:pPr>
            <w:r>
              <w:rPr>
                <w:rFonts w:ascii="Garamond" w:hAnsi="Garamond" w:cs="Calibri"/>
                <w:sz w:val="20"/>
                <w:szCs w:val="20"/>
              </w:rPr>
              <w:t>105.3</w:t>
            </w:r>
          </w:p>
        </w:tc>
      </w:tr>
      <w:tr w:rsidR="000F236F" w:rsidTr="00DB5405">
        <w:trPr>
          <w:trHeight w:val="189"/>
          <w:jc w:val="center"/>
        </w:trPr>
        <w:tc>
          <w:tcPr>
            <w:tcW w:w="1266" w:type="dxa"/>
            <w:tcBorders>
              <w:top w:val="nil"/>
              <w:left w:val="single" w:sz="8" w:space="0" w:color="auto"/>
              <w:bottom w:val="nil"/>
              <w:right w:val="single" w:sz="8" w:space="0" w:color="auto"/>
            </w:tcBorders>
            <w:shd w:val="clear" w:color="000000" w:fill="D9E1F2"/>
            <w:noWrap/>
            <w:hideMark/>
          </w:tcPr>
          <w:p w:rsidR="000F236F" w:rsidRDefault="000F236F" w:rsidP="00DB5405">
            <w:pPr>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Hong Kong</w:t>
            </w:r>
          </w:p>
        </w:tc>
        <w:tc>
          <w:tcPr>
            <w:tcW w:w="1801" w:type="dxa"/>
            <w:tcBorders>
              <w:top w:val="nil"/>
              <w:left w:val="nil"/>
              <w:bottom w:val="nil"/>
              <w:right w:val="single" w:sz="8" w:space="0" w:color="auto"/>
            </w:tcBorders>
            <w:shd w:val="clear" w:color="000000" w:fill="D9E1F2"/>
            <w:noWrap/>
            <w:hideMark/>
          </w:tcPr>
          <w:p w:rsidR="000F236F" w:rsidRDefault="000F236F" w:rsidP="00DB5405">
            <w:pPr>
              <w:rPr>
                <w:rFonts w:ascii="Garamond" w:eastAsia="Times New Roman" w:hAnsi="Garamond" w:cs="Calibri"/>
                <w:color w:val="000000"/>
                <w:sz w:val="18"/>
                <w:szCs w:val="18"/>
                <w:lang w:val="en-IN" w:eastAsia="en-IN"/>
              </w:rPr>
            </w:pPr>
            <w:r>
              <w:rPr>
                <w:rFonts w:ascii="Garamond" w:eastAsia="Times New Roman" w:hAnsi="Garamond" w:cs="Calibri"/>
                <w:color w:val="000000"/>
                <w:sz w:val="18"/>
                <w:szCs w:val="18"/>
                <w:lang w:val="en-IN" w:eastAsia="en-IN"/>
              </w:rPr>
              <w:t xml:space="preserve">HANG SENG </w:t>
            </w:r>
          </w:p>
        </w:tc>
        <w:tc>
          <w:tcPr>
            <w:tcW w:w="1566" w:type="dxa"/>
            <w:tcBorders>
              <w:top w:val="nil"/>
              <w:left w:val="nil"/>
              <w:bottom w:val="nil"/>
              <w:right w:val="single" w:sz="8" w:space="0" w:color="auto"/>
            </w:tcBorders>
            <w:shd w:val="clear" w:color="auto" w:fill="auto"/>
            <w:noWrap/>
            <w:hideMark/>
          </w:tcPr>
          <w:p w:rsidR="000F236F" w:rsidRDefault="000F236F" w:rsidP="00DB5405">
            <w:pPr>
              <w:ind w:firstLineChars="100" w:firstLine="200"/>
              <w:jc w:val="right"/>
              <w:rPr>
                <w:rFonts w:ascii="Garamond" w:hAnsi="Garamond" w:cs="Calibri"/>
                <w:sz w:val="20"/>
                <w:szCs w:val="20"/>
              </w:rPr>
            </w:pPr>
            <w:r>
              <w:rPr>
                <w:rFonts w:ascii="Garamond" w:hAnsi="Garamond" w:cs="Calibri"/>
                <w:sz w:val="20"/>
                <w:szCs w:val="20"/>
              </w:rPr>
              <w:t>23459.1</w:t>
            </w:r>
          </w:p>
        </w:tc>
        <w:tc>
          <w:tcPr>
            <w:tcW w:w="1096" w:type="dxa"/>
            <w:tcBorders>
              <w:top w:val="nil"/>
              <w:left w:val="nil"/>
              <w:bottom w:val="nil"/>
              <w:right w:val="single" w:sz="8" w:space="0" w:color="auto"/>
            </w:tcBorders>
            <w:shd w:val="clear" w:color="auto" w:fill="auto"/>
            <w:noWrap/>
            <w:hideMark/>
          </w:tcPr>
          <w:p w:rsidR="000F236F" w:rsidRDefault="000F236F" w:rsidP="00DB5405">
            <w:pPr>
              <w:ind w:firstLineChars="100" w:firstLine="200"/>
              <w:jc w:val="right"/>
              <w:rPr>
                <w:rFonts w:ascii="Garamond" w:hAnsi="Garamond" w:cs="Calibri"/>
                <w:sz w:val="20"/>
                <w:szCs w:val="20"/>
              </w:rPr>
            </w:pPr>
            <w:r>
              <w:rPr>
                <w:rFonts w:ascii="Garamond" w:hAnsi="Garamond" w:cs="Calibri"/>
                <w:sz w:val="20"/>
                <w:szCs w:val="20"/>
              </w:rPr>
              <w:t>25177.1</w:t>
            </w:r>
          </w:p>
        </w:tc>
        <w:tc>
          <w:tcPr>
            <w:tcW w:w="1023" w:type="dxa"/>
            <w:tcBorders>
              <w:top w:val="nil"/>
              <w:left w:val="nil"/>
              <w:bottom w:val="nil"/>
              <w:right w:val="single" w:sz="8" w:space="0" w:color="auto"/>
            </w:tcBorders>
            <w:shd w:val="clear" w:color="auto" w:fill="auto"/>
            <w:noWrap/>
            <w:hideMark/>
          </w:tcPr>
          <w:p w:rsidR="000F236F" w:rsidRDefault="000F236F" w:rsidP="00DB5405">
            <w:pPr>
              <w:ind w:firstLineChars="100" w:firstLine="200"/>
              <w:jc w:val="right"/>
              <w:rPr>
                <w:rFonts w:ascii="Garamond" w:hAnsi="Garamond" w:cs="Calibri"/>
                <w:sz w:val="20"/>
                <w:szCs w:val="20"/>
              </w:rPr>
            </w:pPr>
            <w:r>
              <w:rPr>
                <w:rFonts w:ascii="Garamond" w:hAnsi="Garamond" w:cs="Calibri"/>
                <w:sz w:val="20"/>
                <w:szCs w:val="20"/>
              </w:rPr>
              <w:t>24427.2</w:t>
            </w:r>
          </w:p>
        </w:tc>
        <w:tc>
          <w:tcPr>
            <w:tcW w:w="1101" w:type="dxa"/>
            <w:tcBorders>
              <w:top w:val="nil"/>
              <w:left w:val="nil"/>
              <w:bottom w:val="nil"/>
              <w:right w:val="single" w:sz="8" w:space="0" w:color="auto"/>
            </w:tcBorders>
            <w:shd w:val="clear" w:color="auto" w:fill="auto"/>
            <w:noWrap/>
            <w:hideMark/>
          </w:tcPr>
          <w:p w:rsidR="000F236F" w:rsidRDefault="000F236F" w:rsidP="00DB5405">
            <w:pPr>
              <w:ind w:firstLineChars="100" w:firstLine="200"/>
              <w:jc w:val="right"/>
              <w:rPr>
                <w:rFonts w:ascii="Garamond" w:hAnsi="Garamond" w:cs="Calibri"/>
                <w:sz w:val="20"/>
                <w:szCs w:val="20"/>
              </w:rPr>
            </w:pPr>
            <w:r>
              <w:rPr>
                <w:rFonts w:ascii="Garamond" w:hAnsi="Garamond" w:cs="Calibri"/>
                <w:sz w:val="20"/>
                <w:szCs w:val="20"/>
              </w:rPr>
              <w:t>23603.5</w:t>
            </w:r>
          </w:p>
        </w:tc>
        <w:tc>
          <w:tcPr>
            <w:tcW w:w="1116" w:type="dxa"/>
            <w:tcBorders>
              <w:top w:val="nil"/>
              <w:left w:val="nil"/>
              <w:bottom w:val="nil"/>
              <w:right w:val="single" w:sz="8" w:space="0" w:color="auto"/>
            </w:tcBorders>
            <w:shd w:val="clear" w:color="auto" w:fill="auto"/>
            <w:noWrap/>
            <w:hideMark/>
          </w:tcPr>
          <w:p w:rsidR="000F236F" w:rsidRDefault="000F236F" w:rsidP="00DB5405">
            <w:pPr>
              <w:ind w:firstLineChars="100" w:firstLine="200"/>
              <w:jc w:val="right"/>
              <w:rPr>
                <w:rFonts w:ascii="Garamond" w:hAnsi="Garamond" w:cs="Calibri"/>
                <w:sz w:val="20"/>
                <w:szCs w:val="20"/>
              </w:rPr>
            </w:pPr>
            <w:r>
              <w:rPr>
                <w:rFonts w:ascii="Garamond" w:hAnsi="Garamond" w:cs="Calibri"/>
                <w:sz w:val="20"/>
                <w:szCs w:val="20"/>
              </w:rPr>
              <w:t>26092.3</w:t>
            </w:r>
          </w:p>
        </w:tc>
        <w:tc>
          <w:tcPr>
            <w:tcW w:w="1312" w:type="dxa"/>
            <w:tcBorders>
              <w:top w:val="nil"/>
              <w:left w:val="nil"/>
              <w:bottom w:val="nil"/>
              <w:right w:val="single" w:sz="8" w:space="0" w:color="auto"/>
            </w:tcBorders>
            <w:shd w:val="clear" w:color="auto" w:fill="auto"/>
            <w:noWrap/>
            <w:hideMark/>
          </w:tcPr>
          <w:p w:rsidR="000F236F" w:rsidRDefault="000F236F" w:rsidP="00DB5405">
            <w:pPr>
              <w:ind w:firstLineChars="100" w:firstLine="200"/>
              <w:jc w:val="right"/>
              <w:rPr>
                <w:rFonts w:ascii="Garamond" w:hAnsi="Garamond" w:cs="Calibri"/>
                <w:sz w:val="20"/>
                <w:szCs w:val="20"/>
              </w:rPr>
            </w:pPr>
            <w:r>
              <w:rPr>
                <w:rFonts w:ascii="Garamond" w:hAnsi="Garamond" w:cs="Calibri"/>
                <w:sz w:val="20"/>
                <w:szCs w:val="20"/>
              </w:rPr>
              <w:t>15.2</w:t>
            </w:r>
          </w:p>
        </w:tc>
        <w:tc>
          <w:tcPr>
            <w:tcW w:w="835" w:type="dxa"/>
            <w:tcBorders>
              <w:top w:val="nil"/>
              <w:left w:val="nil"/>
              <w:bottom w:val="nil"/>
              <w:right w:val="single" w:sz="8" w:space="0" w:color="auto"/>
            </w:tcBorders>
            <w:shd w:val="clear" w:color="auto" w:fill="auto"/>
            <w:noWrap/>
            <w:hideMark/>
          </w:tcPr>
          <w:p w:rsidR="000F236F" w:rsidRDefault="000F236F" w:rsidP="00DB5405">
            <w:pPr>
              <w:ind w:firstLineChars="100" w:firstLine="200"/>
              <w:jc w:val="right"/>
              <w:rPr>
                <w:rFonts w:ascii="Garamond" w:hAnsi="Garamond" w:cs="Calibri"/>
                <w:sz w:val="20"/>
                <w:szCs w:val="20"/>
              </w:rPr>
            </w:pPr>
            <w:r>
              <w:rPr>
                <w:rFonts w:ascii="Garamond" w:hAnsi="Garamond" w:cs="Calibri"/>
                <w:sz w:val="20"/>
                <w:szCs w:val="20"/>
              </w:rPr>
              <w:t>12.5</w:t>
            </w:r>
          </w:p>
        </w:tc>
      </w:tr>
      <w:tr w:rsidR="000F236F" w:rsidTr="00DB5405">
        <w:trPr>
          <w:trHeight w:val="189"/>
          <w:jc w:val="center"/>
        </w:trPr>
        <w:tc>
          <w:tcPr>
            <w:tcW w:w="1266" w:type="dxa"/>
            <w:tcBorders>
              <w:top w:val="nil"/>
              <w:left w:val="single" w:sz="8" w:space="0" w:color="auto"/>
              <w:bottom w:val="nil"/>
              <w:right w:val="single" w:sz="8" w:space="0" w:color="auto"/>
            </w:tcBorders>
            <w:shd w:val="clear" w:color="000000" w:fill="D9E1F2"/>
            <w:noWrap/>
            <w:hideMark/>
          </w:tcPr>
          <w:p w:rsidR="000F236F" w:rsidRDefault="000F236F" w:rsidP="00DB5405">
            <w:pPr>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South Korea</w:t>
            </w:r>
          </w:p>
        </w:tc>
        <w:tc>
          <w:tcPr>
            <w:tcW w:w="1801" w:type="dxa"/>
            <w:tcBorders>
              <w:top w:val="nil"/>
              <w:left w:val="nil"/>
              <w:bottom w:val="nil"/>
              <w:right w:val="single" w:sz="8" w:space="0" w:color="auto"/>
            </w:tcBorders>
            <w:shd w:val="clear" w:color="000000" w:fill="D9E1F2"/>
            <w:noWrap/>
            <w:hideMark/>
          </w:tcPr>
          <w:p w:rsidR="000F236F" w:rsidRDefault="000F236F" w:rsidP="00DB5405">
            <w:pPr>
              <w:rPr>
                <w:rFonts w:ascii="Garamond" w:eastAsia="Times New Roman" w:hAnsi="Garamond" w:cs="Calibri"/>
                <w:color w:val="000000"/>
                <w:sz w:val="18"/>
                <w:szCs w:val="18"/>
                <w:lang w:val="en-IN" w:eastAsia="en-IN"/>
              </w:rPr>
            </w:pPr>
            <w:r>
              <w:rPr>
                <w:rFonts w:ascii="Garamond" w:eastAsia="Times New Roman" w:hAnsi="Garamond" w:cs="Calibri"/>
                <w:color w:val="000000"/>
                <w:sz w:val="18"/>
                <w:szCs w:val="18"/>
                <w:lang w:val="en-IN" w:eastAsia="en-IN"/>
              </w:rPr>
              <w:t xml:space="preserve">KOSPI </w:t>
            </w:r>
          </w:p>
        </w:tc>
        <w:tc>
          <w:tcPr>
            <w:tcW w:w="1566" w:type="dxa"/>
            <w:tcBorders>
              <w:top w:val="nil"/>
              <w:left w:val="nil"/>
              <w:bottom w:val="nil"/>
              <w:right w:val="single" w:sz="8" w:space="0" w:color="auto"/>
            </w:tcBorders>
            <w:shd w:val="clear" w:color="auto" w:fill="auto"/>
            <w:noWrap/>
            <w:hideMark/>
          </w:tcPr>
          <w:p w:rsidR="000F236F" w:rsidRDefault="000F236F" w:rsidP="00DB5405">
            <w:pPr>
              <w:ind w:firstLineChars="100" w:firstLine="200"/>
              <w:jc w:val="right"/>
              <w:rPr>
                <w:rFonts w:ascii="Garamond" w:hAnsi="Garamond" w:cs="Calibri"/>
                <w:sz w:val="20"/>
                <w:szCs w:val="20"/>
              </w:rPr>
            </w:pPr>
            <w:r>
              <w:rPr>
                <w:rFonts w:ascii="Garamond" w:hAnsi="Garamond" w:cs="Calibri"/>
                <w:sz w:val="20"/>
                <w:szCs w:val="20"/>
              </w:rPr>
              <w:t>2327.9</w:t>
            </w:r>
          </w:p>
        </w:tc>
        <w:tc>
          <w:tcPr>
            <w:tcW w:w="1096" w:type="dxa"/>
            <w:tcBorders>
              <w:top w:val="nil"/>
              <w:left w:val="nil"/>
              <w:bottom w:val="nil"/>
              <w:right w:val="single" w:sz="8" w:space="0" w:color="auto"/>
            </w:tcBorders>
            <w:shd w:val="clear" w:color="auto" w:fill="auto"/>
            <w:noWrap/>
            <w:hideMark/>
          </w:tcPr>
          <w:p w:rsidR="000F236F" w:rsidRDefault="000F236F" w:rsidP="00DB5405">
            <w:pPr>
              <w:ind w:firstLineChars="100" w:firstLine="200"/>
              <w:jc w:val="right"/>
              <w:rPr>
                <w:rFonts w:ascii="Garamond" w:hAnsi="Garamond" w:cs="Calibri"/>
                <w:sz w:val="20"/>
                <w:szCs w:val="20"/>
              </w:rPr>
            </w:pPr>
            <w:r>
              <w:rPr>
                <w:rFonts w:ascii="Garamond" w:hAnsi="Garamond" w:cs="Calibri"/>
                <w:sz w:val="20"/>
                <w:szCs w:val="20"/>
              </w:rPr>
              <w:t>2326.2</w:t>
            </w:r>
          </w:p>
        </w:tc>
        <w:tc>
          <w:tcPr>
            <w:tcW w:w="1023" w:type="dxa"/>
            <w:tcBorders>
              <w:top w:val="nil"/>
              <w:left w:val="nil"/>
              <w:bottom w:val="nil"/>
              <w:right w:val="single" w:sz="8" w:space="0" w:color="auto"/>
            </w:tcBorders>
            <w:shd w:val="clear" w:color="auto" w:fill="auto"/>
            <w:noWrap/>
            <w:hideMark/>
          </w:tcPr>
          <w:p w:rsidR="000F236F" w:rsidRDefault="000F236F" w:rsidP="00DB5405">
            <w:pPr>
              <w:ind w:firstLineChars="100" w:firstLine="200"/>
              <w:jc w:val="right"/>
              <w:rPr>
                <w:rFonts w:ascii="Garamond" w:hAnsi="Garamond" w:cs="Calibri"/>
                <w:sz w:val="20"/>
                <w:szCs w:val="20"/>
              </w:rPr>
            </w:pPr>
            <w:r>
              <w:rPr>
                <w:rFonts w:ascii="Garamond" w:hAnsi="Garamond" w:cs="Calibri"/>
                <w:sz w:val="20"/>
                <w:szCs w:val="20"/>
              </w:rPr>
              <w:t>2108.3</w:t>
            </w:r>
          </w:p>
        </w:tc>
        <w:tc>
          <w:tcPr>
            <w:tcW w:w="1101" w:type="dxa"/>
            <w:tcBorders>
              <w:top w:val="nil"/>
              <w:left w:val="nil"/>
              <w:bottom w:val="nil"/>
              <w:right w:val="single" w:sz="8" w:space="0" w:color="auto"/>
            </w:tcBorders>
            <w:shd w:val="clear" w:color="auto" w:fill="auto"/>
            <w:noWrap/>
            <w:hideMark/>
          </w:tcPr>
          <w:p w:rsidR="000F236F" w:rsidRDefault="000F236F" w:rsidP="00DB5405">
            <w:pPr>
              <w:ind w:firstLineChars="100" w:firstLine="200"/>
              <w:jc w:val="right"/>
              <w:rPr>
                <w:rFonts w:ascii="Garamond" w:hAnsi="Garamond" w:cs="Calibri"/>
                <w:sz w:val="20"/>
                <w:szCs w:val="20"/>
              </w:rPr>
            </w:pPr>
            <w:r>
              <w:rPr>
                <w:rFonts w:ascii="Garamond" w:hAnsi="Garamond" w:cs="Calibri"/>
                <w:sz w:val="20"/>
                <w:szCs w:val="20"/>
              </w:rPr>
              <w:t>1754.6</w:t>
            </w:r>
          </w:p>
        </w:tc>
        <w:tc>
          <w:tcPr>
            <w:tcW w:w="1116" w:type="dxa"/>
            <w:tcBorders>
              <w:top w:val="nil"/>
              <w:left w:val="nil"/>
              <w:bottom w:val="nil"/>
              <w:right w:val="single" w:sz="8" w:space="0" w:color="auto"/>
            </w:tcBorders>
            <w:shd w:val="clear" w:color="auto" w:fill="auto"/>
            <w:noWrap/>
            <w:hideMark/>
          </w:tcPr>
          <w:p w:rsidR="000F236F" w:rsidRDefault="000F236F" w:rsidP="00DB5405">
            <w:pPr>
              <w:ind w:firstLineChars="100" w:firstLine="200"/>
              <w:jc w:val="right"/>
              <w:rPr>
                <w:rFonts w:ascii="Garamond" w:hAnsi="Garamond" w:cs="Calibri"/>
                <w:sz w:val="20"/>
                <w:szCs w:val="20"/>
              </w:rPr>
            </w:pPr>
            <w:r>
              <w:rPr>
                <w:rFonts w:ascii="Garamond" w:hAnsi="Garamond" w:cs="Calibri"/>
                <w:sz w:val="20"/>
                <w:szCs w:val="20"/>
              </w:rPr>
              <w:t>2063.1</w:t>
            </w:r>
          </w:p>
        </w:tc>
        <w:tc>
          <w:tcPr>
            <w:tcW w:w="1312" w:type="dxa"/>
            <w:tcBorders>
              <w:top w:val="nil"/>
              <w:left w:val="nil"/>
              <w:bottom w:val="nil"/>
              <w:right w:val="single" w:sz="8" w:space="0" w:color="auto"/>
            </w:tcBorders>
            <w:shd w:val="clear" w:color="auto" w:fill="auto"/>
            <w:noWrap/>
            <w:hideMark/>
          </w:tcPr>
          <w:p w:rsidR="000F236F" w:rsidRDefault="000F236F" w:rsidP="00DB5405">
            <w:pPr>
              <w:ind w:firstLineChars="100" w:firstLine="200"/>
              <w:jc w:val="right"/>
              <w:rPr>
                <w:rFonts w:ascii="Garamond" w:hAnsi="Garamond" w:cs="Calibri"/>
                <w:sz w:val="20"/>
                <w:szCs w:val="20"/>
              </w:rPr>
            </w:pPr>
            <w:r>
              <w:rPr>
                <w:rFonts w:ascii="Garamond" w:hAnsi="Garamond" w:cs="Calibri"/>
                <w:sz w:val="20"/>
                <w:szCs w:val="20"/>
              </w:rPr>
              <w:t>39.4</w:t>
            </w:r>
          </w:p>
        </w:tc>
        <w:tc>
          <w:tcPr>
            <w:tcW w:w="835" w:type="dxa"/>
            <w:tcBorders>
              <w:top w:val="nil"/>
              <w:left w:val="nil"/>
              <w:bottom w:val="nil"/>
              <w:right w:val="single" w:sz="8" w:space="0" w:color="auto"/>
            </w:tcBorders>
            <w:shd w:val="clear" w:color="auto" w:fill="auto"/>
            <w:noWrap/>
            <w:hideMark/>
          </w:tcPr>
          <w:p w:rsidR="000F236F" w:rsidRDefault="000F236F" w:rsidP="00DB5405">
            <w:pPr>
              <w:ind w:firstLineChars="100" w:firstLine="200"/>
              <w:jc w:val="right"/>
              <w:rPr>
                <w:rFonts w:ascii="Garamond" w:hAnsi="Garamond" w:cs="Calibri"/>
                <w:sz w:val="20"/>
                <w:szCs w:val="20"/>
              </w:rPr>
            </w:pPr>
            <w:r>
              <w:rPr>
                <w:rFonts w:ascii="Garamond" w:hAnsi="Garamond" w:cs="Calibri"/>
                <w:sz w:val="20"/>
                <w:szCs w:val="20"/>
              </w:rPr>
              <w:t>36.6</w:t>
            </w:r>
          </w:p>
        </w:tc>
      </w:tr>
      <w:tr w:rsidR="000F236F" w:rsidTr="00DB5405">
        <w:trPr>
          <w:trHeight w:val="189"/>
          <w:jc w:val="center"/>
        </w:trPr>
        <w:tc>
          <w:tcPr>
            <w:tcW w:w="1266" w:type="dxa"/>
            <w:tcBorders>
              <w:top w:val="nil"/>
              <w:left w:val="single" w:sz="8" w:space="0" w:color="auto"/>
              <w:bottom w:val="nil"/>
              <w:right w:val="single" w:sz="8" w:space="0" w:color="auto"/>
            </w:tcBorders>
            <w:shd w:val="clear" w:color="000000" w:fill="D9E1F2"/>
            <w:noWrap/>
            <w:hideMark/>
          </w:tcPr>
          <w:p w:rsidR="000F236F" w:rsidRDefault="000F236F" w:rsidP="00DB5405">
            <w:pPr>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Japan</w:t>
            </w:r>
          </w:p>
        </w:tc>
        <w:tc>
          <w:tcPr>
            <w:tcW w:w="1801" w:type="dxa"/>
            <w:tcBorders>
              <w:top w:val="nil"/>
              <w:left w:val="nil"/>
              <w:bottom w:val="nil"/>
              <w:right w:val="single" w:sz="8" w:space="0" w:color="auto"/>
            </w:tcBorders>
            <w:shd w:val="clear" w:color="000000" w:fill="D9E1F2"/>
            <w:noWrap/>
            <w:hideMark/>
          </w:tcPr>
          <w:p w:rsidR="000F236F" w:rsidRDefault="000F236F" w:rsidP="00DB5405">
            <w:pPr>
              <w:rPr>
                <w:rFonts w:ascii="Garamond" w:eastAsia="Times New Roman" w:hAnsi="Garamond" w:cs="Calibri"/>
                <w:color w:val="000000"/>
                <w:sz w:val="18"/>
                <w:szCs w:val="18"/>
                <w:lang w:val="en-IN" w:eastAsia="en-IN"/>
              </w:rPr>
            </w:pPr>
            <w:r>
              <w:rPr>
                <w:rFonts w:ascii="Garamond" w:eastAsia="Times New Roman" w:hAnsi="Garamond" w:cs="Calibri"/>
                <w:color w:val="000000"/>
                <w:sz w:val="18"/>
                <w:szCs w:val="18"/>
                <w:lang w:val="en-IN" w:eastAsia="en-IN"/>
              </w:rPr>
              <w:t>NIKKEI 225</w:t>
            </w:r>
          </w:p>
        </w:tc>
        <w:tc>
          <w:tcPr>
            <w:tcW w:w="1566" w:type="dxa"/>
            <w:tcBorders>
              <w:top w:val="nil"/>
              <w:left w:val="nil"/>
              <w:bottom w:val="nil"/>
              <w:right w:val="single" w:sz="8" w:space="0" w:color="auto"/>
            </w:tcBorders>
            <w:shd w:val="clear" w:color="auto" w:fill="auto"/>
            <w:noWrap/>
            <w:hideMark/>
          </w:tcPr>
          <w:p w:rsidR="000F236F" w:rsidRDefault="000F236F" w:rsidP="00DB5405">
            <w:pPr>
              <w:ind w:firstLineChars="100" w:firstLine="200"/>
              <w:jc w:val="right"/>
              <w:rPr>
                <w:rFonts w:ascii="Garamond" w:hAnsi="Garamond" w:cs="Calibri"/>
                <w:sz w:val="20"/>
                <w:szCs w:val="20"/>
              </w:rPr>
            </w:pPr>
            <w:r>
              <w:rPr>
                <w:rFonts w:ascii="Garamond" w:hAnsi="Garamond" w:cs="Calibri"/>
                <w:sz w:val="20"/>
                <w:szCs w:val="20"/>
              </w:rPr>
              <w:t>23185.1</w:t>
            </w:r>
          </w:p>
        </w:tc>
        <w:tc>
          <w:tcPr>
            <w:tcW w:w="1096" w:type="dxa"/>
            <w:tcBorders>
              <w:top w:val="nil"/>
              <w:left w:val="nil"/>
              <w:bottom w:val="nil"/>
              <w:right w:val="single" w:sz="8" w:space="0" w:color="auto"/>
            </w:tcBorders>
            <w:shd w:val="clear" w:color="auto" w:fill="auto"/>
            <w:noWrap/>
            <w:hideMark/>
          </w:tcPr>
          <w:p w:rsidR="000F236F" w:rsidRDefault="000F236F" w:rsidP="00DB5405">
            <w:pPr>
              <w:ind w:firstLineChars="100" w:firstLine="200"/>
              <w:jc w:val="right"/>
              <w:rPr>
                <w:rFonts w:ascii="Garamond" w:hAnsi="Garamond" w:cs="Calibri"/>
                <w:sz w:val="20"/>
                <w:szCs w:val="20"/>
              </w:rPr>
            </w:pPr>
            <w:r>
              <w:rPr>
                <w:rFonts w:ascii="Garamond" w:hAnsi="Garamond" w:cs="Calibri"/>
                <w:sz w:val="20"/>
                <w:szCs w:val="20"/>
              </w:rPr>
              <w:t>23139.8</w:t>
            </w:r>
          </w:p>
        </w:tc>
        <w:tc>
          <w:tcPr>
            <w:tcW w:w="1023" w:type="dxa"/>
            <w:tcBorders>
              <w:top w:val="nil"/>
              <w:left w:val="nil"/>
              <w:bottom w:val="nil"/>
              <w:right w:val="single" w:sz="8" w:space="0" w:color="auto"/>
            </w:tcBorders>
            <w:shd w:val="clear" w:color="auto" w:fill="auto"/>
            <w:noWrap/>
            <w:hideMark/>
          </w:tcPr>
          <w:p w:rsidR="000F236F" w:rsidRDefault="000F236F" w:rsidP="00DB5405">
            <w:pPr>
              <w:ind w:firstLineChars="100" w:firstLine="200"/>
              <w:jc w:val="right"/>
              <w:rPr>
                <w:rFonts w:ascii="Garamond" w:hAnsi="Garamond" w:cs="Calibri"/>
                <w:sz w:val="20"/>
                <w:szCs w:val="20"/>
              </w:rPr>
            </w:pPr>
            <w:r>
              <w:rPr>
                <w:rFonts w:ascii="Garamond" w:hAnsi="Garamond" w:cs="Calibri"/>
                <w:sz w:val="20"/>
                <w:szCs w:val="20"/>
              </w:rPr>
              <w:t>22288.1</w:t>
            </w:r>
          </w:p>
        </w:tc>
        <w:tc>
          <w:tcPr>
            <w:tcW w:w="1101" w:type="dxa"/>
            <w:tcBorders>
              <w:top w:val="nil"/>
              <w:left w:val="nil"/>
              <w:bottom w:val="nil"/>
              <w:right w:val="single" w:sz="8" w:space="0" w:color="auto"/>
            </w:tcBorders>
            <w:shd w:val="clear" w:color="auto" w:fill="auto"/>
            <w:noWrap/>
            <w:hideMark/>
          </w:tcPr>
          <w:p w:rsidR="000F236F" w:rsidRDefault="000F236F" w:rsidP="00DB5405">
            <w:pPr>
              <w:ind w:firstLineChars="100" w:firstLine="200"/>
              <w:jc w:val="right"/>
              <w:rPr>
                <w:rFonts w:ascii="Garamond" w:hAnsi="Garamond" w:cs="Calibri"/>
                <w:sz w:val="20"/>
                <w:szCs w:val="20"/>
              </w:rPr>
            </w:pPr>
            <w:r>
              <w:rPr>
                <w:rFonts w:ascii="Garamond" w:hAnsi="Garamond" w:cs="Calibri"/>
                <w:sz w:val="20"/>
                <w:szCs w:val="20"/>
              </w:rPr>
              <w:t>18917.0</w:t>
            </w:r>
          </w:p>
        </w:tc>
        <w:tc>
          <w:tcPr>
            <w:tcW w:w="1116" w:type="dxa"/>
            <w:tcBorders>
              <w:top w:val="nil"/>
              <w:left w:val="nil"/>
              <w:bottom w:val="nil"/>
              <w:right w:val="single" w:sz="8" w:space="0" w:color="auto"/>
            </w:tcBorders>
            <w:shd w:val="clear" w:color="auto" w:fill="auto"/>
            <w:noWrap/>
            <w:hideMark/>
          </w:tcPr>
          <w:p w:rsidR="000F236F" w:rsidRDefault="000F236F" w:rsidP="00DB5405">
            <w:pPr>
              <w:ind w:firstLineChars="100" w:firstLine="200"/>
              <w:jc w:val="right"/>
              <w:rPr>
                <w:rFonts w:ascii="Garamond" w:hAnsi="Garamond" w:cs="Calibri"/>
                <w:sz w:val="20"/>
                <w:szCs w:val="20"/>
              </w:rPr>
            </w:pPr>
            <w:r>
              <w:rPr>
                <w:rFonts w:ascii="Garamond" w:hAnsi="Garamond" w:cs="Calibri"/>
                <w:sz w:val="20"/>
                <w:szCs w:val="20"/>
              </w:rPr>
              <w:t>21755.8</w:t>
            </w:r>
          </w:p>
        </w:tc>
        <w:tc>
          <w:tcPr>
            <w:tcW w:w="1312" w:type="dxa"/>
            <w:tcBorders>
              <w:top w:val="nil"/>
              <w:left w:val="nil"/>
              <w:bottom w:val="nil"/>
              <w:right w:val="single" w:sz="8" w:space="0" w:color="auto"/>
            </w:tcBorders>
            <w:shd w:val="clear" w:color="auto" w:fill="auto"/>
            <w:noWrap/>
            <w:hideMark/>
          </w:tcPr>
          <w:p w:rsidR="000F236F" w:rsidRDefault="000F236F" w:rsidP="00DB5405">
            <w:pPr>
              <w:ind w:firstLineChars="100" w:firstLine="200"/>
              <w:jc w:val="right"/>
              <w:rPr>
                <w:rFonts w:ascii="Garamond" w:hAnsi="Garamond" w:cs="Calibri"/>
                <w:sz w:val="20"/>
                <w:szCs w:val="20"/>
              </w:rPr>
            </w:pPr>
            <w:r>
              <w:rPr>
                <w:rFonts w:ascii="Garamond" w:hAnsi="Garamond" w:cs="Calibri"/>
                <w:sz w:val="20"/>
                <w:szCs w:val="20"/>
              </w:rPr>
              <w:t>22.7</w:t>
            </w:r>
          </w:p>
        </w:tc>
        <w:tc>
          <w:tcPr>
            <w:tcW w:w="835" w:type="dxa"/>
            <w:tcBorders>
              <w:top w:val="nil"/>
              <w:left w:val="nil"/>
              <w:bottom w:val="nil"/>
              <w:right w:val="single" w:sz="8" w:space="0" w:color="auto"/>
            </w:tcBorders>
            <w:shd w:val="clear" w:color="auto" w:fill="auto"/>
            <w:noWrap/>
            <w:hideMark/>
          </w:tcPr>
          <w:p w:rsidR="000F236F" w:rsidRDefault="000F236F" w:rsidP="00DB5405">
            <w:pPr>
              <w:ind w:firstLineChars="100" w:firstLine="200"/>
              <w:jc w:val="right"/>
              <w:rPr>
                <w:rFonts w:ascii="Garamond" w:hAnsi="Garamond" w:cs="Calibri"/>
                <w:sz w:val="20"/>
                <w:szCs w:val="20"/>
              </w:rPr>
            </w:pPr>
            <w:r>
              <w:rPr>
                <w:rFonts w:ascii="Garamond" w:hAnsi="Garamond" w:cs="Calibri"/>
                <w:sz w:val="20"/>
                <w:szCs w:val="20"/>
              </w:rPr>
              <w:t>34.1</w:t>
            </w:r>
          </w:p>
        </w:tc>
      </w:tr>
      <w:tr w:rsidR="000F236F" w:rsidTr="00DB5405">
        <w:trPr>
          <w:trHeight w:val="189"/>
          <w:jc w:val="center"/>
        </w:trPr>
        <w:tc>
          <w:tcPr>
            <w:tcW w:w="1266" w:type="dxa"/>
            <w:tcBorders>
              <w:top w:val="nil"/>
              <w:left w:val="single" w:sz="8" w:space="0" w:color="auto"/>
              <w:bottom w:val="nil"/>
              <w:right w:val="single" w:sz="8" w:space="0" w:color="auto"/>
            </w:tcBorders>
            <w:shd w:val="clear" w:color="000000" w:fill="D9E1F2"/>
            <w:noWrap/>
            <w:hideMark/>
          </w:tcPr>
          <w:p w:rsidR="000F236F" w:rsidRDefault="000F236F" w:rsidP="00DB5405">
            <w:pPr>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Singapore</w:t>
            </w:r>
          </w:p>
        </w:tc>
        <w:tc>
          <w:tcPr>
            <w:tcW w:w="1801" w:type="dxa"/>
            <w:tcBorders>
              <w:top w:val="nil"/>
              <w:left w:val="nil"/>
              <w:bottom w:val="nil"/>
              <w:right w:val="single" w:sz="8" w:space="0" w:color="auto"/>
            </w:tcBorders>
            <w:shd w:val="clear" w:color="000000" w:fill="D9E1F2"/>
            <w:noWrap/>
            <w:hideMark/>
          </w:tcPr>
          <w:p w:rsidR="000F236F" w:rsidRDefault="000F236F" w:rsidP="00DB5405">
            <w:pPr>
              <w:rPr>
                <w:rFonts w:ascii="Garamond" w:eastAsia="Times New Roman" w:hAnsi="Garamond" w:cs="Calibri"/>
                <w:color w:val="000000"/>
                <w:sz w:val="18"/>
                <w:szCs w:val="18"/>
                <w:lang w:val="en-IN" w:eastAsia="en-IN"/>
              </w:rPr>
            </w:pPr>
            <w:r>
              <w:rPr>
                <w:rFonts w:ascii="Garamond" w:eastAsia="Times New Roman" w:hAnsi="Garamond" w:cs="Calibri"/>
                <w:color w:val="000000"/>
                <w:sz w:val="18"/>
                <w:szCs w:val="18"/>
                <w:lang w:val="en-IN" w:eastAsia="en-IN"/>
              </w:rPr>
              <w:t>STRAITS TIMES  STI</w:t>
            </w:r>
          </w:p>
        </w:tc>
        <w:tc>
          <w:tcPr>
            <w:tcW w:w="1566" w:type="dxa"/>
            <w:tcBorders>
              <w:top w:val="nil"/>
              <w:left w:val="nil"/>
              <w:bottom w:val="nil"/>
              <w:right w:val="single" w:sz="8" w:space="0" w:color="auto"/>
            </w:tcBorders>
            <w:shd w:val="clear" w:color="auto" w:fill="auto"/>
            <w:noWrap/>
            <w:hideMark/>
          </w:tcPr>
          <w:p w:rsidR="000F236F" w:rsidRDefault="000F236F" w:rsidP="00DB5405">
            <w:pPr>
              <w:ind w:firstLineChars="100" w:firstLine="200"/>
              <w:jc w:val="right"/>
              <w:rPr>
                <w:rFonts w:ascii="Garamond" w:hAnsi="Garamond" w:cs="Calibri"/>
                <w:sz w:val="20"/>
                <w:szCs w:val="20"/>
              </w:rPr>
            </w:pPr>
            <w:r>
              <w:rPr>
                <w:rFonts w:ascii="Garamond" w:hAnsi="Garamond" w:cs="Calibri"/>
                <w:sz w:val="20"/>
                <w:szCs w:val="20"/>
              </w:rPr>
              <w:t>2466.6</w:t>
            </w:r>
          </w:p>
        </w:tc>
        <w:tc>
          <w:tcPr>
            <w:tcW w:w="1096" w:type="dxa"/>
            <w:tcBorders>
              <w:top w:val="nil"/>
              <w:left w:val="nil"/>
              <w:bottom w:val="nil"/>
              <w:right w:val="single" w:sz="8" w:space="0" w:color="auto"/>
            </w:tcBorders>
            <w:shd w:val="clear" w:color="auto" w:fill="auto"/>
            <w:noWrap/>
            <w:hideMark/>
          </w:tcPr>
          <w:p w:rsidR="000F236F" w:rsidRDefault="000F236F" w:rsidP="00DB5405">
            <w:pPr>
              <w:ind w:firstLineChars="100" w:firstLine="200"/>
              <w:jc w:val="right"/>
              <w:rPr>
                <w:rFonts w:ascii="Garamond" w:hAnsi="Garamond" w:cs="Calibri"/>
                <w:sz w:val="20"/>
                <w:szCs w:val="20"/>
              </w:rPr>
            </w:pPr>
            <w:r>
              <w:rPr>
                <w:rFonts w:ascii="Garamond" w:hAnsi="Garamond" w:cs="Calibri"/>
                <w:sz w:val="20"/>
                <w:szCs w:val="20"/>
              </w:rPr>
              <w:t>2532.5</w:t>
            </w:r>
          </w:p>
        </w:tc>
        <w:tc>
          <w:tcPr>
            <w:tcW w:w="1023" w:type="dxa"/>
            <w:tcBorders>
              <w:top w:val="nil"/>
              <w:left w:val="nil"/>
              <w:bottom w:val="nil"/>
              <w:right w:val="single" w:sz="8" w:space="0" w:color="auto"/>
            </w:tcBorders>
            <w:shd w:val="clear" w:color="auto" w:fill="auto"/>
            <w:noWrap/>
            <w:hideMark/>
          </w:tcPr>
          <w:p w:rsidR="000F236F" w:rsidRDefault="000F236F" w:rsidP="00DB5405">
            <w:pPr>
              <w:ind w:firstLineChars="100" w:firstLine="200"/>
              <w:jc w:val="right"/>
              <w:rPr>
                <w:rFonts w:ascii="Garamond" w:hAnsi="Garamond" w:cs="Calibri"/>
                <w:sz w:val="20"/>
                <w:szCs w:val="20"/>
              </w:rPr>
            </w:pPr>
            <w:r>
              <w:rPr>
                <w:rFonts w:ascii="Garamond" w:hAnsi="Garamond" w:cs="Calibri"/>
                <w:sz w:val="20"/>
                <w:szCs w:val="20"/>
              </w:rPr>
              <w:t>2589.9</w:t>
            </w:r>
          </w:p>
        </w:tc>
        <w:tc>
          <w:tcPr>
            <w:tcW w:w="1101" w:type="dxa"/>
            <w:tcBorders>
              <w:top w:val="nil"/>
              <w:left w:val="nil"/>
              <w:bottom w:val="nil"/>
              <w:right w:val="single" w:sz="8" w:space="0" w:color="auto"/>
            </w:tcBorders>
            <w:shd w:val="clear" w:color="auto" w:fill="auto"/>
            <w:noWrap/>
            <w:hideMark/>
          </w:tcPr>
          <w:p w:rsidR="000F236F" w:rsidRDefault="000F236F" w:rsidP="00DB5405">
            <w:pPr>
              <w:ind w:firstLineChars="100" w:firstLine="200"/>
              <w:jc w:val="right"/>
              <w:rPr>
                <w:rFonts w:ascii="Garamond" w:hAnsi="Garamond" w:cs="Calibri"/>
                <w:sz w:val="20"/>
                <w:szCs w:val="20"/>
              </w:rPr>
            </w:pPr>
            <w:r>
              <w:rPr>
                <w:rFonts w:ascii="Garamond" w:hAnsi="Garamond" w:cs="Calibri"/>
                <w:sz w:val="20"/>
                <w:szCs w:val="20"/>
              </w:rPr>
              <w:t>2481.2</w:t>
            </w:r>
          </w:p>
        </w:tc>
        <w:tc>
          <w:tcPr>
            <w:tcW w:w="1116" w:type="dxa"/>
            <w:tcBorders>
              <w:top w:val="nil"/>
              <w:left w:val="nil"/>
              <w:bottom w:val="nil"/>
              <w:right w:val="single" w:sz="8" w:space="0" w:color="auto"/>
            </w:tcBorders>
            <w:shd w:val="clear" w:color="auto" w:fill="auto"/>
            <w:noWrap/>
            <w:hideMark/>
          </w:tcPr>
          <w:p w:rsidR="000F236F" w:rsidRDefault="000F236F" w:rsidP="00DB5405">
            <w:pPr>
              <w:ind w:firstLineChars="100" w:firstLine="200"/>
              <w:jc w:val="right"/>
              <w:rPr>
                <w:rFonts w:ascii="Garamond" w:hAnsi="Garamond" w:cs="Calibri"/>
                <w:sz w:val="20"/>
                <w:szCs w:val="20"/>
              </w:rPr>
            </w:pPr>
            <w:r>
              <w:rPr>
                <w:rFonts w:ascii="Garamond" w:hAnsi="Garamond" w:cs="Calibri"/>
                <w:sz w:val="20"/>
                <w:szCs w:val="20"/>
              </w:rPr>
              <w:t>3120.0</w:t>
            </w:r>
          </w:p>
        </w:tc>
        <w:tc>
          <w:tcPr>
            <w:tcW w:w="1312" w:type="dxa"/>
            <w:tcBorders>
              <w:top w:val="nil"/>
              <w:left w:val="nil"/>
              <w:bottom w:val="nil"/>
              <w:right w:val="single" w:sz="8" w:space="0" w:color="auto"/>
            </w:tcBorders>
            <w:shd w:val="clear" w:color="auto" w:fill="auto"/>
            <w:noWrap/>
            <w:hideMark/>
          </w:tcPr>
          <w:p w:rsidR="000F236F" w:rsidRDefault="000F236F" w:rsidP="00DB5405">
            <w:pPr>
              <w:ind w:firstLineChars="100" w:firstLine="200"/>
              <w:jc w:val="right"/>
              <w:rPr>
                <w:rFonts w:ascii="Garamond" w:hAnsi="Garamond" w:cs="Calibri"/>
                <w:sz w:val="20"/>
                <w:szCs w:val="20"/>
              </w:rPr>
            </w:pPr>
            <w:r>
              <w:rPr>
                <w:rFonts w:ascii="Garamond" w:hAnsi="Garamond" w:cs="Calibri"/>
                <w:sz w:val="20"/>
                <w:szCs w:val="20"/>
              </w:rPr>
              <w:t>14.5</w:t>
            </w:r>
          </w:p>
        </w:tc>
        <w:tc>
          <w:tcPr>
            <w:tcW w:w="835" w:type="dxa"/>
            <w:tcBorders>
              <w:top w:val="nil"/>
              <w:left w:val="nil"/>
              <w:bottom w:val="nil"/>
              <w:right w:val="single" w:sz="8" w:space="0" w:color="auto"/>
            </w:tcBorders>
            <w:shd w:val="clear" w:color="auto" w:fill="auto"/>
            <w:noWrap/>
            <w:hideMark/>
          </w:tcPr>
          <w:p w:rsidR="000F236F" w:rsidRDefault="000F236F" w:rsidP="00DB5405">
            <w:pPr>
              <w:ind w:firstLineChars="100" w:firstLine="200"/>
              <w:jc w:val="right"/>
              <w:rPr>
                <w:rFonts w:ascii="Garamond" w:hAnsi="Garamond" w:cs="Calibri"/>
                <w:sz w:val="20"/>
                <w:szCs w:val="20"/>
              </w:rPr>
            </w:pPr>
            <w:r>
              <w:rPr>
                <w:rFonts w:ascii="Garamond" w:hAnsi="Garamond" w:cs="Calibri"/>
                <w:sz w:val="20"/>
                <w:szCs w:val="20"/>
              </w:rPr>
              <w:t>18.6</w:t>
            </w:r>
          </w:p>
        </w:tc>
      </w:tr>
      <w:tr w:rsidR="000F236F" w:rsidTr="00DB5405">
        <w:trPr>
          <w:trHeight w:val="199"/>
          <w:jc w:val="center"/>
        </w:trPr>
        <w:tc>
          <w:tcPr>
            <w:tcW w:w="1266" w:type="dxa"/>
            <w:tcBorders>
              <w:top w:val="nil"/>
              <w:left w:val="single" w:sz="8" w:space="0" w:color="auto"/>
              <w:bottom w:val="single" w:sz="8" w:space="0" w:color="auto"/>
              <w:right w:val="single" w:sz="8" w:space="0" w:color="auto"/>
            </w:tcBorders>
            <w:shd w:val="clear" w:color="000000" w:fill="D9E1F2"/>
            <w:noWrap/>
            <w:hideMark/>
          </w:tcPr>
          <w:p w:rsidR="000F236F" w:rsidRDefault="000F236F" w:rsidP="00DB5405">
            <w:pPr>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Taiwan</w:t>
            </w:r>
          </w:p>
        </w:tc>
        <w:tc>
          <w:tcPr>
            <w:tcW w:w="1801" w:type="dxa"/>
            <w:tcBorders>
              <w:top w:val="nil"/>
              <w:left w:val="nil"/>
              <w:bottom w:val="single" w:sz="8" w:space="0" w:color="auto"/>
              <w:right w:val="single" w:sz="8" w:space="0" w:color="auto"/>
            </w:tcBorders>
            <w:shd w:val="clear" w:color="000000" w:fill="D9E1F2"/>
            <w:noWrap/>
            <w:hideMark/>
          </w:tcPr>
          <w:p w:rsidR="000F236F" w:rsidRDefault="000F236F" w:rsidP="00DB5405">
            <w:pPr>
              <w:rPr>
                <w:rFonts w:ascii="Garamond" w:eastAsia="Times New Roman" w:hAnsi="Garamond" w:cs="Calibri"/>
                <w:color w:val="000000"/>
                <w:sz w:val="18"/>
                <w:szCs w:val="18"/>
                <w:lang w:val="en-IN" w:eastAsia="en-IN"/>
              </w:rPr>
            </w:pPr>
            <w:r>
              <w:rPr>
                <w:rFonts w:ascii="Garamond" w:eastAsia="Times New Roman" w:hAnsi="Garamond" w:cs="Calibri"/>
                <w:color w:val="000000"/>
                <w:sz w:val="18"/>
                <w:szCs w:val="18"/>
                <w:lang w:val="en-IN" w:eastAsia="en-IN"/>
              </w:rPr>
              <w:t xml:space="preserve">TAIWAN TAIEX </w:t>
            </w:r>
          </w:p>
        </w:tc>
        <w:tc>
          <w:tcPr>
            <w:tcW w:w="1566" w:type="dxa"/>
            <w:tcBorders>
              <w:top w:val="nil"/>
              <w:left w:val="nil"/>
              <w:bottom w:val="single" w:sz="8" w:space="0" w:color="auto"/>
              <w:right w:val="single" w:sz="8" w:space="0" w:color="auto"/>
            </w:tcBorders>
            <w:shd w:val="clear" w:color="auto" w:fill="auto"/>
            <w:noWrap/>
            <w:hideMark/>
          </w:tcPr>
          <w:p w:rsidR="000F236F" w:rsidRDefault="000F236F" w:rsidP="00DB5405">
            <w:pPr>
              <w:ind w:firstLineChars="100" w:firstLine="200"/>
              <w:jc w:val="right"/>
              <w:rPr>
                <w:rFonts w:ascii="Garamond" w:hAnsi="Garamond" w:cs="Calibri"/>
                <w:sz w:val="20"/>
                <w:szCs w:val="20"/>
              </w:rPr>
            </w:pPr>
            <w:r>
              <w:rPr>
                <w:rFonts w:ascii="Garamond" w:hAnsi="Garamond" w:cs="Calibri"/>
                <w:sz w:val="20"/>
                <w:szCs w:val="20"/>
              </w:rPr>
              <w:t>12515.6</w:t>
            </w:r>
          </w:p>
        </w:tc>
        <w:tc>
          <w:tcPr>
            <w:tcW w:w="1096" w:type="dxa"/>
            <w:tcBorders>
              <w:top w:val="nil"/>
              <w:left w:val="nil"/>
              <w:bottom w:val="single" w:sz="8" w:space="0" w:color="auto"/>
              <w:right w:val="single" w:sz="8" w:space="0" w:color="auto"/>
            </w:tcBorders>
            <w:shd w:val="clear" w:color="auto" w:fill="auto"/>
            <w:noWrap/>
            <w:hideMark/>
          </w:tcPr>
          <w:p w:rsidR="000F236F" w:rsidRDefault="000F236F" w:rsidP="00DB5405">
            <w:pPr>
              <w:ind w:firstLineChars="100" w:firstLine="200"/>
              <w:jc w:val="right"/>
              <w:rPr>
                <w:rFonts w:ascii="Garamond" w:hAnsi="Garamond" w:cs="Calibri"/>
                <w:sz w:val="20"/>
                <w:szCs w:val="20"/>
              </w:rPr>
            </w:pPr>
            <w:r>
              <w:rPr>
                <w:rFonts w:ascii="Garamond" w:hAnsi="Garamond" w:cs="Calibri"/>
                <w:sz w:val="20"/>
                <w:szCs w:val="20"/>
              </w:rPr>
              <w:t>12591.5</w:t>
            </w:r>
          </w:p>
        </w:tc>
        <w:tc>
          <w:tcPr>
            <w:tcW w:w="1023" w:type="dxa"/>
            <w:tcBorders>
              <w:top w:val="nil"/>
              <w:left w:val="nil"/>
              <w:bottom w:val="single" w:sz="8" w:space="0" w:color="auto"/>
              <w:right w:val="single" w:sz="8" w:space="0" w:color="auto"/>
            </w:tcBorders>
            <w:shd w:val="clear" w:color="auto" w:fill="auto"/>
            <w:noWrap/>
            <w:hideMark/>
          </w:tcPr>
          <w:p w:rsidR="000F236F" w:rsidRDefault="000F236F" w:rsidP="00DB5405">
            <w:pPr>
              <w:ind w:firstLineChars="100" w:firstLine="200"/>
              <w:jc w:val="right"/>
              <w:rPr>
                <w:rFonts w:ascii="Garamond" w:hAnsi="Garamond" w:cs="Calibri"/>
                <w:sz w:val="20"/>
                <w:szCs w:val="20"/>
              </w:rPr>
            </w:pPr>
            <w:r>
              <w:rPr>
                <w:rFonts w:ascii="Garamond" w:hAnsi="Garamond" w:cs="Calibri"/>
                <w:sz w:val="20"/>
                <w:szCs w:val="20"/>
              </w:rPr>
              <w:t>11621.2</w:t>
            </w:r>
          </w:p>
        </w:tc>
        <w:tc>
          <w:tcPr>
            <w:tcW w:w="1101" w:type="dxa"/>
            <w:tcBorders>
              <w:top w:val="nil"/>
              <w:left w:val="nil"/>
              <w:bottom w:val="single" w:sz="8" w:space="0" w:color="auto"/>
              <w:right w:val="single" w:sz="8" w:space="0" w:color="auto"/>
            </w:tcBorders>
            <w:shd w:val="clear" w:color="auto" w:fill="auto"/>
            <w:noWrap/>
            <w:hideMark/>
          </w:tcPr>
          <w:p w:rsidR="000F236F" w:rsidRDefault="000F236F" w:rsidP="00DB5405">
            <w:pPr>
              <w:ind w:firstLineChars="100" w:firstLine="200"/>
              <w:jc w:val="right"/>
              <w:rPr>
                <w:rFonts w:ascii="Garamond" w:hAnsi="Garamond" w:cs="Calibri"/>
                <w:sz w:val="20"/>
                <w:szCs w:val="20"/>
              </w:rPr>
            </w:pPr>
            <w:r>
              <w:rPr>
                <w:rFonts w:ascii="Garamond" w:hAnsi="Garamond" w:cs="Calibri"/>
                <w:sz w:val="20"/>
                <w:szCs w:val="20"/>
              </w:rPr>
              <w:t>9708.1</w:t>
            </w:r>
          </w:p>
        </w:tc>
        <w:tc>
          <w:tcPr>
            <w:tcW w:w="1116" w:type="dxa"/>
            <w:tcBorders>
              <w:top w:val="nil"/>
              <w:left w:val="nil"/>
              <w:bottom w:val="single" w:sz="8" w:space="0" w:color="auto"/>
              <w:right w:val="single" w:sz="8" w:space="0" w:color="auto"/>
            </w:tcBorders>
            <w:shd w:val="clear" w:color="auto" w:fill="auto"/>
            <w:noWrap/>
            <w:hideMark/>
          </w:tcPr>
          <w:p w:rsidR="000F236F" w:rsidRDefault="000F236F" w:rsidP="00DB5405">
            <w:pPr>
              <w:ind w:firstLineChars="100" w:firstLine="200"/>
              <w:jc w:val="right"/>
              <w:rPr>
                <w:rFonts w:ascii="Garamond" w:hAnsi="Garamond" w:cs="Calibri"/>
                <w:sz w:val="20"/>
                <w:szCs w:val="20"/>
              </w:rPr>
            </w:pPr>
            <w:r>
              <w:rPr>
                <w:rFonts w:ascii="Garamond" w:hAnsi="Garamond" w:cs="Calibri"/>
                <w:sz w:val="20"/>
                <w:szCs w:val="20"/>
              </w:rPr>
              <w:t>10829.7</w:t>
            </w:r>
          </w:p>
        </w:tc>
        <w:tc>
          <w:tcPr>
            <w:tcW w:w="1312" w:type="dxa"/>
            <w:tcBorders>
              <w:top w:val="nil"/>
              <w:left w:val="nil"/>
              <w:bottom w:val="single" w:sz="8" w:space="0" w:color="auto"/>
              <w:right w:val="single" w:sz="8" w:space="0" w:color="auto"/>
            </w:tcBorders>
            <w:shd w:val="clear" w:color="auto" w:fill="auto"/>
            <w:noWrap/>
            <w:hideMark/>
          </w:tcPr>
          <w:p w:rsidR="000F236F" w:rsidRDefault="000F236F" w:rsidP="00DB5405">
            <w:pPr>
              <w:ind w:firstLineChars="100" w:firstLine="200"/>
              <w:jc w:val="right"/>
              <w:rPr>
                <w:rFonts w:ascii="Garamond" w:hAnsi="Garamond" w:cs="Calibri"/>
                <w:sz w:val="20"/>
                <w:szCs w:val="20"/>
              </w:rPr>
            </w:pPr>
            <w:r>
              <w:rPr>
                <w:rFonts w:ascii="Garamond" w:hAnsi="Garamond" w:cs="Calibri"/>
                <w:sz w:val="20"/>
                <w:szCs w:val="20"/>
              </w:rPr>
              <w:t>28.1</w:t>
            </w:r>
          </w:p>
        </w:tc>
        <w:tc>
          <w:tcPr>
            <w:tcW w:w="835" w:type="dxa"/>
            <w:tcBorders>
              <w:top w:val="nil"/>
              <w:left w:val="nil"/>
              <w:bottom w:val="single" w:sz="8" w:space="0" w:color="auto"/>
              <w:right w:val="single" w:sz="8" w:space="0" w:color="auto"/>
            </w:tcBorders>
            <w:shd w:val="clear" w:color="auto" w:fill="auto"/>
            <w:noWrap/>
            <w:hideMark/>
          </w:tcPr>
          <w:p w:rsidR="000F236F" w:rsidRDefault="000F236F" w:rsidP="00DB5405">
            <w:pPr>
              <w:ind w:firstLineChars="100" w:firstLine="200"/>
              <w:jc w:val="right"/>
              <w:rPr>
                <w:rFonts w:ascii="Garamond" w:hAnsi="Garamond" w:cs="Calibri"/>
                <w:sz w:val="20"/>
                <w:szCs w:val="20"/>
              </w:rPr>
            </w:pPr>
            <w:r>
              <w:rPr>
                <w:rFonts w:ascii="Garamond" w:hAnsi="Garamond" w:cs="Calibri"/>
                <w:sz w:val="20"/>
                <w:szCs w:val="20"/>
              </w:rPr>
              <w:t>20.7</w:t>
            </w:r>
          </w:p>
        </w:tc>
      </w:tr>
    </w:tbl>
    <w:p w:rsidR="000F236F" w:rsidRDefault="000F236F" w:rsidP="000F236F">
      <w:pPr>
        <w:spacing w:line="23" w:lineRule="atLeast"/>
        <w:jc w:val="both"/>
        <w:rPr>
          <w:rFonts w:ascii="Garamond" w:hAnsi="Garamond"/>
          <w:bCs/>
          <w:sz w:val="18"/>
          <w:szCs w:val="18"/>
        </w:rPr>
      </w:pPr>
      <w:r>
        <w:rPr>
          <w:rFonts w:ascii="Garamond" w:hAnsi="Garamond"/>
          <w:bCs/>
          <w:sz w:val="18"/>
          <w:szCs w:val="18"/>
        </w:rPr>
        <w:t xml:space="preserve"> Note: P/E Ratios as on the last trading day.</w:t>
      </w:r>
    </w:p>
    <w:p w:rsidR="000F236F" w:rsidRDefault="000F236F" w:rsidP="000F236F">
      <w:pPr>
        <w:spacing w:line="23" w:lineRule="atLeast"/>
        <w:jc w:val="both"/>
        <w:rPr>
          <w:rFonts w:ascii="Garamond" w:hAnsi="Garamond"/>
          <w:bCs/>
          <w:sz w:val="18"/>
          <w:szCs w:val="18"/>
        </w:rPr>
      </w:pPr>
      <w:r>
        <w:rPr>
          <w:rFonts w:ascii="Garamond" w:hAnsi="Garamond"/>
          <w:bCs/>
          <w:sz w:val="18"/>
          <w:szCs w:val="18"/>
        </w:rPr>
        <w:t xml:space="preserve">Source: Bloomberg, BSE and National Stock Exchange </w:t>
      </w:r>
    </w:p>
    <w:p w:rsidR="000F236F" w:rsidRDefault="000F236F" w:rsidP="000F236F">
      <w:pPr>
        <w:spacing w:line="23" w:lineRule="atLeast"/>
        <w:jc w:val="both"/>
        <w:rPr>
          <w:rFonts w:ascii="Garamond" w:hAnsi="Garamond"/>
          <w:b/>
          <w:bCs/>
          <w:szCs w:val="22"/>
        </w:rPr>
      </w:pPr>
    </w:p>
    <w:p w:rsidR="000F236F" w:rsidRDefault="000F236F" w:rsidP="000F236F">
      <w:pPr>
        <w:spacing w:line="23" w:lineRule="atLeast"/>
        <w:jc w:val="both"/>
        <w:rPr>
          <w:rFonts w:ascii="Garamond" w:hAnsi="Garamond"/>
          <w:b/>
          <w:bCs/>
          <w:szCs w:val="22"/>
        </w:rPr>
      </w:pPr>
      <w:r>
        <w:rPr>
          <w:rFonts w:ascii="Garamond" w:hAnsi="Garamond"/>
          <w:b/>
          <w:bCs/>
          <w:szCs w:val="22"/>
        </w:rPr>
        <w:t>Table A2: Fund Mobilisation by Issuance of Equity and Bond in Major Exchanges (USD million)</w:t>
      </w:r>
    </w:p>
    <w:tbl>
      <w:tblPr>
        <w:tblW w:w="9582" w:type="dxa"/>
        <w:tblLook w:val="04A0" w:firstRow="1" w:lastRow="0" w:firstColumn="1" w:lastColumn="0" w:noHBand="0" w:noVBand="1"/>
      </w:tblPr>
      <w:tblGrid>
        <w:gridCol w:w="3358"/>
        <w:gridCol w:w="1037"/>
        <w:gridCol w:w="1037"/>
        <w:gridCol w:w="1038"/>
        <w:gridCol w:w="1037"/>
        <w:gridCol w:w="1037"/>
        <w:gridCol w:w="1038"/>
      </w:tblGrid>
      <w:tr w:rsidR="000F236F" w:rsidTr="00DB5405">
        <w:trPr>
          <w:trHeight w:val="267"/>
        </w:trPr>
        <w:tc>
          <w:tcPr>
            <w:tcW w:w="3358" w:type="dxa"/>
            <w:tcBorders>
              <w:top w:val="single" w:sz="8" w:space="0" w:color="auto"/>
              <w:left w:val="single" w:sz="8" w:space="0" w:color="auto"/>
              <w:bottom w:val="nil"/>
              <w:right w:val="single" w:sz="8" w:space="0" w:color="auto"/>
            </w:tcBorders>
            <w:shd w:val="clear" w:color="000000" w:fill="2F5496"/>
            <w:vAlign w:val="center"/>
            <w:hideMark/>
          </w:tcPr>
          <w:p w:rsidR="000F236F" w:rsidRDefault="000F236F" w:rsidP="00DB5405">
            <w:pPr>
              <w:jc w:val="center"/>
              <w:rPr>
                <w:rFonts w:ascii="Garamond" w:eastAsia="Times New Roman" w:hAnsi="Garamond" w:cs="Calibri"/>
                <w:b/>
                <w:bCs/>
                <w:color w:val="FFFFFF"/>
                <w:sz w:val="20"/>
                <w:szCs w:val="20"/>
                <w:lang w:val="en-IN" w:eastAsia="en-IN"/>
              </w:rPr>
            </w:pPr>
            <w:r>
              <w:rPr>
                <w:rFonts w:ascii="Garamond" w:eastAsia="Times New Roman" w:hAnsi="Garamond" w:cs="Calibri"/>
                <w:b/>
                <w:bCs/>
                <w:color w:val="FFFFFF"/>
                <w:sz w:val="20"/>
                <w:szCs w:val="20"/>
                <w:lang w:val="en-IN" w:eastAsia="en-IN"/>
              </w:rPr>
              <w:t>Month</w:t>
            </w:r>
          </w:p>
        </w:tc>
        <w:tc>
          <w:tcPr>
            <w:tcW w:w="3112" w:type="dxa"/>
            <w:gridSpan w:val="3"/>
            <w:tcBorders>
              <w:top w:val="single" w:sz="8" w:space="0" w:color="auto"/>
              <w:left w:val="nil"/>
              <w:bottom w:val="nil"/>
              <w:right w:val="single" w:sz="8" w:space="0" w:color="000000"/>
            </w:tcBorders>
            <w:shd w:val="clear" w:color="000000" w:fill="2F5496"/>
            <w:vAlign w:val="center"/>
            <w:hideMark/>
          </w:tcPr>
          <w:p w:rsidR="000F236F" w:rsidRDefault="000F236F" w:rsidP="00DB5405">
            <w:pPr>
              <w:jc w:val="center"/>
              <w:rPr>
                <w:rFonts w:ascii="Garamond" w:eastAsia="Times New Roman" w:hAnsi="Garamond" w:cs="Calibri"/>
                <w:b/>
                <w:bCs/>
                <w:color w:val="FFFFFF"/>
                <w:sz w:val="20"/>
                <w:szCs w:val="20"/>
                <w:lang w:val="en-IN" w:eastAsia="en-IN"/>
              </w:rPr>
            </w:pPr>
            <w:r>
              <w:rPr>
                <w:rFonts w:ascii="Garamond" w:eastAsia="Times New Roman" w:hAnsi="Garamond" w:cs="Calibri"/>
                <w:b/>
                <w:bCs/>
                <w:color w:val="FFFFFF"/>
                <w:sz w:val="20"/>
                <w:szCs w:val="20"/>
                <w:lang w:val="en-IN" w:eastAsia="en-IN"/>
              </w:rPr>
              <w:t>Jul-20</w:t>
            </w:r>
          </w:p>
        </w:tc>
        <w:tc>
          <w:tcPr>
            <w:tcW w:w="3112" w:type="dxa"/>
            <w:gridSpan w:val="3"/>
            <w:tcBorders>
              <w:top w:val="single" w:sz="8" w:space="0" w:color="auto"/>
              <w:left w:val="nil"/>
              <w:bottom w:val="nil"/>
              <w:right w:val="single" w:sz="8" w:space="0" w:color="000000"/>
            </w:tcBorders>
            <w:shd w:val="clear" w:color="000000" w:fill="2F5496"/>
            <w:vAlign w:val="center"/>
            <w:hideMark/>
          </w:tcPr>
          <w:p w:rsidR="000F236F" w:rsidRDefault="000F236F" w:rsidP="00DB5405">
            <w:pPr>
              <w:jc w:val="center"/>
              <w:rPr>
                <w:rFonts w:ascii="Garamond" w:eastAsia="Times New Roman" w:hAnsi="Garamond" w:cs="Calibri"/>
                <w:b/>
                <w:bCs/>
                <w:color w:val="FFFFFF"/>
                <w:sz w:val="20"/>
                <w:szCs w:val="20"/>
                <w:lang w:val="en-IN" w:eastAsia="en-IN"/>
              </w:rPr>
            </w:pPr>
            <w:r>
              <w:rPr>
                <w:rFonts w:ascii="Garamond" w:eastAsia="Times New Roman" w:hAnsi="Garamond" w:cs="Calibri"/>
                <w:b/>
                <w:bCs/>
                <w:color w:val="FFFFFF"/>
                <w:sz w:val="20"/>
                <w:szCs w:val="20"/>
                <w:lang w:val="en-IN" w:eastAsia="en-IN"/>
              </w:rPr>
              <w:t>Aug-20</w:t>
            </w:r>
          </w:p>
        </w:tc>
      </w:tr>
      <w:tr w:rsidR="000F236F" w:rsidTr="00DB5405">
        <w:trPr>
          <w:trHeight w:val="254"/>
        </w:trPr>
        <w:tc>
          <w:tcPr>
            <w:tcW w:w="3358" w:type="dxa"/>
            <w:tcBorders>
              <w:top w:val="single" w:sz="4" w:space="0" w:color="auto"/>
              <w:left w:val="single" w:sz="4" w:space="0" w:color="auto"/>
              <w:bottom w:val="single" w:sz="4" w:space="0" w:color="auto"/>
              <w:right w:val="single" w:sz="4" w:space="0" w:color="auto"/>
            </w:tcBorders>
            <w:shd w:val="clear" w:color="000000" w:fill="2F5496"/>
            <w:vAlign w:val="center"/>
            <w:hideMark/>
          </w:tcPr>
          <w:p w:rsidR="000F236F" w:rsidRDefault="000F236F" w:rsidP="00DB5405">
            <w:pPr>
              <w:jc w:val="center"/>
              <w:rPr>
                <w:rFonts w:ascii="Garamond" w:eastAsia="Times New Roman" w:hAnsi="Garamond" w:cs="Calibri"/>
                <w:b/>
                <w:bCs/>
                <w:color w:val="FFFFFF"/>
                <w:sz w:val="20"/>
                <w:szCs w:val="20"/>
                <w:lang w:val="en-IN" w:eastAsia="en-IN"/>
              </w:rPr>
            </w:pPr>
            <w:r>
              <w:rPr>
                <w:rFonts w:ascii="Garamond" w:eastAsia="Times New Roman" w:hAnsi="Garamond" w:cs="Calibri"/>
                <w:b/>
                <w:bCs/>
                <w:color w:val="FFFFFF"/>
                <w:sz w:val="20"/>
                <w:szCs w:val="20"/>
                <w:lang w:val="en-IN" w:eastAsia="en-IN"/>
              </w:rPr>
              <w:t>Exchange Name</w:t>
            </w:r>
          </w:p>
        </w:tc>
        <w:tc>
          <w:tcPr>
            <w:tcW w:w="1037" w:type="dxa"/>
            <w:tcBorders>
              <w:top w:val="single" w:sz="4" w:space="0" w:color="auto"/>
              <w:left w:val="nil"/>
              <w:bottom w:val="single" w:sz="4" w:space="0" w:color="auto"/>
              <w:right w:val="single" w:sz="4" w:space="0" w:color="auto"/>
            </w:tcBorders>
            <w:shd w:val="clear" w:color="000000" w:fill="2F5496"/>
            <w:vAlign w:val="center"/>
            <w:hideMark/>
          </w:tcPr>
          <w:p w:rsidR="000F236F" w:rsidRDefault="000F236F" w:rsidP="00DB5405">
            <w:pPr>
              <w:jc w:val="center"/>
              <w:rPr>
                <w:rFonts w:ascii="Garamond" w:eastAsia="Times New Roman" w:hAnsi="Garamond" w:cs="Calibri"/>
                <w:b/>
                <w:bCs/>
                <w:color w:val="FFFFFF"/>
                <w:sz w:val="20"/>
                <w:szCs w:val="20"/>
                <w:lang w:val="en-IN" w:eastAsia="en-IN"/>
              </w:rPr>
            </w:pPr>
            <w:r>
              <w:rPr>
                <w:rFonts w:ascii="Garamond" w:eastAsia="Times New Roman" w:hAnsi="Garamond" w:cs="Calibri"/>
                <w:b/>
                <w:bCs/>
                <w:color w:val="FFFFFF"/>
                <w:sz w:val="20"/>
                <w:szCs w:val="20"/>
                <w:lang w:val="en-IN" w:eastAsia="en-IN"/>
              </w:rPr>
              <w:t>Bond</w:t>
            </w:r>
          </w:p>
        </w:tc>
        <w:tc>
          <w:tcPr>
            <w:tcW w:w="1037" w:type="dxa"/>
            <w:tcBorders>
              <w:top w:val="single" w:sz="4" w:space="0" w:color="auto"/>
              <w:left w:val="nil"/>
              <w:bottom w:val="single" w:sz="4" w:space="0" w:color="auto"/>
              <w:right w:val="single" w:sz="4" w:space="0" w:color="auto"/>
            </w:tcBorders>
            <w:shd w:val="clear" w:color="000000" w:fill="2F5496"/>
            <w:vAlign w:val="center"/>
            <w:hideMark/>
          </w:tcPr>
          <w:p w:rsidR="000F236F" w:rsidRDefault="000F236F" w:rsidP="00DB5405">
            <w:pPr>
              <w:jc w:val="center"/>
              <w:rPr>
                <w:rFonts w:ascii="Garamond" w:eastAsia="Times New Roman" w:hAnsi="Garamond" w:cs="Calibri"/>
                <w:b/>
                <w:bCs/>
                <w:color w:val="FFFFFF"/>
                <w:sz w:val="20"/>
                <w:szCs w:val="20"/>
                <w:lang w:val="en-IN" w:eastAsia="en-IN"/>
              </w:rPr>
            </w:pPr>
            <w:r>
              <w:rPr>
                <w:rFonts w:ascii="Garamond" w:eastAsia="Times New Roman" w:hAnsi="Garamond" w:cs="Calibri"/>
                <w:b/>
                <w:bCs/>
                <w:color w:val="FFFFFF"/>
                <w:sz w:val="20"/>
                <w:szCs w:val="20"/>
                <w:lang w:val="en-IN" w:eastAsia="en-IN"/>
              </w:rPr>
              <w:t>Equity</w:t>
            </w:r>
          </w:p>
        </w:tc>
        <w:tc>
          <w:tcPr>
            <w:tcW w:w="1038" w:type="dxa"/>
            <w:tcBorders>
              <w:top w:val="single" w:sz="4" w:space="0" w:color="auto"/>
              <w:left w:val="nil"/>
              <w:bottom w:val="single" w:sz="4" w:space="0" w:color="auto"/>
              <w:right w:val="single" w:sz="4" w:space="0" w:color="auto"/>
            </w:tcBorders>
            <w:shd w:val="clear" w:color="000000" w:fill="2F5496"/>
            <w:vAlign w:val="center"/>
            <w:hideMark/>
          </w:tcPr>
          <w:p w:rsidR="000F236F" w:rsidRDefault="000F236F" w:rsidP="00DB5405">
            <w:pPr>
              <w:jc w:val="center"/>
              <w:rPr>
                <w:rFonts w:ascii="Garamond" w:eastAsia="Times New Roman" w:hAnsi="Garamond" w:cs="Calibri"/>
                <w:b/>
                <w:bCs/>
                <w:color w:val="FFFFFF"/>
                <w:sz w:val="20"/>
                <w:szCs w:val="20"/>
                <w:lang w:val="en-IN" w:eastAsia="en-IN"/>
              </w:rPr>
            </w:pPr>
            <w:r>
              <w:rPr>
                <w:rFonts w:ascii="Garamond" w:eastAsia="Times New Roman" w:hAnsi="Garamond" w:cs="Calibri"/>
                <w:b/>
                <w:bCs/>
                <w:color w:val="FFFFFF"/>
                <w:sz w:val="20"/>
                <w:szCs w:val="20"/>
                <w:lang w:val="en-IN" w:eastAsia="en-IN"/>
              </w:rPr>
              <w:t>Total</w:t>
            </w:r>
          </w:p>
        </w:tc>
        <w:tc>
          <w:tcPr>
            <w:tcW w:w="1037" w:type="dxa"/>
            <w:tcBorders>
              <w:top w:val="single" w:sz="4" w:space="0" w:color="auto"/>
              <w:left w:val="nil"/>
              <w:bottom w:val="single" w:sz="4" w:space="0" w:color="auto"/>
              <w:right w:val="single" w:sz="4" w:space="0" w:color="auto"/>
            </w:tcBorders>
            <w:shd w:val="clear" w:color="000000" w:fill="2F5496"/>
            <w:vAlign w:val="center"/>
            <w:hideMark/>
          </w:tcPr>
          <w:p w:rsidR="000F236F" w:rsidRDefault="000F236F" w:rsidP="00DB5405">
            <w:pPr>
              <w:jc w:val="center"/>
              <w:rPr>
                <w:rFonts w:ascii="Garamond" w:eastAsia="Times New Roman" w:hAnsi="Garamond" w:cs="Calibri"/>
                <w:b/>
                <w:bCs/>
                <w:color w:val="FFFFFF"/>
                <w:sz w:val="20"/>
                <w:szCs w:val="20"/>
                <w:lang w:val="en-IN" w:eastAsia="en-IN"/>
              </w:rPr>
            </w:pPr>
            <w:r>
              <w:rPr>
                <w:rFonts w:ascii="Garamond" w:eastAsia="Times New Roman" w:hAnsi="Garamond" w:cs="Calibri"/>
                <w:b/>
                <w:bCs/>
                <w:color w:val="FFFFFF"/>
                <w:sz w:val="20"/>
                <w:szCs w:val="20"/>
                <w:lang w:val="en-IN" w:eastAsia="en-IN"/>
              </w:rPr>
              <w:t>Bond</w:t>
            </w:r>
          </w:p>
        </w:tc>
        <w:tc>
          <w:tcPr>
            <w:tcW w:w="1037" w:type="dxa"/>
            <w:tcBorders>
              <w:top w:val="single" w:sz="4" w:space="0" w:color="auto"/>
              <w:left w:val="nil"/>
              <w:bottom w:val="single" w:sz="4" w:space="0" w:color="auto"/>
              <w:right w:val="single" w:sz="4" w:space="0" w:color="auto"/>
            </w:tcBorders>
            <w:shd w:val="clear" w:color="000000" w:fill="2F5496"/>
            <w:vAlign w:val="center"/>
            <w:hideMark/>
          </w:tcPr>
          <w:p w:rsidR="000F236F" w:rsidRDefault="000F236F" w:rsidP="00DB5405">
            <w:pPr>
              <w:jc w:val="center"/>
              <w:rPr>
                <w:rFonts w:ascii="Garamond" w:eastAsia="Times New Roman" w:hAnsi="Garamond" w:cs="Calibri"/>
                <w:b/>
                <w:bCs/>
                <w:color w:val="FFFFFF"/>
                <w:sz w:val="20"/>
                <w:szCs w:val="20"/>
                <w:lang w:val="en-IN" w:eastAsia="en-IN"/>
              </w:rPr>
            </w:pPr>
            <w:r>
              <w:rPr>
                <w:rFonts w:ascii="Garamond" w:eastAsia="Times New Roman" w:hAnsi="Garamond" w:cs="Calibri"/>
                <w:b/>
                <w:bCs/>
                <w:color w:val="FFFFFF"/>
                <w:sz w:val="20"/>
                <w:szCs w:val="20"/>
                <w:lang w:val="en-IN" w:eastAsia="en-IN"/>
              </w:rPr>
              <w:t>Equity</w:t>
            </w:r>
          </w:p>
        </w:tc>
        <w:tc>
          <w:tcPr>
            <w:tcW w:w="1038" w:type="dxa"/>
            <w:tcBorders>
              <w:top w:val="single" w:sz="4" w:space="0" w:color="auto"/>
              <w:left w:val="nil"/>
              <w:bottom w:val="single" w:sz="4" w:space="0" w:color="auto"/>
              <w:right w:val="single" w:sz="4" w:space="0" w:color="auto"/>
            </w:tcBorders>
            <w:shd w:val="clear" w:color="000000" w:fill="2F5496"/>
            <w:vAlign w:val="center"/>
            <w:hideMark/>
          </w:tcPr>
          <w:p w:rsidR="000F236F" w:rsidRDefault="000F236F" w:rsidP="00DB5405">
            <w:pPr>
              <w:jc w:val="center"/>
              <w:rPr>
                <w:rFonts w:ascii="Garamond" w:eastAsia="Times New Roman" w:hAnsi="Garamond" w:cs="Calibri"/>
                <w:b/>
                <w:bCs/>
                <w:color w:val="FFFFFF"/>
                <w:sz w:val="20"/>
                <w:szCs w:val="20"/>
                <w:lang w:val="en-IN" w:eastAsia="en-IN"/>
              </w:rPr>
            </w:pPr>
            <w:r>
              <w:rPr>
                <w:rFonts w:ascii="Garamond" w:eastAsia="Times New Roman" w:hAnsi="Garamond" w:cs="Calibri"/>
                <w:b/>
                <w:bCs/>
                <w:color w:val="FFFFFF"/>
                <w:sz w:val="20"/>
                <w:szCs w:val="20"/>
                <w:lang w:val="en-IN" w:eastAsia="en-IN"/>
              </w:rPr>
              <w:t>Total</w:t>
            </w:r>
          </w:p>
        </w:tc>
      </w:tr>
      <w:tr w:rsidR="000F236F" w:rsidTr="00DB5405">
        <w:trPr>
          <w:trHeight w:val="254"/>
        </w:trPr>
        <w:tc>
          <w:tcPr>
            <w:tcW w:w="3358" w:type="dxa"/>
            <w:tcBorders>
              <w:top w:val="nil"/>
              <w:left w:val="single" w:sz="4" w:space="0" w:color="auto"/>
              <w:bottom w:val="single" w:sz="4" w:space="0" w:color="auto"/>
              <w:right w:val="single" w:sz="4" w:space="0" w:color="auto"/>
            </w:tcBorders>
            <w:shd w:val="clear" w:color="auto" w:fill="auto"/>
            <w:vAlign w:val="center"/>
            <w:hideMark/>
          </w:tcPr>
          <w:p w:rsidR="000F236F" w:rsidRDefault="000F236F" w:rsidP="00DB5405">
            <w:pPr>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B3 - Brasil Bolsa Balcão</w:t>
            </w:r>
          </w:p>
        </w:tc>
        <w:tc>
          <w:tcPr>
            <w:tcW w:w="1037" w:type="dxa"/>
            <w:tcBorders>
              <w:top w:val="nil"/>
              <w:left w:val="nil"/>
              <w:bottom w:val="single" w:sz="4" w:space="0" w:color="auto"/>
              <w:right w:val="single" w:sz="4"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NA</w:t>
            </w:r>
          </w:p>
        </w:tc>
        <w:tc>
          <w:tcPr>
            <w:tcW w:w="1037" w:type="dxa"/>
            <w:tcBorders>
              <w:top w:val="nil"/>
              <w:left w:val="nil"/>
              <w:bottom w:val="single" w:sz="4" w:space="0" w:color="auto"/>
              <w:right w:val="single" w:sz="4"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0</w:t>
            </w:r>
          </w:p>
        </w:tc>
        <w:tc>
          <w:tcPr>
            <w:tcW w:w="1038" w:type="dxa"/>
            <w:tcBorders>
              <w:top w:val="nil"/>
              <w:left w:val="nil"/>
              <w:bottom w:val="single" w:sz="4" w:space="0" w:color="auto"/>
              <w:right w:val="single" w:sz="4"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0</w:t>
            </w:r>
          </w:p>
        </w:tc>
        <w:tc>
          <w:tcPr>
            <w:tcW w:w="1037" w:type="dxa"/>
            <w:tcBorders>
              <w:top w:val="nil"/>
              <w:left w:val="nil"/>
              <w:bottom w:val="single" w:sz="4" w:space="0" w:color="auto"/>
              <w:right w:val="single" w:sz="4"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0</w:t>
            </w:r>
          </w:p>
        </w:tc>
        <w:tc>
          <w:tcPr>
            <w:tcW w:w="1037" w:type="dxa"/>
            <w:tcBorders>
              <w:top w:val="nil"/>
              <w:left w:val="nil"/>
              <w:bottom w:val="single" w:sz="4" w:space="0" w:color="auto"/>
              <w:right w:val="single" w:sz="4"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0</w:t>
            </w:r>
          </w:p>
        </w:tc>
        <w:tc>
          <w:tcPr>
            <w:tcW w:w="1038" w:type="dxa"/>
            <w:tcBorders>
              <w:top w:val="nil"/>
              <w:left w:val="nil"/>
              <w:bottom w:val="single" w:sz="4" w:space="0" w:color="auto"/>
              <w:right w:val="single" w:sz="4"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0</w:t>
            </w:r>
          </w:p>
        </w:tc>
      </w:tr>
      <w:tr w:rsidR="000F236F" w:rsidTr="00DB5405">
        <w:trPr>
          <w:trHeight w:val="254"/>
        </w:trPr>
        <w:tc>
          <w:tcPr>
            <w:tcW w:w="3358" w:type="dxa"/>
            <w:tcBorders>
              <w:top w:val="nil"/>
              <w:left w:val="single" w:sz="4" w:space="0" w:color="auto"/>
              <w:bottom w:val="single" w:sz="4" w:space="0" w:color="auto"/>
              <w:right w:val="single" w:sz="4" w:space="0" w:color="auto"/>
            </w:tcBorders>
            <w:shd w:val="clear" w:color="auto" w:fill="auto"/>
            <w:vAlign w:val="center"/>
            <w:hideMark/>
          </w:tcPr>
          <w:p w:rsidR="000F236F" w:rsidRDefault="000F236F" w:rsidP="00DB5405">
            <w:pPr>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Nasdaq - US</w:t>
            </w:r>
          </w:p>
        </w:tc>
        <w:tc>
          <w:tcPr>
            <w:tcW w:w="1037" w:type="dxa"/>
            <w:tcBorders>
              <w:top w:val="nil"/>
              <w:left w:val="nil"/>
              <w:bottom w:val="single" w:sz="4" w:space="0" w:color="auto"/>
              <w:right w:val="single" w:sz="4"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NA</w:t>
            </w:r>
          </w:p>
        </w:tc>
        <w:tc>
          <w:tcPr>
            <w:tcW w:w="1037" w:type="dxa"/>
            <w:tcBorders>
              <w:top w:val="nil"/>
              <w:left w:val="nil"/>
              <w:bottom w:val="single" w:sz="4" w:space="0" w:color="auto"/>
              <w:right w:val="single" w:sz="4"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NA</w:t>
            </w:r>
          </w:p>
        </w:tc>
        <w:tc>
          <w:tcPr>
            <w:tcW w:w="1038" w:type="dxa"/>
            <w:tcBorders>
              <w:top w:val="nil"/>
              <w:left w:val="nil"/>
              <w:bottom w:val="single" w:sz="4" w:space="0" w:color="auto"/>
              <w:right w:val="single" w:sz="4"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NA</w:t>
            </w:r>
          </w:p>
        </w:tc>
        <w:tc>
          <w:tcPr>
            <w:tcW w:w="1037" w:type="dxa"/>
            <w:tcBorders>
              <w:top w:val="nil"/>
              <w:left w:val="nil"/>
              <w:bottom w:val="single" w:sz="4" w:space="0" w:color="auto"/>
              <w:right w:val="single" w:sz="4"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NA</w:t>
            </w:r>
          </w:p>
        </w:tc>
        <w:tc>
          <w:tcPr>
            <w:tcW w:w="1037" w:type="dxa"/>
            <w:tcBorders>
              <w:top w:val="nil"/>
              <w:left w:val="nil"/>
              <w:bottom w:val="single" w:sz="4" w:space="0" w:color="auto"/>
              <w:right w:val="single" w:sz="4" w:space="0" w:color="auto"/>
            </w:tcBorders>
            <w:shd w:val="clear" w:color="auto" w:fill="auto"/>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NA</w:t>
            </w:r>
          </w:p>
        </w:tc>
        <w:tc>
          <w:tcPr>
            <w:tcW w:w="1038" w:type="dxa"/>
            <w:tcBorders>
              <w:top w:val="nil"/>
              <w:left w:val="nil"/>
              <w:bottom w:val="single" w:sz="4" w:space="0" w:color="auto"/>
              <w:right w:val="single" w:sz="4" w:space="0" w:color="auto"/>
            </w:tcBorders>
            <w:shd w:val="clear" w:color="auto" w:fill="auto"/>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NA</w:t>
            </w:r>
          </w:p>
        </w:tc>
      </w:tr>
      <w:tr w:rsidR="000F236F" w:rsidTr="00DB5405">
        <w:trPr>
          <w:trHeight w:val="254"/>
        </w:trPr>
        <w:tc>
          <w:tcPr>
            <w:tcW w:w="3358" w:type="dxa"/>
            <w:tcBorders>
              <w:top w:val="nil"/>
              <w:left w:val="single" w:sz="4" w:space="0" w:color="auto"/>
              <w:bottom w:val="single" w:sz="4" w:space="0" w:color="auto"/>
              <w:right w:val="single" w:sz="4" w:space="0" w:color="auto"/>
            </w:tcBorders>
            <w:shd w:val="clear" w:color="auto" w:fill="auto"/>
            <w:vAlign w:val="center"/>
            <w:hideMark/>
          </w:tcPr>
          <w:p w:rsidR="000F236F" w:rsidRDefault="000F236F" w:rsidP="00DB5405">
            <w:pPr>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NYSE</w:t>
            </w:r>
          </w:p>
        </w:tc>
        <w:tc>
          <w:tcPr>
            <w:tcW w:w="1037" w:type="dxa"/>
            <w:tcBorders>
              <w:top w:val="nil"/>
              <w:left w:val="nil"/>
              <w:bottom w:val="single" w:sz="4" w:space="0" w:color="auto"/>
              <w:right w:val="single" w:sz="4"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NA</w:t>
            </w:r>
          </w:p>
        </w:tc>
        <w:tc>
          <w:tcPr>
            <w:tcW w:w="1037" w:type="dxa"/>
            <w:tcBorders>
              <w:top w:val="nil"/>
              <w:left w:val="nil"/>
              <w:bottom w:val="single" w:sz="4" w:space="0" w:color="auto"/>
              <w:right w:val="single" w:sz="4" w:space="0" w:color="auto"/>
            </w:tcBorders>
            <w:shd w:val="clear" w:color="auto" w:fill="auto"/>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NA</w:t>
            </w:r>
          </w:p>
        </w:tc>
        <w:tc>
          <w:tcPr>
            <w:tcW w:w="1038" w:type="dxa"/>
            <w:tcBorders>
              <w:top w:val="nil"/>
              <w:left w:val="nil"/>
              <w:bottom w:val="single" w:sz="4" w:space="0" w:color="auto"/>
              <w:right w:val="single" w:sz="4" w:space="0" w:color="auto"/>
            </w:tcBorders>
            <w:shd w:val="clear" w:color="auto" w:fill="auto"/>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NA</w:t>
            </w:r>
          </w:p>
        </w:tc>
        <w:tc>
          <w:tcPr>
            <w:tcW w:w="1037" w:type="dxa"/>
            <w:tcBorders>
              <w:top w:val="nil"/>
              <w:left w:val="nil"/>
              <w:bottom w:val="single" w:sz="4" w:space="0" w:color="auto"/>
              <w:right w:val="single" w:sz="4"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NA</w:t>
            </w:r>
          </w:p>
        </w:tc>
        <w:tc>
          <w:tcPr>
            <w:tcW w:w="1037" w:type="dxa"/>
            <w:tcBorders>
              <w:top w:val="nil"/>
              <w:left w:val="nil"/>
              <w:bottom w:val="single" w:sz="4" w:space="0" w:color="auto"/>
              <w:right w:val="single" w:sz="4"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NA</w:t>
            </w:r>
          </w:p>
        </w:tc>
        <w:tc>
          <w:tcPr>
            <w:tcW w:w="1038" w:type="dxa"/>
            <w:tcBorders>
              <w:top w:val="nil"/>
              <w:left w:val="nil"/>
              <w:bottom w:val="single" w:sz="4" w:space="0" w:color="auto"/>
              <w:right w:val="single" w:sz="4"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NA</w:t>
            </w:r>
          </w:p>
        </w:tc>
      </w:tr>
      <w:tr w:rsidR="000F236F" w:rsidTr="00DB5405">
        <w:trPr>
          <w:trHeight w:val="254"/>
        </w:trPr>
        <w:tc>
          <w:tcPr>
            <w:tcW w:w="3358" w:type="dxa"/>
            <w:tcBorders>
              <w:top w:val="nil"/>
              <w:left w:val="single" w:sz="4" w:space="0" w:color="auto"/>
              <w:bottom w:val="single" w:sz="4" w:space="0" w:color="auto"/>
              <w:right w:val="single" w:sz="4" w:space="0" w:color="auto"/>
            </w:tcBorders>
            <w:shd w:val="clear" w:color="auto" w:fill="auto"/>
            <w:vAlign w:val="center"/>
            <w:hideMark/>
          </w:tcPr>
          <w:p w:rsidR="000F236F" w:rsidRDefault="000F236F" w:rsidP="00DB5405">
            <w:pPr>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ASX Australian Securities Exchange</w:t>
            </w:r>
          </w:p>
        </w:tc>
        <w:tc>
          <w:tcPr>
            <w:tcW w:w="1037" w:type="dxa"/>
            <w:tcBorders>
              <w:top w:val="nil"/>
              <w:left w:val="nil"/>
              <w:bottom w:val="single" w:sz="4" w:space="0" w:color="auto"/>
              <w:right w:val="single" w:sz="4"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NA</w:t>
            </w:r>
          </w:p>
        </w:tc>
        <w:tc>
          <w:tcPr>
            <w:tcW w:w="1037" w:type="dxa"/>
            <w:tcBorders>
              <w:top w:val="nil"/>
              <w:left w:val="nil"/>
              <w:bottom w:val="single" w:sz="4" w:space="0" w:color="auto"/>
              <w:right w:val="single" w:sz="4"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2,688</w:t>
            </w:r>
          </w:p>
        </w:tc>
        <w:tc>
          <w:tcPr>
            <w:tcW w:w="1038" w:type="dxa"/>
            <w:tcBorders>
              <w:top w:val="nil"/>
              <w:left w:val="nil"/>
              <w:bottom w:val="single" w:sz="4" w:space="0" w:color="auto"/>
              <w:right w:val="single" w:sz="4"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2,688</w:t>
            </w:r>
          </w:p>
        </w:tc>
        <w:tc>
          <w:tcPr>
            <w:tcW w:w="1037" w:type="dxa"/>
            <w:tcBorders>
              <w:top w:val="nil"/>
              <w:left w:val="nil"/>
              <w:bottom w:val="single" w:sz="4" w:space="0" w:color="auto"/>
              <w:right w:val="single" w:sz="4"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NA</w:t>
            </w:r>
          </w:p>
        </w:tc>
        <w:tc>
          <w:tcPr>
            <w:tcW w:w="1037" w:type="dxa"/>
            <w:tcBorders>
              <w:top w:val="nil"/>
              <w:left w:val="nil"/>
              <w:bottom w:val="single" w:sz="4" w:space="0" w:color="auto"/>
              <w:right w:val="single" w:sz="4"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3,342</w:t>
            </w:r>
          </w:p>
        </w:tc>
        <w:tc>
          <w:tcPr>
            <w:tcW w:w="1038" w:type="dxa"/>
            <w:tcBorders>
              <w:top w:val="nil"/>
              <w:left w:val="nil"/>
              <w:bottom w:val="single" w:sz="4" w:space="0" w:color="auto"/>
              <w:right w:val="single" w:sz="4"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3,342</w:t>
            </w:r>
          </w:p>
        </w:tc>
      </w:tr>
      <w:tr w:rsidR="000F236F" w:rsidTr="00DB5405">
        <w:trPr>
          <w:trHeight w:val="254"/>
        </w:trPr>
        <w:tc>
          <w:tcPr>
            <w:tcW w:w="3358" w:type="dxa"/>
            <w:tcBorders>
              <w:top w:val="nil"/>
              <w:left w:val="single" w:sz="4" w:space="0" w:color="auto"/>
              <w:bottom w:val="single" w:sz="4" w:space="0" w:color="auto"/>
              <w:right w:val="single" w:sz="4" w:space="0" w:color="auto"/>
            </w:tcBorders>
            <w:shd w:val="clear" w:color="auto" w:fill="auto"/>
            <w:vAlign w:val="center"/>
            <w:hideMark/>
          </w:tcPr>
          <w:p w:rsidR="000F236F" w:rsidRDefault="000F236F" w:rsidP="00DB5405">
            <w:pPr>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Hong Kong Exchanges and Clearing</w:t>
            </w:r>
          </w:p>
        </w:tc>
        <w:tc>
          <w:tcPr>
            <w:tcW w:w="1037" w:type="dxa"/>
            <w:tcBorders>
              <w:top w:val="nil"/>
              <w:left w:val="nil"/>
              <w:bottom w:val="single" w:sz="4" w:space="0" w:color="auto"/>
              <w:right w:val="single" w:sz="4"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16,773</w:t>
            </w:r>
          </w:p>
        </w:tc>
        <w:tc>
          <w:tcPr>
            <w:tcW w:w="1037" w:type="dxa"/>
            <w:tcBorders>
              <w:top w:val="nil"/>
              <w:left w:val="nil"/>
              <w:bottom w:val="single" w:sz="4" w:space="0" w:color="auto"/>
              <w:right w:val="single" w:sz="4"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10,583</w:t>
            </w:r>
          </w:p>
        </w:tc>
        <w:tc>
          <w:tcPr>
            <w:tcW w:w="1038" w:type="dxa"/>
            <w:tcBorders>
              <w:top w:val="nil"/>
              <w:left w:val="nil"/>
              <w:bottom w:val="single" w:sz="4" w:space="0" w:color="auto"/>
              <w:right w:val="single" w:sz="4"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27,356</w:t>
            </w:r>
          </w:p>
        </w:tc>
        <w:tc>
          <w:tcPr>
            <w:tcW w:w="1037" w:type="dxa"/>
            <w:tcBorders>
              <w:top w:val="nil"/>
              <w:left w:val="nil"/>
              <w:bottom w:val="single" w:sz="4" w:space="0" w:color="auto"/>
              <w:right w:val="single" w:sz="4"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17,311</w:t>
            </w:r>
          </w:p>
        </w:tc>
        <w:tc>
          <w:tcPr>
            <w:tcW w:w="1037" w:type="dxa"/>
            <w:tcBorders>
              <w:top w:val="nil"/>
              <w:left w:val="nil"/>
              <w:bottom w:val="single" w:sz="4" w:space="0" w:color="auto"/>
              <w:right w:val="single" w:sz="4"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7,666</w:t>
            </w:r>
          </w:p>
        </w:tc>
        <w:tc>
          <w:tcPr>
            <w:tcW w:w="1038" w:type="dxa"/>
            <w:tcBorders>
              <w:top w:val="nil"/>
              <w:left w:val="nil"/>
              <w:bottom w:val="single" w:sz="4" w:space="0" w:color="auto"/>
              <w:right w:val="single" w:sz="4"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24,976</w:t>
            </w:r>
          </w:p>
        </w:tc>
      </w:tr>
      <w:tr w:rsidR="000F236F" w:rsidTr="00DB5405">
        <w:trPr>
          <w:trHeight w:val="254"/>
        </w:trPr>
        <w:tc>
          <w:tcPr>
            <w:tcW w:w="3358" w:type="dxa"/>
            <w:tcBorders>
              <w:top w:val="nil"/>
              <w:left w:val="single" w:sz="4" w:space="0" w:color="auto"/>
              <w:bottom w:val="single" w:sz="4" w:space="0" w:color="auto"/>
              <w:right w:val="single" w:sz="4" w:space="0" w:color="auto"/>
            </w:tcBorders>
            <w:shd w:val="clear" w:color="auto" w:fill="auto"/>
            <w:vAlign w:val="center"/>
            <w:hideMark/>
          </w:tcPr>
          <w:p w:rsidR="000F236F" w:rsidRDefault="000F236F" w:rsidP="00DB5405">
            <w:pPr>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Japan Exchange Group</w:t>
            </w:r>
          </w:p>
        </w:tc>
        <w:tc>
          <w:tcPr>
            <w:tcW w:w="1037" w:type="dxa"/>
            <w:tcBorders>
              <w:top w:val="nil"/>
              <w:left w:val="nil"/>
              <w:bottom w:val="single" w:sz="4" w:space="0" w:color="auto"/>
              <w:right w:val="single" w:sz="4"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21,077</w:t>
            </w:r>
          </w:p>
        </w:tc>
        <w:tc>
          <w:tcPr>
            <w:tcW w:w="1037" w:type="dxa"/>
            <w:tcBorders>
              <w:top w:val="nil"/>
              <w:left w:val="nil"/>
              <w:bottom w:val="single" w:sz="4" w:space="0" w:color="auto"/>
              <w:right w:val="single" w:sz="4"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1,541</w:t>
            </w:r>
          </w:p>
        </w:tc>
        <w:tc>
          <w:tcPr>
            <w:tcW w:w="1038" w:type="dxa"/>
            <w:tcBorders>
              <w:top w:val="nil"/>
              <w:left w:val="nil"/>
              <w:bottom w:val="single" w:sz="4" w:space="0" w:color="auto"/>
              <w:right w:val="single" w:sz="4"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22,618</w:t>
            </w:r>
          </w:p>
        </w:tc>
        <w:tc>
          <w:tcPr>
            <w:tcW w:w="1037" w:type="dxa"/>
            <w:tcBorders>
              <w:top w:val="nil"/>
              <w:left w:val="nil"/>
              <w:bottom w:val="single" w:sz="4" w:space="0" w:color="auto"/>
              <w:right w:val="single" w:sz="4"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NA</w:t>
            </w:r>
          </w:p>
        </w:tc>
        <w:tc>
          <w:tcPr>
            <w:tcW w:w="1037" w:type="dxa"/>
            <w:tcBorders>
              <w:top w:val="nil"/>
              <w:left w:val="nil"/>
              <w:bottom w:val="single" w:sz="4" w:space="0" w:color="auto"/>
              <w:right w:val="single" w:sz="4"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3,571</w:t>
            </w:r>
          </w:p>
        </w:tc>
        <w:tc>
          <w:tcPr>
            <w:tcW w:w="1038" w:type="dxa"/>
            <w:tcBorders>
              <w:top w:val="nil"/>
              <w:left w:val="nil"/>
              <w:bottom w:val="single" w:sz="4" w:space="0" w:color="auto"/>
              <w:right w:val="single" w:sz="4"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3,571</w:t>
            </w:r>
          </w:p>
        </w:tc>
      </w:tr>
      <w:tr w:rsidR="000F236F" w:rsidTr="00DB5405">
        <w:trPr>
          <w:trHeight w:val="254"/>
        </w:trPr>
        <w:tc>
          <w:tcPr>
            <w:tcW w:w="3358" w:type="dxa"/>
            <w:tcBorders>
              <w:top w:val="nil"/>
              <w:left w:val="single" w:sz="4" w:space="0" w:color="auto"/>
              <w:bottom w:val="single" w:sz="4" w:space="0" w:color="auto"/>
              <w:right w:val="single" w:sz="4" w:space="0" w:color="auto"/>
            </w:tcBorders>
            <w:shd w:val="clear" w:color="auto" w:fill="auto"/>
            <w:vAlign w:val="center"/>
            <w:hideMark/>
          </w:tcPr>
          <w:p w:rsidR="000F236F" w:rsidRDefault="000F236F" w:rsidP="00DB5405">
            <w:pPr>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Korea Exchange</w:t>
            </w:r>
          </w:p>
        </w:tc>
        <w:tc>
          <w:tcPr>
            <w:tcW w:w="1037" w:type="dxa"/>
            <w:tcBorders>
              <w:top w:val="nil"/>
              <w:left w:val="nil"/>
              <w:bottom w:val="single" w:sz="4" w:space="0" w:color="auto"/>
              <w:right w:val="single" w:sz="4"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46,787</w:t>
            </w:r>
          </w:p>
        </w:tc>
        <w:tc>
          <w:tcPr>
            <w:tcW w:w="1037" w:type="dxa"/>
            <w:tcBorders>
              <w:top w:val="nil"/>
              <w:left w:val="nil"/>
              <w:bottom w:val="single" w:sz="4" w:space="0" w:color="auto"/>
              <w:right w:val="single" w:sz="4"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NA</w:t>
            </w:r>
          </w:p>
        </w:tc>
        <w:tc>
          <w:tcPr>
            <w:tcW w:w="1038" w:type="dxa"/>
            <w:tcBorders>
              <w:top w:val="nil"/>
              <w:left w:val="nil"/>
              <w:bottom w:val="single" w:sz="4" w:space="0" w:color="auto"/>
              <w:right w:val="single" w:sz="4"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46,787</w:t>
            </w:r>
          </w:p>
        </w:tc>
        <w:tc>
          <w:tcPr>
            <w:tcW w:w="1037" w:type="dxa"/>
            <w:tcBorders>
              <w:top w:val="nil"/>
              <w:left w:val="nil"/>
              <w:bottom w:val="single" w:sz="4" w:space="0" w:color="auto"/>
              <w:right w:val="single" w:sz="4"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51,808</w:t>
            </w:r>
          </w:p>
        </w:tc>
        <w:tc>
          <w:tcPr>
            <w:tcW w:w="1037" w:type="dxa"/>
            <w:tcBorders>
              <w:top w:val="nil"/>
              <w:left w:val="nil"/>
              <w:bottom w:val="single" w:sz="4" w:space="0" w:color="auto"/>
              <w:right w:val="single" w:sz="4"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NA</w:t>
            </w:r>
          </w:p>
        </w:tc>
        <w:tc>
          <w:tcPr>
            <w:tcW w:w="1038" w:type="dxa"/>
            <w:tcBorders>
              <w:top w:val="nil"/>
              <w:left w:val="nil"/>
              <w:bottom w:val="single" w:sz="4" w:space="0" w:color="auto"/>
              <w:right w:val="single" w:sz="4"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51,808</w:t>
            </w:r>
          </w:p>
        </w:tc>
      </w:tr>
      <w:tr w:rsidR="000F236F" w:rsidTr="00DB5405">
        <w:trPr>
          <w:trHeight w:val="254"/>
        </w:trPr>
        <w:tc>
          <w:tcPr>
            <w:tcW w:w="3358" w:type="dxa"/>
            <w:tcBorders>
              <w:top w:val="nil"/>
              <w:left w:val="single" w:sz="4" w:space="0" w:color="auto"/>
              <w:bottom w:val="single" w:sz="4" w:space="0" w:color="auto"/>
              <w:right w:val="single" w:sz="4" w:space="0" w:color="auto"/>
            </w:tcBorders>
            <w:shd w:val="clear" w:color="auto" w:fill="auto"/>
            <w:vAlign w:val="center"/>
            <w:hideMark/>
          </w:tcPr>
          <w:p w:rsidR="000F236F" w:rsidRDefault="000F236F" w:rsidP="00DB5405">
            <w:pPr>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National Stock Exchange of India</w:t>
            </w:r>
          </w:p>
        </w:tc>
        <w:tc>
          <w:tcPr>
            <w:tcW w:w="1037" w:type="dxa"/>
            <w:tcBorders>
              <w:top w:val="nil"/>
              <w:left w:val="nil"/>
              <w:bottom w:val="single" w:sz="4" w:space="0" w:color="auto"/>
              <w:right w:val="single" w:sz="4"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56,643</w:t>
            </w:r>
          </w:p>
        </w:tc>
        <w:tc>
          <w:tcPr>
            <w:tcW w:w="1037" w:type="dxa"/>
            <w:tcBorders>
              <w:top w:val="nil"/>
              <w:left w:val="nil"/>
              <w:bottom w:val="single" w:sz="4" w:space="0" w:color="auto"/>
              <w:right w:val="single" w:sz="4"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534</w:t>
            </w:r>
          </w:p>
        </w:tc>
        <w:tc>
          <w:tcPr>
            <w:tcW w:w="1038" w:type="dxa"/>
            <w:tcBorders>
              <w:top w:val="nil"/>
              <w:left w:val="nil"/>
              <w:bottom w:val="single" w:sz="4" w:space="0" w:color="auto"/>
              <w:right w:val="single" w:sz="4"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57,176</w:t>
            </w:r>
          </w:p>
        </w:tc>
        <w:tc>
          <w:tcPr>
            <w:tcW w:w="1037" w:type="dxa"/>
            <w:tcBorders>
              <w:top w:val="nil"/>
              <w:left w:val="nil"/>
              <w:bottom w:val="single" w:sz="4" w:space="0" w:color="auto"/>
              <w:right w:val="single" w:sz="4"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55,347</w:t>
            </w:r>
          </w:p>
        </w:tc>
        <w:tc>
          <w:tcPr>
            <w:tcW w:w="1037" w:type="dxa"/>
            <w:tcBorders>
              <w:top w:val="nil"/>
              <w:left w:val="nil"/>
              <w:bottom w:val="single" w:sz="4" w:space="0" w:color="auto"/>
              <w:right w:val="single" w:sz="4"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6,617</w:t>
            </w:r>
          </w:p>
        </w:tc>
        <w:tc>
          <w:tcPr>
            <w:tcW w:w="1038" w:type="dxa"/>
            <w:tcBorders>
              <w:top w:val="nil"/>
              <w:left w:val="nil"/>
              <w:bottom w:val="single" w:sz="4" w:space="0" w:color="auto"/>
              <w:right w:val="single" w:sz="4"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61,964</w:t>
            </w:r>
          </w:p>
        </w:tc>
      </w:tr>
      <w:tr w:rsidR="000F236F" w:rsidTr="00DB5405">
        <w:trPr>
          <w:trHeight w:val="254"/>
        </w:trPr>
        <w:tc>
          <w:tcPr>
            <w:tcW w:w="3358" w:type="dxa"/>
            <w:tcBorders>
              <w:top w:val="nil"/>
              <w:left w:val="single" w:sz="4" w:space="0" w:color="auto"/>
              <w:bottom w:val="single" w:sz="4" w:space="0" w:color="auto"/>
              <w:right w:val="single" w:sz="4" w:space="0" w:color="auto"/>
            </w:tcBorders>
            <w:shd w:val="clear" w:color="auto" w:fill="auto"/>
            <w:vAlign w:val="center"/>
            <w:hideMark/>
          </w:tcPr>
          <w:p w:rsidR="000F236F" w:rsidRDefault="000F236F" w:rsidP="00DB5405">
            <w:pPr>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Shanghai Stock Exchange</w:t>
            </w:r>
          </w:p>
        </w:tc>
        <w:tc>
          <w:tcPr>
            <w:tcW w:w="1037" w:type="dxa"/>
            <w:tcBorders>
              <w:top w:val="nil"/>
              <w:left w:val="nil"/>
              <w:bottom w:val="single" w:sz="4" w:space="0" w:color="auto"/>
              <w:right w:val="single" w:sz="4"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NA</w:t>
            </w:r>
          </w:p>
        </w:tc>
        <w:tc>
          <w:tcPr>
            <w:tcW w:w="1037" w:type="dxa"/>
            <w:tcBorders>
              <w:top w:val="nil"/>
              <w:left w:val="nil"/>
              <w:bottom w:val="single" w:sz="4" w:space="0" w:color="auto"/>
              <w:right w:val="single" w:sz="4"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20,076</w:t>
            </w:r>
          </w:p>
        </w:tc>
        <w:tc>
          <w:tcPr>
            <w:tcW w:w="1038" w:type="dxa"/>
            <w:tcBorders>
              <w:top w:val="nil"/>
              <w:left w:val="nil"/>
              <w:bottom w:val="single" w:sz="4" w:space="0" w:color="auto"/>
              <w:right w:val="single" w:sz="4"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20,076</w:t>
            </w:r>
          </w:p>
        </w:tc>
        <w:tc>
          <w:tcPr>
            <w:tcW w:w="1037" w:type="dxa"/>
            <w:tcBorders>
              <w:top w:val="nil"/>
              <w:left w:val="nil"/>
              <w:bottom w:val="single" w:sz="4" w:space="0" w:color="auto"/>
              <w:right w:val="single" w:sz="4"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NA</w:t>
            </w:r>
          </w:p>
        </w:tc>
        <w:tc>
          <w:tcPr>
            <w:tcW w:w="1037" w:type="dxa"/>
            <w:tcBorders>
              <w:top w:val="nil"/>
              <w:left w:val="nil"/>
              <w:bottom w:val="single" w:sz="4" w:space="0" w:color="auto"/>
              <w:right w:val="single" w:sz="4"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13,796</w:t>
            </w:r>
          </w:p>
        </w:tc>
        <w:tc>
          <w:tcPr>
            <w:tcW w:w="1038" w:type="dxa"/>
            <w:tcBorders>
              <w:top w:val="nil"/>
              <w:left w:val="nil"/>
              <w:bottom w:val="single" w:sz="4" w:space="0" w:color="auto"/>
              <w:right w:val="single" w:sz="4"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13,796</w:t>
            </w:r>
          </w:p>
        </w:tc>
      </w:tr>
      <w:tr w:rsidR="000F236F" w:rsidTr="00DB5405">
        <w:trPr>
          <w:trHeight w:val="254"/>
        </w:trPr>
        <w:tc>
          <w:tcPr>
            <w:tcW w:w="3358" w:type="dxa"/>
            <w:tcBorders>
              <w:top w:val="nil"/>
              <w:left w:val="single" w:sz="4" w:space="0" w:color="auto"/>
              <w:bottom w:val="single" w:sz="4" w:space="0" w:color="auto"/>
              <w:right w:val="single" w:sz="4" w:space="0" w:color="auto"/>
            </w:tcBorders>
            <w:shd w:val="clear" w:color="auto" w:fill="auto"/>
            <w:vAlign w:val="center"/>
            <w:hideMark/>
          </w:tcPr>
          <w:p w:rsidR="000F236F" w:rsidRDefault="000F236F" w:rsidP="00DB5405">
            <w:pPr>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Shenzhen Stock Exchange</w:t>
            </w:r>
          </w:p>
        </w:tc>
        <w:tc>
          <w:tcPr>
            <w:tcW w:w="1037" w:type="dxa"/>
            <w:tcBorders>
              <w:top w:val="nil"/>
              <w:left w:val="nil"/>
              <w:bottom w:val="single" w:sz="4" w:space="0" w:color="auto"/>
              <w:right w:val="single" w:sz="4"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15,273</w:t>
            </w:r>
          </w:p>
        </w:tc>
        <w:tc>
          <w:tcPr>
            <w:tcW w:w="1037" w:type="dxa"/>
            <w:tcBorders>
              <w:top w:val="nil"/>
              <w:left w:val="nil"/>
              <w:bottom w:val="single" w:sz="4" w:space="0" w:color="auto"/>
              <w:right w:val="single" w:sz="4"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6,703</w:t>
            </w:r>
          </w:p>
        </w:tc>
        <w:tc>
          <w:tcPr>
            <w:tcW w:w="1038" w:type="dxa"/>
            <w:tcBorders>
              <w:top w:val="nil"/>
              <w:left w:val="nil"/>
              <w:bottom w:val="single" w:sz="4" w:space="0" w:color="auto"/>
              <w:right w:val="single" w:sz="4"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21,976</w:t>
            </w:r>
          </w:p>
        </w:tc>
        <w:tc>
          <w:tcPr>
            <w:tcW w:w="1037" w:type="dxa"/>
            <w:tcBorders>
              <w:top w:val="nil"/>
              <w:left w:val="nil"/>
              <w:bottom w:val="single" w:sz="4" w:space="0" w:color="auto"/>
              <w:right w:val="single" w:sz="4"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28,672</w:t>
            </w:r>
          </w:p>
        </w:tc>
        <w:tc>
          <w:tcPr>
            <w:tcW w:w="1037" w:type="dxa"/>
            <w:tcBorders>
              <w:top w:val="nil"/>
              <w:left w:val="nil"/>
              <w:bottom w:val="single" w:sz="4" w:space="0" w:color="auto"/>
              <w:right w:val="single" w:sz="4"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12,478</w:t>
            </w:r>
          </w:p>
        </w:tc>
        <w:tc>
          <w:tcPr>
            <w:tcW w:w="1038" w:type="dxa"/>
            <w:tcBorders>
              <w:top w:val="nil"/>
              <w:left w:val="nil"/>
              <w:bottom w:val="single" w:sz="4" w:space="0" w:color="auto"/>
              <w:right w:val="single" w:sz="4"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41,150</w:t>
            </w:r>
          </w:p>
        </w:tc>
      </w:tr>
      <w:tr w:rsidR="000F236F" w:rsidTr="00DB5405">
        <w:trPr>
          <w:trHeight w:val="254"/>
        </w:trPr>
        <w:tc>
          <w:tcPr>
            <w:tcW w:w="3358" w:type="dxa"/>
            <w:tcBorders>
              <w:top w:val="nil"/>
              <w:left w:val="single" w:sz="4" w:space="0" w:color="auto"/>
              <w:bottom w:val="single" w:sz="4" w:space="0" w:color="auto"/>
              <w:right w:val="single" w:sz="4" w:space="0" w:color="auto"/>
            </w:tcBorders>
            <w:shd w:val="clear" w:color="auto" w:fill="auto"/>
            <w:vAlign w:val="center"/>
            <w:hideMark/>
          </w:tcPr>
          <w:p w:rsidR="000F236F" w:rsidRDefault="000F236F" w:rsidP="00DB5405">
            <w:pPr>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Singapore Exchange</w:t>
            </w:r>
          </w:p>
        </w:tc>
        <w:tc>
          <w:tcPr>
            <w:tcW w:w="1037" w:type="dxa"/>
            <w:tcBorders>
              <w:top w:val="nil"/>
              <w:left w:val="nil"/>
              <w:bottom w:val="single" w:sz="4" w:space="0" w:color="auto"/>
              <w:right w:val="single" w:sz="4"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25,799</w:t>
            </w:r>
          </w:p>
        </w:tc>
        <w:tc>
          <w:tcPr>
            <w:tcW w:w="1037" w:type="dxa"/>
            <w:tcBorders>
              <w:top w:val="nil"/>
              <w:left w:val="nil"/>
              <w:bottom w:val="single" w:sz="4" w:space="0" w:color="auto"/>
              <w:right w:val="single" w:sz="4"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9</w:t>
            </w:r>
          </w:p>
        </w:tc>
        <w:tc>
          <w:tcPr>
            <w:tcW w:w="1038" w:type="dxa"/>
            <w:tcBorders>
              <w:top w:val="nil"/>
              <w:left w:val="nil"/>
              <w:bottom w:val="single" w:sz="4" w:space="0" w:color="auto"/>
              <w:right w:val="single" w:sz="4"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25,807</w:t>
            </w:r>
          </w:p>
        </w:tc>
        <w:tc>
          <w:tcPr>
            <w:tcW w:w="1037" w:type="dxa"/>
            <w:tcBorders>
              <w:top w:val="nil"/>
              <w:left w:val="nil"/>
              <w:bottom w:val="single" w:sz="4" w:space="0" w:color="auto"/>
              <w:right w:val="single" w:sz="4"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16,068</w:t>
            </w:r>
          </w:p>
        </w:tc>
        <w:tc>
          <w:tcPr>
            <w:tcW w:w="1037" w:type="dxa"/>
            <w:tcBorders>
              <w:top w:val="nil"/>
              <w:left w:val="nil"/>
              <w:bottom w:val="single" w:sz="4" w:space="0" w:color="auto"/>
              <w:right w:val="single" w:sz="4"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37</w:t>
            </w:r>
          </w:p>
        </w:tc>
        <w:tc>
          <w:tcPr>
            <w:tcW w:w="1038" w:type="dxa"/>
            <w:tcBorders>
              <w:top w:val="nil"/>
              <w:left w:val="nil"/>
              <w:bottom w:val="single" w:sz="4" w:space="0" w:color="auto"/>
              <w:right w:val="single" w:sz="4"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16,105</w:t>
            </w:r>
          </w:p>
        </w:tc>
      </w:tr>
      <w:tr w:rsidR="000F236F" w:rsidTr="00DB5405">
        <w:trPr>
          <w:trHeight w:val="254"/>
        </w:trPr>
        <w:tc>
          <w:tcPr>
            <w:tcW w:w="3358" w:type="dxa"/>
            <w:tcBorders>
              <w:top w:val="nil"/>
              <w:left w:val="single" w:sz="4" w:space="0" w:color="auto"/>
              <w:bottom w:val="single" w:sz="4" w:space="0" w:color="auto"/>
              <w:right w:val="single" w:sz="4" w:space="0" w:color="auto"/>
            </w:tcBorders>
            <w:shd w:val="clear" w:color="auto" w:fill="auto"/>
            <w:vAlign w:val="center"/>
            <w:hideMark/>
          </w:tcPr>
          <w:p w:rsidR="000F236F" w:rsidRDefault="000F236F" w:rsidP="00DB5405">
            <w:pPr>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BME Spanish Exchanges</w:t>
            </w:r>
          </w:p>
        </w:tc>
        <w:tc>
          <w:tcPr>
            <w:tcW w:w="1037" w:type="dxa"/>
            <w:tcBorders>
              <w:top w:val="nil"/>
              <w:left w:val="nil"/>
              <w:bottom w:val="single" w:sz="4" w:space="0" w:color="auto"/>
              <w:right w:val="single" w:sz="4"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48,359</w:t>
            </w:r>
          </w:p>
        </w:tc>
        <w:tc>
          <w:tcPr>
            <w:tcW w:w="1037" w:type="dxa"/>
            <w:tcBorders>
              <w:top w:val="nil"/>
              <w:left w:val="nil"/>
              <w:bottom w:val="single" w:sz="4" w:space="0" w:color="auto"/>
              <w:right w:val="single" w:sz="4"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1,868</w:t>
            </w:r>
          </w:p>
        </w:tc>
        <w:tc>
          <w:tcPr>
            <w:tcW w:w="1038" w:type="dxa"/>
            <w:tcBorders>
              <w:top w:val="nil"/>
              <w:left w:val="nil"/>
              <w:bottom w:val="single" w:sz="4" w:space="0" w:color="auto"/>
              <w:right w:val="single" w:sz="4"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50,227</w:t>
            </w:r>
          </w:p>
        </w:tc>
        <w:tc>
          <w:tcPr>
            <w:tcW w:w="1037" w:type="dxa"/>
            <w:tcBorders>
              <w:top w:val="nil"/>
              <w:left w:val="nil"/>
              <w:bottom w:val="single" w:sz="4" w:space="0" w:color="auto"/>
              <w:right w:val="single" w:sz="4"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21,298</w:t>
            </w:r>
          </w:p>
        </w:tc>
        <w:tc>
          <w:tcPr>
            <w:tcW w:w="1037" w:type="dxa"/>
            <w:tcBorders>
              <w:top w:val="nil"/>
              <w:left w:val="nil"/>
              <w:bottom w:val="single" w:sz="4" w:space="0" w:color="auto"/>
              <w:right w:val="single" w:sz="4"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8,044</w:t>
            </w:r>
          </w:p>
        </w:tc>
        <w:tc>
          <w:tcPr>
            <w:tcW w:w="1038" w:type="dxa"/>
            <w:tcBorders>
              <w:top w:val="nil"/>
              <w:left w:val="nil"/>
              <w:bottom w:val="single" w:sz="4" w:space="0" w:color="auto"/>
              <w:right w:val="single" w:sz="4"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29,343</w:t>
            </w:r>
          </w:p>
        </w:tc>
      </w:tr>
      <w:tr w:rsidR="000F236F" w:rsidTr="00DB5405">
        <w:trPr>
          <w:trHeight w:val="254"/>
        </w:trPr>
        <w:tc>
          <w:tcPr>
            <w:tcW w:w="3358" w:type="dxa"/>
            <w:tcBorders>
              <w:top w:val="nil"/>
              <w:left w:val="single" w:sz="4" w:space="0" w:color="auto"/>
              <w:bottom w:val="single" w:sz="4" w:space="0" w:color="auto"/>
              <w:right w:val="single" w:sz="4" w:space="0" w:color="auto"/>
            </w:tcBorders>
            <w:shd w:val="clear" w:color="auto" w:fill="auto"/>
            <w:vAlign w:val="center"/>
            <w:hideMark/>
          </w:tcPr>
          <w:p w:rsidR="000F236F" w:rsidRDefault="000F236F" w:rsidP="00DB5405">
            <w:pPr>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Deutsche Boerse AG</w:t>
            </w:r>
          </w:p>
        </w:tc>
        <w:tc>
          <w:tcPr>
            <w:tcW w:w="1037" w:type="dxa"/>
            <w:tcBorders>
              <w:top w:val="nil"/>
              <w:left w:val="nil"/>
              <w:bottom w:val="single" w:sz="4" w:space="0" w:color="auto"/>
              <w:right w:val="single" w:sz="4"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44,144</w:t>
            </w:r>
          </w:p>
        </w:tc>
        <w:tc>
          <w:tcPr>
            <w:tcW w:w="1037" w:type="dxa"/>
            <w:tcBorders>
              <w:top w:val="nil"/>
              <w:left w:val="nil"/>
              <w:bottom w:val="single" w:sz="4" w:space="0" w:color="auto"/>
              <w:right w:val="single" w:sz="4"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118</w:t>
            </w:r>
          </w:p>
        </w:tc>
        <w:tc>
          <w:tcPr>
            <w:tcW w:w="1038" w:type="dxa"/>
            <w:tcBorders>
              <w:top w:val="nil"/>
              <w:left w:val="nil"/>
              <w:bottom w:val="single" w:sz="4" w:space="0" w:color="auto"/>
              <w:right w:val="single" w:sz="4"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44,261</w:t>
            </w:r>
          </w:p>
        </w:tc>
        <w:tc>
          <w:tcPr>
            <w:tcW w:w="1037" w:type="dxa"/>
            <w:tcBorders>
              <w:top w:val="nil"/>
              <w:left w:val="nil"/>
              <w:bottom w:val="single" w:sz="4" w:space="0" w:color="auto"/>
              <w:right w:val="single" w:sz="4"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38,735</w:t>
            </w:r>
          </w:p>
        </w:tc>
        <w:tc>
          <w:tcPr>
            <w:tcW w:w="1037" w:type="dxa"/>
            <w:tcBorders>
              <w:top w:val="nil"/>
              <w:left w:val="nil"/>
              <w:bottom w:val="single" w:sz="4" w:space="0" w:color="auto"/>
              <w:right w:val="single" w:sz="4"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0</w:t>
            </w:r>
          </w:p>
        </w:tc>
        <w:tc>
          <w:tcPr>
            <w:tcW w:w="1038" w:type="dxa"/>
            <w:tcBorders>
              <w:top w:val="nil"/>
              <w:left w:val="nil"/>
              <w:bottom w:val="single" w:sz="4" w:space="0" w:color="auto"/>
              <w:right w:val="single" w:sz="4"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38,735</w:t>
            </w:r>
          </w:p>
        </w:tc>
      </w:tr>
      <w:tr w:rsidR="000F236F" w:rsidTr="00DB5405">
        <w:trPr>
          <w:trHeight w:val="254"/>
        </w:trPr>
        <w:tc>
          <w:tcPr>
            <w:tcW w:w="3358" w:type="dxa"/>
            <w:tcBorders>
              <w:top w:val="nil"/>
              <w:left w:val="single" w:sz="4" w:space="0" w:color="auto"/>
              <w:bottom w:val="single" w:sz="4" w:space="0" w:color="auto"/>
              <w:right w:val="single" w:sz="4" w:space="0" w:color="auto"/>
            </w:tcBorders>
            <w:shd w:val="clear" w:color="auto" w:fill="auto"/>
            <w:vAlign w:val="center"/>
            <w:hideMark/>
          </w:tcPr>
          <w:p w:rsidR="000F236F" w:rsidRDefault="000F236F" w:rsidP="00DB5405">
            <w:pPr>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Euronext</w:t>
            </w:r>
          </w:p>
        </w:tc>
        <w:tc>
          <w:tcPr>
            <w:tcW w:w="1037" w:type="dxa"/>
            <w:tcBorders>
              <w:top w:val="nil"/>
              <w:left w:val="nil"/>
              <w:bottom w:val="single" w:sz="4" w:space="0" w:color="auto"/>
              <w:right w:val="single" w:sz="4"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NA</w:t>
            </w:r>
          </w:p>
        </w:tc>
        <w:tc>
          <w:tcPr>
            <w:tcW w:w="1037" w:type="dxa"/>
            <w:tcBorders>
              <w:top w:val="nil"/>
              <w:left w:val="nil"/>
              <w:bottom w:val="single" w:sz="4" w:space="0" w:color="auto"/>
              <w:right w:val="single" w:sz="4"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4,760</w:t>
            </w:r>
          </w:p>
        </w:tc>
        <w:tc>
          <w:tcPr>
            <w:tcW w:w="1038" w:type="dxa"/>
            <w:tcBorders>
              <w:top w:val="nil"/>
              <w:left w:val="nil"/>
              <w:bottom w:val="single" w:sz="4" w:space="0" w:color="auto"/>
              <w:right w:val="single" w:sz="4"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4,760</w:t>
            </w:r>
          </w:p>
        </w:tc>
        <w:tc>
          <w:tcPr>
            <w:tcW w:w="1037" w:type="dxa"/>
            <w:tcBorders>
              <w:top w:val="nil"/>
              <w:left w:val="nil"/>
              <w:bottom w:val="single" w:sz="4" w:space="0" w:color="auto"/>
              <w:right w:val="single" w:sz="4"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776</w:t>
            </w:r>
          </w:p>
        </w:tc>
        <w:tc>
          <w:tcPr>
            <w:tcW w:w="1037" w:type="dxa"/>
            <w:tcBorders>
              <w:top w:val="nil"/>
              <w:left w:val="nil"/>
              <w:bottom w:val="single" w:sz="4" w:space="0" w:color="auto"/>
              <w:right w:val="single" w:sz="4"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2,134</w:t>
            </w:r>
          </w:p>
        </w:tc>
        <w:tc>
          <w:tcPr>
            <w:tcW w:w="1038" w:type="dxa"/>
            <w:tcBorders>
              <w:top w:val="nil"/>
              <w:left w:val="nil"/>
              <w:bottom w:val="single" w:sz="4" w:space="0" w:color="auto"/>
              <w:right w:val="single" w:sz="4"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2,909</w:t>
            </w:r>
          </w:p>
        </w:tc>
      </w:tr>
      <w:tr w:rsidR="000F236F" w:rsidTr="00DB5405">
        <w:trPr>
          <w:trHeight w:val="254"/>
        </w:trPr>
        <w:tc>
          <w:tcPr>
            <w:tcW w:w="3358" w:type="dxa"/>
            <w:tcBorders>
              <w:top w:val="nil"/>
              <w:left w:val="single" w:sz="4" w:space="0" w:color="auto"/>
              <w:bottom w:val="single" w:sz="4" w:space="0" w:color="auto"/>
              <w:right w:val="single" w:sz="4" w:space="0" w:color="auto"/>
            </w:tcBorders>
            <w:shd w:val="clear" w:color="auto" w:fill="auto"/>
            <w:vAlign w:val="center"/>
            <w:hideMark/>
          </w:tcPr>
          <w:p w:rsidR="000F236F" w:rsidRDefault="000F236F" w:rsidP="00DB5405">
            <w:pPr>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Johannesburg Stock Exchange</w:t>
            </w:r>
          </w:p>
        </w:tc>
        <w:tc>
          <w:tcPr>
            <w:tcW w:w="1037" w:type="dxa"/>
            <w:tcBorders>
              <w:top w:val="nil"/>
              <w:left w:val="nil"/>
              <w:bottom w:val="single" w:sz="4" w:space="0" w:color="auto"/>
              <w:right w:val="single" w:sz="4"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4,423</w:t>
            </w:r>
          </w:p>
        </w:tc>
        <w:tc>
          <w:tcPr>
            <w:tcW w:w="1037" w:type="dxa"/>
            <w:tcBorders>
              <w:top w:val="nil"/>
              <w:left w:val="nil"/>
              <w:bottom w:val="single" w:sz="4" w:space="0" w:color="auto"/>
              <w:right w:val="single" w:sz="4"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w:t>
            </w:r>
          </w:p>
        </w:tc>
        <w:tc>
          <w:tcPr>
            <w:tcW w:w="1038" w:type="dxa"/>
            <w:tcBorders>
              <w:top w:val="nil"/>
              <w:left w:val="nil"/>
              <w:bottom w:val="single" w:sz="4" w:space="0" w:color="auto"/>
              <w:right w:val="single" w:sz="4"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4,424</w:t>
            </w:r>
          </w:p>
        </w:tc>
        <w:tc>
          <w:tcPr>
            <w:tcW w:w="1037" w:type="dxa"/>
            <w:tcBorders>
              <w:top w:val="nil"/>
              <w:left w:val="nil"/>
              <w:bottom w:val="single" w:sz="4" w:space="0" w:color="auto"/>
              <w:right w:val="single" w:sz="4"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3,811</w:t>
            </w:r>
          </w:p>
        </w:tc>
        <w:tc>
          <w:tcPr>
            <w:tcW w:w="1037" w:type="dxa"/>
            <w:tcBorders>
              <w:top w:val="nil"/>
              <w:left w:val="nil"/>
              <w:bottom w:val="single" w:sz="4" w:space="0" w:color="auto"/>
              <w:right w:val="single" w:sz="4"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385</w:t>
            </w:r>
          </w:p>
        </w:tc>
        <w:tc>
          <w:tcPr>
            <w:tcW w:w="1038" w:type="dxa"/>
            <w:tcBorders>
              <w:top w:val="nil"/>
              <w:left w:val="nil"/>
              <w:bottom w:val="single" w:sz="4" w:space="0" w:color="auto"/>
              <w:right w:val="single" w:sz="4"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4,197</w:t>
            </w:r>
          </w:p>
        </w:tc>
      </w:tr>
      <w:tr w:rsidR="000F236F" w:rsidTr="00DB5405">
        <w:trPr>
          <w:trHeight w:val="254"/>
        </w:trPr>
        <w:tc>
          <w:tcPr>
            <w:tcW w:w="3358" w:type="dxa"/>
            <w:tcBorders>
              <w:top w:val="nil"/>
              <w:left w:val="single" w:sz="4" w:space="0" w:color="auto"/>
              <w:bottom w:val="single" w:sz="4" w:space="0" w:color="auto"/>
              <w:right w:val="single" w:sz="4" w:space="0" w:color="auto"/>
            </w:tcBorders>
            <w:shd w:val="clear" w:color="auto" w:fill="auto"/>
            <w:vAlign w:val="center"/>
            <w:hideMark/>
          </w:tcPr>
          <w:p w:rsidR="000F236F" w:rsidRDefault="000F236F" w:rsidP="00DB5405">
            <w:pPr>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LSE Group</w:t>
            </w:r>
          </w:p>
        </w:tc>
        <w:tc>
          <w:tcPr>
            <w:tcW w:w="1037" w:type="dxa"/>
            <w:tcBorders>
              <w:top w:val="nil"/>
              <w:left w:val="nil"/>
              <w:bottom w:val="single" w:sz="4" w:space="0" w:color="auto"/>
              <w:right w:val="single" w:sz="4"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93,977</w:t>
            </w:r>
          </w:p>
        </w:tc>
        <w:tc>
          <w:tcPr>
            <w:tcW w:w="1037" w:type="dxa"/>
            <w:tcBorders>
              <w:top w:val="nil"/>
              <w:left w:val="nil"/>
              <w:bottom w:val="single" w:sz="4" w:space="0" w:color="auto"/>
              <w:right w:val="single" w:sz="4"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3,182</w:t>
            </w:r>
          </w:p>
        </w:tc>
        <w:tc>
          <w:tcPr>
            <w:tcW w:w="1038" w:type="dxa"/>
            <w:tcBorders>
              <w:top w:val="nil"/>
              <w:left w:val="nil"/>
              <w:bottom w:val="single" w:sz="4" w:space="0" w:color="auto"/>
              <w:right w:val="single" w:sz="4"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97,159</w:t>
            </w:r>
          </w:p>
        </w:tc>
        <w:tc>
          <w:tcPr>
            <w:tcW w:w="1037" w:type="dxa"/>
            <w:tcBorders>
              <w:top w:val="nil"/>
              <w:left w:val="nil"/>
              <w:bottom w:val="single" w:sz="4" w:space="0" w:color="auto"/>
              <w:right w:val="single" w:sz="4"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63,332</w:t>
            </w:r>
          </w:p>
        </w:tc>
        <w:tc>
          <w:tcPr>
            <w:tcW w:w="1037" w:type="dxa"/>
            <w:tcBorders>
              <w:top w:val="nil"/>
              <w:left w:val="nil"/>
              <w:bottom w:val="single" w:sz="4" w:space="0" w:color="auto"/>
              <w:right w:val="single" w:sz="4"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277</w:t>
            </w:r>
          </w:p>
        </w:tc>
        <w:tc>
          <w:tcPr>
            <w:tcW w:w="1038" w:type="dxa"/>
            <w:tcBorders>
              <w:top w:val="nil"/>
              <w:left w:val="nil"/>
              <w:bottom w:val="single" w:sz="4" w:space="0" w:color="auto"/>
              <w:right w:val="single" w:sz="4"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63,609</w:t>
            </w:r>
          </w:p>
        </w:tc>
      </w:tr>
      <w:tr w:rsidR="000F236F" w:rsidTr="00DB5405">
        <w:trPr>
          <w:trHeight w:val="267"/>
        </w:trPr>
        <w:tc>
          <w:tcPr>
            <w:tcW w:w="3358" w:type="dxa"/>
            <w:tcBorders>
              <w:top w:val="nil"/>
              <w:left w:val="single" w:sz="4" w:space="0" w:color="auto"/>
              <w:bottom w:val="single" w:sz="4" w:space="0" w:color="auto"/>
              <w:right w:val="single" w:sz="4" w:space="0" w:color="auto"/>
            </w:tcBorders>
            <w:shd w:val="clear" w:color="auto" w:fill="auto"/>
            <w:vAlign w:val="center"/>
            <w:hideMark/>
          </w:tcPr>
          <w:p w:rsidR="000F236F" w:rsidRDefault="000F236F" w:rsidP="00DB5405">
            <w:pPr>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Moscow Exchange</w:t>
            </w:r>
          </w:p>
        </w:tc>
        <w:tc>
          <w:tcPr>
            <w:tcW w:w="1037" w:type="dxa"/>
            <w:tcBorders>
              <w:top w:val="nil"/>
              <w:left w:val="nil"/>
              <w:bottom w:val="single" w:sz="4" w:space="0" w:color="auto"/>
              <w:right w:val="single" w:sz="4"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22,233</w:t>
            </w:r>
          </w:p>
        </w:tc>
        <w:tc>
          <w:tcPr>
            <w:tcW w:w="1037" w:type="dxa"/>
            <w:tcBorders>
              <w:top w:val="nil"/>
              <w:left w:val="nil"/>
              <w:bottom w:val="single" w:sz="4" w:space="0" w:color="auto"/>
              <w:right w:val="single" w:sz="4"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NA</w:t>
            </w:r>
          </w:p>
        </w:tc>
        <w:tc>
          <w:tcPr>
            <w:tcW w:w="1038" w:type="dxa"/>
            <w:tcBorders>
              <w:top w:val="nil"/>
              <w:left w:val="nil"/>
              <w:bottom w:val="single" w:sz="4" w:space="0" w:color="auto"/>
              <w:right w:val="single" w:sz="4"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22,233</w:t>
            </w:r>
          </w:p>
        </w:tc>
        <w:tc>
          <w:tcPr>
            <w:tcW w:w="1037" w:type="dxa"/>
            <w:tcBorders>
              <w:top w:val="nil"/>
              <w:left w:val="nil"/>
              <w:bottom w:val="single" w:sz="4" w:space="0" w:color="auto"/>
              <w:right w:val="single" w:sz="4"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21,467</w:t>
            </w:r>
          </w:p>
        </w:tc>
        <w:tc>
          <w:tcPr>
            <w:tcW w:w="1037" w:type="dxa"/>
            <w:tcBorders>
              <w:top w:val="nil"/>
              <w:left w:val="nil"/>
              <w:bottom w:val="single" w:sz="4" w:space="0" w:color="auto"/>
              <w:right w:val="single" w:sz="4"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NA</w:t>
            </w:r>
          </w:p>
        </w:tc>
        <w:tc>
          <w:tcPr>
            <w:tcW w:w="1038" w:type="dxa"/>
            <w:tcBorders>
              <w:top w:val="nil"/>
              <w:left w:val="nil"/>
              <w:bottom w:val="single" w:sz="4" w:space="0" w:color="auto"/>
              <w:right w:val="single" w:sz="4"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21,467</w:t>
            </w:r>
          </w:p>
        </w:tc>
      </w:tr>
      <w:tr w:rsidR="000F236F" w:rsidTr="00DB5405">
        <w:trPr>
          <w:trHeight w:val="254"/>
        </w:trPr>
        <w:tc>
          <w:tcPr>
            <w:tcW w:w="3358" w:type="dxa"/>
            <w:tcBorders>
              <w:top w:val="nil"/>
              <w:left w:val="single" w:sz="4" w:space="0" w:color="auto"/>
              <w:bottom w:val="single" w:sz="4" w:space="0" w:color="auto"/>
              <w:right w:val="single" w:sz="4" w:space="0" w:color="auto"/>
            </w:tcBorders>
            <w:shd w:val="clear" w:color="000000" w:fill="BDD6EE"/>
            <w:vAlign w:val="center"/>
            <w:hideMark/>
          </w:tcPr>
          <w:p w:rsidR="000F236F" w:rsidRDefault="000F236F" w:rsidP="00DB5405">
            <w:pPr>
              <w:rPr>
                <w:rFonts w:ascii="Garamond" w:eastAsia="Times New Roman" w:hAnsi="Garamond" w:cs="Calibri"/>
                <w:b/>
                <w:bCs/>
                <w:color w:val="000000"/>
                <w:sz w:val="20"/>
                <w:szCs w:val="20"/>
                <w:lang w:val="en-IN" w:eastAsia="en-IN"/>
              </w:rPr>
            </w:pPr>
            <w:r>
              <w:rPr>
                <w:rFonts w:ascii="Garamond" w:eastAsia="Times New Roman" w:hAnsi="Garamond" w:cs="Calibri"/>
                <w:b/>
                <w:bCs/>
                <w:color w:val="000000"/>
                <w:sz w:val="20"/>
                <w:szCs w:val="20"/>
                <w:lang w:val="en-IN" w:eastAsia="en-IN"/>
              </w:rPr>
              <w:t>Grand Total</w:t>
            </w:r>
          </w:p>
        </w:tc>
        <w:tc>
          <w:tcPr>
            <w:tcW w:w="1037" w:type="dxa"/>
            <w:tcBorders>
              <w:top w:val="nil"/>
              <w:left w:val="nil"/>
              <w:bottom w:val="single" w:sz="4" w:space="0" w:color="auto"/>
              <w:right w:val="single" w:sz="4" w:space="0" w:color="auto"/>
            </w:tcBorders>
            <w:shd w:val="clear" w:color="000000" w:fill="BDD6EE"/>
            <w:vAlign w:val="center"/>
            <w:hideMark/>
          </w:tcPr>
          <w:p w:rsidR="000F236F" w:rsidRDefault="000F236F" w:rsidP="00DB5405">
            <w:pPr>
              <w:jc w:val="right"/>
              <w:rPr>
                <w:rFonts w:ascii="Garamond" w:eastAsia="Times New Roman" w:hAnsi="Garamond" w:cs="Calibri"/>
                <w:b/>
                <w:bCs/>
                <w:color w:val="000000"/>
                <w:sz w:val="20"/>
                <w:szCs w:val="20"/>
                <w:lang w:val="en-IN" w:eastAsia="en-IN"/>
              </w:rPr>
            </w:pPr>
            <w:r>
              <w:rPr>
                <w:rFonts w:ascii="Garamond" w:eastAsia="Times New Roman" w:hAnsi="Garamond" w:cs="Calibri"/>
                <w:b/>
                <w:bCs/>
                <w:color w:val="000000"/>
                <w:sz w:val="20"/>
                <w:szCs w:val="20"/>
                <w:lang w:val="en-IN" w:eastAsia="en-IN"/>
              </w:rPr>
              <w:t>3,95,489</w:t>
            </w:r>
          </w:p>
        </w:tc>
        <w:tc>
          <w:tcPr>
            <w:tcW w:w="1037" w:type="dxa"/>
            <w:tcBorders>
              <w:top w:val="nil"/>
              <w:left w:val="nil"/>
              <w:bottom w:val="single" w:sz="4" w:space="0" w:color="auto"/>
              <w:right w:val="single" w:sz="4" w:space="0" w:color="auto"/>
            </w:tcBorders>
            <w:shd w:val="clear" w:color="000000" w:fill="BDD6EE"/>
            <w:vAlign w:val="center"/>
            <w:hideMark/>
          </w:tcPr>
          <w:p w:rsidR="000F236F" w:rsidRDefault="000F236F" w:rsidP="00DB5405">
            <w:pPr>
              <w:jc w:val="right"/>
              <w:rPr>
                <w:rFonts w:ascii="Garamond" w:eastAsia="Times New Roman" w:hAnsi="Garamond" w:cs="Calibri"/>
                <w:b/>
                <w:bCs/>
                <w:color w:val="000000"/>
                <w:sz w:val="20"/>
                <w:szCs w:val="20"/>
                <w:lang w:val="en-IN" w:eastAsia="en-IN"/>
              </w:rPr>
            </w:pPr>
            <w:r>
              <w:rPr>
                <w:rFonts w:ascii="Garamond" w:eastAsia="Times New Roman" w:hAnsi="Garamond" w:cs="Calibri"/>
                <w:b/>
                <w:bCs/>
                <w:color w:val="000000"/>
                <w:sz w:val="20"/>
                <w:szCs w:val="20"/>
                <w:lang w:val="en-IN" w:eastAsia="en-IN"/>
              </w:rPr>
              <w:t>52,061</w:t>
            </w:r>
          </w:p>
        </w:tc>
        <w:tc>
          <w:tcPr>
            <w:tcW w:w="1038" w:type="dxa"/>
            <w:tcBorders>
              <w:top w:val="nil"/>
              <w:left w:val="nil"/>
              <w:bottom w:val="single" w:sz="4" w:space="0" w:color="auto"/>
              <w:right w:val="single" w:sz="4" w:space="0" w:color="auto"/>
            </w:tcBorders>
            <w:shd w:val="clear" w:color="000000" w:fill="BDD6EE"/>
            <w:vAlign w:val="center"/>
            <w:hideMark/>
          </w:tcPr>
          <w:p w:rsidR="000F236F" w:rsidRDefault="000F236F" w:rsidP="00DB5405">
            <w:pPr>
              <w:jc w:val="right"/>
              <w:rPr>
                <w:rFonts w:ascii="Garamond" w:eastAsia="Times New Roman" w:hAnsi="Garamond" w:cs="Calibri"/>
                <w:b/>
                <w:bCs/>
                <w:color w:val="000000"/>
                <w:sz w:val="20"/>
                <w:szCs w:val="20"/>
                <w:lang w:val="en-IN" w:eastAsia="en-IN"/>
              </w:rPr>
            </w:pPr>
            <w:r>
              <w:rPr>
                <w:rFonts w:ascii="Garamond" w:eastAsia="Times New Roman" w:hAnsi="Garamond" w:cs="Calibri"/>
                <w:b/>
                <w:bCs/>
                <w:color w:val="000000"/>
                <w:sz w:val="20"/>
                <w:szCs w:val="20"/>
                <w:lang w:val="en-IN" w:eastAsia="en-IN"/>
              </w:rPr>
              <w:t>4,47,550</w:t>
            </w:r>
          </w:p>
        </w:tc>
        <w:tc>
          <w:tcPr>
            <w:tcW w:w="1037" w:type="dxa"/>
            <w:tcBorders>
              <w:top w:val="nil"/>
              <w:left w:val="nil"/>
              <w:bottom w:val="single" w:sz="4" w:space="0" w:color="auto"/>
              <w:right w:val="single" w:sz="4" w:space="0" w:color="auto"/>
            </w:tcBorders>
            <w:shd w:val="clear" w:color="000000" w:fill="BDD6EE"/>
            <w:vAlign w:val="center"/>
            <w:hideMark/>
          </w:tcPr>
          <w:p w:rsidR="000F236F" w:rsidRDefault="000F236F" w:rsidP="00DB5405">
            <w:pPr>
              <w:jc w:val="right"/>
              <w:rPr>
                <w:rFonts w:ascii="Garamond" w:eastAsia="Times New Roman" w:hAnsi="Garamond" w:cs="Calibri"/>
                <w:b/>
                <w:bCs/>
                <w:color w:val="000000"/>
                <w:sz w:val="20"/>
                <w:szCs w:val="20"/>
                <w:lang w:val="en-IN" w:eastAsia="en-IN"/>
              </w:rPr>
            </w:pPr>
            <w:r>
              <w:rPr>
                <w:rFonts w:ascii="Garamond" w:eastAsia="Times New Roman" w:hAnsi="Garamond" w:cs="Calibri"/>
                <w:b/>
                <w:bCs/>
                <w:color w:val="000000"/>
                <w:sz w:val="20"/>
                <w:szCs w:val="20"/>
                <w:lang w:val="en-IN" w:eastAsia="en-IN"/>
              </w:rPr>
              <w:t>3,18,625</w:t>
            </w:r>
          </w:p>
        </w:tc>
        <w:tc>
          <w:tcPr>
            <w:tcW w:w="1037" w:type="dxa"/>
            <w:tcBorders>
              <w:top w:val="nil"/>
              <w:left w:val="nil"/>
              <w:bottom w:val="single" w:sz="4" w:space="0" w:color="auto"/>
              <w:right w:val="single" w:sz="4" w:space="0" w:color="auto"/>
            </w:tcBorders>
            <w:shd w:val="clear" w:color="000000" w:fill="BDD6EE"/>
            <w:vAlign w:val="center"/>
            <w:hideMark/>
          </w:tcPr>
          <w:p w:rsidR="000F236F" w:rsidRDefault="000F236F" w:rsidP="00DB5405">
            <w:pPr>
              <w:jc w:val="right"/>
              <w:rPr>
                <w:rFonts w:ascii="Garamond" w:eastAsia="Times New Roman" w:hAnsi="Garamond" w:cs="Calibri"/>
                <w:b/>
                <w:bCs/>
                <w:color w:val="000000"/>
                <w:sz w:val="20"/>
                <w:szCs w:val="20"/>
                <w:lang w:val="en-IN" w:eastAsia="en-IN"/>
              </w:rPr>
            </w:pPr>
            <w:r>
              <w:rPr>
                <w:rFonts w:ascii="Garamond" w:eastAsia="Times New Roman" w:hAnsi="Garamond" w:cs="Calibri"/>
                <w:b/>
                <w:bCs/>
                <w:color w:val="000000"/>
                <w:sz w:val="20"/>
                <w:szCs w:val="20"/>
                <w:lang w:val="en-IN" w:eastAsia="en-IN"/>
              </w:rPr>
              <w:t>58,348</w:t>
            </w:r>
          </w:p>
        </w:tc>
        <w:tc>
          <w:tcPr>
            <w:tcW w:w="1038" w:type="dxa"/>
            <w:tcBorders>
              <w:top w:val="nil"/>
              <w:left w:val="nil"/>
              <w:bottom w:val="single" w:sz="4" w:space="0" w:color="auto"/>
              <w:right w:val="single" w:sz="4" w:space="0" w:color="auto"/>
            </w:tcBorders>
            <w:shd w:val="clear" w:color="000000" w:fill="BDD6EE"/>
            <w:vAlign w:val="center"/>
            <w:hideMark/>
          </w:tcPr>
          <w:p w:rsidR="000F236F" w:rsidRDefault="000F236F" w:rsidP="00DB5405">
            <w:pPr>
              <w:jc w:val="right"/>
              <w:rPr>
                <w:rFonts w:ascii="Garamond" w:eastAsia="Times New Roman" w:hAnsi="Garamond" w:cs="Calibri"/>
                <w:b/>
                <w:bCs/>
                <w:color w:val="000000"/>
                <w:sz w:val="20"/>
                <w:szCs w:val="20"/>
                <w:lang w:val="en-IN" w:eastAsia="en-IN"/>
              </w:rPr>
            </w:pPr>
            <w:r>
              <w:rPr>
                <w:rFonts w:ascii="Garamond" w:eastAsia="Times New Roman" w:hAnsi="Garamond" w:cs="Calibri"/>
                <w:b/>
                <w:bCs/>
                <w:color w:val="000000"/>
                <w:sz w:val="20"/>
                <w:szCs w:val="20"/>
                <w:lang w:val="en-IN" w:eastAsia="en-IN"/>
              </w:rPr>
              <w:t>3,76,973</w:t>
            </w:r>
          </w:p>
        </w:tc>
      </w:tr>
    </w:tbl>
    <w:p w:rsidR="000F236F" w:rsidRDefault="000F236F" w:rsidP="000F236F">
      <w:pPr>
        <w:jc w:val="both"/>
        <w:rPr>
          <w:rFonts w:ascii="Garamond" w:hAnsi="Garamond"/>
          <w:bCs/>
          <w:sz w:val="18"/>
          <w:szCs w:val="18"/>
        </w:rPr>
      </w:pPr>
      <w:r>
        <w:rPr>
          <w:rFonts w:ascii="Garamond" w:hAnsi="Garamond"/>
          <w:bCs/>
          <w:sz w:val="18"/>
          <w:szCs w:val="18"/>
        </w:rPr>
        <w:t>Note: For Funds mobilised through issuance of bonds, data may differ due to different reporting rules &amp; calculation methods. Fund mobilisation data for equities are (i) excluding investment funds and (ii) including Alternative and SME Markets except the following exceptions:</w:t>
      </w:r>
    </w:p>
    <w:p w:rsidR="000F236F" w:rsidRDefault="000F236F" w:rsidP="00B018BC">
      <w:pPr>
        <w:widowControl w:val="0"/>
        <w:numPr>
          <w:ilvl w:val="0"/>
          <w:numId w:val="15"/>
        </w:numPr>
        <w:autoSpaceDE w:val="0"/>
        <w:autoSpaceDN w:val="0"/>
        <w:adjustRightInd w:val="0"/>
        <w:rPr>
          <w:rFonts w:ascii="Garamond" w:eastAsia="Times New Roman" w:hAnsi="Garamond"/>
          <w:bCs/>
          <w:sz w:val="18"/>
          <w:szCs w:val="18"/>
        </w:rPr>
      </w:pPr>
      <w:r>
        <w:rPr>
          <w:rFonts w:ascii="Garamond" w:eastAsia="Times New Roman" w:hAnsi="Garamond"/>
          <w:bCs/>
          <w:sz w:val="18"/>
          <w:szCs w:val="18"/>
        </w:rPr>
        <w:t>Australian Securities Exchange: including investment funds</w:t>
      </w:r>
    </w:p>
    <w:p w:rsidR="000F236F" w:rsidRDefault="000F236F" w:rsidP="00B018BC">
      <w:pPr>
        <w:widowControl w:val="0"/>
        <w:numPr>
          <w:ilvl w:val="0"/>
          <w:numId w:val="15"/>
        </w:numPr>
        <w:autoSpaceDE w:val="0"/>
        <w:autoSpaceDN w:val="0"/>
        <w:adjustRightInd w:val="0"/>
        <w:rPr>
          <w:rFonts w:ascii="Garamond" w:eastAsia="Times New Roman" w:hAnsi="Garamond"/>
          <w:bCs/>
          <w:sz w:val="18"/>
          <w:szCs w:val="18"/>
        </w:rPr>
      </w:pPr>
      <w:r>
        <w:rPr>
          <w:rFonts w:ascii="Garamond" w:eastAsia="Times New Roman" w:hAnsi="Garamond"/>
          <w:bCs/>
          <w:sz w:val="18"/>
          <w:szCs w:val="18"/>
        </w:rPr>
        <w:t xml:space="preserve">BME: Including investment companies listed (open-end investment companies). </w:t>
      </w:r>
    </w:p>
    <w:p w:rsidR="000F236F" w:rsidRDefault="000F236F" w:rsidP="00B018BC">
      <w:pPr>
        <w:widowControl w:val="0"/>
        <w:numPr>
          <w:ilvl w:val="0"/>
          <w:numId w:val="15"/>
        </w:numPr>
        <w:autoSpaceDE w:val="0"/>
        <w:autoSpaceDN w:val="0"/>
        <w:adjustRightInd w:val="0"/>
        <w:rPr>
          <w:rFonts w:ascii="Garamond" w:eastAsia="Times New Roman" w:hAnsi="Garamond"/>
          <w:bCs/>
          <w:sz w:val="18"/>
          <w:szCs w:val="18"/>
        </w:rPr>
      </w:pPr>
      <w:r>
        <w:rPr>
          <w:rFonts w:ascii="Garamond" w:eastAsia="Times New Roman" w:hAnsi="Garamond"/>
          <w:bCs/>
          <w:sz w:val="18"/>
          <w:szCs w:val="18"/>
        </w:rPr>
        <w:t>Euronext: includes Belgium, England, France, Netherlands and Portugal</w:t>
      </w:r>
    </w:p>
    <w:p w:rsidR="000F236F" w:rsidRDefault="000F236F" w:rsidP="00B018BC">
      <w:pPr>
        <w:widowControl w:val="0"/>
        <w:numPr>
          <w:ilvl w:val="0"/>
          <w:numId w:val="15"/>
        </w:numPr>
        <w:autoSpaceDE w:val="0"/>
        <w:autoSpaceDN w:val="0"/>
        <w:adjustRightInd w:val="0"/>
        <w:rPr>
          <w:rFonts w:ascii="Garamond" w:eastAsia="Times New Roman" w:hAnsi="Garamond"/>
          <w:bCs/>
          <w:sz w:val="18"/>
          <w:szCs w:val="18"/>
        </w:rPr>
      </w:pPr>
      <w:r>
        <w:rPr>
          <w:rFonts w:ascii="Garamond" w:eastAsia="Times New Roman" w:hAnsi="Garamond"/>
          <w:bCs/>
          <w:sz w:val="18"/>
          <w:szCs w:val="18"/>
        </w:rPr>
        <w:t>Korea Exchange: including Kosdaq market data</w:t>
      </w:r>
    </w:p>
    <w:p w:rsidR="000F236F" w:rsidRDefault="000F236F" w:rsidP="00B018BC">
      <w:pPr>
        <w:widowControl w:val="0"/>
        <w:numPr>
          <w:ilvl w:val="0"/>
          <w:numId w:val="15"/>
        </w:numPr>
        <w:autoSpaceDE w:val="0"/>
        <w:autoSpaceDN w:val="0"/>
        <w:adjustRightInd w:val="0"/>
        <w:rPr>
          <w:rFonts w:ascii="Garamond" w:eastAsia="Times New Roman" w:hAnsi="Garamond"/>
          <w:bCs/>
          <w:sz w:val="18"/>
          <w:szCs w:val="18"/>
        </w:rPr>
      </w:pPr>
      <w:r>
        <w:rPr>
          <w:rFonts w:ascii="Garamond" w:eastAsia="Times New Roman" w:hAnsi="Garamond"/>
          <w:bCs/>
          <w:sz w:val="18"/>
          <w:szCs w:val="18"/>
        </w:rPr>
        <w:t>LSE Group: includes London Stock Exchange and BorsaItaliana</w:t>
      </w:r>
    </w:p>
    <w:p w:rsidR="000F236F" w:rsidRDefault="000F236F" w:rsidP="00B018BC">
      <w:pPr>
        <w:widowControl w:val="0"/>
        <w:numPr>
          <w:ilvl w:val="0"/>
          <w:numId w:val="15"/>
        </w:numPr>
        <w:autoSpaceDE w:val="0"/>
        <w:autoSpaceDN w:val="0"/>
        <w:adjustRightInd w:val="0"/>
        <w:rPr>
          <w:rFonts w:ascii="Garamond" w:eastAsia="Times New Roman" w:hAnsi="Garamond"/>
          <w:bCs/>
          <w:sz w:val="18"/>
          <w:szCs w:val="18"/>
        </w:rPr>
      </w:pPr>
      <w:r>
        <w:rPr>
          <w:rFonts w:ascii="Garamond" w:eastAsia="Times New Roman" w:hAnsi="Garamond"/>
          <w:bCs/>
          <w:sz w:val="18"/>
          <w:szCs w:val="18"/>
        </w:rPr>
        <w:t>Nasdaq Nordic Exchanges include Copenhagen, Helsinki, Iceland, Stockholm, Tallinn, Riga and Vilnius Stock Exchanges</w:t>
      </w:r>
    </w:p>
    <w:p w:rsidR="000F236F" w:rsidRDefault="000F236F" w:rsidP="00B018BC">
      <w:pPr>
        <w:widowControl w:val="0"/>
        <w:numPr>
          <w:ilvl w:val="0"/>
          <w:numId w:val="15"/>
        </w:numPr>
        <w:autoSpaceDE w:val="0"/>
        <w:autoSpaceDN w:val="0"/>
        <w:adjustRightInd w:val="0"/>
        <w:rPr>
          <w:rFonts w:ascii="Garamond" w:eastAsia="Times New Roman" w:hAnsi="Garamond"/>
          <w:bCs/>
          <w:sz w:val="18"/>
          <w:szCs w:val="18"/>
        </w:rPr>
      </w:pPr>
      <w:r>
        <w:rPr>
          <w:rFonts w:ascii="Garamond" w:eastAsia="Times New Roman" w:hAnsi="Garamond"/>
          <w:bCs/>
          <w:sz w:val="18"/>
          <w:szCs w:val="18"/>
        </w:rPr>
        <w:t>NSE India: including “Emerge” market data</w:t>
      </w:r>
    </w:p>
    <w:p w:rsidR="000F236F" w:rsidRDefault="000F236F" w:rsidP="000F236F">
      <w:pPr>
        <w:outlineLvl w:val="0"/>
        <w:rPr>
          <w:rFonts w:ascii="Garamond" w:hAnsi="Garamond"/>
          <w:bCs/>
          <w:sz w:val="18"/>
          <w:szCs w:val="18"/>
        </w:rPr>
      </w:pPr>
      <w:r>
        <w:rPr>
          <w:rFonts w:ascii="Garamond" w:hAnsi="Garamond"/>
          <w:bCs/>
          <w:sz w:val="18"/>
          <w:szCs w:val="18"/>
        </w:rPr>
        <w:t>NA = Not Available</w:t>
      </w:r>
    </w:p>
    <w:p w:rsidR="000F236F" w:rsidRDefault="000F236F" w:rsidP="000F236F">
      <w:pPr>
        <w:spacing w:line="23" w:lineRule="atLeast"/>
        <w:rPr>
          <w:rFonts w:ascii="Garamond" w:hAnsi="Garamond"/>
          <w:bCs/>
          <w:sz w:val="18"/>
          <w:szCs w:val="18"/>
        </w:rPr>
      </w:pPr>
      <w:r>
        <w:rPr>
          <w:rFonts w:ascii="Garamond" w:hAnsi="Garamond"/>
          <w:bCs/>
          <w:sz w:val="18"/>
          <w:szCs w:val="18"/>
        </w:rPr>
        <w:t>Source: World Federation of Exchanges</w:t>
      </w:r>
    </w:p>
    <w:p w:rsidR="000F236F" w:rsidRDefault="000F236F" w:rsidP="000F236F">
      <w:pPr>
        <w:rPr>
          <w:rFonts w:ascii="Garamond" w:hAnsi="Garamond"/>
          <w:bCs/>
          <w:strike/>
          <w:sz w:val="22"/>
          <w:szCs w:val="22"/>
        </w:rPr>
      </w:pPr>
    </w:p>
    <w:p w:rsidR="000F236F" w:rsidRDefault="000F236F" w:rsidP="000F236F">
      <w:pPr>
        <w:spacing w:line="23" w:lineRule="atLeast"/>
        <w:jc w:val="both"/>
        <w:outlineLvl w:val="0"/>
        <w:rPr>
          <w:rFonts w:ascii="Garamond" w:hAnsi="Garamond"/>
          <w:b/>
          <w:bCs/>
          <w:szCs w:val="22"/>
        </w:rPr>
      </w:pPr>
      <w:r>
        <w:rPr>
          <w:rFonts w:ascii="Garamond" w:hAnsi="Garamond"/>
          <w:b/>
          <w:bCs/>
          <w:szCs w:val="22"/>
        </w:rPr>
        <w:t>Table A3: Domestic Market Capitalisation of Major Exchanges (USD million)</w:t>
      </w:r>
    </w:p>
    <w:tbl>
      <w:tblPr>
        <w:tblW w:w="6608" w:type="dxa"/>
        <w:tblLook w:val="04A0" w:firstRow="1" w:lastRow="0" w:firstColumn="1" w:lastColumn="0" w:noHBand="0" w:noVBand="1"/>
      </w:tblPr>
      <w:tblGrid>
        <w:gridCol w:w="991"/>
        <w:gridCol w:w="1714"/>
        <w:gridCol w:w="1301"/>
        <w:gridCol w:w="1301"/>
        <w:gridCol w:w="1301"/>
      </w:tblGrid>
      <w:tr w:rsidR="000F236F" w:rsidTr="00DB5405">
        <w:trPr>
          <w:trHeight w:val="247"/>
        </w:trPr>
        <w:tc>
          <w:tcPr>
            <w:tcW w:w="991"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rsidR="000F236F" w:rsidRDefault="000F236F" w:rsidP="00DB5405">
            <w:pPr>
              <w:jc w:val="center"/>
              <w:rPr>
                <w:rFonts w:ascii="Garamond" w:eastAsia="Times New Roman" w:hAnsi="Garamond" w:cs="Calibri"/>
                <w:b/>
                <w:bCs/>
                <w:color w:val="000000"/>
                <w:sz w:val="20"/>
                <w:szCs w:val="20"/>
                <w:lang w:val="en-IN" w:eastAsia="en-IN" w:bidi="hi-IN"/>
              </w:rPr>
            </w:pPr>
            <w:r>
              <w:rPr>
                <w:rFonts w:ascii="Garamond" w:eastAsia="Times New Roman" w:hAnsi="Garamond" w:cs="Calibri"/>
                <w:b/>
                <w:bCs/>
                <w:color w:val="000000"/>
                <w:sz w:val="20"/>
                <w:szCs w:val="20"/>
                <w:lang w:val="en-IN" w:eastAsia="en-IN" w:bidi="hi-IN"/>
              </w:rPr>
              <w:t>Markets</w:t>
            </w:r>
          </w:p>
        </w:tc>
        <w:tc>
          <w:tcPr>
            <w:tcW w:w="1714" w:type="dxa"/>
            <w:tcBorders>
              <w:top w:val="single" w:sz="8" w:space="0" w:color="auto"/>
              <w:left w:val="nil"/>
              <w:bottom w:val="single" w:sz="8" w:space="0" w:color="auto"/>
              <w:right w:val="single" w:sz="8" w:space="0" w:color="auto"/>
            </w:tcBorders>
            <w:shd w:val="clear" w:color="000000" w:fill="B4C6E7"/>
            <w:noWrap/>
            <w:vAlign w:val="center"/>
            <w:hideMark/>
          </w:tcPr>
          <w:p w:rsidR="000F236F" w:rsidRDefault="000F236F" w:rsidP="00DB5405">
            <w:pPr>
              <w:jc w:val="center"/>
              <w:rPr>
                <w:rFonts w:ascii="Garamond" w:eastAsia="Times New Roman" w:hAnsi="Garamond" w:cs="Calibri"/>
                <w:b/>
                <w:bCs/>
                <w:color w:val="000000"/>
                <w:sz w:val="20"/>
                <w:szCs w:val="20"/>
                <w:lang w:val="en-IN" w:eastAsia="en-IN" w:bidi="hi-IN"/>
              </w:rPr>
            </w:pPr>
            <w:r>
              <w:rPr>
                <w:rFonts w:ascii="Garamond" w:eastAsia="Times New Roman" w:hAnsi="Garamond" w:cs="Calibri"/>
                <w:b/>
                <w:bCs/>
                <w:color w:val="000000"/>
                <w:sz w:val="20"/>
                <w:szCs w:val="20"/>
                <w:lang w:val="en-IN" w:eastAsia="en-IN" w:bidi="hi-IN"/>
              </w:rPr>
              <w:t>Country</w:t>
            </w:r>
          </w:p>
        </w:tc>
        <w:tc>
          <w:tcPr>
            <w:tcW w:w="1301" w:type="dxa"/>
            <w:tcBorders>
              <w:top w:val="single" w:sz="8" w:space="0" w:color="auto"/>
              <w:left w:val="nil"/>
              <w:bottom w:val="single" w:sz="8" w:space="0" w:color="auto"/>
              <w:right w:val="single" w:sz="8" w:space="0" w:color="auto"/>
            </w:tcBorders>
            <w:shd w:val="clear" w:color="000000" w:fill="B4C6E7"/>
            <w:noWrap/>
            <w:vAlign w:val="center"/>
            <w:hideMark/>
          </w:tcPr>
          <w:p w:rsidR="000F236F" w:rsidRDefault="000F236F" w:rsidP="00DB5405">
            <w:pPr>
              <w:jc w:val="center"/>
              <w:rPr>
                <w:rFonts w:ascii="Garamond" w:eastAsia="Times New Roman" w:hAnsi="Garamond" w:cs="Calibri"/>
                <w:b/>
                <w:bCs/>
                <w:color w:val="000000"/>
                <w:sz w:val="20"/>
                <w:szCs w:val="20"/>
                <w:lang w:val="en-IN" w:eastAsia="en-IN" w:bidi="hi-IN"/>
              </w:rPr>
            </w:pPr>
            <w:r>
              <w:rPr>
                <w:rFonts w:ascii="Calibri" w:hAnsi="Calibri" w:cs="Calibri"/>
                <w:b/>
                <w:bCs/>
                <w:color w:val="000000"/>
                <w:sz w:val="18"/>
                <w:szCs w:val="18"/>
              </w:rPr>
              <w:t>Aug-20</w:t>
            </w:r>
          </w:p>
        </w:tc>
        <w:tc>
          <w:tcPr>
            <w:tcW w:w="1301" w:type="dxa"/>
            <w:tcBorders>
              <w:top w:val="single" w:sz="8" w:space="0" w:color="auto"/>
              <w:left w:val="nil"/>
              <w:bottom w:val="single" w:sz="8" w:space="0" w:color="auto"/>
              <w:right w:val="single" w:sz="8" w:space="0" w:color="auto"/>
            </w:tcBorders>
            <w:shd w:val="clear" w:color="000000" w:fill="B4C6E7"/>
            <w:noWrap/>
            <w:vAlign w:val="center"/>
            <w:hideMark/>
          </w:tcPr>
          <w:p w:rsidR="000F236F" w:rsidRDefault="000F236F" w:rsidP="00DB5405">
            <w:pPr>
              <w:jc w:val="center"/>
              <w:rPr>
                <w:rFonts w:ascii="Garamond" w:eastAsia="Times New Roman" w:hAnsi="Garamond" w:cs="Calibri"/>
                <w:b/>
                <w:bCs/>
                <w:color w:val="000000"/>
                <w:sz w:val="20"/>
                <w:szCs w:val="20"/>
                <w:lang w:val="en-IN" w:eastAsia="en-IN" w:bidi="hi-IN"/>
              </w:rPr>
            </w:pPr>
            <w:r>
              <w:rPr>
                <w:rFonts w:ascii="Calibri" w:hAnsi="Calibri" w:cs="Calibri"/>
                <w:b/>
                <w:bCs/>
                <w:color w:val="000000"/>
                <w:sz w:val="18"/>
                <w:szCs w:val="18"/>
              </w:rPr>
              <w:t>Sep-20</w:t>
            </w:r>
          </w:p>
        </w:tc>
        <w:tc>
          <w:tcPr>
            <w:tcW w:w="1301" w:type="dxa"/>
            <w:tcBorders>
              <w:top w:val="single" w:sz="8" w:space="0" w:color="auto"/>
              <w:left w:val="nil"/>
              <w:bottom w:val="single" w:sz="8" w:space="0" w:color="auto"/>
              <w:right w:val="single" w:sz="8" w:space="0" w:color="auto"/>
            </w:tcBorders>
            <w:shd w:val="clear" w:color="000000" w:fill="B4C6E7"/>
            <w:noWrap/>
            <w:vAlign w:val="center"/>
            <w:hideMark/>
          </w:tcPr>
          <w:p w:rsidR="000F236F" w:rsidRDefault="000F236F" w:rsidP="00DB5405">
            <w:pPr>
              <w:rPr>
                <w:rFonts w:ascii="Garamond" w:eastAsia="Times New Roman" w:hAnsi="Garamond" w:cs="Calibri"/>
                <w:b/>
                <w:bCs/>
                <w:color w:val="000000"/>
                <w:sz w:val="20"/>
                <w:szCs w:val="20"/>
                <w:lang w:val="en-IN" w:eastAsia="en-IN" w:bidi="hi-IN"/>
              </w:rPr>
            </w:pPr>
            <w:r>
              <w:rPr>
                <w:rFonts w:ascii="Calibri" w:hAnsi="Calibri" w:cs="Calibri"/>
                <w:b/>
                <w:bCs/>
                <w:color w:val="000000"/>
                <w:sz w:val="18"/>
                <w:szCs w:val="18"/>
              </w:rPr>
              <w:t>% Change MoM</w:t>
            </w:r>
          </w:p>
        </w:tc>
      </w:tr>
      <w:tr w:rsidR="000F236F" w:rsidTr="00DB5405">
        <w:trPr>
          <w:trHeight w:val="247"/>
        </w:trPr>
        <w:tc>
          <w:tcPr>
            <w:tcW w:w="991" w:type="dxa"/>
            <w:vMerge w:val="restart"/>
            <w:tcBorders>
              <w:top w:val="nil"/>
              <w:left w:val="single" w:sz="8" w:space="0" w:color="auto"/>
              <w:bottom w:val="single" w:sz="8" w:space="0" w:color="000000"/>
              <w:right w:val="single" w:sz="8" w:space="0" w:color="auto"/>
            </w:tcBorders>
            <w:shd w:val="clear" w:color="000000" w:fill="B4C6E7"/>
            <w:noWrap/>
            <w:textDirection w:val="btLr"/>
            <w:vAlign w:val="center"/>
            <w:hideMark/>
          </w:tcPr>
          <w:p w:rsidR="000F236F" w:rsidRDefault="000F236F" w:rsidP="00DB5405">
            <w:pPr>
              <w:jc w:val="center"/>
              <w:rPr>
                <w:rFonts w:ascii="Garamond" w:eastAsia="Times New Roman" w:hAnsi="Garamond" w:cs="Calibri"/>
                <w:b/>
                <w:bCs/>
                <w:color w:val="000000"/>
                <w:sz w:val="20"/>
                <w:szCs w:val="20"/>
                <w:lang w:val="en-IN" w:eastAsia="en-IN" w:bidi="hi-IN"/>
              </w:rPr>
            </w:pPr>
            <w:r>
              <w:rPr>
                <w:rFonts w:ascii="Garamond" w:eastAsia="Times New Roman" w:hAnsi="Garamond" w:cs="Calibri"/>
                <w:b/>
                <w:bCs/>
                <w:color w:val="000000"/>
                <w:sz w:val="20"/>
                <w:szCs w:val="20"/>
                <w:lang w:val="en-IN" w:eastAsia="en-IN" w:bidi="hi-IN"/>
              </w:rPr>
              <w:t>Developed Markets</w:t>
            </w:r>
          </w:p>
        </w:tc>
        <w:tc>
          <w:tcPr>
            <w:tcW w:w="1714" w:type="dxa"/>
            <w:tcBorders>
              <w:top w:val="nil"/>
              <w:left w:val="nil"/>
              <w:bottom w:val="single" w:sz="8" w:space="0" w:color="auto"/>
              <w:right w:val="single" w:sz="8" w:space="0" w:color="auto"/>
            </w:tcBorders>
            <w:shd w:val="clear" w:color="000000" w:fill="D9E1F2"/>
            <w:noWrap/>
            <w:vAlign w:val="center"/>
            <w:hideMark/>
          </w:tcPr>
          <w:p w:rsidR="000F236F" w:rsidRDefault="000F236F" w:rsidP="00DB5405">
            <w:pPr>
              <w:rPr>
                <w:rFonts w:ascii="Garamond" w:eastAsia="Times New Roman" w:hAnsi="Garamond" w:cs="Calibri"/>
                <w:color w:val="000000"/>
                <w:sz w:val="20"/>
                <w:szCs w:val="20"/>
                <w:lang w:val="en-IN" w:eastAsia="en-IN" w:bidi="hi-IN"/>
              </w:rPr>
            </w:pPr>
            <w:r>
              <w:rPr>
                <w:rFonts w:ascii="Garamond" w:eastAsia="Times New Roman" w:hAnsi="Garamond" w:cs="Calibri"/>
                <w:color w:val="000000"/>
                <w:sz w:val="20"/>
                <w:szCs w:val="20"/>
                <w:lang w:val="en-IN" w:eastAsia="en-IN" w:bidi="hi-IN"/>
              </w:rPr>
              <w:t>USA</w:t>
            </w:r>
          </w:p>
        </w:tc>
        <w:tc>
          <w:tcPr>
            <w:tcW w:w="1301" w:type="dxa"/>
            <w:tcBorders>
              <w:top w:val="nil"/>
              <w:left w:val="nil"/>
              <w:bottom w:val="single" w:sz="8" w:space="0" w:color="auto"/>
              <w:right w:val="single" w:sz="8" w:space="0" w:color="auto"/>
            </w:tcBorders>
            <w:shd w:val="clear" w:color="auto" w:fill="auto"/>
            <w:noWrap/>
            <w:vAlign w:val="center"/>
            <w:hideMark/>
          </w:tcPr>
          <w:p w:rsidR="000F236F" w:rsidRDefault="000F236F" w:rsidP="00DB5405">
            <w:pPr>
              <w:jc w:val="right"/>
              <w:rPr>
                <w:rFonts w:ascii="Garamond" w:eastAsia="Times New Roman" w:hAnsi="Garamond" w:cs="Calibri"/>
                <w:color w:val="000000"/>
                <w:sz w:val="20"/>
                <w:szCs w:val="20"/>
                <w:lang w:val="en-IN" w:eastAsia="en-IN" w:bidi="hi-IN"/>
              </w:rPr>
            </w:pPr>
            <w:r>
              <w:rPr>
                <w:rFonts w:ascii="Calibri" w:hAnsi="Calibri" w:cs="Calibri"/>
                <w:color w:val="000000"/>
                <w:sz w:val="18"/>
                <w:szCs w:val="18"/>
              </w:rPr>
              <w:t>37,934</w:t>
            </w:r>
          </w:p>
        </w:tc>
        <w:tc>
          <w:tcPr>
            <w:tcW w:w="1301" w:type="dxa"/>
            <w:tcBorders>
              <w:top w:val="nil"/>
              <w:left w:val="nil"/>
              <w:bottom w:val="single" w:sz="8" w:space="0" w:color="auto"/>
              <w:right w:val="single" w:sz="8" w:space="0" w:color="auto"/>
            </w:tcBorders>
            <w:shd w:val="clear" w:color="auto" w:fill="auto"/>
            <w:noWrap/>
            <w:vAlign w:val="center"/>
            <w:hideMark/>
          </w:tcPr>
          <w:p w:rsidR="000F236F" w:rsidRDefault="000F236F" w:rsidP="00DB5405">
            <w:pPr>
              <w:jc w:val="right"/>
              <w:rPr>
                <w:rFonts w:ascii="Garamond" w:eastAsia="Times New Roman" w:hAnsi="Garamond" w:cs="Calibri"/>
                <w:color w:val="000000"/>
                <w:sz w:val="20"/>
                <w:szCs w:val="20"/>
                <w:lang w:val="en-IN" w:eastAsia="en-IN" w:bidi="hi-IN"/>
              </w:rPr>
            </w:pPr>
            <w:r>
              <w:rPr>
                <w:rFonts w:ascii="Calibri" w:hAnsi="Calibri" w:cs="Calibri"/>
                <w:color w:val="000000"/>
                <w:sz w:val="18"/>
                <w:szCs w:val="18"/>
              </w:rPr>
              <w:t>36,458</w:t>
            </w:r>
          </w:p>
        </w:tc>
        <w:tc>
          <w:tcPr>
            <w:tcW w:w="1301" w:type="dxa"/>
            <w:tcBorders>
              <w:top w:val="nil"/>
              <w:left w:val="nil"/>
              <w:bottom w:val="single" w:sz="8" w:space="0" w:color="auto"/>
              <w:right w:val="single" w:sz="8" w:space="0" w:color="auto"/>
            </w:tcBorders>
            <w:shd w:val="clear" w:color="auto" w:fill="auto"/>
            <w:noWrap/>
            <w:vAlign w:val="center"/>
            <w:hideMark/>
          </w:tcPr>
          <w:p w:rsidR="000F236F" w:rsidRDefault="000F236F" w:rsidP="00DB5405">
            <w:pPr>
              <w:jc w:val="right"/>
              <w:rPr>
                <w:rFonts w:ascii="Garamond" w:eastAsia="Times New Roman" w:hAnsi="Garamond" w:cs="Calibri"/>
                <w:color w:val="000000"/>
                <w:sz w:val="20"/>
                <w:szCs w:val="20"/>
                <w:lang w:val="en-IN" w:eastAsia="en-IN" w:bidi="hi-IN"/>
              </w:rPr>
            </w:pPr>
            <w:r>
              <w:rPr>
                <w:rFonts w:ascii="Calibri" w:hAnsi="Calibri" w:cs="Calibri"/>
                <w:color w:val="000000"/>
                <w:sz w:val="18"/>
                <w:szCs w:val="18"/>
              </w:rPr>
              <w:t>-3.9</w:t>
            </w:r>
          </w:p>
        </w:tc>
      </w:tr>
      <w:tr w:rsidR="000F236F" w:rsidTr="00DB5405">
        <w:trPr>
          <w:trHeight w:val="247"/>
        </w:trPr>
        <w:tc>
          <w:tcPr>
            <w:tcW w:w="991" w:type="dxa"/>
            <w:vMerge/>
            <w:tcBorders>
              <w:top w:val="nil"/>
              <w:left w:val="single" w:sz="8" w:space="0" w:color="auto"/>
              <w:bottom w:val="single" w:sz="8" w:space="0" w:color="000000"/>
              <w:right w:val="single" w:sz="8" w:space="0" w:color="auto"/>
            </w:tcBorders>
            <w:vAlign w:val="center"/>
            <w:hideMark/>
          </w:tcPr>
          <w:p w:rsidR="000F236F" w:rsidRDefault="000F236F" w:rsidP="00DB5405">
            <w:pPr>
              <w:rPr>
                <w:rFonts w:ascii="Garamond" w:eastAsia="Times New Roman" w:hAnsi="Garamond" w:cs="Calibri"/>
                <w:b/>
                <w:bCs/>
                <w:color w:val="000000"/>
                <w:sz w:val="20"/>
                <w:szCs w:val="20"/>
                <w:lang w:val="en-IN" w:eastAsia="en-IN" w:bidi="hi-IN"/>
              </w:rPr>
            </w:pPr>
          </w:p>
        </w:tc>
        <w:tc>
          <w:tcPr>
            <w:tcW w:w="1714" w:type="dxa"/>
            <w:tcBorders>
              <w:top w:val="nil"/>
              <w:left w:val="nil"/>
              <w:bottom w:val="single" w:sz="8" w:space="0" w:color="auto"/>
              <w:right w:val="single" w:sz="8" w:space="0" w:color="auto"/>
            </w:tcBorders>
            <w:shd w:val="clear" w:color="000000" w:fill="D9E1F2"/>
            <w:noWrap/>
            <w:vAlign w:val="center"/>
            <w:hideMark/>
          </w:tcPr>
          <w:p w:rsidR="000F236F" w:rsidRDefault="000F236F" w:rsidP="00DB5405">
            <w:pPr>
              <w:rPr>
                <w:rFonts w:ascii="Garamond" w:eastAsia="Times New Roman" w:hAnsi="Garamond" w:cs="Calibri"/>
                <w:color w:val="000000"/>
                <w:sz w:val="20"/>
                <w:szCs w:val="20"/>
                <w:lang w:val="en-IN" w:eastAsia="en-IN" w:bidi="hi-IN"/>
              </w:rPr>
            </w:pPr>
            <w:r>
              <w:rPr>
                <w:rFonts w:ascii="Garamond" w:eastAsia="Times New Roman" w:hAnsi="Garamond" w:cs="Calibri"/>
                <w:color w:val="000000"/>
                <w:sz w:val="20"/>
                <w:szCs w:val="20"/>
                <w:lang w:val="en-IN" w:eastAsia="en-IN" w:bidi="hi-IN"/>
              </w:rPr>
              <w:t>UK</w:t>
            </w:r>
          </w:p>
        </w:tc>
        <w:tc>
          <w:tcPr>
            <w:tcW w:w="1301" w:type="dxa"/>
            <w:tcBorders>
              <w:top w:val="nil"/>
              <w:left w:val="nil"/>
              <w:bottom w:val="single" w:sz="8" w:space="0" w:color="auto"/>
              <w:right w:val="single" w:sz="8" w:space="0" w:color="auto"/>
            </w:tcBorders>
            <w:shd w:val="clear" w:color="auto" w:fill="auto"/>
            <w:noWrap/>
            <w:vAlign w:val="center"/>
            <w:hideMark/>
          </w:tcPr>
          <w:p w:rsidR="000F236F" w:rsidRDefault="000F236F" w:rsidP="00DB5405">
            <w:pPr>
              <w:jc w:val="right"/>
              <w:rPr>
                <w:rFonts w:ascii="Garamond" w:eastAsia="Times New Roman" w:hAnsi="Garamond" w:cs="Calibri"/>
                <w:color w:val="000000"/>
                <w:sz w:val="20"/>
                <w:szCs w:val="20"/>
                <w:lang w:val="en-IN" w:eastAsia="en-IN" w:bidi="hi-IN"/>
              </w:rPr>
            </w:pPr>
            <w:r>
              <w:rPr>
                <w:rFonts w:ascii="Calibri" w:hAnsi="Calibri" w:cs="Calibri"/>
                <w:color w:val="000000"/>
                <w:sz w:val="18"/>
                <w:szCs w:val="18"/>
              </w:rPr>
              <w:t>2,839</w:t>
            </w:r>
          </w:p>
        </w:tc>
        <w:tc>
          <w:tcPr>
            <w:tcW w:w="1301" w:type="dxa"/>
            <w:tcBorders>
              <w:top w:val="nil"/>
              <w:left w:val="nil"/>
              <w:bottom w:val="single" w:sz="8" w:space="0" w:color="auto"/>
              <w:right w:val="single" w:sz="8" w:space="0" w:color="auto"/>
            </w:tcBorders>
            <w:shd w:val="clear" w:color="auto" w:fill="auto"/>
            <w:noWrap/>
            <w:vAlign w:val="center"/>
            <w:hideMark/>
          </w:tcPr>
          <w:p w:rsidR="000F236F" w:rsidRDefault="000F236F" w:rsidP="00DB5405">
            <w:pPr>
              <w:jc w:val="right"/>
              <w:rPr>
                <w:rFonts w:ascii="Garamond" w:eastAsia="Times New Roman" w:hAnsi="Garamond" w:cs="Calibri"/>
                <w:color w:val="000000"/>
                <w:sz w:val="20"/>
                <w:szCs w:val="20"/>
                <w:lang w:val="en-IN" w:eastAsia="en-IN" w:bidi="hi-IN"/>
              </w:rPr>
            </w:pPr>
            <w:r>
              <w:rPr>
                <w:rFonts w:ascii="Calibri" w:hAnsi="Calibri" w:cs="Calibri"/>
                <w:color w:val="000000"/>
                <w:sz w:val="18"/>
                <w:szCs w:val="18"/>
              </w:rPr>
              <w:t>2,711</w:t>
            </w:r>
          </w:p>
        </w:tc>
        <w:tc>
          <w:tcPr>
            <w:tcW w:w="1301" w:type="dxa"/>
            <w:tcBorders>
              <w:top w:val="nil"/>
              <w:left w:val="nil"/>
              <w:bottom w:val="single" w:sz="8" w:space="0" w:color="auto"/>
              <w:right w:val="single" w:sz="8" w:space="0" w:color="auto"/>
            </w:tcBorders>
            <w:shd w:val="clear" w:color="auto" w:fill="auto"/>
            <w:noWrap/>
            <w:vAlign w:val="center"/>
            <w:hideMark/>
          </w:tcPr>
          <w:p w:rsidR="000F236F" w:rsidRDefault="000F236F" w:rsidP="00DB5405">
            <w:pPr>
              <w:jc w:val="right"/>
              <w:rPr>
                <w:rFonts w:ascii="Garamond" w:eastAsia="Times New Roman" w:hAnsi="Garamond" w:cs="Calibri"/>
                <w:color w:val="000000"/>
                <w:sz w:val="20"/>
                <w:szCs w:val="20"/>
                <w:lang w:val="en-IN" w:eastAsia="en-IN" w:bidi="hi-IN"/>
              </w:rPr>
            </w:pPr>
            <w:r>
              <w:rPr>
                <w:rFonts w:ascii="Calibri" w:hAnsi="Calibri" w:cs="Calibri"/>
                <w:color w:val="000000"/>
                <w:sz w:val="18"/>
                <w:szCs w:val="18"/>
              </w:rPr>
              <w:t>-4.5</w:t>
            </w:r>
          </w:p>
        </w:tc>
      </w:tr>
      <w:tr w:rsidR="000F236F" w:rsidTr="00DB5405">
        <w:trPr>
          <w:trHeight w:val="247"/>
        </w:trPr>
        <w:tc>
          <w:tcPr>
            <w:tcW w:w="991" w:type="dxa"/>
            <w:vMerge/>
            <w:tcBorders>
              <w:top w:val="nil"/>
              <w:left w:val="single" w:sz="8" w:space="0" w:color="auto"/>
              <w:bottom w:val="single" w:sz="8" w:space="0" w:color="000000"/>
              <w:right w:val="single" w:sz="8" w:space="0" w:color="auto"/>
            </w:tcBorders>
            <w:vAlign w:val="center"/>
            <w:hideMark/>
          </w:tcPr>
          <w:p w:rsidR="000F236F" w:rsidRDefault="000F236F" w:rsidP="00DB5405">
            <w:pPr>
              <w:rPr>
                <w:rFonts w:ascii="Garamond" w:eastAsia="Times New Roman" w:hAnsi="Garamond" w:cs="Calibri"/>
                <w:b/>
                <w:bCs/>
                <w:color w:val="000000"/>
                <w:sz w:val="20"/>
                <w:szCs w:val="20"/>
                <w:lang w:val="en-IN" w:eastAsia="en-IN" w:bidi="hi-IN"/>
              </w:rPr>
            </w:pPr>
          </w:p>
        </w:tc>
        <w:tc>
          <w:tcPr>
            <w:tcW w:w="1714" w:type="dxa"/>
            <w:tcBorders>
              <w:top w:val="nil"/>
              <w:left w:val="nil"/>
              <w:bottom w:val="single" w:sz="8" w:space="0" w:color="auto"/>
              <w:right w:val="single" w:sz="8" w:space="0" w:color="auto"/>
            </w:tcBorders>
            <w:shd w:val="clear" w:color="000000" w:fill="D9E1F2"/>
            <w:noWrap/>
            <w:vAlign w:val="center"/>
            <w:hideMark/>
          </w:tcPr>
          <w:p w:rsidR="000F236F" w:rsidRDefault="000F236F" w:rsidP="00DB5405">
            <w:pPr>
              <w:rPr>
                <w:rFonts w:ascii="Garamond" w:eastAsia="Times New Roman" w:hAnsi="Garamond" w:cs="Calibri"/>
                <w:color w:val="000000"/>
                <w:sz w:val="20"/>
                <w:szCs w:val="20"/>
                <w:lang w:val="en-IN" w:eastAsia="en-IN" w:bidi="hi-IN"/>
              </w:rPr>
            </w:pPr>
            <w:r>
              <w:rPr>
                <w:rFonts w:ascii="Garamond" w:eastAsia="Times New Roman" w:hAnsi="Garamond" w:cs="Calibri"/>
                <w:color w:val="000000"/>
                <w:sz w:val="20"/>
                <w:szCs w:val="20"/>
                <w:lang w:val="en-IN" w:eastAsia="en-IN" w:bidi="hi-IN"/>
              </w:rPr>
              <w:t>Germany</w:t>
            </w:r>
          </w:p>
        </w:tc>
        <w:tc>
          <w:tcPr>
            <w:tcW w:w="1301" w:type="dxa"/>
            <w:tcBorders>
              <w:top w:val="nil"/>
              <w:left w:val="nil"/>
              <w:bottom w:val="single" w:sz="8" w:space="0" w:color="auto"/>
              <w:right w:val="single" w:sz="8" w:space="0" w:color="auto"/>
            </w:tcBorders>
            <w:shd w:val="clear" w:color="auto" w:fill="auto"/>
            <w:noWrap/>
            <w:vAlign w:val="center"/>
            <w:hideMark/>
          </w:tcPr>
          <w:p w:rsidR="000F236F" w:rsidRDefault="000F236F" w:rsidP="00DB5405">
            <w:pPr>
              <w:jc w:val="right"/>
              <w:rPr>
                <w:rFonts w:ascii="Garamond" w:eastAsia="Times New Roman" w:hAnsi="Garamond" w:cs="Calibri"/>
                <w:color w:val="000000"/>
                <w:sz w:val="20"/>
                <w:szCs w:val="20"/>
                <w:lang w:val="en-IN" w:eastAsia="en-IN" w:bidi="hi-IN"/>
              </w:rPr>
            </w:pPr>
            <w:r>
              <w:rPr>
                <w:rFonts w:ascii="Calibri" w:hAnsi="Calibri" w:cs="Calibri"/>
                <w:color w:val="000000"/>
                <w:sz w:val="18"/>
                <w:szCs w:val="18"/>
              </w:rPr>
              <w:t>2,344</w:t>
            </w:r>
          </w:p>
        </w:tc>
        <w:tc>
          <w:tcPr>
            <w:tcW w:w="1301" w:type="dxa"/>
            <w:tcBorders>
              <w:top w:val="nil"/>
              <w:left w:val="nil"/>
              <w:bottom w:val="single" w:sz="8" w:space="0" w:color="auto"/>
              <w:right w:val="single" w:sz="8" w:space="0" w:color="auto"/>
            </w:tcBorders>
            <w:shd w:val="clear" w:color="auto" w:fill="auto"/>
            <w:noWrap/>
            <w:vAlign w:val="center"/>
            <w:hideMark/>
          </w:tcPr>
          <w:p w:rsidR="000F236F" w:rsidRDefault="000F236F" w:rsidP="00DB5405">
            <w:pPr>
              <w:jc w:val="right"/>
              <w:rPr>
                <w:rFonts w:ascii="Garamond" w:eastAsia="Times New Roman" w:hAnsi="Garamond" w:cs="Calibri"/>
                <w:color w:val="000000"/>
                <w:sz w:val="20"/>
                <w:szCs w:val="20"/>
                <w:lang w:val="en-IN" w:eastAsia="en-IN" w:bidi="hi-IN"/>
              </w:rPr>
            </w:pPr>
            <w:r>
              <w:rPr>
                <w:rFonts w:ascii="Calibri" w:hAnsi="Calibri" w:cs="Calibri"/>
                <w:color w:val="000000"/>
                <w:sz w:val="18"/>
                <w:szCs w:val="18"/>
              </w:rPr>
              <w:t>2,288</w:t>
            </w:r>
          </w:p>
        </w:tc>
        <w:tc>
          <w:tcPr>
            <w:tcW w:w="1301" w:type="dxa"/>
            <w:tcBorders>
              <w:top w:val="nil"/>
              <w:left w:val="nil"/>
              <w:bottom w:val="single" w:sz="8" w:space="0" w:color="auto"/>
              <w:right w:val="single" w:sz="8" w:space="0" w:color="auto"/>
            </w:tcBorders>
            <w:shd w:val="clear" w:color="auto" w:fill="auto"/>
            <w:noWrap/>
            <w:vAlign w:val="center"/>
            <w:hideMark/>
          </w:tcPr>
          <w:p w:rsidR="000F236F" w:rsidRDefault="000F236F" w:rsidP="00DB5405">
            <w:pPr>
              <w:jc w:val="right"/>
              <w:rPr>
                <w:rFonts w:ascii="Garamond" w:eastAsia="Times New Roman" w:hAnsi="Garamond" w:cs="Calibri"/>
                <w:color w:val="000000"/>
                <w:sz w:val="20"/>
                <w:szCs w:val="20"/>
                <w:lang w:val="en-IN" w:eastAsia="en-IN" w:bidi="hi-IN"/>
              </w:rPr>
            </w:pPr>
            <w:r>
              <w:rPr>
                <w:rFonts w:ascii="Calibri" w:hAnsi="Calibri" w:cs="Calibri"/>
                <w:color w:val="000000"/>
                <w:sz w:val="18"/>
                <w:szCs w:val="18"/>
              </w:rPr>
              <w:t>-2.4</w:t>
            </w:r>
          </w:p>
        </w:tc>
      </w:tr>
      <w:tr w:rsidR="000F236F" w:rsidTr="00DB5405">
        <w:trPr>
          <w:trHeight w:val="247"/>
        </w:trPr>
        <w:tc>
          <w:tcPr>
            <w:tcW w:w="991" w:type="dxa"/>
            <w:vMerge/>
            <w:tcBorders>
              <w:top w:val="nil"/>
              <w:left w:val="single" w:sz="8" w:space="0" w:color="auto"/>
              <w:bottom w:val="single" w:sz="8" w:space="0" w:color="000000"/>
              <w:right w:val="single" w:sz="8" w:space="0" w:color="auto"/>
            </w:tcBorders>
            <w:vAlign w:val="center"/>
            <w:hideMark/>
          </w:tcPr>
          <w:p w:rsidR="000F236F" w:rsidRDefault="000F236F" w:rsidP="00DB5405">
            <w:pPr>
              <w:rPr>
                <w:rFonts w:ascii="Garamond" w:eastAsia="Times New Roman" w:hAnsi="Garamond" w:cs="Calibri"/>
                <w:b/>
                <w:bCs/>
                <w:color w:val="000000"/>
                <w:sz w:val="20"/>
                <w:szCs w:val="20"/>
                <w:lang w:val="en-IN" w:eastAsia="en-IN" w:bidi="hi-IN"/>
              </w:rPr>
            </w:pPr>
          </w:p>
        </w:tc>
        <w:tc>
          <w:tcPr>
            <w:tcW w:w="1714" w:type="dxa"/>
            <w:tcBorders>
              <w:top w:val="nil"/>
              <w:left w:val="nil"/>
              <w:bottom w:val="single" w:sz="8" w:space="0" w:color="auto"/>
              <w:right w:val="single" w:sz="8" w:space="0" w:color="auto"/>
            </w:tcBorders>
            <w:shd w:val="clear" w:color="000000" w:fill="D9E1F2"/>
            <w:noWrap/>
            <w:vAlign w:val="center"/>
            <w:hideMark/>
          </w:tcPr>
          <w:p w:rsidR="000F236F" w:rsidRDefault="000F236F" w:rsidP="00DB5405">
            <w:pPr>
              <w:rPr>
                <w:rFonts w:ascii="Garamond" w:eastAsia="Times New Roman" w:hAnsi="Garamond" w:cs="Calibri"/>
                <w:color w:val="000000"/>
                <w:sz w:val="20"/>
                <w:szCs w:val="20"/>
                <w:lang w:val="en-IN" w:eastAsia="en-IN" w:bidi="hi-IN"/>
              </w:rPr>
            </w:pPr>
            <w:r>
              <w:rPr>
                <w:rFonts w:ascii="Garamond" w:eastAsia="Times New Roman" w:hAnsi="Garamond" w:cs="Calibri"/>
                <w:color w:val="000000"/>
                <w:sz w:val="20"/>
                <w:szCs w:val="20"/>
                <w:lang w:val="en-IN" w:eastAsia="en-IN" w:bidi="hi-IN"/>
              </w:rPr>
              <w:t>France</w:t>
            </w:r>
          </w:p>
        </w:tc>
        <w:tc>
          <w:tcPr>
            <w:tcW w:w="1301" w:type="dxa"/>
            <w:tcBorders>
              <w:top w:val="nil"/>
              <w:left w:val="nil"/>
              <w:bottom w:val="single" w:sz="8" w:space="0" w:color="auto"/>
              <w:right w:val="single" w:sz="8" w:space="0" w:color="auto"/>
            </w:tcBorders>
            <w:shd w:val="clear" w:color="auto" w:fill="auto"/>
            <w:noWrap/>
            <w:vAlign w:val="center"/>
            <w:hideMark/>
          </w:tcPr>
          <w:p w:rsidR="000F236F" w:rsidRDefault="000F236F" w:rsidP="00DB5405">
            <w:pPr>
              <w:jc w:val="right"/>
              <w:rPr>
                <w:rFonts w:ascii="Garamond" w:eastAsia="Times New Roman" w:hAnsi="Garamond" w:cs="Calibri"/>
                <w:color w:val="000000"/>
                <w:sz w:val="20"/>
                <w:szCs w:val="20"/>
                <w:lang w:val="en-IN" w:eastAsia="en-IN" w:bidi="hi-IN"/>
              </w:rPr>
            </w:pPr>
            <w:r>
              <w:rPr>
                <w:rFonts w:ascii="Calibri" w:hAnsi="Calibri" w:cs="Calibri"/>
                <w:color w:val="000000"/>
                <w:sz w:val="18"/>
                <w:szCs w:val="18"/>
              </w:rPr>
              <w:t>603</w:t>
            </w:r>
          </w:p>
        </w:tc>
        <w:tc>
          <w:tcPr>
            <w:tcW w:w="1301" w:type="dxa"/>
            <w:tcBorders>
              <w:top w:val="nil"/>
              <w:left w:val="nil"/>
              <w:bottom w:val="single" w:sz="8" w:space="0" w:color="auto"/>
              <w:right w:val="single" w:sz="8" w:space="0" w:color="auto"/>
            </w:tcBorders>
            <w:shd w:val="clear" w:color="auto" w:fill="auto"/>
            <w:noWrap/>
            <w:vAlign w:val="center"/>
            <w:hideMark/>
          </w:tcPr>
          <w:p w:rsidR="000F236F" w:rsidRDefault="000F236F" w:rsidP="00DB5405">
            <w:pPr>
              <w:jc w:val="right"/>
              <w:rPr>
                <w:rFonts w:ascii="Garamond" w:eastAsia="Times New Roman" w:hAnsi="Garamond" w:cs="Calibri"/>
                <w:color w:val="000000"/>
                <w:sz w:val="20"/>
                <w:szCs w:val="20"/>
                <w:lang w:val="en-IN" w:eastAsia="en-IN" w:bidi="hi-IN"/>
              </w:rPr>
            </w:pPr>
            <w:r>
              <w:rPr>
                <w:rFonts w:ascii="Calibri" w:hAnsi="Calibri" w:cs="Calibri"/>
                <w:color w:val="000000"/>
                <w:sz w:val="18"/>
                <w:szCs w:val="18"/>
              </w:rPr>
              <w:t>565</w:t>
            </w:r>
          </w:p>
        </w:tc>
        <w:tc>
          <w:tcPr>
            <w:tcW w:w="1301" w:type="dxa"/>
            <w:tcBorders>
              <w:top w:val="nil"/>
              <w:left w:val="nil"/>
              <w:bottom w:val="single" w:sz="8" w:space="0" w:color="auto"/>
              <w:right w:val="single" w:sz="8" w:space="0" w:color="auto"/>
            </w:tcBorders>
            <w:shd w:val="clear" w:color="auto" w:fill="auto"/>
            <w:noWrap/>
            <w:vAlign w:val="center"/>
            <w:hideMark/>
          </w:tcPr>
          <w:p w:rsidR="000F236F" w:rsidRDefault="000F236F" w:rsidP="00DB5405">
            <w:pPr>
              <w:jc w:val="right"/>
              <w:rPr>
                <w:rFonts w:ascii="Garamond" w:eastAsia="Times New Roman" w:hAnsi="Garamond" w:cs="Calibri"/>
                <w:color w:val="000000"/>
                <w:sz w:val="20"/>
                <w:szCs w:val="20"/>
                <w:lang w:val="en-IN" w:eastAsia="en-IN" w:bidi="hi-IN"/>
              </w:rPr>
            </w:pPr>
            <w:r>
              <w:rPr>
                <w:rFonts w:ascii="Calibri" w:hAnsi="Calibri" w:cs="Calibri"/>
                <w:color w:val="000000"/>
                <w:sz w:val="18"/>
                <w:szCs w:val="18"/>
              </w:rPr>
              <w:t>-6.4</w:t>
            </w:r>
          </w:p>
        </w:tc>
      </w:tr>
      <w:tr w:rsidR="000F236F" w:rsidTr="00DB5405">
        <w:trPr>
          <w:trHeight w:val="247"/>
        </w:trPr>
        <w:tc>
          <w:tcPr>
            <w:tcW w:w="991" w:type="dxa"/>
            <w:vMerge/>
            <w:tcBorders>
              <w:top w:val="nil"/>
              <w:left w:val="single" w:sz="8" w:space="0" w:color="auto"/>
              <w:bottom w:val="single" w:sz="8" w:space="0" w:color="000000"/>
              <w:right w:val="single" w:sz="8" w:space="0" w:color="auto"/>
            </w:tcBorders>
            <w:vAlign w:val="center"/>
            <w:hideMark/>
          </w:tcPr>
          <w:p w:rsidR="000F236F" w:rsidRDefault="000F236F" w:rsidP="00DB5405">
            <w:pPr>
              <w:rPr>
                <w:rFonts w:ascii="Garamond" w:eastAsia="Times New Roman" w:hAnsi="Garamond" w:cs="Calibri"/>
                <w:b/>
                <w:bCs/>
                <w:color w:val="000000"/>
                <w:sz w:val="20"/>
                <w:szCs w:val="20"/>
                <w:lang w:val="en-IN" w:eastAsia="en-IN" w:bidi="hi-IN"/>
              </w:rPr>
            </w:pPr>
          </w:p>
        </w:tc>
        <w:tc>
          <w:tcPr>
            <w:tcW w:w="1714" w:type="dxa"/>
            <w:tcBorders>
              <w:top w:val="nil"/>
              <w:left w:val="nil"/>
              <w:bottom w:val="single" w:sz="8" w:space="0" w:color="auto"/>
              <w:right w:val="single" w:sz="8" w:space="0" w:color="auto"/>
            </w:tcBorders>
            <w:shd w:val="clear" w:color="000000" w:fill="D9E1F2"/>
            <w:noWrap/>
            <w:vAlign w:val="center"/>
            <w:hideMark/>
          </w:tcPr>
          <w:p w:rsidR="000F236F" w:rsidRDefault="000F236F" w:rsidP="00DB5405">
            <w:pPr>
              <w:rPr>
                <w:rFonts w:ascii="Garamond" w:eastAsia="Times New Roman" w:hAnsi="Garamond" w:cs="Calibri"/>
                <w:color w:val="000000"/>
                <w:sz w:val="20"/>
                <w:szCs w:val="20"/>
                <w:lang w:val="en-IN" w:eastAsia="en-IN" w:bidi="hi-IN"/>
              </w:rPr>
            </w:pPr>
            <w:r>
              <w:rPr>
                <w:rFonts w:ascii="Garamond" w:eastAsia="Times New Roman" w:hAnsi="Garamond" w:cs="Calibri"/>
                <w:color w:val="000000"/>
                <w:sz w:val="20"/>
                <w:szCs w:val="20"/>
                <w:lang w:val="en-IN" w:eastAsia="en-IN" w:bidi="hi-IN"/>
              </w:rPr>
              <w:t>Japan</w:t>
            </w:r>
          </w:p>
        </w:tc>
        <w:tc>
          <w:tcPr>
            <w:tcW w:w="1301" w:type="dxa"/>
            <w:tcBorders>
              <w:top w:val="nil"/>
              <w:left w:val="nil"/>
              <w:bottom w:val="single" w:sz="8" w:space="0" w:color="auto"/>
              <w:right w:val="single" w:sz="8" w:space="0" w:color="auto"/>
            </w:tcBorders>
            <w:shd w:val="clear" w:color="auto" w:fill="auto"/>
            <w:noWrap/>
            <w:vAlign w:val="center"/>
            <w:hideMark/>
          </w:tcPr>
          <w:p w:rsidR="000F236F" w:rsidRDefault="000F236F" w:rsidP="00DB5405">
            <w:pPr>
              <w:jc w:val="right"/>
              <w:rPr>
                <w:rFonts w:ascii="Garamond" w:eastAsia="Times New Roman" w:hAnsi="Garamond" w:cs="Calibri"/>
                <w:color w:val="000000"/>
                <w:sz w:val="20"/>
                <w:szCs w:val="20"/>
                <w:lang w:val="en-IN" w:eastAsia="en-IN" w:bidi="hi-IN"/>
              </w:rPr>
            </w:pPr>
            <w:r>
              <w:rPr>
                <w:rFonts w:ascii="Calibri" w:hAnsi="Calibri" w:cs="Calibri"/>
                <w:color w:val="000000"/>
                <w:sz w:val="18"/>
                <w:szCs w:val="18"/>
              </w:rPr>
              <w:t>6,062</w:t>
            </w:r>
          </w:p>
        </w:tc>
        <w:tc>
          <w:tcPr>
            <w:tcW w:w="1301" w:type="dxa"/>
            <w:tcBorders>
              <w:top w:val="nil"/>
              <w:left w:val="nil"/>
              <w:bottom w:val="single" w:sz="8" w:space="0" w:color="auto"/>
              <w:right w:val="single" w:sz="8" w:space="0" w:color="auto"/>
            </w:tcBorders>
            <w:shd w:val="clear" w:color="auto" w:fill="auto"/>
            <w:noWrap/>
            <w:vAlign w:val="center"/>
            <w:hideMark/>
          </w:tcPr>
          <w:p w:rsidR="000F236F" w:rsidRDefault="000F236F" w:rsidP="00DB5405">
            <w:pPr>
              <w:jc w:val="right"/>
              <w:rPr>
                <w:rFonts w:ascii="Garamond" w:eastAsia="Times New Roman" w:hAnsi="Garamond" w:cs="Calibri"/>
                <w:color w:val="000000"/>
                <w:sz w:val="20"/>
                <w:szCs w:val="20"/>
                <w:lang w:val="en-IN" w:eastAsia="en-IN" w:bidi="hi-IN"/>
              </w:rPr>
            </w:pPr>
            <w:r>
              <w:rPr>
                <w:rFonts w:ascii="Calibri" w:hAnsi="Calibri" w:cs="Calibri"/>
                <w:color w:val="000000"/>
                <w:sz w:val="18"/>
                <w:szCs w:val="18"/>
              </w:rPr>
              <w:t>6,151</w:t>
            </w:r>
          </w:p>
        </w:tc>
        <w:tc>
          <w:tcPr>
            <w:tcW w:w="1301" w:type="dxa"/>
            <w:tcBorders>
              <w:top w:val="nil"/>
              <w:left w:val="nil"/>
              <w:bottom w:val="single" w:sz="8" w:space="0" w:color="auto"/>
              <w:right w:val="single" w:sz="8" w:space="0" w:color="auto"/>
            </w:tcBorders>
            <w:shd w:val="clear" w:color="auto" w:fill="auto"/>
            <w:noWrap/>
            <w:vAlign w:val="center"/>
            <w:hideMark/>
          </w:tcPr>
          <w:p w:rsidR="000F236F" w:rsidRDefault="000F236F" w:rsidP="00DB5405">
            <w:pPr>
              <w:jc w:val="right"/>
              <w:rPr>
                <w:rFonts w:ascii="Garamond" w:eastAsia="Times New Roman" w:hAnsi="Garamond" w:cs="Calibri"/>
                <w:color w:val="000000"/>
                <w:sz w:val="20"/>
                <w:szCs w:val="20"/>
                <w:lang w:val="en-IN" w:eastAsia="en-IN" w:bidi="hi-IN"/>
              </w:rPr>
            </w:pPr>
            <w:r>
              <w:rPr>
                <w:rFonts w:ascii="Calibri" w:hAnsi="Calibri" w:cs="Calibri"/>
                <w:color w:val="000000"/>
                <w:sz w:val="18"/>
                <w:szCs w:val="18"/>
              </w:rPr>
              <w:t>1.5</w:t>
            </w:r>
          </w:p>
        </w:tc>
      </w:tr>
      <w:tr w:rsidR="000F236F" w:rsidTr="00DB5405">
        <w:trPr>
          <w:trHeight w:val="247"/>
        </w:trPr>
        <w:tc>
          <w:tcPr>
            <w:tcW w:w="991" w:type="dxa"/>
            <w:vMerge/>
            <w:tcBorders>
              <w:top w:val="nil"/>
              <w:left w:val="single" w:sz="8" w:space="0" w:color="auto"/>
              <w:bottom w:val="single" w:sz="8" w:space="0" w:color="000000"/>
              <w:right w:val="single" w:sz="8" w:space="0" w:color="auto"/>
            </w:tcBorders>
            <w:vAlign w:val="center"/>
            <w:hideMark/>
          </w:tcPr>
          <w:p w:rsidR="000F236F" w:rsidRDefault="000F236F" w:rsidP="00DB5405">
            <w:pPr>
              <w:rPr>
                <w:rFonts w:ascii="Garamond" w:eastAsia="Times New Roman" w:hAnsi="Garamond" w:cs="Calibri"/>
                <w:b/>
                <w:bCs/>
                <w:color w:val="000000"/>
                <w:sz w:val="20"/>
                <w:szCs w:val="20"/>
                <w:lang w:val="en-IN" w:eastAsia="en-IN" w:bidi="hi-IN"/>
              </w:rPr>
            </w:pPr>
          </w:p>
        </w:tc>
        <w:tc>
          <w:tcPr>
            <w:tcW w:w="1714" w:type="dxa"/>
            <w:tcBorders>
              <w:top w:val="nil"/>
              <w:left w:val="nil"/>
              <w:bottom w:val="single" w:sz="8" w:space="0" w:color="auto"/>
              <w:right w:val="single" w:sz="8" w:space="0" w:color="auto"/>
            </w:tcBorders>
            <w:shd w:val="clear" w:color="000000" w:fill="D9E1F2"/>
            <w:noWrap/>
            <w:vAlign w:val="center"/>
            <w:hideMark/>
          </w:tcPr>
          <w:p w:rsidR="000F236F" w:rsidRDefault="000F236F" w:rsidP="00DB5405">
            <w:pPr>
              <w:rPr>
                <w:rFonts w:ascii="Garamond" w:eastAsia="Times New Roman" w:hAnsi="Garamond" w:cs="Calibri"/>
                <w:color w:val="000000"/>
                <w:sz w:val="20"/>
                <w:szCs w:val="20"/>
                <w:lang w:val="en-IN" w:eastAsia="en-IN" w:bidi="hi-IN"/>
              </w:rPr>
            </w:pPr>
            <w:r>
              <w:rPr>
                <w:rFonts w:ascii="Garamond" w:eastAsia="Times New Roman" w:hAnsi="Garamond" w:cs="Calibri"/>
                <w:color w:val="000000"/>
                <w:sz w:val="20"/>
                <w:szCs w:val="20"/>
                <w:lang w:val="en-IN" w:eastAsia="en-IN" w:bidi="hi-IN"/>
              </w:rPr>
              <w:t>Singapore</w:t>
            </w:r>
          </w:p>
        </w:tc>
        <w:tc>
          <w:tcPr>
            <w:tcW w:w="1301" w:type="dxa"/>
            <w:tcBorders>
              <w:top w:val="nil"/>
              <w:left w:val="nil"/>
              <w:bottom w:val="single" w:sz="8" w:space="0" w:color="auto"/>
              <w:right w:val="single" w:sz="8" w:space="0" w:color="auto"/>
            </w:tcBorders>
            <w:shd w:val="clear" w:color="auto" w:fill="auto"/>
            <w:noWrap/>
            <w:vAlign w:val="center"/>
            <w:hideMark/>
          </w:tcPr>
          <w:p w:rsidR="000F236F" w:rsidRDefault="000F236F" w:rsidP="00DB5405">
            <w:pPr>
              <w:jc w:val="right"/>
              <w:rPr>
                <w:rFonts w:ascii="Garamond" w:eastAsia="Times New Roman" w:hAnsi="Garamond" w:cs="Calibri"/>
                <w:color w:val="000000"/>
                <w:sz w:val="20"/>
                <w:szCs w:val="20"/>
                <w:lang w:val="en-IN" w:eastAsia="en-IN" w:bidi="hi-IN"/>
              </w:rPr>
            </w:pPr>
            <w:r>
              <w:rPr>
                <w:rFonts w:ascii="Calibri" w:hAnsi="Calibri" w:cs="Calibri"/>
                <w:color w:val="000000"/>
                <w:sz w:val="18"/>
                <w:szCs w:val="18"/>
              </w:rPr>
              <w:t>382</w:t>
            </w:r>
          </w:p>
        </w:tc>
        <w:tc>
          <w:tcPr>
            <w:tcW w:w="1301" w:type="dxa"/>
            <w:tcBorders>
              <w:top w:val="nil"/>
              <w:left w:val="nil"/>
              <w:bottom w:val="single" w:sz="8" w:space="0" w:color="auto"/>
              <w:right w:val="single" w:sz="8" w:space="0" w:color="auto"/>
            </w:tcBorders>
            <w:shd w:val="clear" w:color="auto" w:fill="auto"/>
            <w:noWrap/>
            <w:vAlign w:val="center"/>
            <w:hideMark/>
          </w:tcPr>
          <w:p w:rsidR="000F236F" w:rsidRDefault="000F236F" w:rsidP="00DB5405">
            <w:pPr>
              <w:jc w:val="right"/>
              <w:rPr>
                <w:rFonts w:ascii="Garamond" w:eastAsia="Times New Roman" w:hAnsi="Garamond" w:cs="Calibri"/>
                <w:color w:val="000000"/>
                <w:sz w:val="20"/>
                <w:szCs w:val="20"/>
                <w:lang w:val="en-IN" w:eastAsia="en-IN" w:bidi="hi-IN"/>
              </w:rPr>
            </w:pPr>
            <w:r>
              <w:rPr>
                <w:rFonts w:ascii="Calibri" w:hAnsi="Calibri" w:cs="Calibri"/>
                <w:color w:val="000000"/>
                <w:sz w:val="18"/>
                <w:szCs w:val="18"/>
              </w:rPr>
              <w:t>368</w:t>
            </w:r>
          </w:p>
        </w:tc>
        <w:tc>
          <w:tcPr>
            <w:tcW w:w="1301" w:type="dxa"/>
            <w:tcBorders>
              <w:top w:val="nil"/>
              <w:left w:val="nil"/>
              <w:bottom w:val="single" w:sz="8" w:space="0" w:color="auto"/>
              <w:right w:val="single" w:sz="8" w:space="0" w:color="auto"/>
            </w:tcBorders>
            <w:shd w:val="clear" w:color="auto" w:fill="auto"/>
            <w:noWrap/>
            <w:vAlign w:val="center"/>
            <w:hideMark/>
          </w:tcPr>
          <w:p w:rsidR="000F236F" w:rsidRDefault="000F236F" w:rsidP="00DB5405">
            <w:pPr>
              <w:jc w:val="right"/>
              <w:rPr>
                <w:rFonts w:ascii="Garamond" w:eastAsia="Times New Roman" w:hAnsi="Garamond" w:cs="Calibri"/>
                <w:color w:val="000000"/>
                <w:sz w:val="20"/>
                <w:szCs w:val="20"/>
                <w:lang w:val="en-IN" w:eastAsia="en-IN" w:bidi="hi-IN"/>
              </w:rPr>
            </w:pPr>
            <w:r>
              <w:rPr>
                <w:rFonts w:ascii="Calibri" w:hAnsi="Calibri" w:cs="Calibri"/>
                <w:color w:val="000000"/>
                <w:sz w:val="18"/>
                <w:szCs w:val="18"/>
              </w:rPr>
              <w:t>-3.8</w:t>
            </w:r>
          </w:p>
        </w:tc>
      </w:tr>
      <w:tr w:rsidR="000F236F" w:rsidTr="00DB5405">
        <w:trPr>
          <w:trHeight w:val="247"/>
        </w:trPr>
        <w:tc>
          <w:tcPr>
            <w:tcW w:w="991" w:type="dxa"/>
            <w:vMerge/>
            <w:tcBorders>
              <w:top w:val="nil"/>
              <w:left w:val="single" w:sz="8" w:space="0" w:color="auto"/>
              <w:bottom w:val="single" w:sz="8" w:space="0" w:color="000000"/>
              <w:right w:val="single" w:sz="8" w:space="0" w:color="auto"/>
            </w:tcBorders>
            <w:vAlign w:val="center"/>
            <w:hideMark/>
          </w:tcPr>
          <w:p w:rsidR="000F236F" w:rsidRDefault="000F236F" w:rsidP="00DB5405">
            <w:pPr>
              <w:rPr>
                <w:rFonts w:ascii="Garamond" w:eastAsia="Times New Roman" w:hAnsi="Garamond" w:cs="Calibri"/>
                <w:b/>
                <w:bCs/>
                <w:color w:val="000000"/>
                <w:sz w:val="20"/>
                <w:szCs w:val="20"/>
                <w:lang w:val="en-IN" w:eastAsia="en-IN" w:bidi="hi-IN"/>
              </w:rPr>
            </w:pPr>
          </w:p>
        </w:tc>
        <w:tc>
          <w:tcPr>
            <w:tcW w:w="1714" w:type="dxa"/>
            <w:tcBorders>
              <w:top w:val="nil"/>
              <w:left w:val="nil"/>
              <w:bottom w:val="single" w:sz="8" w:space="0" w:color="auto"/>
              <w:right w:val="single" w:sz="8" w:space="0" w:color="auto"/>
            </w:tcBorders>
            <w:shd w:val="clear" w:color="000000" w:fill="D9E1F2"/>
            <w:noWrap/>
            <w:vAlign w:val="center"/>
            <w:hideMark/>
          </w:tcPr>
          <w:p w:rsidR="000F236F" w:rsidRDefault="000F236F" w:rsidP="00DB5405">
            <w:pPr>
              <w:rPr>
                <w:rFonts w:ascii="Garamond" w:eastAsia="Times New Roman" w:hAnsi="Garamond" w:cs="Calibri"/>
                <w:color w:val="000000"/>
                <w:sz w:val="20"/>
                <w:szCs w:val="20"/>
                <w:lang w:val="en-IN" w:eastAsia="en-IN" w:bidi="hi-IN"/>
              </w:rPr>
            </w:pPr>
            <w:r>
              <w:rPr>
                <w:rFonts w:ascii="Garamond" w:eastAsia="Times New Roman" w:hAnsi="Garamond" w:cs="Calibri"/>
                <w:color w:val="000000"/>
                <w:sz w:val="20"/>
                <w:szCs w:val="20"/>
                <w:lang w:val="en-IN" w:eastAsia="en-IN" w:bidi="hi-IN"/>
              </w:rPr>
              <w:t>Hong Kong</w:t>
            </w:r>
          </w:p>
        </w:tc>
        <w:tc>
          <w:tcPr>
            <w:tcW w:w="1301" w:type="dxa"/>
            <w:tcBorders>
              <w:top w:val="nil"/>
              <w:left w:val="nil"/>
              <w:bottom w:val="single" w:sz="8" w:space="0" w:color="auto"/>
              <w:right w:val="single" w:sz="8" w:space="0" w:color="auto"/>
            </w:tcBorders>
            <w:shd w:val="clear" w:color="auto" w:fill="auto"/>
            <w:noWrap/>
            <w:vAlign w:val="center"/>
            <w:hideMark/>
          </w:tcPr>
          <w:p w:rsidR="000F236F" w:rsidRDefault="000F236F" w:rsidP="00DB5405">
            <w:pPr>
              <w:jc w:val="right"/>
              <w:rPr>
                <w:rFonts w:ascii="Garamond" w:eastAsia="Times New Roman" w:hAnsi="Garamond" w:cs="Calibri"/>
                <w:color w:val="000000"/>
                <w:sz w:val="20"/>
                <w:szCs w:val="20"/>
                <w:lang w:val="en-IN" w:eastAsia="en-IN" w:bidi="hi-IN"/>
              </w:rPr>
            </w:pPr>
            <w:r>
              <w:rPr>
                <w:rFonts w:ascii="Calibri" w:hAnsi="Calibri" w:cs="Calibri"/>
                <w:color w:val="000000"/>
                <w:sz w:val="18"/>
                <w:szCs w:val="18"/>
              </w:rPr>
              <w:t>5,777</w:t>
            </w:r>
          </w:p>
        </w:tc>
        <w:tc>
          <w:tcPr>
            <w:tcW w:w="1301" w:type="dxa"/>
            <w:tcBorders>
              <w:top w:val="nil"/>
              <w:left w:val="nil"/>
              <w:bottom w:val="single" w:sz="8" w:space="0" w:color="auto"/>
              <w:right w:val="single" w:sz="8" w:space="0" w:color="auto"/>
            </w:tcBorders>
            <w:shd w:val="clear" w:color="auto" w:fill="auto"/>
            <w:noWrap/>
            <w:vAlign w:val="center"/>
            <w:hideMark/>
          </w:tcPr>
          <w:p w:rsidR="000F236F" w:rsidRDefault="000F236F" w:rsidP="00DB5405">
            <w:pPr>
              <w:jc w:val="right"/>
              <w:rPr>
                <w:rFonts w:ascii="Garamond" w:eastAsia="Times New Roman" w:hAnsi="Garamond" w:cs="Calibri"/>
                <w:color w:val="000000"/>
                <w:sz w:val="20"/>
                <w:szCs w:val="20"/>
                <w:lang w:val="en-IN" w:eastAsia="en-IN" w:bidi="hi-IN"/>
              </w:rPr>
            </w:pPr>
            <w:r>
              <w:rPr>
                <w:rFonts w:ascii="Calibri" w:hAnsi="Calibri" w:cs="Calibri"/>
                <w:color w:val="000000"/>
                <w:sz w:val="18"/>
                <w:szCs w:val="18"/>
              </w:rPr>
              <w:t>5,616</w:t>
            </w:r>
          </w:p>
        </w:tc>
        <w:tc>
          <w:tcPr>
            <w:tcW w:w="1301" w:type="dxa"/>
            <w:tcBorders>
              <w:top w:val="nil"/>
              <w:left w:val="nil"/>
              <w:bottom w:val="single" w:sz="8" w:space="0" w:color="auto"/>
              <w:right w:val="single" w:sz="8" w:space="0" w:color="auto"/>
            </w:tcBorders>
            <w:shd w:val="clear" w:color="auto" w:fill="auto"/>
            <w:noWrap/>
            <w:vAlign w:val="center"/>
            <w:hideMark/>
          </w:tcPr>
          <w:p w:rsidR="000F236F" w:rsidRDefault="000F236F" w:rsidP="00DB5405">
            <w:pPr>
              <w:jc w:val="right"/>
              <w:rPr>
                <w:rFonts w:ascii="Garamond" w:eastAsia="Times New Roman" w:hAnsi="Garamond" w:cs="Calibri"/>
                <w:color w:val="000000"/>
                <w:sz w:val="20"/>
                <w:szCs w:val="20"/>
                <w:lang w:val="en-IN" w:eastAsia="en-IN" w:bidi="hi-IN"/>
              </w:rPr>
            </w:pPr>
            <w:r>
              <w:rPr>
                <w:rFonts w:ascii="Calibri" w:hAnsi="Calibri" w:cs="Calibri"/>
                <w:color w:val="000000"/>
                <w:sz w:val="18"/>
                <w:szCs w:val="18"/>
              </w:rPr>
              <w:t>-2.8</w:t>
            </w:r>
          </w:p>
        </w:tc>
      </w:tr>
      <w:tr w:rsidR="000F236F" w:rsidTr="00DB5405">
        <w:trPr>
          <w:trHeight w:val="247"/>
        </w:trPr>
        <w:tc>
          <w:tcPr>
            <w:tcW w:w="991" w:type="dxa"/>
            <w:vMerge/>
            <w:tcBorders>
              <w:top w:val="nil"/>
              <w:left w:val="single" w:sz="8" w:space="0" w:color="auto"/>
              <w:bottom w:val="single" w:sz="8" w:space="0" w:color="000000"/>
              <w:right w:val="single" w:sz="8" w:space="0" w:color="auto"/>
            </w:tcBorders>
            <w:vAlign w:val="center"/>
            <w:hideMark/>
          </w:tcPr>
          <w:p w:rsidR="000F236F" w:rsidRDefault="000F236F" w:rsidP="00DB5405">
            <w:pPr>
              <w:rPr>
                <w:rFonts w:ascii="Garamond" w:eastAsia="Times New Roman" w:hAnsi="Garamond" w:cs="Calibri"/>
                <w:b/>
                <w:bCs/>
                <w:color w:val="000000"/>
                <w:sz w:val="20"/>
                <w:szCs w:val="20"/>
                <w:lang w:val="en-IN" w:eastAsia="en-IN" w:bidi="hi-IN"/>
              </w:rPr>
            </w:pPr>
          </w:p>
        </w:tc>
        <w:tc>
          <w:tcPr>
            <w:tcW w:w="1714" w:type="dxa"/>
            <w:tcBorders>
              <w:top w:val="nil"/>
              <w:left w:val="nil"/>
              <w:bottom w:val="single" w:sz="8" w:space="0" w:color="auto"/>
              <w:right w:val="single" w:sz="8" w:space="0" w:color="auto"/>
            </w:tcBorders>
            <w:shd w:val="clear" w:color="000000" w:fill="D9E1F2"/>
            <w:noWrap/>
            <w:vAlign w:val="center"/>
            <w:hideMark/>
          </w:tcPr>
          <w:p w:rsidR="000F236F" w:rsidRDefault="000F236F" w:rsidP="00DB5405">
            <w:pPr>
              <w:rPr>
                <w:rFonts w:ascii="Garamond" w:eastAsia="Times New Roman" w:hAnsi="Garamond" w:cs="Calibri"/>
                <w:color w:val="000000"/>
                <w:sz w:val="20"/>
                <w:szCs w:val="20"/>
                <w:lang w:val="en-IN" w:eastAsia="en-IN" w:bidi="hi-IN"/>
              </w:rPr>
            </w:pPr>
            <w:r>
              <w:rPr>
                <w:rFonts w:ascii="Garamond" w:eastAsia="Times New Roman" w:hAnsi="Garamond" w:cs="Calibri"/>
                <w:color w:val="000000"/>
                <w:sz w:val="20"/>
                <w:szCs w:val="20"/>
                <w:lang w:val="en-IN" w:eastAsia="en-IN" w:bidi="hi-IN"/>
              </w:rPr>
              <w:t>South Korea</w:t>
            </w:r>
          </w:p>
        </w:tc>
        <w:tc>
          <w:tcPr>
            <w:tcW w:w="1301" w:type="dxa"/>
            <w:tcBorders>
              <w:top w:val="nil"/>
              <w:left w:val="nil"/>
              <w:bottom w:val="single" w:sz="8" w:space="0" w:color="auto"/>
              <w:right w:val="single" w:sz="8" w:space="0" w:color="auto"/>
            </w:tcBorders>
            <w:shd w:val="clear" w:color="auto" w:fill="auto"/>
            <w:noWrap/>
            <w:vAlign w:val="center"/>
            <w:hideMark/>
          </w:tcPr>
          <w:p w:rsidR="000F236F" w:rsidRDefault="000F236F" w:rsidP="00DB5405">
            <w:pPr>
              <w:jc w:val="right"/>
              <w:rPr>
                <w:rFonts w:ascii="Garamond" w:eastAsia="Times New Roman" w:hAnsi="Garamond" w:cs="Calibri"/>
                <w:color w:val="000000"/>
                <w:sz w:val="20"/>
                <w:szCs w:val="20"/>
                <w:lang w:val="en-IN" w:eastAsia="en-IN" w:bidi="hi-IN"/>
              </w:rPr>
            </w:pPr>
            <w:r>
              <w:rPr>
                <w:rFonts w:ascii="Calibri" w:hAnsi="Calibri" w:cs="Calibri"/>
                <w:color w:val="000000"/>
                <w:sz w:val="18"/>
                <w:szCs w:val="18"/>
              </w:rPr>
              <w:t>1,549</w:t>
            </w:r>
          </w:p>
        </w:tc>
        <w:tc>
          <w:tcPr>
            <w:tcW w:w="1301" w:type="dxa"/>
            <w:tcBorders>
              <w:top w:val="nil"/>
              <w:left w:val="nil"/>
              <w:bottom w:val="single" w:sz="8" w:space="0" w:color="auto"/>
              <w:right w:val="single" w:sz="8" w:space="0" w:color="auto"/>
            </w:tcBorders>
            <w:shd w:val="clear" w:color="auto" w:fill="auto"/>
            <w:noWrap/>
            <w:vAlign w:val="center"/>
            <w:hideMark/>
          </w:tcPr>
          <w:p w:rsidR="000F236F" w:rsidRDefault="000F236F" w:rsidP="00DB5405">
            <w:pPr>
              <w:jc w:val="right"/>
              <w:rPr>
                <w:rFonts w:ascii="Garamond" w:eastAsia="Times New Roman" w:hAnsi="Garamond" w:cs="Calibri"/>
                <w:color w:val="000000"/>
                <w:sz w:val="20"/>
                <w:szCs w:val="20"/>
                <w:lang w:val="en-IN" w:eastAsia="en-IN" w:bidi="hi-IN"/>
              </w:rPr>
            </w:pPr>
            <w:r>
              <w:rPr>
                <w:rFonts w:ascii="Calibri" w:hAnsi="Calibri" w:cs="Calibri"/>
                <w:color w:val="000000"/>
                <w:sz w:val="18"/>
                <w:szCs w:val="18"/>
              </w:rPr>
              <w:t>1,587</w:t>
            </w:r>
          </w:p>
        </w:tc>
        <w:tc>
          <w:tcPr>
            <w:tcW w:w="1301" w:type="dxa"/>
            <w:tcBorders>
              <w:top w:val="nil"/>
              <w:left w:val="nil"/>
              <w:bottom w:val="single" w:sz="8" w:space="0" w:color="auto"/>
              <w:right w:val="single" w:sz="8" w:space="0" w:color="auto"/>
            </w:tcBorders>
            <w:shd w:val="clear" w:color="auto" w:fill="auto"/>
            <w:noWrap/>
            <w:vAlign w:val="center"/>
            <w:hideMark/>
          </w:tcPr>
          <w:p w:rsidR="000F236F" w:rsidRDefault="000F236F" w:rsidP="00DB5405">
            <w:pPr>
              <w:jc w:val="right"/>
              <w:rPr>
                <w:rFonts w:ascii="Garamond" w:eastAsia="Times New Roman" w:hAnsi="Garamond" w:cs="Calibri"/>
                <w:color w:val="000000"/>
                <w:sz w:val="20"/>
                <w:szCs w:val="20"/>
                <w:lang w:val="en-IN" w:eastAsia="en-IN" w:bidi="hi-IN"/>
              </w:rPr>
            </w:pPr>
            <w:r>
              <w:rPr>
                <w:rFonts w:ascii="Calibri" w:hAnsi="Calibri" w:cs="Calibri"/>
                <w:color w:val="000000"/>
                <w:sz w:val="18"/>
                <w:szCs w:val="18"/>
              </w:rPr>
              <w:t>2.4</w:t>
            </w:r>
          </w:p>
        </w:tc>
      </w:tr>
      <w:tr w:rsidR="000F236F" w:rsidTr="00DB5405">
        <w:trPr>
          <w:trHeight w:val="247"/>
        </w:trPr>
        <w:tc>
          <w:tcPr>
            <w:tcW w:w="991" w:type="dxa"/>
            <w:vMerge/>
            <w:tcBorders>
              <w:top w:val="nil"/>
              <w:left w:val="single" w:sz="8" w:space="0" w:color="auto"/>
              <w:bottom w:val="single" w:sz="8" w:space="0" w:color="000000"/>
              <w:right w:val="single" w:sz="8" w:space="0" w:color="auto"/>
            </w:tcBorders>
            <w:vAlign w:val="center"/>
            <w:hideMark/>
          </w:tcPr>
          <w:p w:rsidR="000F236F" w:rsidRDefault="000F236F" w:rsidP="00DB5405">
            <w:pPr>
              <w:rPr>
                <w:rFonts w:ascii="Garamond" w:eastAsia="Times New Roman" w:hAnsi="Garamond" w:cs="Calibri"/>
                <w:b/>
                <w:bCs/>
                <w:color w:val="000000"/>
                <w:sz w:val="20"/>
                <w:szCs w:val="20"/>
                <w:lang w:val="en-IN" w:eastAsia="en-IN" w:bidi="hi-IN"/>
              </w:rPr>
            </w:pPr>
          </w:p>
        </w:tc>
        <w:tc>
          <w:tcPr>
            <w:tcW w:w="1714" w:type="dxa"/>
            <w:tcBorders>
              <w:top w:val="nil"/>
              <w:left w:val="nil"/>
              <w:bottom w:val="single" w:sz="8" w:space="0" w:color="auto"/>
              <w:right w:val="single" w:sz="8" w:space="0" w:color="auto"/>
            </w:tcBorders>
            <w:shd w:val="clear" w:color="000000" w:fill="D9E1F2"/>
            <w:noWrap/>
            <w:vAlign w:val="center"/>
            <w:hideMark/>
          </w:tcPr>
          <w:p w:rsidR="000F236F" w:rsidRDefault="000F236F" w:rsidP="00DB5405">
            <w:pPr>
              <w:rPr>
                <w:rFonts w:ascii="Garamond" w:eastAsia="Times New Roman" w:hAnsi="Garamond" w:cs="Calibri"/>
                <w:color w:val="000000"/>
                <w:sz w:val="20"/>
                <w:szCs w:val="20"/>
                <w:lang w:val="en-IN" w:eastAsia="en-IN" w:bidi="hi-IN"/>
              </w:rPr>
            </w:pPr>
            <w:r>
              <w:rPr>
                <w:rFonts w:ascii="Garamond" w:eastAsia="Times New Roman" w:hAnsi="Garamond" w:cs="Calibri"/>
                <w:color w:val="000000"/>
                <w:sz w:val="20"/>
                <w:szCs w:val="20"/>
                <w:lang w:val="en-IN" w:eastAsia="en-IN" w:bidi="hi-IN"/>
              </w:rPr>
              <w:t>Australia</w:t>
            </w:r>
          </w:p>
        </w:tc>
        <w:tc>
          <w:tcPr>
            <w:tcW w:w="1301" w:type="dxa"/>
            <w:tcBorders>
              <w:top w:val="nil"/>
              <w:left w:val="nil"/>
              <w:bottom w:val="single" w:sz="8" w:space="0" w:color="auto"/>
              <w:right w:val="single" w:sz="8" w:space="0" w:color="auto"/>
            </w:tcBorders>
            <w:shd w:val="clear" w:color="auto" w:fill="auto"/>
            <w:noWrap/>
            <w:vAlign w:val="center"/>
            <w:hideMark/>
          </w:tcPr>
          <w:p w:rsidR="000F236F" w:rsidRDefault="000F236F" w:rsidP="00DB5405">
            <w:pPr>
              <w:jc w:val="right"/>
              <w:rPr>
                <w:rFonts w:ascii="Garamond" w:eastAsia="Times New Roman" w:hAnsi="Garamond" w:cs="Calibri"/>
                <w:color w:val="000000"/>
                <w:sz w:val="20"/>
                <w:szCs w:val="20"/>
                <w:lang w:val="en-IN" w:eastAsia="en-IN" w:bidi="hi-IN"/>
              </w:rPr>
            </w:pPr>
            <w:r>
              <w:rPr>
                <w:rFonts w:ascii="Calibri" w:hAnsi="Calibri" w:cs="Calibri"/>
                <w:color w:val="000000"/>
                <w:sz w:val="18"/>
                <w:szCs w:val="18"/>
              </w:rPr>
              <w:t>1,393</w:t>
            </w:r>
          </w:p>
        </w:tc>
        <w:tc>
          <w:tcPr>
            <w:tcW w:w="1301" w:type="dxa"/>
            <w:tcBorders>
              <w:top w:val="nil"/>
              <w:left w:val="nil"/>
              <w:bottom w:val="single" w:sz="8" w:space="0" w:color="auto"/>
              <w:right w:val="single" w:sz="8" w:space="0" w:color="auto"/>
            </w:tcBorders>
            <w:shd w:val="clear" w:color="auto" w:fill="auto"/>
            <w:noWrap/>
            <w:vAlign w:val="center"/>
            <w:hideMark/>
          </w:tcPr>
          <w:p w:rsidR="000F236F" w:rsidRDefault="000F236F" w:rsidP="00DB5405">
            <w:pPr>
              <w:jc w:val="right"/>
              <w:rPr>
                <w:rFonts w:ascii="Garamond" w:eastAsia="Times New Roman" w:hAnsi="Garamond" w:cs="Calibri"/>
                <w:color w:val="000000"/>
                <w:sz w:val="20"/>
                <w:szCs w:val="20"/>
                <w:lang w:val="en-IN" w:eastAsia="en-IN" w:bidi="hi-IN"/>
              </w:rPr>
            </w:pPr>
            <w:r>
              <w:rPr>
                <w:rFonts w:ascii="Calibri" w:hAnsi="Calibri" w:cs="Calibri"/>
                <w:color w:val="000000"/>
                <w:sz w:val="18"/>
                <w:szCs w:val="18"/>
              </w:rPr>
              <w:t>1,306</w:t>
            </w:r>
          </w:p>
        </w:tc>
        <w:tc>
          <w:tcPr>
            <w:tcW w:w="1301" w:type="dxa"/>
            <w:tcBorders>
              <w:top w:val="nil"/>
              <w:left w:val="nil"/>
              <w:bottom w:val="single" w:sz="8" w:space="0" w:color="auto"/>
              <w:right w:val="single" w:sz="8" w:space="0" w:color="auto"/>
            </w:tcBorders>
            <w:shd w:val="clear" w:color="auto" w:fill="auto"/>
            <w:noWrap/>
            <w:vAlign w:val="center"/>
            <w:hideMark/>
          </w:tcPr>
          <w:p w:rsidR="000F236F" w:rsidRDefault="000F236F" w:rsidP="00DB5405">
            <w:pPr>
              <w:jc w:val="right"/>
              <w:rPr>
                <w:rFonts w:ascii="Garamond" w:eastAsia="Times New Roman" w:hAnsi="Garamond" w:cs="Calibri"/>
                <w:color w:val="000000"/>
                <w:sz w:val="20"/>
                <w:szCs w:val="20"/>
                <w:lang w:val="en-IN" w:eastAsia="en-IN" w:bidi="hi-IN"/>
              </w:rPr>
            </w:pPr>
            <w:r>
              <w:rPr>
                <w:rFonts w:ascii="Calibri" w:hAnsi="Calibri" w:cs="Calibri"/>
                <w:color w:val="000000"/>
                <w:sz w:val="18"/>
                <w:szCs w:val="18"/>
              </w:rPr>
              <w:t>-6.2</w:t>
            </w:r>
          </w:p>
        </w:tc>
      </w:tr>
      <w:tr w:rsidR="000F236F" w:rsidTr="00DB5405">
        <w:trPr>
          <w:trHeight w:val="247"/>
        </w:trPr>
        <w:tc>
          <w:tcPr>
            <w:tcW w:w="991" w:type="dxa"/>
            <w:vMerge w:val="restart"/>
            <w:tcBorders>
              <w:top w:val="nil"/>
              <w:left w:val="single" w:sz="8" w:space="0" w:color="auto"/>
              <w:bottom w:val="single" w:sz="8" w:space="0" w:color="000000"/>
              <w:right w:val="single" w:sz="8" w:space="0" w:color="auto"/>
            </w:tcBorders>
            <w:shd w:val="clear" w:color="000000" w:fill="B4C6E7"/>
            <w:noWrap/>
            <w:textDirection w:val="btLr"/>
            <w:vAlign w:val="center"/>
            <w:hideMark/>
          </w:tcPr>
          <w:p w:rsidR="000F236F" w:rsidRDefault="000F236F" w:rsidP="00DB5405">
            <w:pPr>
              <w:jc w:val="center"/>
              <w:rPr>
                <w:rFonts w:ascii="Garamond" w:eastAsia="Times New Roman" w:hAnsi="Garamond" w:cs="Calibri"/>
                <w:b/>
                <w:bCs/>
                <w:color w:val="000000"/>
                <w:sz w:val="20"/>
                <w:szCs w:val="20"/>
                <w:lang w:val="en-IN" w:eastAsia="en-IN" w:bidi="hi-IN"/>
              </w:rPr>
            </w:pPr>
            <w:r>
              <w:rPr>
                <w:rFonts w:ascii="Garamond" w:eastAsia="Times New Roman" w:hAnsi="Garamond" w:cs="Calibri"/>
                <w:b/>
                <w:bCs/>
                <w:color w:val="000000"/>
                <w:sz w:val="20"/>
                <w:szCs w:val="20"/>
                <w:lang w:val="en-IN" w:eastAsia="en-IN" w:bidi="hi-IN"/>
              </w:rPr>
              <w:t>BRICS</w:t>
            </w:r>
          </w:p>
        </w:tc>
        <w:tc>
          <w:tcPr>
            <w:tcW w:w="1714" w:type="dxa"/>
            <w:tcBorders>
              <w:top w:val="nil"/>
              <w:left w:val="nil"/>
              <w:bottom w:val="single" w:sz="8" w:space="0" w:color="auto"/>
              <w:right w:val="single" w:sz="8" w:space="0" w:color="auto"/>
            </w:tcBorders>
            <w:shd w:val="clear" w:color="000000" w:fill="D9E1F2"/>
            <w:noWrap/>
            <w:vAlign w:val="center"/>
            <w:hideMark/>
          </w:tcPr>
          <w:p w:rsidR="000F236F" w:rsidRDefault="000F236F" w:rsidP="00DB5405">
            <w:pPr>
              <w:rPr>
                <w:rFonts w:ascii="Garamond" w:eastAsia="Times New Roman" w:hAnsi="Garamond" w:cs="Calibri"/>
                <w:color w:val="000000"/>
                <w:sz w:val="20"/>
                <w:szCs w:val="20"/>
                <w:lang w:val="en-IN" w:eastAsia="en-IN" w:bidi="hi-IN"/>
              </w:rPr>
            </w:pPr>
            <w:r>
              <w:rPr>
                <w:rFonts w:ascii="Garamond" w:eastAsia="Times New Roman" w:hAnsi="Garamond" w:cs="Calibri"/>
                <w:color w:val="000000"/>
                <w:sz w:val="20"/>
                <w:szCs w:val="20"/>
                <w:lang w:val="en-IN" w:eastAsia="en-IN" w:bidi="hi-IN"/>
              </w:rPr>
              <w:t>Brazil</w:t>
            </w:r>
          </w:p>
        </w:tc>
        <w:tc>
          <w:tcPr>
            <w:tcW w:w="1301" w:type="dxa"/>
            <w:tcBorders>
              <w:top w:val="nil"/>
              <w:left w:val="nil"/>
              <w:bottom w:val="single" w:sz="8" w:space="0" w:color="auto"/>
              <w:right w:val="single" w:sz="8" w:space="0" w:color="auto"/>
            </w:tcBorders>
            <w:shd w:val="clear" w:color="auto" w:fill="auto"/>
            <w:noWrap/>
            <w:vAlign w:val="center"/>
            <w:hideMark/>
          </w:tcPr>
          <w:p w:rsidR="000F236F" w:rsidRDefault="000F236F" w:rsidP="00DB5405">
            <w:pPr>
              <w:jc w:val="right"/>
              <w:rPr>
                <w:rFonts w:ascii="Garamond" w:eastAsia="Times New Roman" w:hAnsi="Garamond" w:cs="Calibri"/>
                <w:color w:val="000000"/>
                <w:sz w:val="20"/>
                <w:szCs w:val="20"/>
                <w:lang w:val="en-IN" w:eastAsia="en-IN" w:bidi="hi-IN"/>
              </w:rPr>
            </w:pPr>
            <w:r>
              <w:rPr>
                <w:rFonts w:ascii="Calibri" w:hAnsi="Calibri" w:cs="Calibri"/>
                <w:color w:val="000000"/>
                <w:sz w:val="18"/>
                <w:szCs w:val="18"/>
              </w:rPr>
              <w:t>732</w:t>
            </w:r>
          </w:p>
        </w:tc>
        <w:tc>
          <w:tcPr>
            <w:tcW w:w="1301" w:type="dxa"/>
            <w:tcBorders>
              <w:top w:val="nil"/>
              <w:left w:val="nil"/>
              <w:bottom w:val="single" w:sz="8" w:space="0" w:color="auto"/>
              <w:right w:val="single" w:sz="8" w:space="0" w:color="auto"/>
            </w:tcBorders>
            <w:shd w:val="clear" w:color="auto" w:fill="auto"/>
            <w:noWrap/>
            <w:vAlign w:val="center"/>
            <w:hideMark/>
          </w:tcPr>
          <w:p w:rsidR="000F236F" w:rsidRDefault="000F236F" w:rsidP="00DB5405">
            <w:pPr>
              <w:jc w:val="right"/>
              <w:rPr>
                <w:rFonts w:ascii="Garamond" w:eastAsia="Times New Roman" w:hAnsi="Garamond" w:cs="Calibri"/>
                <w:color w:val="000000"/>
                <w:sz w:val="20"/>
                <w:szCs w:val="20"/>
                <w:lang w:val="en-IN" w:eastAsia="en-IN" w:bidi="hi-IN"/>
              </w:rPr>
            </w:pPr>
            <w:r>
              <w:rPr>
                <w:rFonts w:ascii="Calibri" w:hAnsi="Calibri" w:cs="Calibri"/>
                <w:color w:val="000000"/>
                <w:sz w:val="18"/>
                <w:szCs w:val="18"/>
              </w:rPr>
              <w:t>660</w:t>
            </w:r>
          </w:p>
        </w:tc>
        <w:tc>
          <w:tcPr>
            <w:tcW w:w="1301" w:type="dxa"/>
            <w:tcBorders>
              <w:top w:val="nil"/>
              <w:left w:val="nil"/>
              <w:bottom w:val="single" w:sz="8" w:space="0" w:color="auto"/>
              <w:right w:val="single" w:sz="8" w:space="0" w:color="auto"/>
            </w:tcBorders>
            <w:shd w:val="clear" w:color="auto" w:fill="auto"/>
            <w:noWrap/>
            <w:vAlign w:val="center"/>
            <w:hideMark/>
          </w:tcPr>
          <w:p w:rsidR="000F236F" w:rsidRDefault="000F236F" w:rsidP="00DB5405">
            <w:pPr>
              <w:jc w:val="right"/>
              <w:rPr>
                <w:rFonts w:ascii="Garamond" w:eastAsia="Times New Roman" w:hAnsi="Garamond" w:cs="Calibri"/>
                <w:color w:val="000000"/>
                <w:sz w:val="20"/>
                <w:szCs w:val="20"/>
                <w:lang w:val="en-IN" w:eastAsia="en-IN" w:bidi="hi-IN"/>
              </w:rPr>
            </w:pPr>
            <w:r>
              <w:rPr>
                <w:rFonts w:ascii="Calibri" w:hAnsi="Calibri" w:cs="Calibri"/>
                <w:color w:val="000000"/>
                <w:sz w:val="18"/>
                <w:szCs w:val="18"/>
              </w:rPr>
              <w:t>-9.8</w:t>
            </w:r>
          </w:p>
        </w:tc>
      </w:tr>
      <w:tr w:rsidR="000F236F" w:rsidTr="00DB5405">
        <w:trPr>
          <w:trHeight w:val="247"/>
        </w:trPr>
        <w:tc>
          <w:tcPr>
            <w:tcW w:w="991" w:type="dxa"/>
            <w:vMerge/>
            <w:tcBorders>
              <w:top w:val="nil"/>
              <w:left w:val="single" w:sz="8" w:space="0" w:color="auto"/>
              <w:bottom w:val="single" w:sz="8" w:space="0" w:color="000000"/>
              <w:right w:val="single" w:sz="8" w:space="0" w:color="auto"/>
            </w:tcBorders>
            <w:vAlign w:val="center"/>
            <w:hideMark/>
          </w:tcPr>
          <w:p w:rsidR="000F236F" w:rsidRDefault="000F236F" w:rsidP="00DB5405">
            <w:pPr>
              <w:rPr>
                <w:rFonts w:ascii="Garamond" w:eastAsia="Times New Roman" w:hAnsi="Garamond" w:cs="Calibri"/>
                <w:b/>
                <w:bCs/>
                <w:color w:val="000000"/>
                <w:sz w:val="20"/>
                <w:szCs w:val="20"/>
                <w:lang w:val="en-IN" w:eastAsia="en-IN" w:bidi="hi-IN"/>
              </w:rPr>
            </w:pPr>
          </w:p>
        </w:tc>
        <w:tc>
          <w:tcPr>
            <w:tcW w:w="1714" w:type="dxa"/>
            <w:tcBorders>
              <w:top w:val="nil"/>
              <w:left w:val="nil"/>
              <w:bottom w:val="single" w:sz="8" w:space="0" w:color="auto"/>
              <w:right w:val="single" w:sz="8" w:space="0" w:color="auto"/>
            </w:tcBorders>
            <w:shd w:val="clear" w:color="000000" w:fill="D9E1F2"/>
            <w:noWrap/>
            <w:vAlign w:val="center"/>
            <w:hideMark/>
          </w:tcPr>
          <w:p w:rsidR="000F236F" w:rsidRDefault="000F236F" w:rsidP="00DB5405">
            <w:pPr>
              <w:rPr>
                <w:rFonts w:ascii="Garamond" w:eastAsia="Times New Roman" w:hAnsi="Garamond" w:cs="Calibri"/>
                <w:color w:val="000000"/>
                <w:sz w:val="20"/>
                <w:szCs w:val="20"/>
                <w:lang w:val="en-IN" w:eastAsia="en-IN" w:bidi="hi-IN"/>
              </w:rPr>
            </w:pPr>
            <w:r>
              <w:rPr>
                <w:rFonts w:ascii="Garamond" w:eastAsia="Times New Roman" w:hAnsi="Garamond" w:cs="Calibri"/>
                <w:color w:val="000000"/>
                <w:sz w:val="20"/>
                <w:szCs w:val="20"/>
                <w:lang w:val="en-IN" w:eastAsia="en-IN" w:bidi="hi-IN"/>
              </w:rPr>
              <w:t>Russia</w:t>
            </w:r>
          </w:p>
        </w:tc>
        <w:tc>
          <w:tcPr>
            <w:tcW w:w="1301" w:type="dxa"/>
            <w:tcBorders>
              <w:top w:val="nil"/>
              <w:left w:val="nil"/>
              <w:bottom w:val="single" w:sz="8" w:space="0" w:color="auto"/>
              <w:right w:val="single" w:sz="8" w:space="0" w:color="auto"/>
            </w:tcBorders>
            <w:shd w:val="clear" w:color="auto" w:fill="auto"/>
            <w:noWrap/>
            <w:vAlign w:val="center"/>
            <w:hideMark/>
          </w:tcPr>
          <w:p w:rsidR="000F236F" w:rsidRDefault="000F236F" w:rsidP="00DB5405">
            <w:pPr>
              <w:jc w:val="right"/>
              <w:rPr>
                <w:rFonts w:ascii="Garamond" w:eastAsia="Times New Roman" w:hAnsi="Garamond" w:cs="Calibri"/>
                <w:color w:val="000000"/>
                <w:sz w:val="20"/>
                <w:szCs w:val="20"/>
                <w:lang w:val="en-IN" w:eastAsia="en-IN" w:bidi="hi-IN"/>
              </w:rPr>
            </w:pPr>
            <w:r>
              <w:rPr>
                <w:rFonts w:ascii="Calibri" w:hAnsi="Calibri" w:cs="Calibri"/>
                <w:color w:val="000000"/>
                <w:sz w:val="18"/>
                <w:szCs w:val="18"/>
              </w:rPr>
              <w:t>580</w:t>
            </w:r>
          </w:p>
        </w:tc>
        <w:tc>
          <w:tcPr>
            <w:tcW w:w="1301" w:type="dxa"/>
            <w:tcBorders>
              <w:top w:val="nil"/>
              <w:left w:val="nil"/>
              <w:bottom w:val="single" w:sz="8" w:space="0" w:color="auto"/>
              <w:right w:val="single" w:sz="8" w:space="0" w:color="auto"/>
            </w:tcBorders>
            <w:shd w:val="clear" w:color="auto" w:fill="auto"/>
            <w:noWrap/>
            <w:vAlign w:val="center"/>
            <w:hideMark/>
          </w:tcPr>
          <w:p w:rsidR="000F236F" w:rsidRDefault="000F236F" w:rsidP="00DB5405">
            <w:pPr>
              <w:jc w:val="right"/>
              <w:rPr>
                <w:rFonts w:ascii="Garamond" w:eastAsia="Times New Roman" w:hAnsi="Garamond" w:cs="Calibri"/>
                <w:color w:val="000000"/>
                <w:sz w:val="20"/>
                <w:szCs w:val="20"/>
                <w:lang w:val="en-IN" w:eastAsia="en-IN" w:bidi="hi-IN"/>
              </w:rPr>
            </w:pPr>
            <w:r>
              <w:rPr>
                <w:rFonts w:ascii="Calibri" w:hAnsi="Calibri" w:cs="Calibri"/>
                <w:color w:val="000000"/>
                <w:sz w:val="18"/>
                <w:szCs w:val="18"/>
              </w:rPr>
              <w:t>537</w:t>
            </w:r>
          </w:p>
        </w:tc>
        <w:tc>
          <w:tcPr>
            <w:tcW w:w="1301" w:type="dxa"/>
            <w:tcBorders>
              <w:top w:val="nil"/>
              <w:left w:val="nil"/>
              <w:bottom w:val="single" w:sz="8" w:space="0" w:color="auto"/>
              <w:right w:val="single" w:sz="8" w:space="0" w:color="auto"/>
            </w:tcBorders>
            <w:shd w:val="clear" w:color="auto" w:fill="auto"/>
            <w:noWrap/>
            <w:vAlign w:val="center"/>
            <w:hideMark/>
          </w:tcPr>
          <w:p w:rsidR="000F236F" w:rsidRDefault="000F236F" w:rsidP="00DB5405">
            <w:pPr>
              <w:jc w:val="right"/>
              <w:rPr>
                <w:rFonts w:ascii="Garamond" w:eastAsia="Times New Roman" w:hAnsi="Garamond" w:cs="Calibri"/>
                <w:color w:val="000000"/>
                <w:sz w:val="20"/>
                <w:szCs w:val="20"/>
                <w:lang w:val="en-IN" w:eastAsia="en-IN" w:bidi="hi-IN"/>
              </w:rPr>
            </w:pPr>
            <w:r>
              <w:rPr>
                <w:rFonts w:ascii="Calibri" w:hAnsi="Calibri" w:cs="Calibri"/>
                <w:color w:val="000000"/>
                <w:sz w:val="18"/>
                <w:szCs w:val="18"/>
              </w:rPr>
              <w:t>-7.3</w:t>
            </w:r>
          </w:p>
        </w:tc>
      </w:tr>
      <w:tr w:rsidR="000F236F" w:rsidTr="00DB5405">
        <w:trPr>
          <w:trHeight w:val="247"/>
        </w:trPr>
        <w:tc>
          <w:tcPr>
            <w:tcW w:w="991" w:type="dxa"/>
            <w:vMerge/>
            <w:tcBorders>
              <w:top w:val="nil"/>
              <w:left w:val="single" w:sz="8" w:space="0" w:color="auto"/>
              <w:bottom w:val="single" w:sz="8" w:space="0" w:color="000000"/>
              <w:right w:val="single" w:sz="8" w:space="0" w:color="auto"/>
            </w:tcBorders>
            <w:vAlign w:val="center"/>
            <w:hideMark/>
          </w:tcPr>
          <w:p w:rsidR="000F236F" w:rsidRDefault="000F236F" w:rsidP="00DB5405">
            <w:pPr>
              <w:rPr>
                <w:rFonts w:ascii="Garamond" w:eastAsia="Times New Roman" w:hAnsi="Garamond" w:cs="Calibri"/>
                <w:b/>
                <w:bCs/>
                <w:color w:val="000000"/>
                <w:sz w:val="20"/>
                <w:szCs w:val="20"/>
                <w:lang w:val="en-IN" w:eastAsia="en-IN" w:bidi="hi-IN"/>
              </w:rPr>
            </w:pPr>
          </w:p>
        </w:tc>
        <w:tc>
          <w:tcPr>
            <w:tcW w:w="1714" w:type="dxa"/>
            <w:tcBorders>
              <w:top w:val="nil"/>
              <w:left w:val="nil"/>
              <w:bottom w:val="single" w:sz="8" w:space="0" w:color="auto"/>
              <w:right w:val="single" w:sz="8" w:space="0" w:color="auto"/>
            </w:tcBorders>
            <w:shd w:val="clear" w:color="000000" w:fill="D9E1F2"/>
            <w:noWrap/>
            <w:vAlign w:val="center"/>
            <w:hideMark/>
          </w:tcPr>
          <w:p w:rsidR="000F236F" w:rsidRDefault="000F236F" w:rsidP="00DB5405">
            <w:pPr>
              <w:rPr>
                <w:rFonts w:ascii="Garamond" w:eastAsia="Times New Roman" w:hAnsi="Garamond" w:cs="Calibri"/>
                <w:color w:val="000000"/>
                <w:sz w:val="20"/>
                <w:szCs w:val="20"/>
                <w:lang w:val="en-IN" w:eastAsia="en-IN" w:bidi="hi-IN"/>
              </w:rPr>
            </w:pPr>
            <w:r>
              <w:rPr>
                <w:rFonts w:ascii="Garamond" w:eastAsia="Times New Roman" w:hAnsi="Garamond" w:cs="Calibri"/>
                <w:color w:val="000000"/>
                <w:sz w:val="20"/>
                <w:szCs w:val="20"/>
                <w:lang w:val="en-IN" w:eastAsia="en-IN" w:bidi="hi-IN"/>
              </w:rPr>
              <w:t>India</w:t>
            </w:r>
          </w:p>
        </w:tc>
        <w:tc>
          <w:tcPr>
            <w:tcW w:w="1301" w:type="dxa"/>
            <w:tcBorders>
              <w:top w:val="nil"/>
              <w:left w:val="nil"/>
              <w:bottom w:val="single" w:sz="8" w:space="0" w:color="auto"/>
              <w:right w:val="single" w:sz="8" w:space="0" w:color="auto"/>
            </w:tcBorders>
            <w:shd w:val="clear" w:color="auto" w:fill="auto"/>
            <w:noWrap/>
            <w:vAlign w:val="center"/>
            <w:hideMark/>
          </w:tcPr>
          <w:p w:rsidR="000F236F" w:rsidRDefault="000F236F" w:rsidP="00DB5405">
            <w:pPr>
              <w:jc w:val="right"/>
              <w:rPr>
                <w:rFonts w:ascii="Garamond" w:eastAsia="Times New Roman" w:hAnsi="Garamond" w:cs="Calibri"/>
                <w:color w:val="000000"/>
                <w:sz w:val="20"/>
                <w:szCs w:val="20"/>
                <w:lang w:val="en-IN" w:eastAsia="en-IN" w:bidi="hi-IN"/>
              </w:rPr>
            </w:pPr>
            <w:r>
              <w:rPr>
                <w:rFonts w:ascii="Calibri" w:hAnsi="Calibri" w:cs="Calibri"/>
                <w:color w:val="000000"/>
                <w:sz w:val="18"/>
                <w:szCs w:val="18"/>
              </w:rPr>
              <w:t>2,052</w:t>
            </w:r>
          </w:p>
        </w:tc>
        <w:tc>
          <w:tcPr>
            <w:tcW w:w="1301" w:type="dxa"/>
            <w:tcBorders>
              <w:top w:val="nil"/>
              <w:left w:val="nil"/>
              <w:bottom w:val="single" w:sz="8" w:space="0" w:color="auto"/>
              <w:right w:val="single" w:sz="8" w:space="0" w:color="auto"/>
            </w:tcBorders>
            <w:shd w:val="clear" w:color="auto" w:fill="auto"/>
            <w:noWrap/>
            <w:vAlign w:val="center"/>
            <w:hideMark/>
          </w:tcPr>
          <w:p w:rsidR="000F236F" w:rsidRDefault="000F236F" w:rsidP="00DB5405">
            <w:pPr>
              <w:jc w:val="right"/>
              <w:rPr>
                <w:rFonts w:ascii="Garamond" w:eastAsia="Times New Roman" w:hAnsi="Garamond" w:cs="Calibri"/>
                <w:color w:val="000000"/>
                <w:sz w:val="20"/>
                <w:szCs w:val="20"/>
                <w:lang w:val="en-IN" w:eastAsia="en-IN" w:bidi="hi-IN"/>
              </w:rPr>
            </w:pPr>
            <w:r>
              <w:rPr>
                <w:rFonts w:ascii="Calibri" w:hAnsi="Calibri" w:cs="Calibri"/>
                <w:color w:val="000000"/>
                <w:sz w:val="18"/>
                <w:szCs w:val="18"/>
              </w:rPr>
              <w:t>2,060</w:t>
            </w:r>
          </w:p>
        </w:tc>
        <w:tc>
          <w:tcPr>
            <w:tcW w:w="1301" w:type="dxa"/>
            <w:tcBorders>
              <w:top w:val="nil"/>
              <w:left w:val="nil"/>
              <w:bottom w:val="single" w:sz="8" w:space="0" w:color="auto"/>
              <w:right w:val="single" w:sz="8" w:space="0" w:color="auto"/>
            </w:tcBorders>
            <w:shd w:val="clear" w:color="auto" w:fill="auto"/>
            <w:noWrap/>
            <w:vAlign w:val="center"/>
            <w:hideMark/>
          </w:tcPr>
          <w:p w:rsidR="000F236F" w:rsidRDefault="000F236F" w:rsidP="00DB5405">
            <w:pPr>
              <w:jc w:val="right"/>
              <w:rPr>
                <w:rFonts w:ascii="Garamond" w:eastAsia="Times New Roman" w:hAnsi="Garamond" w:cs="Calibri"/>
                <w:color w:val="000000"/>
                <w:sz w:val="20"/>
                <w:szCs w:val="20"/>
                <w:lang w:val="en-IN" w:eastAsia="en-IN" w:bidi="hi-IN"/>
              </w:rPr>
            </w:pPr>
            <w:r>
              <w:rPr>
                <w:rFonts w:ascii="Calibri" w:hAnsi="Calibri" w:cs="Calibri"/>
                <w:color w:val="000000"/>
                <w:sz w:val="18"/>
                <w:szCs w:val="18"/>
              </w:rPr>
              <w:t>0.4</w:t>
            </w:r>
          </w:p>
        </w:tc>
      </w:tr>
      <w:tr w:rsidR="000F236F" w:rsidTr="00DB5405">
        <w:trPr>
          <w:trHeight w:val="247"/>
        </w:trPr>
        <w:tc>
          <w:tcPr>
            <w:tcW w:w="991" w:type="dxa"/>
            <w:vMerge/>
            <w:tcBorders>
              <w:top w:val="nil"/>
              <w:left w:val="single" w:sz="8" w:space="0" w:color="auto"/>
              <w:bottom w:val="single" w:sz="8" w:space="0" w:color="000000"/>
              <w:right w:val="single" w:sz="8" w:space="0" w:color="auto"/>
            </w:tcBorders>
            <w:vAlign w:val="center"/>
            <w:hideMark/>
          </w:tcPr>
          <w:p w:rsidR="000F236F" w:rsidRDefault="000F236F" w:rsidP="00DB5405">
            <w:pPr>
              <w:rPr>
                <w:rFonts w:ascii="Garamond" w:eastAsia="Times New Roman" w:hAnsi="Garamond" w:cs="Calibri"/>
                <w:b/>
                <w:bCs/>
                <w:color w:val="000000"/>
                <w:sz w:val="20"/>
                <w:szCs w:val="20"/>
                <w:lang w:val="en-IN" w:eastAsia="en-IN" w:bidi="hi-IN"/>
              </w:rPr>
            </w:pPr>
          </w:p>
        </w:tc>
        <w:tc>
          <w:tcPr>
            <w:tcW w:w="1714" w:type="dxa"/>
            <w:tcBorders>
              <w:top w:val="nil"/>
              <w:left w:val="nil"/>
              <w:bottom w:val="single" w:sz="8" w:space="0" w:color="auto"/>
              <w:right w:val="single" w:sz="8" w:space="0" w:color="auto"/>
            </w:tcBorders>
            <w:shd w:val="clear" w:color="000000" w:fill="D9E1F2"/>
            <w:noWrap/>
            <w:vAlign w:val="center"/>
            <w:hideMark/>
          </w:tcPr>
          <w:p w:rsidR="000F236F" w:rsidRDefault="000F236F" w:rsidP="00DB5405">
            <w:pPr>
              <w:rPr>
                <w:rFonts w:ascii="Garamond" w:eastAsia="Times New Roman" w:hAnsi="Garamond" w:cs="Calibri"/>
                <w:color w:val="000000"/>
                <w:sz w:val="20"/>
                <w:szCs w:val="20"/>
                <w:lang w:val="en-IN" w:eastAsia="en-IN" w:bidi="hi-IN"/>
              </w:rPr>
            </w:pPr>
            <w:r>
              <w:rPr>
                <w:rFonts w:ascii="Garamond" w:eastAsia="Times New Roman" w:hAnsi="Garamond" w:cs="Calibri"/>
                <w:color w:val="000000"/>
                <w:sz w:val="20"/>
                <w:szCs w:val="20"/>
                <w:lang w:val="en-IN" w:eastAsia="en-IN" w:bidi="hi-IN"/>
              </w:rPr>
              <w:t>China</w:t>
            </w:r>
          </w:p>
        </w:tc>
        <w:tc>
          <w:tcPr>
            <w:tcW w:w="1301" w:type="dxa"/>
            <w:tcBorders>
              <w:top w:val="nil"/>
              <w:left w:val="nil"/>
              <w:bottom w:val="single" w:sz="8" w:space="0" w:color="auto"/>
              <w:right w:val="single" w:sz="8" w:space="0" w:color="auto"/>
            </w:tcBorders>
            <w:shd w:val="clear" w:color="auto" w:fill="auto"/>
            <w:noWrap/>
            <w:vAlign w:val="center"/>
            <w:hideMark/>
          </w:tcPr>
          <w:p w:rsidR="000F236F" w:rsidRDefault="000F236F" w:rsidP="00DB5405">
            <w:pPr>
              <w:jc w:val="right"/>
              <w:rPr>
                <w:rFonts w:ascii="Garamond" w:eastAsia="Times New Roman" w:hAnsi="Garamond" w:cs="Calibri"/>
                <w:color w:val="000000"/>
                <w:sz w:val="20"/>
                <w:szCs w:val="20"/>
                <w:lang w:val="en-IN" w:eastAsia="en-IN" w:bidi="hi-IN"/>
              </w:rPr>
            </w:pPr>
            <w:r>
              <w:rPr>
                <w:rFonts w:ascii="Calibri" w:hAnsi="Calibri" w:cs="Calibri"/>
                <w:color w:val="000000"/>
                <w:sz w:val="18"/>
                <w:szCs w:val="18"/>
              </w:rPr>
              <w:t>9,898</w:t>
            </w:r>
          </w:p>
        </w:tc>
        <w:tc>
          <w:tcPr>
            <w:tcW w:w="1301" w:type="dxa"/>
            <w:tcBorders>
              <w:top w:val="nil"/>
              <w:left w:val="nil"/>
              <w:bottom w:val="single" w:sz="8" w:space="0" w:color="auto"/>
              <w:right w:val="single" w:sz="8" w:space="0" w:color="auto"/>
            </w:tcBorders>
            <w:shd w:val="clear" w:color="auto" w:fill="auto"/>
            <w:noWrap/>
            <w:vAlign w:val="center"/>
            <w:hideMark/>
          </w:tcPr>
          <w:p w:rsidR="000F236F" w:rsidRDefault="000F236F" w:rsidP="00DB5405">
            <w:pPr>
              <w:jc w:val="right"/>
              <w:rPr>
                <w:rFonts w:ascii="Garamond" w:eastAsia="Times New Roman" w:hAnsi="Garamond" w:cs="Calibri"/>
                <w:color w:val="000000"/>
                <w:sz w:val="20"/>
                <w:szCs w:val="20"/>
                <w:lang w:val="en-IN" w:eastAsia="en-IN" w:bidi="hi-IN"/>
              </w:rPr>
            </w:pPr>
            <w:r>
              <w:rPr>
                <w:rFonts w:ascii="Calibri" w:hAnsi="Calibri" w:cs="Calibri"/>
                <w:color w:val="000000"/>
                <w:sz w:val="18"/>
                <w:szCs w:val="18"/>
              </w:rPr>
              <w:t>9,439</w:t>
            </w:r>
          </w:p>
        </w:tc>
        <w:tc>
          <w:tcPr>
            <w:tcW w:w="1301" w:type="dxa"/>
            <w:tcBorders>
              <w:top w:val="nil"/>
              <w:left w:val="nil"/>
              <w:bottom w:val="single" w:sz="8" w:space="0" w:color="auto"/>
              <w:right w:val="single" w:sz="8" w:space="0" w:color="auto"/>
            </w:tcBorders>
            <w:shd w:val="clear" w:color="auto" w:fill="auto"/>
            <w:noWrap/>
            <w:vAlign w:val="center"/>
            <w:hideMark/>
          </w:tcPr>
          <w:p w:rsidR="000F236F" w:rsidRDefault="000F236F" w:rsidP="00DB5405">
            <w:pPr>
              <w:jc w:val="right"/>
              <w:rPr>
                <w:rFonts w:ascii="Garamond" w:eastAsia="Times New Roman" w:hAnsi="Garamond" w:cs="Calibri"/>
                <w:color w:val="000000"/>
                <w:sz w:val="20"/>
                <w:szCs w:val="20"/>
                <w:lang w:val="en-IN" w:eastAsia="en-IN" w:bidi="hi-IN"/>
              </w:rPr>
            </w:pPr>
            <w:r>
              <w:rPr>
                <w:rFonts w:ascii="Calibri" w:hAnsi="Calibri" w:cs="Calibri"/>
                <w:color w:val="000000"/>
                <w:sz w:val="18"/>
                <w:szCs w:val="18"/>
              </w:rPr>
              <w:t>-4.6</w:t>
            </w:r>
          </w:p>
        </w:tc>
      </w:tr>
      <w:tr w:rsidR="000F236F" w:rsidTr="00DB5405">
        <w:trPr>
          <w:trHeight w:val="247"/>
        </w:trPr>
        <w:tc>
          <w:tcPr>
            <w:tcW w:w="991" w:type="dxa"/>
            <w:vMerge/>
            <w:tcBorders>
              <w:top w:val="nil"/>
              <w:left w:val="single" w:sz="8" w:space="0" w:color="auto"/>
              <w:bottom w:val="single" w:sz="8" w:space="0" w:color="000000"/>
              <w:right w:val="single" w:sz="8" w:space="0" w:color="auto"/>
            </w:tcBorders>
            <w:vAlign w:val="center"/>
            <w:hideMark/>
          </w:tcPr>
          <w:p w:rsidR="000F236F" w:rsidRDefault="000F236F" w:rsidP="00DB5405">
            <w:pPr>
              <w:rPr>
                <w:rFonts w:ascii="Garamond" w:eastAsia="Times New Roman" w:hAnsi="Garamond" w:cs="Calibri"/>
                <w:b/>
                <w:bCs/>
                <w:color w:val="000000"/>
                <w:sz w:val="20"/>
                <w:szCs w:val="20"/>
                <w:lang w:val="en-IN" w:eastAsia="en-IN" w:bidi="hi-IN"/>
              </w:rPr>
            </w:pPr>
          </w:p>
        </w:tc>
        <w:tc>
          <w:tcPr>
            <w:tcW w:w="1714" w:type="dxa"/>
            <w:tcBorders>
              <w:top w:val="nil"/>
              <w:left w:val="nil"/>
              <w:bottom w:val="single" w:sz="8" w:space="0" w:color="auto"/>
              <w:right w:val="single" w:sz="8" w:space="0" w:color="auto"/>
            </w:tcBorders>
            <w:shd w:val="clear" w:color="000000" w:fill="D9E1F2"/>
            <w:noWrap/>
            <w:vAlign w:val="center"/>
            <w:hideMark/>
          </w:tcPr>
          <w:p w:rsidR="000F236F" w:rsidRDefault="000F236F" w:rsidP="00DB5405">
            <w:pPr>
              <w:rPr>
                <w:rFonts w:ascii="Garamond" w:eastAsia="Times New Roman" w:hAnsi="Garamond" w:cs="Calibri"/>
                <w:color w:val="000000"/>
                <w:sz w:val="20"/>
                <w:szCs w:val="20"/>
                <w:lang w:val="en-IN" w:eastAsia="en-IN" w:bidi="hi-IN"/>
              </w:rPr>
            </w:pPr>
            <w:r>
              <w:rPr>
                <w:rFonts w:ascii="Garamond" w:eastAsia="Times New Roman" w:hAnsi="Garamond" w:cs="Calibri"/>
                <w:color w:val="000000"/>
                <w:sz w:val="20"/>
                <w:szCs w:val="20"/>
                <w:lang w:val="en-IN" w:eastAsia="en-IN" w:bidi="hi-IN"/>
              </w:rPr>
              <w:t>South Africa</w:t>
            </w:r>
          </w:p>
        </w:tc>
        <w:tc>
          <w:tcPr>
            <w:tcW w:w="1301" w:type="dxa"/>
            <w:tcBorders>
              <w:top w:val="nil"/>
              <w:left w:val="nil"/>
              <w:bottom w:val="single" w:sz="8" w:space="0" w:color="auto"/>
              <w:right w:val="single" w:sz="8" w:space="0" w:color="auto"/>
            </w:tcBorders>
            <w:shd w:val="clear" w:color="auto" w:fill="auto"/>
            <w:noWrap/>
            <w:vAlign w:val="center"/>
            <w:hideMark/>
          </w:tcPr>
          <w:p w:rsidR="000F236F" w:rsidRDefault="000F236F" w:rsidP="00DB5405">
            <w:pPr>
              <w:jc w:val="right"/>
              <w:rPr>
                <w:rFonts w:ascii="Garamond" w:eastAsia="Times New Roman" w:hAnsi="Garamond" w:cs="Calibri"/>
                <w:color w:val="000000"/>
                <w:sz w:val="20"/>
                <w:szCs w:val="20"/>
                <w:lang w:val="en-IN" w:eastAsia="en-IN" w:bidi="hi-IN"/>
              </w:rPr>
            </w:pPr>
            <w:r>
              <w:rPr>
                <w:rFonts w:ascii="Calibri" w:hAnsi="Calibri" w:cs="Calibri"/>
                <w:color w:val="000000"/>
                <w:sz w:val="18"/>
                <w:szCs w:val="18"/>
              </w:rPr>
              <w:t>329</w:t>
            </w:r>
          </w:p>
        </w:tc>
        <w:tc>
          <w:tcPr>
            <w:tcW w:w="1301" w:type="dxa"/>
            <w:tcBorders>
              <w:top w:val="nil"/>
              <w:left w:val="nil"/>
              <w:bottom w:val="single" w:sz="8" w:space="0" w:color="auto"/>
              <w:right w:val="single" w:sz="8" w:space="0" w:color="auto"/>
            </w:tcBorders>
            <w:shd w:val="clear" w:color="auto" w:fill="auto"/>
            <w:noWrap/>
            <w:vAlign w:val="center"/>
            <w:hideMark/>
          </w:tcPr>
          <w:p w:rsidR="000F236F" w:rsidRDefault="000F236F" w:rsidP="00DB5405">
            <w:pPr>
              <w:jc w:val="right"/>
              <w:rPr>
                <w:rFonts w:ascii="Garamond" w:eastAsia="Times New Roman" w:hAnsi="Garamond" w:cs="Calibri"/>
                <w:color w:val="000000"/>
                <w:sz w:val="20"/>
                <w:szCs w:val="20"/>
                <w:lang w:val="en-IN" w:eastAsia="en-IN" w:bidi="hi-IN"/>
              </w:rPr>
            </w:pPr>
            <w:r>
              <w:rPr>
                <w:rFonts w:ascii="Calibri" w:hAnsi="Calibri" w:cs="Calibri"/>
                <w:color w:val="000000"/>
                <w:sz w:val="18"/>
                <w:szCs w:val="18"/>
              </w:rPr>
              <w:t>323</w:t>
            </w:r>
          </w:p>
        </w:tc>
        <w:tc>
          <w:tcPr>
            <w:tcW w:w="1301" w:type="dxa"/>
            <w:tcBorders>
              <w:top w:val="nil"/>
              <w:left w:val="nil"/>
              <w:bottom w:val="single" w:sz="8" w:space="0" w:color="auto"/>
              <w:right w:val="single" w:sz="8" w:space="0" w:color="auto"/>
            </w:tcBorders>
            <w:shd w:val="clear" w:color="auto" w:fill="auto"/>
            <w:noWrap/>
            <w:vAlign w:val="center"/>
            <w:hideMark/>
          </w:tcPr>
          <w:p w:rsidR="000F236F" w:rsidRDefault="000F236F" w:rsidP="00DB5405">
            <w:pPr>
              <w:jc w:val="right"/>
              <w:rPr>
                <w:rFonts w:ascii="Garamond" w:eastAsia="Times New Roman" w:hAnsi="Garamond" w:cs="Calibri"/>
                <w:color w:val="000000"/>
                <w:sz w:val="20"/>
                <w:szCs w:val="20"/>
                <w:lang w:val="en-IN" w:eastAsia="en-IN" w:bidi="hi-IN"/>
              </w:rPr>
            </w:pPr>
            <w:r>
              <w:rPr>
                <w:rFonts w:ascii="Calibri" w:hAnsi="Calibri" w:cs="Calibri"/>
                <w:color w:val="000000"/>
                <w:sz w:val="18"/>
                <w:szCs w:val="18"/>
              </w:rPr>
              <w:t>-2.0</w:t>
            </w:r>
          </w:p>
        </w:tc>
      </w:tr>
    </w:tbl>
    <w:p w:rsidR="000F236F" w:rsidRDefault="000F236F" w:rsidP="000F236F">
      <w:pPr>
        <w:spacing w:line="23" w:lineRule="atLeast"/>
        <w:jc w:val="both"/>
        <w:outlineLvl w:val="0"/>
        <w:rPr>
          <w:rFonts w:ascii="Garamond" w:hAnsi="Garamond"/>
          <w:bCs/>
          <w:color w:val="000000"/>
          <w:sz w:val="22"/>
          <w:szCs w:val="22"/>
        </w:rPr>
      </w:pPr>
      <w:r>
        <w:rPr>
          <w:rFonts w:ascii="Garamond" w:hAnsi="Garamond"/>
          <w:bCs/>
          <w:sz w:val="18"/>
          <w:szCs w:val="18"/>
        </w:rPr>
        <w:t>Source: Bloomberg</w:t>
      </w:r>
      <w:r>
        <w:rPr>
          <w:rFonts w:ascii="Garamond" w:hAnsi="Garamond"/>
          <w:bCs/>
          <w:strike/>
          <w:sz w:val="22"/>
          <w:szCs w:val="22"/>
        </w:rPr>
        <w:br w:type="page"/>
      </w:r>
    </w:p>
    <w:p w:rsidR="000F236F" w:rsidRDefault="000F236F" w:rsidP="000F236F">
      <w:pPr>
        <w:spacing w:line="23" w:lineRule="atLeast"/>
        <w:jc w:val="both"/>
        <w:outlineLvl w:val="0"/>
        <w:rPr>
          <w:rFonts w:ascii="Garamond" w:hAnsi="Garamond"/>
          <w:b/>
          <w:bCs/>
          <w:szCs w:val="22"/>
        </w:rPr>
      </w:pPr>
      <w:r>
        <w:rPr>
          <w:rFonts w:ascii="Garamond" w:hAnsi="Garamond"/>
          <w:b/>
          <w:bCs/>
          <w:szCs w:val="22"/>
        </w:rPr>
        <w:lastRenderedPageBreak/>
        <w:t>Table A4: Stock Futures and Stock Options Traded in Major Exchanges</w:t>
      </w:r>
    </w:p>
    <w:p w:rsidR="000F236F" w:rsidRDefault="000F236F" w:rsidP="000F236F">
      <w:pPr>
        <w:spacing w:line="23" w:lineRule="atLeast"/>
        <w:ind w:right="674"/>
        <w:jc w:val="right"/>
        <w:outlineLvl w:val="0"/>
        <w:rPr>
          <w:rFonts w:ascii="Garamond" w:hAnsi="Garamond"/>
          <w:bCs/>
          <w:sz w:val="22"/>
          <w:szCs w:val="22"/>
        </w:rPr>
      </w:pPr>
      <w:r>
        <w:rPr>
          <w:rFonts w:ascii="Garamond" w:hAnsi="Garamond"/>
          <w:bCs/>
          <w:sz w:val="22"/>
          <w:szCs w:val="22"/>
        </w:rPr>
        <w:t>Notional Turnover in (USD million)</w:t>
      </w:r>
    </w:p>
    <w:tbl>
      <w:tblPr>
        <w:tblW w:w="9796" w:type="dxa"/>
        <w:tblCellMar>
          <w:left w:w="0" w:type="dxa"/>
          <w:right w:w="0" w:type="dxa"/>
        </w:tblCellMar>
        <w:tblLook w:val="04A0" w:firstRow="1" w:lastRow="0" w:firstColumn="1" w:lastColumn="0" w:noHBand="0" w:noVBand="1"/>
      </w:tblPr>
      <w:tblGrid>
        <w:gridCol w:w="3433"/>
        <w:gridCol w:w="1060"/>
        <w:gridCol w:w="1060"/>
        <w:gridCol w:w="1061"/>
        <w:gridCol w:w="1060"/>
        <w:gridCol w:w="1060"/>
        <w:gridCol w:w="1062"/>
      </w:tblGrid>
      <w:tr w:rsidR="000F236F" w:rsidTr="00DB5405">
        <w:trPr>
          <w:trHeight w:val="255"/>
        </w:trPr>
        <w:tc>
          <w:tcPr>
            <w:tcW w:w="3433" w:type="dxa"/>
            <w:vMerge w:val="restart"/>
            <w:tcBorders>
              <w:top w:val="single" w:sz="8" w:space="0" w:color="auto"/>
              <w:left w:val="single" w:sz="8" w:space="0" w:color="auto"/>
              <w:bottom w:val="single" w:sz="8" w:space="0" w:color="000000"/>
              <w:right w:val="single" w:sz="8" w:space="0" w:color="auto"/>
            </w:tcBorders>
            <w:shd w:val="clear" w:color="000000" w:fill="B4C6E7"/>
            <w:tcMar>
              <w:top w:w="15" w:type="dxa"/>
              <w:left w:w="15" w:type="dxa"/>
              <w:bottom w:w="0" w:type="dxa"/>
              <w:right w:w="15" w:type="dxa"/>
            </w:tcMar>
            <w:vAlign w:val="center"/>
            <w:hideMark/>
          </w:tcPr>
          <w:p w:rsidR="000F236F" w:rsidRDefault="000F236F" w:rsidP="00DB5405">
            <w:pPr>
              <w:jc w:val="center"/>
              <w:rPr>
                <w:rFonts w:ascii="Garamond" w:hAnsi="Garamond" w:cs="Calibri"/>
                <w:b/>
                <w:bCs/>
                <w:color w:val="000000"/>
                <w:sz w:val="20"/>
                <w:szCs w:val="20"/>
              </w:rPr>
            </w:pPr>
            <w:r>
              <w:rPr>
                <w:rFonts w:ascii="Garamond" w:hAnsi="Garamond" w:cs="Calibri"/>
                <w:b/>
                <w:bCs/>
                <w:color w:val="000000"/>
                <w:sz w:val="20"/>
                <w:szCs w:val="20"/>
              </w:rPr>
              <w:t>Exchange</w:t>
            </w:r>
          </w:p>
        </w:tc>
        <w:tc>
          <w:tcPr>
            <w:tcW w:w="6363" w:type="dxa"/>
            <w:gridSpan w:val="6"/>
            <w:tcBorders>
              <w:top w:val="single" w:sz="8" w:space="0" w:color="auto"/>
              <w:left w:val="nil"/>
              <w:bottom w:val="single" w:sz="8" w:space="0" w:color="auto"/>
              <w:right w:val="single" w:sz="8" w:space="0" w:color="000000"/>
            </w:tcBorders>
            <w:shd w:val="clear" w:color="000000" w:fill="B4C6E7"/>
            <w:tcMar>
              <w:top w:w="15" w:type="dxa"/>
              <w:left w:w="15" w:type="dxa"/>
              <w:bottom w:w="0" w:type="dxa"/>
              <w:right w:w="15" w:type="dxa"/>
            </w:tcMar>
            <w:vAlign w:val="center"/>
            <w:hideMark/>
          </w:tcPr>
          <w:p w:rsidR="000F236F" w:rsidRDefault="000F236F" w:rsidP="00DB5405">
            <w:pPr>
              <w:jc w:val="center"/>
              <w:rPr>
                <w:rFonts w:ascii="Garamond" w:hAnsi="Garamond" w:cs="Calibri"/>
                <w:b/>
                <w:bCs/>
                <w:color w:val="000000"/>
                <w:sz w:val="20"/>
                <w:szCs w:val="20"/>
              </w:rPr>
            </w:pPr>
            <w:r>
              <w:rPr>
                <w:rFonts w:ascii="Garamond" w:hAnsi="Garamond" w:cs="Calibri"/>
                <w:b/>
                <w:bCs/>
                <w:color w:val="000000"/>
                <w:sz w:val="20"/>
                <w:szCs w:val="20"/>
              </w:rPr>
              <w:t>Aug-20</w:t>
            </w:r>
          </w:p>
        </w:tc>
      </w:tr>
      <w:tr w:rsidR="000F236F" w:rsidTr="00DB5405">
        <w:trPr>
          <w:trHeight w:val="255"/>
        </w:trPr>
        <w:tc>
          <w:tcPr>
            <w:tcW w:w="0" w:type="auto"/>
            <w:vMerge/>
            <w:tcBorders>
              <w:top w:val="single" w:sz="8" w:space="0" w:color="auto"/>
              <w:left w:val="single" w:sz="8" w:space="0" w:color="auto"/>
              <w:bottom w:val="single" w:sz="8" w:space="0" w:color="000000"/>
              <w:right w:val="single" w:sz="8" w:space="0" w:color="auto"/>
            </w:tcBorders>
            <w:vAlign w:val="center"/>
            <w:hideMark/>
          </w:tcPr>
          <w:p w:rsidR="000F236F" w:rsidRDefault="000F236F" w:rsidP="00DB5405">
            <w:pPr>
              <w:rPr>
                <w:rFonts w:ascii="Garamond" w:hAnsi="Garamond" w:cs="Calibri"/>
                <w:b/>
                <w:bCs/>
                <w:color w:val="000000"/>
                <w:sz w:val="20"/>
                <w:szCs w:val="20"/>
              </w:rPr>
            </w:pPr>
          </w:p>
        </w:tc>
        <w:tc>
          <w:tcPr>
            <w:tcW w:w="3181" w:type="dxa"/>
            <w:gridSpan w:val="3"/>
            <w:tcBorders>
              <w:top w:val="single" w:sz="8" w:space="0" w:color="auto"/>
              <w:left w:val="nil"/>
              <w:bottom w:val="single" w:sz="8" w:space="0" w:color="auto"/>
              <w:right w:val="single" w:sz="8" w:space="0" w:color="000000"/>
            </w:tcBorders>
            <w:shd w:val="clear" w:color="000000" w:fill="B4C6E7"/>
            <w:tcMar>
              <w:top w:w="15" w:type="dxa"/>
              <w:left w:w="15" w:type="dxa"/>
              <w:bottom w:w="0" w:type="dxa"/>
              <w:right w:w="15" w:type="dxa"/>
            </w:tcMar>
            <w:vAlign w:val="center"/>
            <w:hideMark/>
          </w:tcPr>
          <w:p w:rsidR="000F236F" w:rsidRDefault="000F236F" w:rsidP="00DB5405">
            <w:pPr>
              <w:jc w:val="center"/>
              <w:rPr>
                <w:rFonts w:ascii="Garamond" w:hAnsi="Garamond" w:cs="Calibri"/>
                <w:b/>
                <w:bCs/>
                <w:color w:val="000000"/>
                <w:sz w:val="20"/>
                <w:szCs w:val="20"/>
              </w:rPr>
            </w:pPr>
            <w:r>
              <w:rPr>
                <w:rFonts w:ascii="Garamond" w:hAnsi="Garamond" w:cs="Calibri"/>
                <w:b/>
                <w:bCs/>
                <w:color w:val="000000"/>
                <w:sz w:val="20"/>
                <w:szCs w:val="20"/>
              </w:rPr>
              <w:t>Single Stock Futures</w:t>
            </w:r>
          </w:p>
        </w:tc>
        <w:tc>
          <w:tcPr>
            <w:tcW w:w="3181" w:type="dxa"/>
            <w:gridSpan w:val="3"/>
            <w:tcBorders>
              <w:top w:val="single" w:sz="8" w:space="0" w:color="auto"/>
              <w:left w:val="nil"/>
              <w:bottom w:val="single" w:sz="8" w:space="0" w:color="auto"/>
              <w:right w:val="single" w:sz="8" w:space="0" w:color="000000"/>
            </w:tcBorders>
            <w:shd w:val="clear" w:color="000000" w:fill="B4C6E7"/>
            <w:tcMar>
              <w:top w:w="15" w:type="dxa"/>
              <w:left w:w="15" w:type="dxa"/>
              <w:bottom w:w="0" w:type="dxa"/>
              <w:right w:w="15" w:type="dxa"/>
            </w:tcMar>
            <w:vAlign w:val="center"/>
            <w:hideMark/>
          </w:tcPr>
          <w:p w:rsidR="000F236F" w:rsidRDefault="000F236F" w:rsidP="00DB5405">
            <w:pPr>
              <w:jc w:val="center"/>
              <w:rPr>
                <w:rFonts w:ascii="Garamond" w:hAnsi="Garamond" w:cs="Calibri"/>
                <w:b/>
                <w:bCs/>
                <w:color w:val="000000"/>
                <w:sz w:val="20"/>
                <w:szCs w:val="20"/>
              </w:rPr>
            </w:pPr>
            <w:r>
              <w:rPr>
                <w:rFonts w:ascii="Garamond" w:hAnsi="Garamond" w:cs="Calibri"/>
                <w:b/>
                <w:bCs/>
                <w:color w:val="000000"/>
                <w:sz w:val="20"/>
                <w:szCs w:val="20"/>
              </w:rPr>
              <w:t>Single Stock Options</w:t>
            </w:r>
          </w:p>
        </w:tc>
      </w:tr>
      <w:tr w:rsidR="000F236F" w:rsidTr="00DB5405">
        <w:trPr>
          <w:trHeight w:val="243"/>
        </w:trPr>
        <w:tc>
          <w:tcPr>
            <w:tcW w:w="0" w:type="auto"/>
            <w:vMerge/>
            <w:tcBorders>
              <w:top w:val="single" w:sz="8" w:space="0" w:color="auto"/>
              <w:left w:val="single" w:sz="8" w:space="0" w:color="auto"/>
              <w:bottom w:val="single" w:sz="8" w:space="0" w:color="000000"/>
              <w:right w:val="single" w:sz="8" w:space="0" w:color="auto"/>
            </w:tcBorders>
            <w:vAlign w:val="center"/>
            <w:hideMark/>
          </w:tcPr>
          <w:p w:rsidR="000F236F" w:rsidRDefault="000F236F" w:rsidP="00DB5405">
            <w:pPr>
              <w:rPr>
                <w:rFonts w:ascii="Garamond" w:hAnsi="Garamond" w:cs="Calibri"/>
                <w:b/>
                <w:bCs/>
                <w:color w:val="000000"/>
                <w:sz w:val="20"/>
                <w:szCs w:val="20"/>
              </w:rPr>
            </w:pPr>
          </w:p>
        </w:tc>
        <w:tc>
          <w:tcPr>
            <w:tcW w:w="1060" w:type="dxa"/>
            <w:tcBorders>
              <w:top w:val="nil"/>
              <w:left w:val="nil"/>
              <w:bottom w:val="nil"/>
              <w:right w:val="single" w:sz="8" w:space="0" w:color="auto"/>
            </w:tcBorders>
            <w:shd w:val="clear" w:color="000000" w:fill="B4C6E7"/>
            <w:tcMar>
              <w:top w:w="15" w:type="dxa"/>
              <w:left w:w="15" w:type="dxa"/>
              <w:bottom w:w="0" w:type="dxa"/>
              <w:right w:w="15" w:type="dxa"/>
            </w:tcMar>
            <w:vAlign w:val="center"/>
            <w:hideMark/>
          </w:tcPr>
          <w:p w:rsidR="000F236F" w:rsidRDefault="000F236F" w:rsidP="00DB5405">
            <w:pPr>
              <w:jc w:val="center"/>
              <w:rPr>
                <w:rFonts w:ascii="Garamond" w:hAnsi="Garamond" w:cs="Calibri"/>
                <w:b/>
                <w:bCs/>
                <w:color w:val="000000"/>
                <w:sz w:val="20"/>
                <w:szCs w:val="20"/>
              </w:rPr>
            </w:pPr>
            <w:r>
              <w:rPr>
                <w:rFonts w:ascii="Garamond" w:hAnsi="Garamond" w:cs="Calibri"/>
                <w:b/>
                <w:bCs/>
                <w:color w:val="000000"/>
                <w:sz w:val="20"/>
                <w:szCs w:val="20"/>
              </w:rPr>
              <w:t>Number of</w:t>
            </w:r>
          </w:p>
        </w:tc>
        <w:tc>
          <w:tcPr>
            <w:tcW w:w="1060" w:type="dxa"/>
            <w:tcBorders>
              <w:top w:val="nil"/>
              <w:left w:val="nil"/>
              <w:bottom w:val="nil"/>
              <w:right w:val="single" w:sz="8" w:space="0" w:color="auto"/>
            </w:tcBorders>
            <w:shd w:val="clear" w:color="000000" w:fill="B4C6E7"/>
            <w:tcMar>
              <w:top w:w="15" w:type="dxa"/>
              <w:left w:w="15" w:type="dxa"/>
              <w:bottom w:w="0" w:type="dxa"/>
              <w:right w:w="15" w:type="dxa"/>
            </w:tcMar>
            <w:vAlign w:val="center"/>
            <w:hideMark/>
          </w:tcPr>
          <w:p w:rsidR="000F236F" w:rsidRDefault="000F236F" w:rsidP="00DB5405">
            <w:pPr>
              <w:jc w:val="center"/>
              <w:rPr>
                <w:rFonts w:ascii="Garamond" w:hAnsi="Garamond" w:cs="Calibri"/>
                <w:b/>
                <w:bCs/>
                <w:color w:val="000000"/>
                <w:sz w:val="20"/>
                <w:szCs w:val="20"/>
              </w:rPr>
            </w:pPr>
            <w:r>
              <w:rPr>
                <w:rFonts w:ascii="Garamond" w:hAnsi="Garamond" w:cs="Calibri"/>
                <w:b/>
                <w:bCs/>
                <w:color w:val="000000"/>
                <w:sz w:val="20"/>
                <w:szCs w:val="20"/>
              </w:rPr>
              <w:t>Notional</w:t>
            </w:r>
          </w:p>
        </w:tc>
        <w:tc>
          <w:tcPr>
            <w:tcW w:w="1060" w:type="dxa"/>
            <w:tcBorders>
              <w:top w:val="nil"/>
              <w:left w:val="nil"/>
              <w:bottom w:val="nil"/>
              <w:right w:val="single" w:sz="8" w:space="0" w:color="auto"/>
            </w:tcBorders>
            <w:shd w:val="clear" w:color="000000" w:fill="B4C6E7"/>
            <w:tcMar>
              <w:top w:w="15" w:type="dxa"/>
              <w:left w:w="15" w:type="dxa"/>
              <w:bottom w:w="0" w:type="dxa"/>
              <w:right w:w="15" w:type="dxa"/>
            </w:tcMar>
            <w:vAlign w:val="center"/>
            <w:hideMark/>
          </w:tcPr>
          <w:p w:rsidR="000F236F" w:rsidRDefault="000F236F" w:rsidP="00DB5405">
            <w:pPr>
              <w:jc w:val="center"/>
              <w:rPr>
                <w:rFonts w:ascii="Garamond" w:hAnsi="Garamond" w:cs="Calibri"/>
                <w:b/>
                <w:bCs/>
                <w:color w:val="000000"/>
                <w:sz w:val="20"/>
                <w:szCs w:val="20"/>
              </w:rPr>
            </w:pPr>
            <w:r>
              <w:rPr>
                <w:rFonts w:ascii="Garamond" w:hAnsi="Garamond" w:cs="Calibri"/>
                <w:b/>
                <w:bCs/>
                <w:color w:val="000000"/>
                <w:sz w:val="20"/>
                <w:szCs w:val="20"/>
              </w:rPr>
              <w:t>Open</w:t>
            </w:r>
          </w:p>
        </w:tc>
        <w:tc>
          <w:tcPr>
            <w:tcW w:w="1060" w:type="dxa"/>
            <w:tcBorders>
              <w:top w:val="nil"/>
              <w:left w:val="nil"/>
              <w:bottom w:val="nil"/>
              <w:right w:val="single" w:sz="8" w:space="0" w:color="auto"/>
            </w:tcBorders>
            <w:shd w:val="clear" w:color="000000" w:fill="B4C6E7"/>
            <w:tcMar>
              <w:top w:w="15" w:type="dxa"/>
              <w:left w:w="15" w:type="dxa"/>
              <w:bottom w:w="0" w:type="dxa"/>
              <w:right w:w="15" w:type="dxa"/>
            </w:tcMar>
            <w:vAlign w:val="center"/>
            <w:hideMark/>
          </w:tcPr>
          <w:p w:rsidR="000F236F" w:rsidRDefault="000F236F" w:rsidP="00DB5405">
            <w:pPr>
              <w:jc w:val="center"/>
              <w:rPr>
                <w:rFonts w:ascii="Garamond" w:hAnsi="Garamond" w:cs="Calibri"/>
                <w:b/>
                <w:bCs/>
                <w:color w:val="000000"/>
                <w:sz w:val="20"/>
                <w:szCs w:val="20"/>
              </w:rPr>
            </w:pPr>
            <w:r>
              <w:rPr>
                <w:rFonts w:ascii="Garamond" w:hAnsi="Garamond" w:cs="Calibri"/>
                <w:b/>
                <w:bCs/>
                <w:color w:val="000000"/>
                <w:sz w:val="20"/>
                <w:szCs w:val="20"/>
              </w:rPr>
              <w:t>Number of</w:t>
            </w:r>
          </w:p>
        </w:tc>
        <w:tc>
          <w:tcPr>
            <w:tcW w:w="1060" w:type="dxa"/>
            <w:tcBorders>
              <w:top w:val="nil"/>
              <w:left w:val="nil"/>
              <w:bottom w:val="nil"/>
              <w:right w:val="single" w:sz="8" w:space="0" w:color="auto"/>
            </w:tcBorders>
            <w:shd w:val="clear" w:color="000000" w:fill="B4C6E7"/>
            <w:tcMar>
              <w:top w:w="15" w:type="dxa"/>
              <w:left w:w="15" w:type="dxa"/>
              <w:bottom w:w="0" w:type="dxa"/>
              <w:right w:w="15" w:type="dxa"/>
            </w:tcMar>
            <w:vAlign w:val="center"/>
            <w:hideMark/>
          </w:tcPr>
          <w:p w:rsidR="000F236F" w:rsidRDefault="000F236F" w:rsidP="00DB5405">
            <w:pPr>
              <w:jc w:val="center"/>
              <w:rPr>
                <w:rFonts w:ascii="Garamond" w:hAnsi="Garamond" w:cs="Calibri"/>
                <w:b/>
                <w:bCs/>
                <w:color w:val="000000"/>
                <w:sz w:val="20"/>
                <w:szCs w:val="20"/>
              </w:rPr>
            </w:pPr>
            <w:r>
              <w:rPr>
                <w:rFonts w:ascii="Garamond" w:hAnsi="Garamond" w:cs="Calibri"/>
                <w:b/>
                <w:bCs/>
                <w:color w:val="000000"/>
                <w:sz w:val="20"/>
                <w:szCs w:val="20"/>
              </w:rPr>
              <w:t>Notional</w:t>
            </w:r>
          </w:p>
        </w:tc>
        <w:tc>
          <w:tcPr>
            <w:tcW w:w="1060" w:type="dxa"/>
            <w:tcBorders>
              <w:top w:val="nil"/>
              <w:left w:val="nil"/>
              <w:bottom w:val="nil"/>
              <w:right w:val="single" w:sz="8" w:space="0" w:color="auto"/>
            </w:tcBorders>
            <w:shd w:val="clear" w:color="000000" w:fill="B4C6E7"/>
            <w:tcMar>
              <w:top w:w="15" w:type="dxa"/>
              <w:left w:w="15" w:type="dxa"/>
              <w:bottom w:w="0" w:type="dxa"/>
              <w:right w:w="15" w:type="dxa"/>
            </w:tcMar>
            <w:vAlign w:val="center"/>
            <w:hideMark/>
          </w:tcPr>
          <w:p w:rsidR="000F236F" w:rsidRDefault="000F236F" w:rsidP="00DB5405">
            <w:pPr>
              <w:jc w:val="center"/>
              <w:rPr>
                <w:rFonts w:ascii="Garamond" w:hAnsi="Garamond" w:cs="Calibri"/>
                <w:b/>
                <w:bCs/>
                <w:color w:val="000000"/>
                <w:sz w:val="20"/>
                <w:szCs w:val="20"/>
              </w:rPr>
            </w:pPr>
            <w:r>
              <w:rPr>
                <w:rFonts w:ascii="Garamond" w:hAnsi="Garamond" w:cs="Calibri"/>
                <w:b/>
                <w:bCs/>
                <w:color w:val="000000"/>
                <w:sz w:val="20"/>
                <w:szCs w:val="20"/>
              </w:rPr>
              <w:t>Open</w:t>
            </w:r>
          </w:p>
        </w:tc>
      </w:tr>
      <w:tr w:rsidR="000F236F" w:rsidTr="00DB5405">
        <w:trPr>
          <w:trHeight w:val="426"/>
        </w:trPr>
        <w:tc>
          <w:tcPr>
            <w:tcW w:w="0" w:type="auto"/>
            <w:vMerge/>
            <w:tcBorders>
              <w:top w:val="single" w:sz="8" w:space="0" w:color="auto"/>
              <w:left w:val="single" w:sz="8" w:space="0" w:color="auto"/>
              <w:bottom w:val="single" w:sz="8" w:space="0" w:color="000000"/>
              <w:right w:val="single" w:sz="8" w:space="0" w:color="auto"/>
            </w:tcBorders>
            <w:vAlign w:val="center"/>
            <w:hideMark/>
          </w:tcPr>
          <w:p w:rsidR="000F236F" w:rsidRDefault="000F236F" w:rsidP="00DB5405">
            <w:pPr>
              <w:rPr>
                <w:rFonts w:ascii="Garamond" w:hAnsi="Garamond" w:cs="Calibri"/>
                <w:b/>
                <w:bCs/>
                <w:color w:val="000000"/>
                <w:sz w:val="20"/>
                <w:szCs w:val="20"/>
              </w:rPr>
            </w:pPr>
          </w:p>
        </w:tc>
        <w:tc>
          <w:tcPr>
            <w:tcW w:w="1060" w:type="dxa"/>
            <w:tcBorders>
              <w:top w:val="nil"/>
              <w:left w:val="nil"/>
              <w:bottom w:val="single" w:sz="8" w:space="0" w:color="auto"/>
              <w:right w:val="single" w:sz="8" w:space="0" w:color="auto"/>
            </w:tcBorders>
            <w:shd w:val="clear" w:color="000000" w:fill="B4C6E7"/>
            <w:tcMar>
              <w:top w:w="15" w:type="dxa"/>
              <w:left w:w="15" w:type="dxa"/>
              <w:bottom w:w="0" w:type="dxa"/>
              <w:right w:w="15" w:type="dxa"/>
            </w:tcMar>
            <w:vAlign w:val="center"/>
            <w:hideMark/>
          </w:tcPr>
          <w:p w:rsidR="000F236F" w:rsidRDefault="000F236F" w:rsidP="00DB5405">
            <w:pPr>
              <w:jc w:val="center"/>
              <w:rPr>
                <w:rFonts w:ascii="Garamond" w:hAnsi="Garamond" w:cs="Calibri"/>
                <w:b/>
                <w:bCs/>
                <w:color w:val="000000"/>
                <w:sz w:val="20"/>
                <w:szCs w:val="20"/>
              </w:rPr>
            </w:pPr>
            <w:r>
              <w:rPr>
                <w:rFonts w:ascii="Garamond" w:hAnsi="Garamond" w:cs="Calibri"/>
                <w:b/>
                <w:bCs/>
                <w:color w:val="000000"/>
                <w:sz w:val="20"/>
                <w:szCs w:val="20"/>
              </w:rPr>
              <w:t>Contracts Traded</w:t>
            </w:r>
          </w:p>
        </w:tc>
        <w:tc>
          <w:tcPr>
            <w:tcW w:w="1060" w:type="dxa"/>
            <w:tcBorders>
              <w:top w:val="nil"/>
              <w:left w:val="nil"/>
              <w:bottom w:val="single" w:sz="8" w:space="0" w:color="auto"/>
              <w:right w:val="single" w:sz="8" w:space="0" w:color="auto"/>
            </w:tcBorders>
            <w:shd w:val="clear" w:color="000000" w:fill="B4C6E7"/>
            <w:tcMar>
              <w:top w:w="15" w:type="dxa"/>
              <w:left w:w="15" w:type="dxa"/>
              <w:bottom w:w="0" w:type="dxa"/>
              <w:right w:w="15" w:type="dxa"/>
            </w:tcMar>
            <w:vAlign w:val="center"/>
            <w:hideMark/>
          </w:tcPr>
          <w:p w:rsidR="000F236F" w:rsidRDefault="000F236F" w:rsidP="00DB5405">
            <w:pPr>
              <w:jc w:val="center"/>
              <w:rPr>
                <w:rFonts w:ascii="Garamond" w:hAnsi="Garamond" w:cs="Calibri"/>
                <w:b/>
                <w:bCs/>
                <w:color w:val="000000"/>
                <w:sz w:val="20"/>
                <w:szCs w:val="20"/>
              </w:rPr>
            </w:pPr>
            <w:r>
              <w:rPr>
                <w:rFonts w:ascii="Garamond" w:hAnsi="Garamond" w:cs="Calibri"/>
                <w:b/>
                <w:bCs/>
                <w:color w:val="000000"/>
                <w:sz w:val="20"/>
                <w:szCs w:val="20"/>
              </w:rPr>
              <w:t>Turnover</w:t>
            </w:r>
          </w:p>
        </w:tc>
        <w:tc>
          <w:tcPr>
            <w:tcW w:w="1060" w:type="dxa"/>
            <w:tcBorders>
              <w:top w:val="nil"/>
              <w:left w:val="nil"/>
              <w:bottom w:val="single" w:sz="8" w:space="0" w:color="auto"/>
              <w:right w:val="single" w:sz="8" w:space="0" w:color="auto"/>
            </w:tcBorders>
            <w:shd w:val="clear" w:color="000000" w:fill="B4C6E7"/>
            <w:tcMar>
              <w:top w:w="15" w:type="dxa"/>
              <w:left w:w="15" w:type="dxa"/>
              <w:bottom w:w="0" w:type="dxa"/>
              <w:right w:w="15" w:type="dxa"/>
            </w:tcMar>
            <w:vAlign w:val="center"/>
            <w:hideMark/>
          </w:tcPr>
          <w:p w:rsidR="000F236F" w:rsidRDefault="000F236F" w:rsidP="00DB5405">
            <w:pPr>
              <w:jc w:val="center"/>
              <w:rPr>
                <w:rFonts w:ascii="Garamond" w:hAnsi="Garamond" w:cs="Calibri"/>
                <w:b/>
                <w:bCs/>
                <w:color w:val="000000"/>
                <w:sz w:val="20"/>
                <w:szCs w:val="20"/>
              </w:rPr>
            </w:pPr>
            <w:r>
              <w:rPr>
                <w:rFonts w:ascii="Garamond" w:hAnsi="Garamond" w:cs="Calibri"/>
                <w:b/>
                <w:bCs/>
                <w:color w:val="000000"/>
                <w:sz w:val="20"/>
                <w:szCs w:val="20"/>
              </w:rPr>
              <w:t>Interest</w:t>
            </w:r>
          </w:p>
        </w:tc>
        <w:tc>
          <w:tcPr>
            <w:tcW w:w="1060" w:type="dxa"/>
            <w:tcBorders>
              <w:top w:val="nil"/>
              <w:left w:val="nil"/>
              <w:bottom w:val="single" w:sz="8" w:space="0" w:color="auto"/>
              <w:right w:val="single" w:sz="8" w:space="0" w:color="auto"/>
            </w:tcBorders>
            <w:shd w:val="clear" w:color="000000" w:fill="B4C6E7"/>
            <w:tcMar>
              <w:top w:w="15" w:type="dxa"/>
              <w:left w:w="15" w:type="dxa"/>
              <w:bottom w:w="0" w:type="dxa"/>
              <w:right w:w="15" w:type="dxa"/>
            </w:tcMar>
            <w:vAlign w:val="center"/>
            <w:hideMark/>
          </w:tcPr>
          <w:p w:rsidR="000F236F" w:rsidRDefault="000F236F" w:rsidP="00DB5405">
            <w:pPr>
              <w:jc w:val="center"/>
              <w:rPr>
                <w:rFonts w:ascii="Garamond" w:hAnsi="Garamond" w:cs="Calibri"/>
                <w:b/>
                <w:bCs/>
                <w:color w:val="000000"/>
                <w:sz w:val="20"/>
                <w:szCs w:val="20"/>
              </w:rPr>
            </w:pPr>
            <w:r>
              <w:rPr>
                <w:rFonts w:ascii="Garamond" w:hAnsi="Garamond" w:cs="Calibri"/>
                <w:b/>
                <w:bCs/>
                <w:color w:val="000000"/>
                <w:sz w:val="20"/>
                <w:szCs w:val="20"/>
              </w:rPr>
              <w:t>Contracts Traded</w:t>
            </w:r>
          </w:p>
        </w:tc>
        <w:tc>
          <w:tcPr>
            <w:tcW w:w="1060" w:type="dxa"/>
            <w:tcBorders>
              <w:top w:val="nil"/>
              <w:left w:val="nil"/>
              <w:bottom w:val="single" w:sz="8" w:space="0" w:color="auto"/>
              <w:right w:val="single" w:sz="8" w:space="0" w:color="auto"/>
            </w:tcBorders>
            <w:shd w:val="clear" w:color="000000" w:fill="B4C6E7"/>
            <w:tcMar>
              <w:top w:w="15" w:type="dxa"/>
              <w:left w:w="15" w:type="dxa"/>
              <w:bottom w:w="0" w:type="dxa"/>
              <w:right w:w="15" w:type="dxa"/>
            </w:tcMar>
            <w:vAlign w:val="center"/>
            <w:hideMark/>
          </w:tcPr>
          <w:p w:rsidR="000F236F" w:rsidRDefault="000F236F" w:rsidP="00DB5405">
            <w:pPr>
              <w:jc w:val="center"/>
              <w:rPr>
                <w:rFonts w:ascii="Garamond" w:hAnsi="Garamond" w:cs="Calibri"/>
                <w:b/>
                <w:bCs/>
                <w:color w:val="000000"/>
                <w:sz w:val="20"/>
                <w:szCs w:val="20"/>
              </w:rPr>
            </w:pPr>
            <w:r>
              <w:rPr>
                <w:rFonts w:ascii="Garamond" w:hAnsi="Garamond" w:cs="Calibri"/>
                <w:b/>
                <w:bCs/>
                <w:color w:val="000000"/>
                <w:sz w:val="20"/>
                <w:szCs w:val="20"/>
              </w:rPr>
              <w:t>Turnover</w:t>
            </w:r>
          </w:p>
        </w:tc>
        <w:tc>
          <w:tcPr>
            <w:tcW w:w="1060" w:type="dxa"/>
            <w:tcBorders>
              <w:top w:val="nil"/>
              <w:left w:val="nil"/>
              <w:bottom w:val="single" w:sz="8" w:space="0" w:color="auto"/>
              <w:right w:val="single" w:sz="8" w:space="0" w:color="auto"/>
            </w:tcBorders>
            <w:shd w:val="clear" w:color="000000" w:fill="B4C6E7"/>
            <w:tcMar>
              <w:top w:w="15" w:type="dxa"/>
              <w:left w:w="15" w:type="dxa"/>
              <w:bottom w:w="0" w:type="dxa"/>
              <w:right w:w="15" w:type="dxa"/>
            </w:tcMar>
            <w:vAlign w:val="center"/>
            <w:hideMark/>
          </w:tcPr>
          <w:p w:rsidR="000F236F" w:rsidRDefault="000F236F" w:rsidP="00DB5405">
            <w:pPr>
              <w:jc w:val="center"/>
              <w:rPr>
                <w:rFonts w:ascii="Garamond" w:hAnsi="Garamond" w:cs="Calibri"/>
                <w:b/>
                <w:bCs/>
                <w:color w:val="000000"/>
                <w:sz w:val="20"/>
                <w:szCs w:val="20"/>
              </w:rPr>
            </w:pPr>
            <w:r>
              <w:rPr>
                <w:rFonts w:ascii="Garamond" w:hAnsi="Garamond" w:cs="Calibri"/>
                <w:b/>
                <w:bCs/>
                <w:color w:val="000000"/>
                <w:sz w:val="20"/>
                <w:szCs w:val="20"/>
              </w:rPr>
              <w:t>Interest</w:t>
            </w:r>
          </w:p>
        </w:tc>
      </w:tr>
      <w:tr w:rsidR="000F236F" w:rsidTr="00DB5405">
        <w:trPr>
          <w:trHeight w:val="243"/>
        </w:trPr>
        <w:tc>
          <w:tcPr>
            <w:tcW w:w="3433" w:type="dxa"/>
            <w:tcBorders>
              <w:top w:val="nil"/>
              <w:left w:val="single" w:sz="8" w:space="0" w:color="auto"/>
              <w:bottom w:val="nil"/>
              <w:right w:val="single" w:sz="8" w:space="0" w:color="auto"/>
            </w:tcBorders>
            <w:shd w:val="clear" w:color="000000" w:fill="B4C6E7"/>
            <w:tcMar>
              <w:top w:w="15" w:type="dxa"/>
              <w:left w:w="15" w:type="dxa"/>
              <w:bottom w:w="0" w:type="dxa"/>
              <w:right w:w="15" w:type="dxa"/>
            </w:tcMar>
            <w:vAlign w:val="center"/>
            <w:hideMark/>
          </w:tcPr>
          <w:p w:rsidR="000F236F" w:rsidRDefault="000F236F" w:rsidP="00DB5405">
            <w:pPr>
              <w:rPr>
                <w:rFonts w:ascii="Garamond" w:hAnsi="Garamond" w:cs="Calibri"/>
                <w:color w:val="000000"/>
                <w:sz w:val="20"/>
                <w:szCs w:val="20"/>
              </w:rPr>
            </w:pPr>
            <w:r>
              <w:rPr>
                <w:rFonts w:ascii="Garamond" w:hAnsi="Garamond" w:cs="Calibri"/>
                <w:color w:val="000000"/>
                <w:sz w:val="20"/>
                <w:szCs w:val="20"/>
              </w:rPr>
              <w:t>B3 - Brasil Bolsa Balcão</w:t>
            </w:r>
          </w:p>
        </w:tc>
        <w:tc>
          <w:tcPr>
            <w:tcW w:w="1060" w:type="dxa"/>
            <w:tcBorders>
              <w:top w:val="nil"/>
              <w:left w:val="nil"/>
              <w:bottom w:val="nil"/>
              <w:right w:val="single" w:sz="8" w:space="0" w:color="auto"/>
            </w:tcBorders>
            <w:shd w:val="clear" w:color="auto" w:fill="auto"/>
            <w:tcMar>
              <w:top w:w="15" w:type="dxa"/>
              <w:left w:w="15" w:type="dxa"/>
              <w:bottom w:w="0" w:type="dxa"/>
              <w:right w:w="15" w:type="dxa"/>
            </w:tcMar>
            <w:vAlign w:val="center"/>
            <w:hideMark/>
          </w:tcPr>
          <w:p w:rsidR="000F236F" w:rsidRDefault="000F236F" w:rsidP="00DB5405">
            <w:pPr>
              <w:jc w:val="right"/>
              <w:rPr>
                <w:rFonts w:ascii="Garamond" w:hAnsi="Garamond" w:cs="Calibri"/>
                <w:color w:val="000000"/>
                <w:sz w:val="20"/>
                <w:szCs w:val="20"/>
              </w:rPr>
            </w:pPr>
            <w:r>
              <w:rPr>
                <w:rFonts w:ascii="Garamond" w:hAnsi="Garamond" w:cs="Calibri"/>
                <w:color w:val="000000"/>
                <w:sz w:val="20"/>
                <w:szCs w:val="20"/>
              </w:rPr>
              <w:t>3,94,86,305</w:t>
            </w:r>
          </w:p>
        </w:tc>
        <w:tc>
          <w:tcPr>
            <w:tcW w:w="1060" w:type="dxa"/>
            <w:tcBorders>
              <w:top w:val="nil"/>
              <w:left w:val="nil"/>
              <w:bottom w:val="nil"/>
              <w:right w:val="single" w:sz="8" w:space="0" w:color="auto"/>
            </w:tcBorders>
            <w:shd w:val="clear" w:color="auto" w:fill="auto"/>
            <w:tcMar>
              <w:top w:w="15" w:type="dxa"/>
              <w:left w:w="15" w:type="dxa"/>
              <w:bottom w:w="0" w:type="dxa"/>
              <w:right w:w="15" w:type="dxa"/>
            </w:tcMar>
            <w:vAlign w:val="center"/>
            <w:hideMark/>
          </w:tcPr>
          <w:p w:rsidR="000F236F" w:rsidRDefault="000F236F" w:rsidP="00DB5405">
            <w:pPr>
              <w:jc w:val="right"/>
              <w:rPr>
                <w:rFonts w:ascii="Garamond" w:hAnsi="Garamond" w:cs="Calibri"/>
                <w:color w:val="000000"/>
                <w:sz w:val="20"/>
                <w:szCs w:val="20"/>
              </w:rPr>
            </w:pPr>
            <w:r>
              <w:rPr>
                <w:rFonts w:ascii="Garamond" w:hAnsi="Garamond" w:cs="Calibri"/>
                <w:color w:val="000000"/>
                <w:sz w:val="20"/>
                <w:szCs w:val="20"/>
              </w:rPr>
              <w:t>187.28</w:t>
            </w:r>
          </w:p>
        </w:tc>
        <w:tc>
          <w:tcPr>
            <w:tcW w:w="1060" w:type="dxa"/>
            <w:tcBorders>
              <w:top w:val="nil"/>
              <w:left w:val="nil"/>
              <w:bottom w:val="nil"/>
              <w:right w:val="nil"/>
            </w:tcBorders>
            <w:shd w:val="clear" w:color="auto" w:fill="auto"/>
            <w:tcMar>
              <w:top w:w="15" w:type="dxa"/>
              <w:left w:w="15" w:type="dxa"/>
              <w:bottom w:w="0" w:type="dxa"/>
              <w:right w:w="15" w:type="dxa"/>
            </w:tcMar>
            <w:vAlign w:val="center"/>
            <w:hideMark/>
          </w:tcPr>
          <w:p w:rsidR="000F236F" w:rsidRDefault="000F236F" w:rsidP="00DB5405">
            <w:pPr>
              <w:jc w:val="right"/>
              <w:rPr>
                <w:rFonts w:ascii="Garamond" w:hAnsi="Garamond" w:cs="Calibri"/>
                <w:color w:val="000000"/>
                <w:sz w:val="20"/>
                <w:szCs w:val="20"/>
              </w:rPr>
            </w:pPr>
            <w:r>
              <w:rPr>
                <w:rFonts w:ascii="Garamond" w:hAnsi="Garamond" w:cs="Calibri"/>
                <w:color w:val="000000"/>
                <w:sz w:val="20"/>
                <w:szCs w:val="20"/>
              </w:rPr>
              <w:t>2,22,07,274</w:t>
            </w:r>
          </w:p>
        </w:tc>
        <w:tc>
          <w:tcPr>
            <w:tcW w:w="1060" w:type="dxa"/>
            <w:tcBorders>
              <w:top w:val="nil"/>
              <w:left w:val="single" w:sz="8" w:space="0" w:color="auto"/>
              <w:bottom w:val="nil"/>
              <w:right w:val="single" w:sz="8" w:space="0" w:color="auto"/>
            </w:tcBorders>
            <w:shd w:val="clear" w:color="auto" w:fill="auto"/>
            <w:tcMar>
              <w:top w:w="15" w:type="dxa"/>
              <w:left w:w="15" w:type="dxa"/>
              <w:bottom w:w="0" w:type="dxa"/>
              <w:right w:w="15" w:type="dxa"/>
            </w:tcMar>
            <w:vAlign w:val="center"/>
            <w:hideMark/>
          </w:tcPr>
          <w:p w:rsidR="000F236F" w:rsidRDefault="000F236F" w:rsidP="00DB5405">
            <w:pPr>
              <w:jc w:val="right"/>
              <w:rPr>
                <w:rFonts w:ascii="Garamond" w:hAnsi="Garamond" w:cs="Calibri"/>
                <w:color w:val="000000"/>
                <w:sz w:val="20"/>
                <w:szCs w:val="20"/>
              </w:rPr>
            </w:pPr>
            <w:r>
              <w:rPr>
                <w:rFonts w:ascii="Garamond" w:hAnsi="Garamond" w:cs="Calibri"/>
                <w:color w:val="000000"/>
                <w:sz w:val="20"/>
                <w:szCs w:val="20"/>
              </w:rPr>
              <w:t>16,46,45,220</w:t>
            </w:r>
          </w:p>
        </w:tc>
        <w:tc>
          <w:tcPr>
            <w:tcW w:w="1060" w:type="dxa"/>
            <w:tcBorders>
              <w:top w:val="nil"/>
              <w:left w:val="nil"/>
              <w:bottom w:val="nil"/>
              <w:right w:val="nil"/>
            </w:tcBorders>
            <w:shd w:val="clear" w:color="auto" w:fill="auto"/>
            <w:tcMar>
              <w:top w:w="15" w:type="dxa"/>
              <w:left w:w="15" w:type="dxa"/>
              <w:bottom w:w="0" w:type="dxa"/>
              <w:right w:w="15" w:type="dxa"/>
            </w:tcMar>
            <w:vAlign w:val="center"/>
            <w:hideMark/>
          </w:tcPr>
          <w:p w:rsidR="000F236F" w:rsidRDefault="000F236F" w:rsidP="00DB5405">
            <w:pPr>
              <w:jc w:val="right"/>
              <w:rPr>
                <w:rFonts w:ascii="Garamond" w:hAnsi="Garamond" w:cs="Calibri"/>
                <w:color w:val="000000"/>
                <w:sz w:val="20"/>
                <w:szCs w:val="20"/>
              </w:rPr>
            </w:pPr>
            <w:r>
              <w:rPr>
                <w:rFonts w:ascii="Garamond" w:hAnsi="Garamond" w:cs="Calibri"/>
                <w:color w:val="000000"/>
                <w:sz w:val="20"/>
                <w:szCs w:val="20"/>
              </w:rPr>
              <w:t>58,498</w:t>
            </w:r>
          </w:p>
        </w:tc>
        <w:tc>
          <w:tcPr>
            <w:tcW w:w="1060" w:type="dxa"/>
            <w:tcBorders>
              <w:top w:val="nil"/>
              <w:left w:val="single" w:sz="8" w:space="0" w:color="auto"/>
              <w:bottom w:val="nil"/>
              <w:right w:val="single" w:sz="8" w:space="0" w:color="auto"/>
            </w:tcBorders>
            <w:shd w:val="clear" w:color="auto" w:fill="auto"/>
            <w:tcMar>
              <w:top w:w="15" w:type="dxa"/>
              <w:left w:w="15" w:type="dxa"/>
              <w:bottom w:w="0" w:type="dxa"/>
              <w:right w:w="15" w:type="dxa"/>
            </w:tcMar>
            <w:vAlign w:val="center"/>
            <w:hideMark/>
          </w:tcPr>
          <w:p w:rsidR="000F236F" w:rsidRDefault="000F236F" w:rsidP="00DB5405">
            <w:pPr>
              <w:jc w:val="right"/>
              <w:rPr>
                <w:rFonts w:ascii="Garamond" w:hAnsi="Garamond" w:cs="Calibri"/>
                <w:color w:val="000000"/>
                <w:sz w:val="20"/>
                <w:szCs w:val="20"/>
              </w:rPr>
            </w:pPr>
            <w:r>
              <w:rPr>
                <w:rFonts w:ascii="Garamond" w:hAnsi="Garamond" w:cs="Calibri"/>
                <w:color w:val="000000"/>
                <w:sz w:val="20"/>
                <w:szCs w:val="20"/>
              </w:rPr>
              <w:t>4,38,47,456</w:t>
            </w:r>
          </w:p>
        </w:tc>
      </w:tr>
      <w:tr w:rsidR="000F236F" w:rsidTr="00DB5405">
        <w:trPr>
          <w:trHeight w:val="243"/>
        </w:trPr>
        <w:tc>
          <w:tcPr>
            <w:tcW w:w="3433" w:type="dxa"/>
            <w:tcBorders>
              <w:top w:val="nil"/>
              <w:left w:val="single" w:sz="8" w:space="0" w:color="auto"/>
              <w:bottom w:val="nil"/>
              <w:right w:val="single" w:sz="8" w:space="0" w:color="auto"/>
            </w:tcBorders>
            <w:shd w:val="clear" w:color="000000" w:fill="B4C6E7"/>
            <w:tcMar>
              <w:top w:w="15" w:type="dxa"/>
              <w:left w:w="15" w:type="dxa"/>
              <w:bottom w:w="0" w:type="dxa"/>
              <w:right w:w="15" w:type="dxa"/>
            </w:tcMar>
            <w:vAlign w:val="center"/>
            <w:hideMark/>
          </w:tcPr>
          <w:p w:rsidR="000F236F" w:rsidRDefault="000F236F" w:rsidP="00DB5405">
            <w:pPr>
              <w:rPr>
                <w:rFonts w:ascii="Garamond" w:hAnsi="Garamond" w:cs="Calibri"/>
                <w:color w:val="000000"/>
                <w:sz w:val="20"/>
                <w:szCs w:val="20"/>
              </w:rPr>
            </w:pPr>
            <w:r>
              <w:rPr>
                <w:rFonts w:ascii="Garamond" w:hAnsi="Garamond" w:cs="Calibri"/>
                <w:color w:val="000000"/>
                <w:sz w:val="20"/>
                <w:szCs w:val="20"/>
              </w:rPr>
              <w:t>Bolsa de Valores de Colombia</w:t>
            </w:r>
          </w:p>
        </w:tc>
        <w:tc>
          <w:tcPr>
            <w:tcW w:w="1060" w:type="dxa"/>
            <w:tcBorders>
              <w:top w:val="nil"/>
              <w:left w:val="nil"/>
              <w:bottom w:val="nil"/>
              <w:right w:val="single" w:sz="8" w:space="0" w:color="auto"/>
            </w:tcBorders>
            <w:shd w:val="clear" w:color="auto" w:fill="auto"/>
            <w:tcMar>
              <w:top w:w="15" w:type="dxa"/>
              <w:left w:w="15" w:type="dxa"/>
              <w:bottom w:w="0" w:type="dxa"/>
              <w:right w:w="15" w:type="dxa"/>
            </w:tcMar>
            <w:vAlign w:val="center"/>
            <w:hideMark/>
          </w:tcPr>
          <w:p w:rsidR="000F236F" w:rsidRDefault="000F236F" w:rsidP="00DB5405">
            <w:pPr>
              <w:jc w:val="right"/>
              <w:rPr>
                <w:rFonts w:ascii="Garamond" w:hAnsi="Garamond" w:cs="Calibri"/>
                <w:color w:val="000000"/>
                <w:sz w:val="20"/>
                <w:szCs w:val="20"/>
              </w:rPr>
            </w:pPr>
            <w:r>
              <w:rPr>
                <w:rFonts w:ascii="Garamond" w:hAnsi="Garamond" w:cs="Calibri"/>
                <w:color w:val="000000"/>
                <w:sz w:val="20"/>
                <w:szCs w:val="20"/>
              </w:rPr>
              <w:t>7,543</w:t>
            </w:r>
          </w:p>
        </w:tc>
        <w:tc>
          <w:tcPr>
            <w:tcW w:w="1060" w:type="dxa"/>
            <w:tcBorders>
              <w:top w:val="nil"/>
              <w:left w:val="nil"/>
              <w:bottom w:val="nil"/>
              <w:right w:val="single" w:sz="8" w:space="0" w:color="auto"/>
            </w:tcBorders>
            <w:shd w:val="clear" w:color="auto" w:fill="auto"/>
            <w:tcMar>
              <w:top w:w="15" w:type="dxa"/>
              <w:left w:w="15" w:type="dxa"/>
              <w:bottom w:w="0" w:type="dxa"/>
              <w:right w:w="15" w:type="dxa"/>
            </w:tcMar>
            <w:vAlign w:val="center"/>
            <w:hideMark/>
          </w:tcPr>
          <w:p w:rsidR="000F236F" w:rsidRDefault="000F236F" w:rsidP="00DB5405">
            <w:pPr>
              <w:jc w:val="right"/>
              <w:rPr>
                <w:rFonts w:ascii="Garamond" w:hAnsi="Garamond" w:cs="Calibri"/>
                <w:color w:val="000000"/>
                <w:sz w:val="20"/>
                <w:szCs w:val="20"/>
              </w:rPr>
            </w:pPr>
            <w:r>
              <w:rPr>
                <w:rFonts w:ascii="Garamond" w:hAnsi="Garamond" w:cs="Calibri"/>
                <w:color w:val="000000"/>
                <w:sz w:val="20"/>
                <w:szCs w:val="20"/>
              </w:rPr>
              <w:t>7.76</w:t>
            </w:r>
          </w:p>
        </w:tc>
        <w:tc>
          <w:tcPr>
            <w:tcW w:w="1060" w:type="dxa"/>
            <w:tcBorders>
              <w:top w:val="nil"/>
              <w:left w:val="nil"/>
              <w:bottom w:val="nil"/>
              <w:right w:val="nil"/>
            </w:tcBorders>
            <w:shd w:val="clear" w:color="auto" w:fill="auto"/>
            <w:tcMar>
              <w:top w:w="15" w:type="dxa"/>
              <w:left w:w="15" w:type="dxa"/>
              <w:bottom w:w="0" w:type="dxa"/>
              <w:right w:w="15" w:type="dxa"/>
            </w:tcMar>
            <w:vAlign w:val="center"/>
            <w:hideMark/>
          </w:tcPr>
          <w:p w:rsidR="000F236F" w:rsidRDefault="000F236F" w:rsidP="00DB5405">
            <w:pPr>
              <w:jc w:val="right"/>
              <w:rPr>
                <w:rFonts w:ascii="Garamond" w:hAnsi="Garamond" w:cs="Calibri"/>
                <w:color w:val="000000"/>
                <w:sz w:val="20"/>
                <w:szCs w:val="20"/>
              </w:rPr>
            </w:pPr>
            <w:r>
              <w:rPr>
                <w:rFonts w:ascii="Garamond" w:hAnsi="Garamond" w:cs="Calibri"/>
                <w:color w:val="000000"/>
                <w:sz w:val="20"/>
                <w:szCs w:val="20"/>
              </w:rPr>
              <w:t>7,991</w:t>
            </w:r>
          </w:p>
        </w:tc>
        <w:tc>
          <w:tcPr>
            <w:tcW w:w="1060" w:type="dxa"/>
            <w:tcBorders>
              <w:top w:val="nil"/>
              <w:left w:val="single" w:sz="8" w:space="0" w:color="auto"/>
              <w:bottom w:val="nil"/>
              <w:right w:val="single" w:sz="8" w:space="0" w:color="auto"/>
            </w:tcBorders>
            <w:shd w:val="clear" w:color="auto" w:fill="auto"/>
            <w:tcMar>
              <w:top w:w="15" w:type="dxa"/>
              <w:left w:w="15" w:type="dxa"/>
              <w:bottom w:w="0" w:type="dxa"/>
              <w:right w:w="15" w:type="dxa"/>
            </w:tcMar>
            <w:vAlign w:val="center"/>
            <w:hideMark/>
          </w:tcPr>
          <w:p w:rsidR="000F236F" w:rsidRDefault="000F236F" w:rsidP="00DB5405">
            <w:pPr>
              <w:jc w:val="right"/>
              <w:rPr>
                <w:rFonts w:ascii="Garamond" w:hAnsi="Garamond" w:cs="Calibri"/>
                <w:color w:val="000000"/>
                <w:sz w:val="20"/>
                <w:szCs w:val="20"/>
              </w:rPr>
            </w:pPr>
            <w:r>
              <w:rPr>
                <w:rFonts w:ascii="Garamond" w:hAnsi="Garamond" w:cs="Calibri"/>
                <w:color w:val="000000"/>
                <w:sz w:val="20"/>
                <w:szCs w:val="20"/>
              </w:rPr>
              <w:t>0</w:t>
            </w:r>
          </w:p>
        </w:tc>
        <w:tc>
          <w:tcPr>
            <w:tcW w:w="1060" w:type="dxa"/>
            <w:tcBorders>
              <w:top w:val="nil"/>
              <w:left w:val="nil"/>
              <w:bottom w:val="nil"/>
              <w:right w:val="nil"/>
            </w:tcBorders>
            <w:shd w:val="clear" w:color="auto" w:fill="auto"/>
            <w:tcMar>
              <w:top w:w="15" w:type="dxa"/>
              <w:left w:w="15" w:type="dxa"/>
              <w:bottom w:w="0" w:type="dxa"/>
              <w:right w:w="15" w:type="dxa"/>
            </w:tcMar>
            <w:vAlign w:val="center"/>
            <w:hideMark/>
          </w:tcPr>
          <w:p w:rsidR="000F236F" w:rsidRDefault="000F236F" w:rsidP="00DB5405">
            <w:pPr>
              <w:jc w:val="right"/>
              <w:rPr>
                <w:rFonts w:ascii="Garamond" w:hAnsi="Garamond" w:cs="Calibri"/>
                <w:color w:val="000000"/>
                <w:sz w:val="20"/>
                <w:szCs w:val="20"/>
              </w:rPr>
            </w:pPr>
            <w:r>
              <w:rPr>
                <w:rFonts w:ascii="Garamond" w:hAnsi="Garamond" w:cs="Calibri"/>
                <w:color w:val="000000"/>
                <w:sz w:val="20"/>
                <w:szCs w:val="20"/>
              </w:rPr>
              <w:t>0</w:t>
            </w:r>
          </w:p>
        </w:tc>
        <w:tc>
          <w:tcPr>
            <w:tcW w:w="1060" w:type="dxa"/>
            <w:tcBorders>
              <w:top w:val="nil"/>
              <w:left w:val="single" w:sz="8" w:space="0" w:color="auto"/>
              <w:bottom w:val="nil"/>
              <w:right w:val="single" w:sz="8" w:space="0" w:color="auto"/>
            </w:tcBorders>
            <w:shd w:val="clear" w:color="auto" w:fill="auto"/>
            <w:tcMar>
              <w:top w:w="15" w:type="dxa"/>
              <w:left w:w="15" w:type="dxa"/>
              <w:bottom w:w="0" w:type="dxa"/>
              <w:right w:w="15" w:type="dxa"/>
            </w:tcMar>
            <w:vAlign w:val="center"/>
            <w:hideMark/>
          </w:tcPr>
          <w:p w:rsidR="000F236F" w:rsidRDefault="000F236F" w:rsidP="00DB5405">
            <w:pPr>
              <w:jc w:val="right"/>
              <w:rPr>
                <w:rFonts w:ascii="Garamond" w:hAnsi="Garamond" w:cs="Calibri"/>
                <w:color w:val="000000"/>
                <w:sz w:val="20"/>
                <w:szCs w:val="20"/>
              </w:rPr>
            </w:pPr>
            <w:r>
              <w:rPr>
                <w:rFonts w:ascii="Garamond" w:hAnsi="Garamond" w:cs="Calibri"/>
                <w:color w:val="000000"/>
                <w:sz w:val="20"/>
                <w:szCs w:val="20"/>
              </w:rPr>
              <w:t>0</w:t>
            </w:r>
          </w:p>
        </w:tc>
      </w:tr>
      <w:tr w:rsidR="000F236F" w:rsidTr="00DB5405">
        <w:trPr>
          <w:trHeight w:val="243"/>
        </w:trPr>
        <w:tc>
          <w:tcPr>
            <w:tcW w:w="3433" w:type="dxa"/>
            <w:tcBorders>
              <w:top w:val="nil"/>
              <w:left w:val="single" w:sz="8" w:space="0" w:color="auto"/>
              <w:bottom w:val="nil"/>
              <w:right w:val="single" w:sz="8" w:space="0" w:color="auto"/>
            </w:tcBorders>
            <w:shd w:val="clear" w:color="000000" w:fill="B4C6E7"/>
            <w:tcMar>
              <w:top w:w="15" w:type="dxa"/>
              <w:left w:w="15" w:type="dxa"/>
              <w:bottom w:w="0" w:type="dxa"/>
              <w:right w:w="15" w:type="dxa"/>
            </w:tcMar>
            <w:vAlign w:val="center"/>
            <w:hideMark/>
          </w:tcPr>
          <w:p w:rsidR="000F236F" w:rsidRDefault="000F236F" w:rsidP="00DB5405">
            <w:pPr>
              <w:rPr>
                <w:rFonts w:ascii="Garamond" w:hAnsi="Garamond" w:cs="Calibri"/>
                <w:color w:val="000000"/>
                <w:sz w:val="20"/>
                <w:szCs w:val="20"/>
              </w:rPr>
            </w:pPr>
            <w:r>
              <w:rPr>
                <w:rFonts w:ascii="Garamond" w:hAnsi="Garamond" w:cs="Calibri"/>
                <w:color w:val="000000"/>
                <w:sz w:val="20"/>
                <w:szCs w:val="20"/>
              </w:rPr>
              <w:t>Bolsa Mexicana de Valores</w:t>
            </w:r>
          </w:p>
        </w:tc>
        <w:tc>
          <w:tcPr>
            <w:tcW w:w="1060" w:type="dxa"/>
            <w:tcBorders>
              <w:top w:val="nil"/>
              <w:left w:val="nil"/>
              <w:bottom w:val="nil"/>
              <w:right w:val="single" w:sz="8" w:space="0" w:color="auto"/>
            </w:tcBorders>
            <w:shd w:val="clear" w:color="auto" w:fill="auto"/>
            <w:tcMar>
              <w:top w:w="15" w:type="dxa"/>
              <w:left w:w="15" w:type="dxa"/>
              <w:bottom w:w="0" w:type="dxa"/>
              <w:right w:w="15" w:type="dxa"/>
            </w:tcMar>
            <w:vAlign w:val="center"/>
            <w:hideMark/>
          </w:tcPr>
          <w:p w:rsidR="000F236F" w:rsidRDefault="000F236F" w:rsidP="00DB5405">
            <w:pPr>
              <w:jc w:val="right"/>
              <w:rPr>
                <w:rFonts w:ascii="Garamond" w:hAnsi="Garamond" w:cs="Calibri"/>
                <w:color w:val="000000"/>
                <w:sz w:val="20"/>
                <w:szCs w:val="20"/>
              </w:rPr>
            </w:pPr>
            <w:r>
              <w:rPr>
                <w:rFonts w:ascii="Garamond" w:hAnsi="Garamond" w:cs="Calibri"/>
                <w:color w:val="000000"/>
                <w:sz w:val="20"/>
                <w:szCs w:val="20"/>
              </w:rPr>
              <w:t>350</w:t>
            </w:r>
          </w:p>
        </w:tc>
        <w:tc>
          <w:tcPr>
            <w:tcW w:w="1060" w:type="dxa"/>
            <w:tcBorders>
              <w:top w:val="nil"/>
              <w:left w:val="nil"/>
              <w:bottom w:val="nil"/>
              <w:right w:val="single" w:sz="8" w:space="0" w:color="auto"/>
            </w:tcBorders>
            <w:shd w:val="clear" w:color="auto" w:fill="auto"/>
            <w:tcMar>
              <w:top w:w="15" w:type="dxa"/>
              <w:left w:w="15" w:type="dxa"/>
              <w:bottom w:w="0" w:type="dxa"/>
              <w:right w:w="15" w:type="dxa"/>
            </w:tcMar>
            <w:vAlign w:val="center"/>
            <w:hideMark/>
          </w:tcPr>
          <w:p w:rsidR="000F236F" w:rsidRDefault="000F236F" w:rsidP="00DB5405">
            <w:pPr>
              <w:jc w:val="right"/>
              <w:rPr>
                <w:rFonts w:ascii="Garamond" w:hAnsi="Garamond" w:cs="Calibri"/>
                <w:color w:val="000000"/>
                <w:sz w:val="20"/>
                <w:szCs w:val="20"/>
              </w:rPr>
            </w:pPr>
            <w:r>
              <w:rPr>
                <w:rFonts w:ascii="Garamond" w:hAnsi="Garamond" w:cs="Calibri"/>
                <w:color w:val="000000"/>
                <w:sz w:val="20"/>
                <w:szCs w:val="20"/>
              </w:rPr>
              <w:t>0.09</w:t>
            </w:r>
          </w:p>
        </w:tc>
        <w:tc>
          <w:tcPr>
            <w:tcW w:w="1060" w:type="dxa"/>
            <w:tcBorders>
              <w:top w:val="nil"/>
              <w:left w:val="nil"/>
              <w:bottom w:val="nil"/>
              <w:right w:val="nil"/>
            </w:tcBorders>
            <w:shd w:val="clear" w:color="auto" w:fill="auto"/>
            <w:tcMar>
              <w:top w:w="15" w:type="dxa"/>
              <w:left w:w="15" w:type="dxa"/>
              <w:bottom w:w="0" w:type="dxa"/>
              <w:right w:w="15" w:type="dxa"/>
            </w:tcMar>
            <w:vAlign w:val="center"/>
            <w:hideMark/>
          </w:tcPr>
          <w:p w:rsidR="000F236F" w:rsidRDefault="000F236F" w:rsidP="00DB5405">
            <w:pPr>
              <w:jc w:val="right"/>
              <w:rPr>
                <w:rFonts w:ascii="Garamond" w:hAnsi="Garamond" w:cs="Calibri"/>
                <w:color w:val="000000"/>
                <w:sz w:val="20"/>
                <w:szCs w:val="20"/>
              </w:rPr>
            </w:pPr>
            <w:r>
              <w:rPr>
                <w:rFonts w:ascii="Garamond" w:hAnsi="Garamond" w:cs="Calibri"/>
                <w:color w:val="000000"/>
                <w:sz w:val="20"/>
                <w:szCs w:val="20"/>
              </w:rPr>
              <w:t>950</w:t>
            </w:r>
          </w:p>
        </w:tc>
        <w:tc>
          <w:tcPr>
            <w:tcW w:w="1060" w:type="dxa"/>
            <w:tcBorders>
              <w:top w:val="nil"/>
              <w:left w:val="single" w:sz="8" w:space="0" w:color="auto"/>
              <w:bottom w:val="nil"/>
              <w:right w:val="single" w:sz="8" w:space="0" w:color="auto"/>
            </w:tcBorders>
            <w:shd w:val="clear" w:color="auto" w:fill="auto"/>
            <w:tcMar>
              <w:top w:w="15" w:type="dxa"/>
              <w:left w:w="15" w:type="dxa"/>
              <w:bottom w:w="0" w:type="dxa"/>
              <w:right w:w="15" w:type="dxa"/>
            </w:tcMar>
            <w:vAlign w:val="center"/>
            <w:hideMark/>
          </w:tcPr>
          <w:p w:rsidR="000F236F" w:rsidRDefault="000F236F" w:rsidP="00DB5405">
            <w:pPr>
              <w:jc w:val="right"/>
              <w:rPr>
                <w:rFonts w:ascii="Garamond" w:hAnsi="Garamond" w:cs="Calibri"/>
                <w:color w:val="000000"/>
                <w:sz w:val="20"/>
                <w:szCs w:val="20"/>
              </w:rPr>
            </w:pPr>
            <w:r>
              <w:rPr>
                <w:rFonts w:ascii="Garamond" w:hAnsi="Garamond" w:cs="Calibri"/>
                <w:color w:val="000000"/>
                <w:sz w:val="20"/>
                <w:szCs w:val="20"/>
              </w:rPr>
              <w:t>43,002</w:t>
            </w:r>
          </w:p>
        </w:tc>
        <w:tc>
          <w:tcPr>
            <w:tcW w:w="1060" w:type="dxa"/>
            <w:tcBorders>
              <w:top w:val="nil"/>
              <w:left w:val="nil"/>
              <w:bottom w:val="nil"/>
              <w:right w:val="nil"/>
            </w:tcBorders>
            <w:shd w:val="clear" w:color="auto" w:fill="auto"/>
            <w:tcMar>
              <w:top w:w="15" w:type="dxa"/>
              <w:left w:w="15" w:type="dxa"/>
              <w:bottom w:w="0" w:type="dxa"/>
              <w:right w:w="15" w:type="dxa"/>
            </w:tcMar>
            <w:vAlign w:val="center"/>
            <w:hideMark/>
          </w:tcPr>
          <w:p w:rsidR="000F236F" w:rsidRDefault="000F236F" w:rsidP="00DB5405">
            <w:pPr>
              <w:jc w:val="right"/>
              <w:rPr>
                <w:rFonts w:ascii="Garamond" w:hAnsi="Garamond" w:cs="Calibri"/>
                <w:color w:val="000000"/>
                <w:sz w:val="20"/>
                <w:szCs w:val="20"/>
              </w:rPr>
            </w:pPr>
            <w:r>
              <w:rPr>
                <w:rFonts w:ascii="Garamond" w:hAnsi="Garamond" w:cs="Calibri"/>
                <w:color w:val="000000"/>
                <w:sz w:val="20"/>
                <w:szCs w:val="20"/>
              </w:rPr>
              <w:t>8</w:t>
            </w:r>
          </w:p>
        </w:tc>
        <w:tc>
          <w:tcPr>
            <w:tcW w:w="1060" w:type="dxa"/>
            <w:tcBorders>
              <w:top w:val="nil"/>
              <w:left w:val="single" w:sz="8" w:space="0" w:color="auto"/>
              <w:bottom w:val="nil"/>
              <w:right w:val="single" w:sz="8" w:space="0" w:color="auto"/>
            </w:tcBorders>
            <w:shd w:val="clear" w:color="auto" w:fill="auto"/>
            <w:tcMar>
              <w:top w:w="15" w:type="dxa"/>
              <w:left w:w="15" w:type="dxa"/>
              <w:bottom w:w="0" w:type="dxa"/>
              <w:right w:w="15" w:type="dxa"/>
            </w:tcMar>
            <w:vAlign w:val="center"/>
            <w:hideMark/>
          </w:tcPr>
          <w:p w:rsidR="000F236F" w:rsidRDefault="000F236F" w:rsidP="00DB5405">
            <w:pPr>
              <w:jc w:val="right"/>
              <w:rPr>
                <w:rFonts w:ascii="Garamond" w:hAnsi="Garamond" w:cs="Calibri"/>
                <w:color w:val="000000"/>
                <w:sz w:val="20"/>
                <w:szCs w:val="20"/>
              </w:rPr>
            </w:pPr>
            <w:r>
              <w:rPr>
                <w:rFonts w:ascii="Garamond" w:hAnsi="Garamond" w:cs="Calibri"/>
                <w:color w:val="000000"/>
                <w:sz w:val="20"/>
                <w:szCs w:val="20"/>
              </w:rPr>
              <w:t>53,000</w:t>
            </w:r>
          </w:p>
        </w:tc>
      </w:tr>
      <w:tr w:rsidR="000F236F" w:rsidTr="00DB5405">
        <w:trPr>
          <w:trHeight w:val="243"/>
        </w:trPr>
        <w:tc>
          <w:tcPr>
            <w:tcW w:w="3433" w:type="dxa"/>
            <w:tcBorders>
              <w:top w:val="nil"/>
              <w:left w:val="single" w:sz="8" w:space="0" w:color="auto"/>
              <w:bottom w:val="nil"/>
              <w:right w:val="single" w:sz="8" w:space="0" w:color="auto"/>
            </w:tcBorders>
            <w:shd w:val="clear" w:color="000000" w:fill="B4C6E7"/>
            <w:tcMar>
              <w:top w:w="15" w:type="dxa"/>
              <w:left w:w="15" w:type="dxa"/>
              <w:bottom w:w="0" w:type="dxa"/>
              <w:right w:w="15" w:type="dxa"/>
            </w:tcMar>
            <w:vAlign w:val="center"/>
            <w:hideMark/>
          </w:tcPr>
          <w:p w:rsidR="000F236F" w:rsidRDefault="000F236F" w:rsidP="00DB5405">
            <w:pPr>
              <w:rPr>
                <w:rFonts w:ascii="Garamond" w:hAnsi="Garamond" w:cs="Calibri"/>
                <w:color w:val="000000"/>
                <w:sz w:val="20"/>
                <w:szCs w:val="20"/>
              </w:rPr>
            </w:pPr>
            <w:r>
              <w:rPr>
                <w:rFonts w:ascii="Garamond" w:hAnsi="Garamond" w:cs="Calibri"/>
                <w:color w:val="000000"/>
                <w:sz w:val="20"/>
                <w:szCs w:val="20"/>
              </w:rPr>
              <w:t>Bolsa y Mercados Argentinos</w:t>
            </w:r>
          </w:p>
        </w:tc>
        <w:tc>
          <w:tcPr>
            <w:tcW w:w="1060" w:type="dxa"/>
            <w:tcBorders>
              <w:top w:val="nil"/>
              <w:left w:val="nil"/>
              <w:bottom w:val="nil"/>
              <w:right w:val="single" w:sz="8" w:space="0" w:color="auto"/>
            </w:tcBorders>
            <w:shd w:val="clear" w:color="auto" w:fill="auto"/>
            <w:tcMar>
              <w:top w:w="15" w:type="dxa"/>
              <w:left w:w="15" w:type="dxa"/>
              <w:bottom w:w="0" w:type="dxa"/>
              <w:right w:w="15" w:type="dxa"/>
            </w:tcMar>
            <w:vAlign w:val="center"/>
            <w:hideMark/>
          </w:tcPr>
          <w:p w:rsidR="000F236F" w:rsidRDefault="000F236F" w:rsidP="00DB5405">
            <w:pPr>
              <w:jc w:val="right"/>
              <w:rPr>
                <w:rFonts w:ascii="Garamond" w:hAnsi="Garamond" w:cs="Calibri"/>
                <w:color w:val="000000"/>
                <w:sz w:val="20"/>
                <w:szCs w:val="20"/>
              </w:rPr>
            </w:pPr>
            <w:r>
              <w:rPr>
                <w:rFonts w:ascii="Garamond" w:hAnsi="Garamond" w:cs="Calibri"/>
                <w:color w:val="000000"/>
                <w:sz w:val="20"/>
                <w:szCs w:val="20"/>
              </w:rPr>
              <w:t>0</w:t>
            </w:r>
          </w:p>
        </w:tc>
        <w:tc>
          <w:tcPr>
            <w:tcW w:w="1060" w:type="dxa"/>
            <w:tcBorders>
              <w:top w:val="nil"/>
              <w:left w:val="nil"/>
              <w:bottom w:val="nil"/>
              <w:right w:val="single" w:sz="8" w:space="0" w:color="auto"/>
            </w:tcBorders>
            <w:shd w:val="clear" w:color="auto" w:fill="auto"/>
            <w:tcMar>
              <w:top w:w="15" w:type="dxa"/>
              <w:left w:w="15" w:type="dxa"/>
              <w:bottom w:w="0" w:type="dxa"/>
              <w:right w:w="15" w:type="dxa"/>
            </w:tcMar>
            <w:vAlign w:val="center"/>
            <w:hideMark/>
          </w:tcPr>
          <w:p w:rsidR="000F236F" w:rsidRDefault="000F236F" w:rsidP="00DB5405">
            <w:pPr>
              <w:jc w:val="right"/>
              <w:rPr>
                <w:rFonts w:ascii="Garamond" w:hAnsi="Garamond" w:cs="Calibri"/>
                <w:color w:val="000000"/>
                <w:sz w:val="20"/>
                <w:szCs w:val="20"/>
              </w:rPr>
            </w:pPr>
            <w:r>
              <w:rPr>
                <w:rFonts w:ascii="Garamond" w:hAnsi="Garamond" w:cs="Calibri"/>
                <w:color w:val="000000"/>
                <w:sz w:val="20"/>
                <w:szCs w:val="20"/>
              </w:rPr>
              <w:t>0</w:t>
            </w:r>
          </w:p>
        </w:tc>
        <w:tc>
          <w:tcPr>
            <w:tcW w:w="1060" w:type="dxa"/>
            <w:tcBorders>
              <w:top w:val="nil"/>
              <w:left w:val="nil"/>
              <w:bottom w:val="nil"/>
              <w:right w:val="nil"/>
            </w:tcBorders>
            <w:shd w:val="clear" w:color="auto" w:fill="auto"/>
            <w:tcMar>
              <w:top w:w="15" w:type="dxa"/>
              <w:left w:w="15" w:type="dxa"/>
              <w:bottom w:w="0" w:type="dxa"/>
              <w:right w:w="15" w:type="dxa"/>
            </w:tcMar>
            <w:vAlign w:val="center"/>
            <w:hideMark/>
          </w:tcPr>
          <w:p w:rsidR="000F236F" w:rsidRDefault="000F236F" w:rsidP="00DB5405">
            <w:pPr>
              <w:jc w:val="right"/>
              <w:rPr>
                <w:rFonts w:ascii="Garamond" w:hAnsi="Garamond" w:cs="Calibri"/>
                <w:color w:val="000000"/>
                <w:sz w:val="20"/>
                <w:szCs w:val="20"/>
              </w:rPr>
            </w:pPr>
            <w:r>
              <w:rPr>
                <w:rFonts w:ascii="Garamond" w:hAnsi="Garamond" w:cs="Calibri"/>
                <w:color w:val="000000"/>
                <w:sz w:val="20"/>
                <w:szCs w:val="20"/>
              </w:rPr>
              <w:t>0</w:t>
            </w:r>
          </w:p>
        </w:tc>
        <w:tc>
          <w:tcPr>
            <w:tcW w:w="1060" w:type="dxa"/>
            <w:tcBorders>
              <w:top w:val="nil"/>
              <w:left w:val="single" w:sz="8" w:space="0" w:color="auto"/>
              <w:bottom w:val="nil"/>
              <w:right w:val="single" w:sz="8" w:space="0" w:color="auto"/>
            </w:tcBorders>
            <w:shd w:val="clear" w:color="auto" w:fill="auto"/>
            <w:tcMar>
              <w:top w:w="15" w:type="dxa"/>
              <w:left w:w="15" w:type="dxa"/>
              <w:bottom w:w="0" w:type="dxa"/>
              <w:right w:w="15" w:type="dxa"/>
            </w:tcMar>
            <w:vAlign w:val="center"/>
            <w:hideMark/>
          </w:tcPr>
          <w:p w:rsidR="000F236F" w:rsidRDefault="000F236F" w:rsidP="00DB5405">
            <w:pPr>
              <w:jc w:val="right"/>
              <w:rPr>
                <w:rFonts w:ascii="Garamond" w:hAnsi="Garamond" w:cs="Calibri"/>
                <w:color w:val="000000"/>
                <w:sz w:val="20"/>
                <w:szCs w:val="20"/>
              </w:rPr>
            </w:pPr>
            <w:r>
              <w:rPr>
                <w:rFonts w:ascii="Garamond" w:hAnsi="Garamond" w:cs="Calibri"/>
                <w:color w:val="000000"/>
                <w:sz w:val="20"/>
                <w:szCs w:val="20"/>
              </w:rPr>
              <w:t>74,34,472</w:t>
            </w:r>
          </w:p>
        </w:tc>
        <w:tc>
          <w:tcPr>
            <w:tcW w:w="1060" w:type="dxa"/>
            <w:tcBorders>
              <w:top w:val="nil"/>
              <w:left w:val="nil"/>
              <w:bottom w:val="nil"/>
              <w:right w:val="nil"/>
            </w:tcBorders>
            <w:shd w:val="clear" w:color="auto" w:fill="auto"/>
            <w:tcMar>
              <w:top w:w="15" w:type="dxa"/>
              <w:left w:w="15" w:type="dxa"/>
              <w:bottom w:w="0" w:type="dxa"/>
              <w:right w:w="15" w:type="dxa"/>
            </w:tcMar>
            <w:vAlign w:val="center"/>
            <w:hideMark/>
          </w:tcPr>
          <w:p w:rsidR="000F236F" w:rsidRDefault="000F236F" w:rsidP="00DB5405">
            <w:pPr>
              <w:jc w:val="right"/>
              <w:rPr>
                <w:rFonts w:ascii="Garamond" w:hAnsi="Garamond" w:cs="Calibri"/>
                <w:color w:val="000000"/>
                <w:sz w:val="20"/>
                <w:szCs w:val="20"/>
              </w:rPr>
            </w:pPr>
            <w:r>
              <w:rPr>
                <w:rFonts w:ascii="Garamond" w:hAnsi="Garamond" w:cs="Calibri"/>
                <w:color w:val="000000"/>
                <w:sz w:val="20"/>
                <w:szCs w:val="20"/>
              </w:rPr>
              <w:t>46</w:t>
            </w:r>
          </w:p>
        </w:tc>
        <w:tc>
          <w:tcPr>
            <w:tcW w:w="1060" w:type="dxa"/>
            <w:tcBorders>
              <w:top w:val="nil"/>
              <w:left w:val="single" w:sz="8" w:space="0" w:color="auto"/>
              <w:bottom w:val="nil"/>
              <w:right w:val="single" w:sz="8" w:space="0" w:color="auto"/>
            </w:tcBorders>
            <w:shd w:val="clear" w:color="auto" w:fill="auto"/>
            <w:tcMar>
              <w:top w:w="15" w:type="dxa"/>
              <w:left w:w="15" w:type="dxa"/>
              <w:bottom w:w="0" w:type="dxa"/>
              <w:right w:w="15" w:type="dxa"/>
            </w:tcMar>
            <w:vAlign w:val="center"/>
            <w:hideMark/>
          </w:tcPr>
          <w:p w:rsidR="000F236F" w:rsidRDefault="000F236F" w:rsidP="00DB5405">
            <w:pPr>
              <w:jc w:val="right"/>
              <w:rPr>
                <w:rFonts w:ascii="Garamond" w:hAnsi="Garamond" w:cs="Calibri"/>
                <w:color w:val="000000"/>
                <w:sz w:val="20"/>
                <w:szCs w:val="20"/>
              </w:rPr>
            </w:pPr>
            <w:r>
              <w:rPr>
                <w:rFonts w:ascii="Garamond" w:hAnsi="Garamond" w:cs="Calibri"/>
                <w:color w:val="000000"/>
                <w:sz w:val="20"/>
                <w:szCs w:val="20"/>
              </w:rPr>
              <w:t>10,88,256</w:t>
            </w:r>
          </w:p>
        </w:tc>
      </w:tr>
      <w:tr w:rsidR="000F236F" w:rsidTr="00DB5405">
        <w:trPr>
          <w:trHeight w:val="243"/>
        </w:trPr>
        <w:tc>
          <w:tcPr>
            <w:tcW w:w="3433" w:type="dxa"/>
            <w:tcBorders>
              <w:top w:val="nil"/>
              <w:left w:val="single" w:sz="8" w:space="0" w:color="auto"/>
              <w:bottom w:val="nil"/>
              <w:right w:val="single" w:sz="8" w:space="0" w:color="auto"/>
            </w:tcBorders>
            <w:shd w:val="clear" w:color="000000" w:fill="B4C6E7"/>
            <w:tcMar>
              <w:top w:w="15" w:type="dxa"/>
              <w:left w:w="15" w:type="dxa"/>
              <w:bottom w:w="0" w:type="dxa"/>
              <w:right w:w="15" w:type="dxa"/>
            </w:tcMar>
            <w:vAlign w:val="center"/>
            <w:hideMark/>
          </w:tcPr>
          <w:p w:rsidR="000F236F" w:rsidRDefault="000F236F" w:rsidP="00DB5405">
            <w:pPr>
              <w:rPr>
                <w:rFonts w:ascii="Garamond" w:hAnsi="Garamond" w:cs="Calibri"/>
                <w:color w:val="000000"/>
                <w:sz w:val="20"/>
                <w:szCs w:val="20"/>
              </w:rPr>
            </w:pPr>
            <w:r>
              <w:rPr>
                <w:rFonts w:ascii="Garamond" w:hAnsi="Garamond" w:cs="Calibri"/>
                <w:color w:val="000000"/>
                <w:sz w:val="20"/>
                <w:szCs w:val="20"/>
              </w:rPr>
              <w:t>Cboe Global Markets</w:t>
            </w:r>
          </w:p>
        </w:tc>
        <w:tc>
          <w:tcPr>
            <w:tcW w:w="1060" w:type="dxa"/>
            <w:tcBorders>
              <w:top w:val="nil"/>
              <w:left w:val="nil"/>
              <w:bottom w:val="nil"/>
              <w:right w:val="single" w:sz="8" w:space="0" w:color="auto"/>
            </w:tcBorders>
            <w:shd w:val="clear" w:color="auto" w:fill="auto"/>
            <w:tcMar>
              <w:top w:w="15" w:type="dxa"/>
              <w:left w:w="15" w:type="dxa"/>
              <w:bottom w:w="0" w:type="dxa"/>
              <w:right w:w="15" w:type="dxa"/>
            </w:tcMar>
            <w:vAlign w:val="center"/>
            <w:hideMark/>
          </w:tcPr>
          <w:p w:rsidR="000F236F" w:rsidRDefault="000F236F" w:rsidP="00DB5405">
            <w:pPr>
              <w:jc w:val="right"/>
              <w:rPr>
                <w:rFonts w:ascii="Garamond" w:hAnsi="Garamond" w:cs="Calibri"/>
                <w:color w:val="000000"/>
                <w:sz w:val="20"/>
                <w:szCs w:val="20"/>
              </w:rPr>
            </w:pPr>
            <w:r>
              <w:rPr>
                <w:rFonts w:ascii="Garamond" w:hAnsi="Garamond" w:cs="Calibri"/>
                <w:color w:val="000000"/>
                <w:sz w:val="20"/>
                <w:szCs w:val="20"/>
              </w:rPr>
              <w:t>NA</w:t>
            </w:r>
          </w:p>
        </w:tc>
        <w:tc>
          <w:tcPr>
            <w:tcW w:w="1060" w:type="dxa"/>
            <w:tcBorders>
              <w:top w:val="nil"/>
              <w:left w:val="nil"/>
              <w:bottom w:val="nil"/>
              <w:right w:val="single" w:sz="8" w:space="0" w:color="auto"/>
            </w:tcBorders>
            <w:shd w:val="clear" w:color="auto" w:fill="auto"/>
            <w:tcMar>
              <w:top w:w="15" w:type="dxa"/>
              <w:left w:w="15" w:type="dxa"/>
              <w:bottom w:w="0" w:type="dxa"/>
              <w:right w:w="15" w:type="dxa"/>
            </w:tcMar>
            <w:vAlign w:val="center"/>
            <w:hideMark/>
          </w:tcPr>
          <w:p w:rsidR="000F236F" w:rsidRDefault="000F236F" w:rsidP="00DB5405">
            <w:pPr>
              <w:jc w:val="right"/>
              <w:rPr>
                <w:rFonts w:ascii="Garamond" w:hAnsi="Garamond" w:cs="Calibri"/>
                <w:color w:val="000000"/>
                <w:sz w:val="20"/>
                <w:szCs w:val="20"/>
              </w:rPr>
            </w:pPr>
            <w:r>
              <w:rPr>
                <w:rFonts w:ascii="Garamond" w:hAnsi="Garamond" w:cs="Calibri"/>
                <w:color w:val="000000"/>
                <w:sz w:val="20"/>
                <w:szCs w:val="20"/>
              </w:rPr>
              <w:t>NA</w:t>
            </w:r>
          </w:p>
        </w:tc>
        <w:tc>
          <w:tcPr>
            <w:tcW w:w="1060" w:type="dxa"/>
            <w:tcBorders>
              <w:top w:val="nil"/>
              <w:left w:val="nil"/>
              <w:bottom w:val="nil"/>
              <w:right w:val="nil"/>
            </w:tcBorders>
            <w:shd w:val="clear" w:color="auto" w:fill="auto"/>
            <w:tcMar>
              <w:top w:w="15" w:type="dxa"/>
              <w:left w:w="15" w:type="dxa"/>
              <w:bottom w:w="0" w:type="dxa"/>
              <w:right w:w="15" w:type="dxa"/>
            </w:tcMar>
            <w:vAlign w:val="center"/>
            <w:hideMark/>
          </w:tcPr>
          <w:p w:rsidR="000F236F" w:rsidRDefault="000F236F" w:rsidP="00DB5405">
            <w:pPr>
              <w:jc w:val="right"/>
              <w:rPr>
                <w:rFonts w:ascii="Garamond" w:hAnsi="Garamond" w:cs="Calibri"/>
                <w:color w:val="000000"/>
                <w:sz w:val="20"/>
                <w:szCs w:val="20"/>
              </w:rPr>
            </w:pPr>
            <w:r>
              <w:rPr>
                <w:rFonts w:ascii="Garamond" w:hAnsi="Garamond" w:cs="Calibri"/>
                <w:color w:val="000000"/>
                <w:sz w:val="20"/>
                <w:szCs w:val="20"/>
              </w:rPr>
              <w:t>NA</w:t>
            </w:r>
          </w:p>
        </w:tc>
        <w:tc>
          <w:tcPr>
            <w:tcW w:w="1060" w:type="dxa"/>
            <w:tcBorders>
              <w:top w:val="nil"/>
              <w:left w:val="single" w:sz="8" w:space="0" w:color="auto"/>
              <w:bottom w:val="nil"/>
              <w:right w:val="single" w:sz="8" w:space="0" w:color="auto"/>
            </w:tcBorders>
            <w:shd w:val="clear" w:color="auto" w:fill="auto"/>
            <w:tcMar>
              <w:top w:w="15" w:type="dxa"/>
              <w:left w:w="15" w:type="dxa"/>
              <w:bottom w:w="0" w:type="dxa"/>
              <w:right w:w="15" w:type="dxa"/>
            </w:tcMar>
            <w:vAlign w:val="center"/>
            <w:hideMark/>
          </w:tcPr>
          <w:p w:rsidR="000F236F" w:rsidRDefault="000F236F" w:rsidP="00DB5405">
            <w:pPr>
              <w:jc w:val="right"/>
              <w:rPr>
                <w:rFonts w:ascii="Garamond" w:hAnsi="Garamond" w:cs="Calibri"/>
                <w:color w:val="000000"/>
                <w:sz w:val="20"/>
                <w:szCs w:val="20"/>
              </w:rPr>
            </w:pPr>
            <w:r>
              <w:rPr>
                <w:rFonts w:ascii="Garamond" w:hAnsi="Garamond" w:cs="Calibri"/>
                <w:color w:val="000000"/>
                <w:sz w:val="20"/>
                <w:szCs w:val="20"/>
              </w:rPr>
              <w:t>11,00,52,216</w:t>
            </w:r>
          </w:p>
        </w:tc>
        <w:tc>
          <w:tcPr>
            <w:tcW w:w="1060" w:type="dxa"/>
            <w:tcBorders>
              <w:top w:val="nil"/>
              <w:left w:val="nil"/>
              <w:bottom w:val="nil"/>
              <w:right w:val="nil"/>
            </w:tcBorders>
            <w:shd w:val="clear" w:color="auto" w:fill="auto"/>
            <w:tcMar>
              <w:top w:w="15" w:type="dxa"/>
              <w:left w:w="15" w:type="dxa"/>
              <w:bottom w:w="0" w:type="dxa"/>
              <w:right w:w="15" w:type="dxa"/>
            </w:tcMar>
            <w:vAlign w:val="center"/>
            <w:hideMark/>
          </w:tcPr>
          <w:p w:rsidR="000F236F" w:rsidRDefault="000F236F" w:rsidP="00DB5405">
            <w:pPr>
              <w:jc w:val="right"/>
              <w:rPr>
                <w:rFonts w:ascii="Garamond" w:hAnsi="Garamond" w:cs="Calibri"/>
                <w:color w:val="000000"/>
                <w:sz w:val="20"/>
                <w:szCs w:val="20"/>
              </w:rPr>
            </w:pPr>
            <w:r>
              <w:rPr>
                <w:rFonts w:ascii="Garamond" w:hAnsi="Garamond" w:cs="Calibri"/>
                <w:color w:val="000000"/>
                <w:sz w:val="20"/>
                <w:szCs w:val="20"/>
              </w:rPr>
              <w:t>NA</w:t>
            </w:r>
          </w:p>
        </w:tc>
        <w:tc>
          <w:tcPr>
            <w:tcW w:w="1060" w:type="dxa"/>
            <w:tcBorders>
              <w:top w:val="nil"/>
              <w:left w:val="single" w:sz="8" w:space="0" w:color="auto"/>
              <w:bottom w:val="nil"/>
              <w:right w:val="single" w:sz="8" w:space="0" w:color="auto"/>
            </w:tcBorders>
            <w:shd w:val="clear" w:color="auto" w:fill="auto"/>
            <w:tcMar>
              <w:top w:w="15" w:type="dxa"/>
              <w:left w:w="15" w:type="dxa"/>
              <w:bottom w:w="0" w:type="dxa"/>
              <w:right w:w="15" w:type="dxa"/>
            </w:tcMar>
            <w:vAlign w:val="center"/>
            <w:hideMark/>
          </w:tcPr>
          <w:p w:rsidR="000F236F" w:rsidRDefault="000F236F" w:rsidP="00DB5405">
            <w:pPr>
              <w:jc w:val="right"/>
              <w:rPr>
                <w:rFonts w:ascii="Garamond" w:hAnsi="Garamond" w:cs="Calibri"/>
                <w:color w:val="000000"/>
                <w:sz w:val="20"/>
                <w:szCs w:val="20"/>
              </w:rPr>
            </w:pPr>
            <w:r>
              <w:rPr>
                <w:rFonts w:ascii="Garamond" w:hAnsi="Garamond" w:cs="Calibri"/>
                <w:color w:val="000000"/>
                <w:sz w:val="20"/>
                <w:szCs w:val="20"/>
              </w:rPr>
              <w:t>20,33,86,242</w:t>
            </w:r>
          </w:p>
        </w:tc>
      </w:tr>
      <w:tr w:rsidR="000F236F" w:rsidTr="00DB5405">
        <w:trPr>
          <w:trHeight w:val="243"/>
        </w:trPr>
        <w:tc>
          <w:tcPr>
            <w:tcW w:w="3433" w:type="dxa"/>
            <w:tcBorders>
              <w:top w:val="nil"/>
              <w:left w:val="single" w:sz="8" w:space="0" w:color="auto"/>
              <w:bottom w:val="nil"/>
              <w:right w:val="single" w:sz="8" w:space="0" w:color="auto"/>
            </w:tcBorders>
            <w:shd w:val="clear" w:color="000000" w:fill="B4C6E7"/>
            <w:tcMar>
              <w:top w:w="15" w:type="dxa"/>
              <w:left w:w="15" w:type="dxa"/>
              <w:bottom w:w="0" w:type="dxa"/>
              <w:right w:w="15" w:type="dxa"/>
            </w:tcMar>
            <w:vAlign w:val="center"/>
            <w:hideMark/>
          </w:tcPr>
          <w:p w:rsidR="000F236F" w:rsidRDefault="000F236F" w:rsidP="00DB5405">
            <w:pPr>
              <w:rPr>
                <w:rFonts w:ascii="Garamond" w:hAnsi="Garamond" w:cs="Calibri"/>
                <w:color w:val="000000"/>
                <w:sz w:val="20"/>
                <w:szCs w:val="20"/>
              </w:rPr>
            </w:pPr>
            <w:r>
              <w:rPr>
                <w:rFonts w:ascii="Garamond" w:hAnsi="Garamond" w:cs="Calibri"/>
                <w:color w:val="000000"/>
                <w:sz w:val="20"/>
                <w:szCs w:val="20"/>
              </w:rPr>
              <w:t>Nasdaq - US</w:t>
            </w:r>
          </w:p>
        </w:tc>
        <w:tc>
          <w:tcPr>
            <w:tcW w:w="1060" w:type="dxa"/>
            <w:tcBorders>
              <w:top w:val="nil"/>
              <w:left w:val="nil"/>
              <w:bottom w:val="nil"/>
              <w:right w:val="single" w:sz="8" w:space="0" w:color="auto"/>
            </w:tcBorders>
            <w:shd w:val="clear" w:color="auto" w:fill="auto"/>
            <w:tcMar>
              <w:top w:w="15" w:type="dxa"/>
              <w:left w:w="15" w:type="dxa"/>
              <w:bottom w:w="0" w:type="dxa"/>
              <w:right w:w="15" w:type="dxa"/>
            </w:tcMar>
            <w:vAlign w:val="center"/>
            <w:hideMark/>
          </w:tcPr>
          <w:p w:rsidR="000F236F" w:rsidRDefault="000F236F" w:rsidP="00DB5405">
            <w:pPr>
              <w:jc w:val="right"/>
              <w:rPr>
                <w:rFonts w:ascii="Garamond" w:hAnsi="Garamond" w:cs="Calibri"/>
                <w:color w:val="000000"/>
                <w:sz w:val="20"/>
                <w:szCs w:val="20"/>
              </w:rPr>
            </w:pPr>
            <w:r>
              <w:rPr>
                <w:rFonts w:ascii="Garamond" w:hAnsi="Garamond" w:cs="Calibri"/>
                <w:color w:val="000000"/>
                <w:sz w:val="20"/>
                <w:szCs w:val="20"/>
              </w:rPr>
              <w:t>NA</w:t>
            </w:r>
          </w:p>
        </w:tc>
        <w:tc>
          <w:tcPr>
            <w:tcW w:w="1060" w:type="dxa"/>
            <w:tcBorders>
              <w:top w:val="nil"/>
              <w:left w:val="nil"/>
              <w:bottom w:val="nil"/>
              <w:right w:val="single" w:sz="8" w:space="0" w:color="auto"/>
            </w:tcBorders>
            <w:shd w:val="clear" w:color="auto" w:fill="auto"/>
            <w:tcMar>
              <w:top w:w="15" w:type="dxa"/>
              <w:left w:w="15" w:type="dxa"/>
              <w:bottom w:w="0" w:type="dxa"/>
              <w:right w:w="15" w:type="dxa"/>
            </w:tcMar>
            <w:vAlign w:val="center"/>
            <w:hideMark/>
          </w:tcPr>
          <w:p w:rsidR="000F236F" w:rsidRDefault="000F236F" w:rsidP="00DB5405">
            <w:pPr>
              <w:jc w:val="right"/>
              <w:rPr>
                <w:rFonts w:ascii="Garamond" w:hAnsi="Garamond" w:cs="Calibri"/>
                <w:color w:val="000000"/>
                <w:sz w:val="20"/>
                <w:szCs w:val="20"/>
              </w:rPr>
            </w:pPr>
            <w:r>
              <w:rPr>
                <w:rFonts w:ascii="Garamond" w:hAnsi="Garamond" w:cs="Calibri"/>
                <w:color w:val="000000"/>
                <w:sz w:val="20"/>
                <w:szCs w:val="20"/>
              </w:rPr>
              <w:t>NA</w:t>
            </w:r>
          </w:p>
        </w:tc>
        <w:tc>
          <w:tcPr>
            <w:tcW w:w="1060" w:type="dxa"/>
            <w:tcBorders>
              <w:top w:val="nil"/>
              <w:left w:val="nil"/>
              <w:bottom w:val="nil"/>
              <w:right w:val="nil"/>
            </w:tcBorders>
            <w:shd w:val="clear" w:color="auto" w:fill="auto"/>
            <w:tcMar>
              <w:top w:w="15" w:type="dxa"/>
              <w:left w:w="15" w:type="dxa"/>
              <w:bottom w:w="0" w:type="dxa"/>
              <w:right w:w="15" w:type="dxa"/>
            </w:tcMar>
            <w:vAlign w:val="center"/>
            <w:hideMark/>
          </w:tcPr>
          <w:p w:rsidR="000F236F" w:rsidRDefault="000F236F" w:rsidP="00DB5405">
            <w:pPr>
              <w:jc w:val="right"/>
              <w:rPr>
                <w:rFonts w:ascii="Garamond" w:hAnsi="Garamond" w:cs="Calibri"/>
                <w:color w:val="000000"/>
                <w:sz w:val="20"/>
                <w:szCs w:val="20"/>
              </w:rPr>
            </w:pPr>
            <w:r>
              <w:rPr>
                <w:rFonts w:ascii="Garamond" w:hAnsi="Garamond" w:cs="Calibri"/>
                <w:color w:val="000000"/>
                <w:sz w:val="20"/>
                <w:szCs w:val="20"/>
              </w:rPr>
              <w:t>NA</w:t>
            </w:r>
          </w:p>
        </w:tc>
        <w:tc>
          <w:tcPr>
            <w:tcW w:w="1060" w:type="dxa"/>
            <w:tcBorders>
              <w:top w:val="nil"/>
              <w:left w:val="single" w:sz="8" w:space="0" w:color="auto"/>
              <w:bottom w:val="nil"/>
              <w:right w:val="single" w:sz="8" w:space="0" w:color="auto"/>
            </w:tcBorders>
            <w:shd w:val="clear" w:color="auto" w:fill="auto"/>
            <w:tcMar>
              <w:top w:w="15" w:type="dxa"/>
              <w:left w:w="15" w:type="dxa"/>
              <w:bottom w:w="0" w:type="dxa"/>
              <w:right w:w="15" w:type="dxa"/>
            </w:tcMar>
            <w:vAlign w:val="center"/>
            <w:hideMark/>
          </w:tcPr>
          <w:p w:rsidR="000F236F" w:rsidRDefault="000F236F" w:rsidP="00DB5405">
            <w:pPr>
              <w:jc w:val="right"/>
              <w:rPr>
                <w:rFonts w:ascii="Garamond" w:hAnsi="Garamond" w:cs="Calibri"/>
                <w:color w:val="000000"/>
                <w:sz w:val="20"/>
                <w:szCs w:val="20"/>
              </w:rPr>
            </w:pPr>
            <w:r>
              <w:rPr>
                <w:rFonts w:ascii="Garamond" w:hAnsi="Garamond" w:cs="Calibri"/>
                <w:color w:val="000000"/>
                <w:sz w:val="20"/>
                <w:szCs w:val="20"/>
              </w:rPr>
              <w:t>15,31,60,868</w:t>
            </w:r>
          </w:p>
        </w:tc>
        <w:tc>
          <w:tcPr>
            <w:tcW w:w="1060" w:type="dxa"/>
            <w:tcBorders>
              <w:top w:val="nil"/>
              <w:left w:val="nil"/>
              <w:bottom w:val="nil"/>
              <w:right w:val="nil"/>
            </w:tcBorders>
            <w:shd w:val="clear" w:color="auto" w:fill="auto"/>
            <w:tcMar>
              <w:top w:w="15" w:type="dxa"/>
              <w:left w:w="15" w:type="dxa"/>
              <w:bottom w:w="0" w:type="dxa"/>
              <w:right w:w="15" w:type="dxa"/>
            </w:tcMar>
            <w:vAlign w:val="center"/>
            <w:hideMark/>
          </w:tcPr>
          <w:p w:rsidR="000F236F" w:rsidRDefault="000F236F" w:rsidP="00DB5405">
            <w:pPr>
              <w:jc w:val="right"/>
              <w:rPr>
                <w:rFonts w:ascii="Garamond" w:hAnsi="Garamond" w:cs="Calibri"/>
                <w:color w:val="000000"/>
                <w:sz w:val="20"/>
                <w:szCs w:val="20"/>
              </w:rPr>
            </w:pPr>
            <w:r>
              <w:rPr>
                <w:rFonts w:ascii="Garamond" w:hAnsi="Garamond" w:cs="Calibri"/>
                <w:color w:val="000000"/>
                <w:sz w:val="20"/>
                <w:szCs w:val="20"/>
              </w:rPr>
              <w:t>NA</w:t>
            </w:r>
          </w:p>
        </w:tc>
        <w:tc>
          <w:tcPr>
            <w:tcW w:w="1060" w:type="dxa"/>
            <w:tcBorders>
              <w:top w:val="nil"/>
              <w:left w:val="single" w:sz="8" w:space="0" w:color="auto"/>
              <w:bottom w:val="nil"/>
              <w:right w:val="single" w:sz="8" w:space="0" w:color="auto"/>
            </w:tcBorders>
            <w:shd w:val="clear" w:color="auto" w:fill="auto"/>
            <w:tcMar>
              <w:top w:w="15" w:type="dxa"/>
              <w:left w:w="15" w:type="dxa"/>
              <w:bottom w:w="0" w:type="dxa"/>
              <w:right w:w="15" w:type="dxa"/>
            </w:tcMar>
            <w:vAlign w:val="center"/>
            <w:hideMark/>
          </w:tcPr>
          <w:p w:rsidR="000F236F" w:rsidRDefault="000F236F" w:rsidP="00DB5405">
            <w:pPr>
              <w:jc w:val="right"/>
              <w:rPr>
                <w:rFonts w:ascii="Garamond" w:hAnsi="Garamond" w:cs="Calibri"/>
                <w:color w:val="000000"/>
                <w:sz w:val="20"/>
                <w:szCs w:val="20"/>
              </w:rPr>
            </w:pPr>
            <w:r>
              <w:rPr>
                <w:rFonts w:ascii="Garamond" w:hAnsi="Garamond" w:cs="Calibri"/>
                <w:color w:val="000000"/>
                <w:sz w:val="20"/>
                <w:szCs w:val="20"/>
              </w:rPr>
              <w:t>NA</w:t>
            </w:r>
          </w:p>
        </w:tc>
      </w:tr>
      <w:tr w:rsidR="000F236F" w:rsidTr="00DB5405">
        <w:trPr>
          <w:trHeight w:val="243"/>
        </w:trPr>
        <w:tc>
          <w:tcPr>
            <w:tcW w:w="3433" w:type="dxa"/>
            <w:tcBorders>
              <w:top w:val="nil"/>
              <w:left w:val="single" w:sz="8" w:space="0" w:color="auto"/>
              <w:bottom w:val="nil"/>
              <w:right w:val="single" w:sz="8" w:space="0" w:color="auto"/>
            </w:tcBorders>
            <w:shd w:val="clear" w:color="000000" w:fill="B4C6E7"/>
            <w:tcMar>
              <w:top w:w="15" w:type="dxa"/>
              <w:left w:w="15" w:type="dxa"/>
              <w:bottom w:w="0" w:type="dxa"/>
              <w:right w:w="15" w:type="dxa"/>
            </w:tcMar>
            <w:vAlign w:val="center"/>
            <w:hideMark/>
          </w:tcPr>
          <w:p w:rsidR="000F236F" w:rsidRDefault="000F236F" w:rsidP="00DB5405">
            <w:pPr>
              <w:rPr>
                <w:rFonts w:ascii="Garamond" w:hAnsi="Garamond" w:cs="Calibri"/>
                <w:color w:val="000000"/>
                <w:sz w:val="20"/>
                <w:szCs w:val="20"/>
              </w:rPr>
            </w:pPr>
            <w:r>
              <w:rPr>
                <w:rFonts w:ascii="Garamond" w:hAnsi="Garamond" w:cs="Calibri"/>
                <w:color w:val="000000"/>
                <w:sz w:val="20"/>
                <w:szCs w:val="20"/>
              </w:rPr>
              <w:t>MIAX Exchange Group</w:t>
            </w:r>
          </w:p>
        </w:tc>
        <w:tc>
          <w:tcPr>
            <w:tcW w:w="1060" w:type="dxa"/>
            <w:tcBorders>
              <w:top w:val="nil"/>
              <w:left w:val="nil"/>
              <w:bottom w:val="nil"/>
              <w:right w:val="single" w:sz="8" w:space="0" w:color="auto"/>
            </w:tcBorders>
            <w:shd w:val="clear" w:color="auto" w:fill="auto"/>
            <w:tcMar>
              <w:top w:w="15" w:type="dxa"/>
              <w:left w:w="15" w:type="dxa"/>
              <w:bottom w:w="0" w:type="dxa"/>
              <w:right w:w="15" w:type="dxa"/>
            </w:tcMar>
            <w:vAlign w:val="center"/>
            <w:hideMark/>
          </w:tcPr>
          <w:p w:rsidR="000F236F" w:rsidRDefault="000F236F" w:rsidP="00DB5405">
            <w:pPr>
              <w:jc w:val="right"/>
              <w:rPr>
                <w:rFonts w:ascii="Garamond" w:hAnsi="Garamond" w:cs="Calibri"/>
                <w:color w:val="000000"/>
                <w:sz w:val="20"/>
                <w:szCs w:val="20"/>
              </w:rPr>
            </w:pPr>
            <w:r>
              <w:rPr>
                <w:rFonts w:ascii="Garamond" w:hAnsi="Garamond" w:cs="Calibri"/>
                <w:color w:val="000000"/>
                <w:sz w:val="20"/>
                <w:szCs w:val="20"/>
              </w:rPr>
              <w:t>NA</w:t>
            </w:r>
          </w:p>
        </w:tc>
        <w:tc>
          <w:tcPr>
            <w:tcW w:w="1060" w:type="dxa"/>
            <w:tcBorders>
              <w:top w:val="nil"/>
              <w:left w:val="nil"/>
              <w:bottom w:val="nil"/>
              <w:right w:val="single" w:sz="8" w:space="0" w:color="auto"/>
            </w:tcBorders>
            <w:shd w:val="clear" w:color="auto" w:fill="auto"/>
            <w:tcMar>
              <w:top w:w="15" w:type="dxa"/>
              <w:left w:w="15" w:type="dxa"/>
              <w:bottom w:w="0" w:type="dxa"/>
              <w:right w:w="15" w:type="dxa"/>
            </w:tcMar>
            <w:vAlign w:val="center"/>
            <w:hideMark/>
          </w:tcPr>
          <w:p w:rsidR="000F236F" w:rsidRDefault="000F236F" w:rsidP="00DB5405">
            <w:pPr>
              <w:jc w:val="right"/>
              <w:rPr>
                <w:rFonts w:ascii="Garamond" w:hAnsi="Garamond" w:cs="Calibri"/>
                <w:color w:val="000000"/>
                <w:sz w:val="20"/>
                <w:szCs w:val="20"/>
              </w:rPr>
            </w:pPr>
            <w:r>
              <w:rPr>
                <w:rFonts w:ascii="Garamond" w:hAnsi="Garamond" w:cs="Calibri"/>
                <w:color w:val="000000"/>
                <w:sz w:val="20"/>
                <w:szCs w:val="20"/>
              </w:rPr>
              <w:t>NA</w:t>
            </w:r>
          </w:p>
        </w:tc>
        <w:tc>
          <w:tcPr>
            <w:tcW w:w="1060" w:type="dxa"/>
            <w:tcBorders>
              <w:top w:val="nil"/>
              <w:left w:val="nil"/>
              <w:bottom w:val="nil"/>
              <w:right w:val="nil"/>
            </w:tcBorders>
            <w:shd w:val="clear" w:color="auto" w:fill="auto"/>
            <w:tcMar>
              <w:top w:w="15" w:type="dxa"/>
              <w:left w:w="15" w:type="dxa"/>
              <w:bottom w:w="0" w:type="dxa"/>
              <w:right w:w="15" w:type="dxa"/>
            </w:tcMar>
            <w:vAlign w:val="center"/>
            <w:hideMark/>
          </w:tcPr>
          <w:p w:rsidR="000F236F" w:rsidRDefault="000F236F" w:rsidP="00DB5405">
            <w:pPr>
              <w:jc w:val="right"/>
              <w:rPr>
                <w:rFonts w:ascii="Garamond" w:hAnsi="Garamond" w:cs="Calibri"/>
                <w:color w:val="000000"/>
                <w:sz w:val="20"/>
                <w:szCs w:val="20"/>
              </w:rPr>
            </w:pPr>
            <w:r>
              <w:rPr>
                <w:rFonts w:ascii="Garamond" w:hAnsi="Garamond" w:cs="Calibri"/>
                <w:color w:val="000000"/>
                <w:sz w:val="20"/>
                <w:szCs w:val="20"/>
              </w:rPr>
              <w:t>NA</w:t>
            </w:r>
          </w:p>
        </w:tc>
        <w:tc>
          <w:tcPr>
            <w:tcW w:w="1060" w:type="dxa"/>
            <w:tcBorders>
              <w:top w:val="nil"/>
              <w:left w:val="single" w:sz="8" w:space="0" w:color="auto"/>
              <w:bottom w:val="nil"/>
              <w:right w:val="single" w:sz="8" w:space="0" w:color="auto"/>
            </w:tcBorders>
            <w:shd w:val="clear" w:color="auto" w:fill="auto"/>
            <w:tcMar>
              <w:top w:w="15" w:type="dxa"/>
              <w:left w:w="15" w:type="dxa"/>
              <w:bottom w:w="0" w:type="dxa"/>
              <w:right w:w="15" w:type="dxa"/>
            </w:tcMar>
            <w:vAlign w:val="center"/>
            <w:hideMark/>
          </w:tcPr>
          <w:p w:rsidR="000F236F" w:rsidRDefault="000F236F" w:rsidP="00DB5405">
            <w:pPr>
              <w:jc w:val="right"/>
              <w:rPr>
                <w:rFonts w:ascii="Garamond" w:hAnsi="Garamond" w:cs="Calibri"/>
                <w:color w:val="000000"/>
                <w:sz w:val="20"/>
                <w:szCs w:val="20"/>
              </w:rPr>
            </w:pPr>
            <w:r>
              <w:rPr>
                <w:rFonts w:ascii="Garamond" w:hAnsi="Garamond" w:cs="Calibri"/>
                <w:color w:val="000000"/>
                <w:sz w:val="20"/>
                <w:szCs w:val="20"/>
              </w:rPr>
              <w:t>4,63,39,332</w:t>
            </w:r>
          </w:p>
        </w:tc>
        <w:tc>
          <w:tcPr>
            <w:tcW w:w="1060" w:type="dxa"/>
            <w:tcBorders>
              <w:top w:val="nil"/>
              <w:left w:val="nil"/>
              <w:bottom w:val="nil"/>
              <w:right w:val="nil"/>
            </w:tcBorders>
            <w:shd w:val="clear" w:color="auto" w:fill="auto"/>
            <w:tcMar>
              <w:top w:w="15" w:type="dxa"/>
              <w:left w:w="15" w:type="dxa"/>
              <w:bottom w:w="0" w:type="dxa"/>
              <w:right w:w="15" w:type="dxa"/>
            </w:tcMar>
            <w:vAlign w:val="center"/>
            <w:hideMark/>
          </w:tcPr>
          <w:p w:rsidR="000F236F" w:rsidRDefault="000F236F" w:rsidP="00DB5405">
            <w:pPr>
              <w:jc w:val="right"/>
              <w:rPr>
                <w:rFonts w:ascii="Garamond" w:hAnsi="Garamond" w:cs="Calibri"/>
                <w:color w:val="000000"/>
                <w:sz w:val="20"/>
                <w:szCs w:val="20"/>
              </w:rPr>
            </w:pPr>
            <w:r>
              <w:rPr>
                <w:rFonts w:ascii="Garamond" w:hAnsi="Garamond" w:cs="Calibri"/>
                <w:color w:val="000000"/>
                <w:sz w:val="20"/>
                <w:szCs w:val="20"/>
              </w:rPr>
              <w:t>12,67,251</w:t>
            </w:r>
          </w:p>
        </w:tc>
        <w:tc>
          <w:tcPr>
            <w:tcW w:w="1060" w:type="dxa"/>
            <w:tcBorders>
              <w:top w:val="nil"/>
              <w:left w:val="single" w:sz="8" w:space="0" w:color="auto"/>
              <w:bottom w:val="nil"/>
              <w:right w:val="single" w:sz="8" w:space="0" w:color="auto"/>
            </w:tcBorders>
            <w:shd w:val="clear" w:color="auto" w:fill="auto"/>
            <w:tcMar>
              <w:top w:w="15" w:type="dxa"/>
              <w:left w:w="15" w:type="dxa"/>
              <w:bottom w:w="0" w:type="dxa"/>
              <w:right w:w="15" w:type="dxa"/>
            </w:tcMar>
            <w:vAlign w:val="center"/>
            <w:hideMark/>
          </w:tcPr>
          <w:p w:rsidR="000F236F" w:rsidRDefault="000F236F" w:rsidP="00DB5405">
            <w:pPr>
              <w:jc w:val="right"/>
              <w:rPr>
                <w:rFonts w:ascii="Garamond" w:hAnsi="Garamond" w:cs="Calibri"/>
                <w:color w:val="000000"/>
                <w:sz w:val="20"/>
                <w:szCs w:val="20"/>
              </w:rPr>
            </w:pPr>
            <w:r>
              <w:rPr>
                <w:rFonts w:ascii="Garamond" w:hAnsi="Garamond" w:cs="Calibri"/>
                <w:color w:val="000000"/>
                <w:sz w:val="20"/>
                <w:szCs w:val="20"/>
              </w:rPr>
              <w:t>NA</w:t>
            </w:r>
          </w:p>
        </w:tc>
      </w:tr>
      <w:tr w:rsidR="000F236F" w:rsidTr="00DB5405">
        <w:trPr>
          <w:trHeight w:val="243"/>
        </w:trPr>
        <w:tc>
          <w:tcPr>
            <w:tcW w:w="3433" w:type="dxa"/>
            <w:tcBorders>
              <w:top w:val="nil"/>
              <w:left w:val="single" w:sz="8" w:space="0" w:color="auto"/>
              <w:bottom w:val="nil"/>
              <w:right w:val="single" w:sz="8" w:space="0" w:color="auto"/>
            </w:tcBorders>
            <w:shd w:val="clear" w:color="000000" w:fill="B4C6E7"/>
            <w:tcMar>
              <w:top w:w="15" w:type="dxa"/>
              <w:left w:w="15" w:type="dxa"/>
              <w:bottom w:w="0" w:type="dxa"/>
              <w:right w:w="15" w:type="dxa"/>
            </w:tcMar>
            <w:vAlign w:val="center"/>
            <w:hideMark/>
          </w:tcPr>
          <w:p w:rsidR="000F236F" w:rsidRDefault="000F236F" w:rsidP="00DB5405">
            <w:pPr>
              <w:rPr>
                <w:rFonts w:ascii="Garamond" w:hAnsi="Garamond" w:cs="Calibri"/>
                <w:color w:val="000000"/>
                <w:sz w:val="20"/>
                <w:szCs w:val="20"/>
              </w:rPr>
            </w:pPr>
            <w:r>
              <w:rPr>
                <w:rFonts w:ascii="Garamond" w:hAnsi="Garamond" w:cs="Calibri"/>
                <w:color w:val="000000"/>
                <w:sz w:val="20"/>
                <w:szCs w:val="20"/>
              </w:rPr>
              <w:t>ASX Australian Securities Exchange</w:t>
            </w:r>
          </w:p>
        </w:tc>
        <w:tc>
          <w:tcPr>
            <w:tcW w:w="1060" w:type="dxa"/>
            <w:tcBorders>
              <w:top w:val="nil"/>
              <w:left w:val="nil"/>
              <w:bottom w:val="nil"/>
              <w:right w:val="single" w:sz="8" w:space="0" w:color="auto"/>
            </w:tcBorders>
            <w:shd w:val="clear" w:color="auto" w:fill="auto"/>
            <w:tcMar>
              <w:top w:w="15" w:type="dxa"/>
              <w:left w:w="15" w:type="dxa"/>
              <w:bottom w:w="0" w:type="dxa"/>
              <w:right w:w="15" w:type="dxa"/>
            </w:tcMar>
            <w:vAlign w:val="center"/>
            <w:hideMark/>
          </w:tcPr>
          <w:p w:rsidR="000F236F" w:rsidRDefault="000F236F" w:rsidP="00DB5405">
            <w:pPr>
              <w:jc w:val="right"/>
              <w:rPr>
                <w:rFonts w:ascii="Garamond" w:hAnsi="Garamond" w:cs="Calibri"/>
                <w:color w:val="000000"/>
                <w:sz w:val="20"/>
                <w:szCs w:val="20"/>
              </w:rPr>
            </w:pPr>
            <w:r>
              <w:rPr>
                <w:rFonts w:ascii="Garamond" w:hAnsi="Garamond" w:cs="Calibri"/>
                <w:color w:val="000000"/>
                <w:sz w:val="20"/>
                <w:szCs w:val="20"/>
              </w:rPr>
              <w:t>22,914</w:t>
            </w:r>
          </w:p>
        </w:tc>
        <w:tc>
          <w:tcPr>
            <w:tcW w:w="1060" w:type="dxa"/>
            <w:tcBorders>
              <w:top w:val="nil"/>
              <w:left w:val="nil"/>
              <w:bottom w:val="nil"/>
              <w:right w:val="single" w:sz="8" w:space="0" w:color="auto"/>
            </w:tcBorders>
            <w:shd w:val="clear" w:color="auto" w:fill="auto"/>
            <w:tcMar>
              <w:top w:w="15" w:type="dxa"/>
              <w:left w:w="15" w:type="dxa"/>
              <w:bottom w:w="0" w:type="dxa"/>
              <w:right w:w="15" w:type="dxa"/>
            </w:tcMar>
            <w:vAlign w:val="center"/>
            <w:hideMark/>
          </w:tcPr>
          <w:p w:rsidR="000F236F" w:rsidRDefault="000F236F" w:rsidP="00DB5405">
            <w:pPr>
              <w:jc w:val="right"/>
              <w:rPr>
                <w:rFonts w:ascii="Garamond" w:hAnsi="Garamond" w:cs="Calibri"/>
                <w:color w:val="000000"/>
                <w:sz w:val="20"/>
                <w:szCs w:val="20"/>
              </w:rPr>
            </w:pPr>
            <w:r>
              <w:rPr>
                <w:rFonts w:ascii="Garamond" w:hAnsi="Garamond" w:cs="Calibri"/>
                <w:color w:val="000000"/>
                <w:sz w:val="20"/>
                <w:szCs w:val="20"/>
              </w:rPr>
              <w:t>32.64</w:t>
            </w:r>
          </w:p>
        </w:tc>
        <w:tc>
          <w:tcPr>
            <w:tcW w:w="1060" w:type="dxa"/>
            <w:tcBorders>
              <w:top w:val="nil"/>
              <w:left w:val="nil"/>
              <w:bottom w:val="nil"/>
              <w:right w:val="nil"/>
            </w:tcBorders>
            <w:shd w:val="clear" w:color="auto" w:fill="auto"/>
            <w:tcMar>
              <w:top w:w="15" w:type="dxa"/>
              <w:left w:w="15" w:type="dxa"/>
              <w:bottom w:w="0" w:type="dxa"/>
              <w:right w:w="15" w:type="dxa"/>
            </w:tcMar>
            <w:vAlign w:val="center"/>
            <w:hideMark/>
          </w:tcPr>
          <w:p w:rsidR="000F236F" w:rsidRDefault="000F236F" w:rsidP="00DB5405">
            <w:pPr>
              <w:jc w:val="right"/>
              <w:rPr>
                <w:rFonts w:ascii="Garamond" w:hAnsi="Garamond" w:cs="Calibri"/>
                <w:color w:val="000000"/>
                <w:sz w:val="20"/>
                <w:szCs w:val="20"/>
              </w:rPr>
            </w:pPr>
            <w:r>
              <w:rPr>
                <w:rFonts w:ascii="Garamond" w:hAnsi="Garamond" w:cs="Calibri"/>
                <w:color w:val="000000"/>
                <w:sz w:val="20"/>
                <w:szCs w:val="20"/>
              </w:rPr>
              <w:t>4,68,801</w:t>
            </w:r>
          </w:p>
        </w:tc>
        <w:tc>
          <w:tcPr>
            <w:tcW w:w="1060" w:type="dxa"/>
            <w:tcBorders>
              <w:top w:val="nil"/>
              <w:left w:val="single" w:sz="8" w:space="0" w:color="auto"/>
              <w:bottom w:val="nil"/>
              <w:right w:val="single" w:sz="8" w:space="0" w:color="auto"/>
            </w:tcBorders>
            <w:shd w:val="clear" w:color="auto" w:fill="auto"/>
            <w:tcMar>
              <w:top w:w="15" w:type="dxa"/>
              <w:left w:w="15" w:type="dxa"/>
              <w:bottom w:w="0" w:type="dxa"/>
              <w:right w:w="15" w:type="dxa"/>
            </w:tcMar>
            <w:vAlign w:val="center"/>
            <w:hideMark/>
          </w:tcPr>
          <w:p w:rsidR="000F236F" w:rsidRDefault="000F236F" w:rsidP="00DB5405">
            <w:pPr>
              <w:jc w:val="right"/>
              <w:rPr>
                <w:rFonts w:ascii="Garamond" w:hAnsi="Garamond" w:cs="Calibri"/>
                <w:color w:val="000000"/>
                <w:sz w:val="20"/>
                <w:szCs w:val="20"/>
              </w:rPr>
            </w:pPr>
            <w:r>
              <w:rPr>
                <w:rFonts w:ascii="Garamond" w:hAnsi="Garamond" w:cs="Calibri"/>
                <w:color w:val="000000"/>
                <w:sz w:val="20"/>
                <w:szCs w:val="20"/>
              </w:rPr>
              <w:t>48,45,691</w:t>
            </w:r>
          </w:p>
        </w:tc>
        <w:tc>
          <w:tcPr>
            <w:tcW w:w="1060" w:type="dxa"/>
            <w:tcBorders>
              <w:top w:val="nil"/>
              <w:left w:val="nil"/>
              <w:bottom w:val="nil"/>
              <w:right w:val="nil"/>
            </w:tcBorders>
            <w:shd w:val="clear" w:color="auto" w:fill="auto"/>
            <w:tcMar>
              <w:top w:w="15" w:type="dxa"/>
              <w:left w:w="15" w:type="dxa"/>
              <w:bottom w:w="0" w:type="dxa"/>
              <w:right w:w="15" w:type="dxa"/>
            </w:tcMar>
            <w:vAlign w:val="center"/>
            <w:hideMark/>
          </w:tcPr>
          <w:p w:rsidR="000F236F" w:rsidRDefault="000F236F" w:rsidP="00DB5405">
            <w:pPr>
              <w:jc w:val="right"/>
              <w:rPr>
                <w:rFonts w:ascii="Garamond" w:hAnsi="Garamond" w:cs="Calibri"/>
                <w:color w:val="000000"/>
                <w:sz w:val="20"/>
                <w:szCs w:val="20"/>
              </w:rPr>
            </w:pPr>
            <w:r>
              <w:rPr>
                <w:rFonts w:ascii="Garamond" w:hAnsi="Garamond" w:cs="Calibri"/>
                <w:color w:val="000000"/>
                <w:sz w:val="20"/>
                <w:szCs w:val="20"/>
              </w:rPr>
              <w:t>9,371</w:t>
            </w:r>
          </w:p>
        </w:tc>
        <w:tc>
          <w:tcPr>
            <w:tcW w:w="1060" w:type="dxa"/>
            <w:tcBorders>
              <w:top w:val="nil"/>
              <w:left w:val="single" w:sz="8" w:space="0" w:color="auto"/>
              <w:bottom w:val="nil"/>
              <w:right w:val="single" w:sz="8" w:space="0" w:color="auto"/>
            </w:tcBorders>
            <w:shd w:val="clear" w:color="auto" w:fill="auto"/>
            <w:tcMar>
              <w:top w:w="15" w:type="dxa"/>
              <w:left w:w="15" w:type="dxa"/>
              <w:bottom w:w="0" w:type="dxa"/>
              <w:right w:w="15" w:type="dxa"/>
            </w:tcMar>
            <w:vAlign w:val="center"/>
            <w:hideMark/>
          </w:tcPr>
          <w:p w:rsidR="000F236F" w:rsidRDefault="000F236F" w:rsidP="00DB5405">
            <w:pPr>
              <w:jc w:val="right"/>
              <w:rPr>
                <w:rFonts w:ascii="Garamond" w:hAnsi="Garamond" w:cs="Calibri"/>
                <w:color w:val="000000"/>
                <w:sz w:val="20"/>
                <w:szCs w:val="20"/>
              </w:rPr>
            </w:pPr>
            <w:r>
              <w:rPr>
                <w:rFonts w:ascii="Garamond" w:hAnsi="Garamond" w:cs="Calibri"/>
                <w:color w:val="000000"/>
                <w:sz w:val="20"/>
                <w:szCs w:val="20"/>
              </w:rPr>
              <w:t>60,98,311</w:t>
            </w:r>
          </w:p>
        </w:tc>
      </w:tr>
      <w:tr w:rsidR="000F236F" w:rsidTr="00DB5405">
        <w:trPr>
          <w:trHeight w:val="243"/>
        </w:trPr>
        <w:tc>
          <w:tcPr>
            <w:tcW w:w="3433" w:type="dxa"/>
            <w:tcBorders>
              <w:top w:val="nil"/>
              <w:left w:val="single" w:sz="8" w:space="0" w:color="auto"/>
              <w:bottom w:val="nil"/>
              <w:right w:val="single" w:sz="8" w:space="0" w:color="auto"/>
            </w:tcBorders>
            <w:shd w:val="clear" w:color="000000" w:fill="B4C6E7"/>
            <w:tcMar>
              <w:top w:w="15" w:type="dxa"/>
              <w:left w:w="15" w:type="dxa"/>
              <w:bottom w:w="0" w:type="dxa"/>
              <w:right w:w="15" w:type="dxa"/>
            </w:tcMar>
            <w:vAlign w:val="center"/>
            <w:hideMark/>
          </w:tcPr>
          <w:p w:rsidR="000F236F" w:rsidRDefault="000F236F" w:rsidP="00DB5405">
            <w:pPr>
              <w:rPr>
                <w:rFonts w:ascii="Garamond" w:hAnsi="Garamond" w:cs="Calibri"/>
                <w:color w:val="000000"/>
                <w:sz w:val="20"/>
                <w:szCs w:val="20"/>
              </w:rPr>
            </w:pPr>
            <w:r>
              <w:rPr>
                <w:rFonts w:ascii="Garamond" w:hAnsi="Garamond" w:cs="Calibri"/>
                <w:color w:val="000000"/>
                <w:sz w:val="20"/>
                <w:szCs w:val="20"/>
              </w:rPr>
              <w:t>Hong Kong Exchanges and Clearing</w:t>
            </w:r>
          </w:p>
        </w:tc>
        <w:tc>
          <w:tcPr>
            <w:tcW w:w="1060" w:type="dxa"/>
            <w:tcBorders>
              <w:top w:val="nil"/>
              <w:left w:val="nil"/>
              <w:bottom w:val="nil"/>
              <w:right w:val="single" w:sz="8" w:space="0" w:color="auto"/>
            </w:tcBorders>
            <w:shd w:val="clear" w:color="auto" w:fill="auto"/>
            <w:tcMar>
              <w:top w:w="15" w:type="dxa"/>
              <w:left w:w="15" w:type="dxa"/>
              <w:bottom w:w="0" w:type="dxa"/>
              <w:right w:w="15" w:type="dxa"/>
            </w:tcMar>
            <w:vAlign w:val="center"/>
            <w:hideMark/>
          </w:tcPr>
          <w:p w:rsidR="000F236F" w:rsidRDefault="000F236F" w:rsidP="00DB5405">
            <w:pPr>
              <w:jc w:val="right"/>
              <w:rPr>
                <w:rFonts w:ascii="Garamond" w:hAnsi="Garamond" w:cs="Calibri"/>
                <w:color w:val="000000"/>
                <w:sz w:val="20"/>
                <w:szCs w:val="20"/>
              </w:rPr>
            </w:pPr>
            <w:r>
              <w:rPr>
                <w:rFonts w:ascii="Garamond" w:hAnsi="Garamond" w:cs="Calibri"/>
                <w:color w:val="000000"/>
                <w:sz w:val="20"/>
                <w:szCs w:val="20"/>
              </w:rPr>
              <w:t>1,11,057</w:t>
            </w:r>
          </w:p>
        </w:tc>
        <w:tc>
          <w:tcPr>
            <w:tcW w:w="1060" w:type="dxa"/>
            <w:tcBorders>
              <w:top w:val="nil"/>
              <w:left w:val="nil"/>
              <w:bottom w:val="nil"/>
              <w:right w:val="single" w:sz="8" w:space="0" w:color="auto"/>
            </w:tcBorders>
            <w:shd w:val="clear" w:color="auto" w:fill="auto"/>
            <w:tcMar>
              <w:top w:w="15" w:type="dxa"/>
              <w:left w:w="15" w:type="dxa"/>
              <w:bottom w:w="0" w:type="dxa"/>
              <w:right w:w="15" w:type="dxa"/>
            </w:tcMar>
            <w:vAlign w:val="center"/>
            <w:hideMark/>
          </w:tcPr>
          <w:p w:rsidR="000F236F" w:rsidRDefault="000F236F" w:rsidP="00DB5405">
            <w:pPr>
              <w:jc w:val="right"/>
              <w:rPr>
                <w:rFonts w:ascii="Garamond" w:hAnsi="Garamond" w:cs="Calibri"/>
                <w:color w:val="000000"/>
                <w:sz w:val="20"/>
                <w:szCs w:val="20"/>
              </w:rPr>
            </w:pPr>
            <w:r>
              <w:rPr>
                <w:rFonts w:ascii="Garamond" w:hAnsi="Garamond" w:cs="Calibri"/>
                <w:color w:val="000000"/>
                <w:sz w:val="20"/>
                <w:szCs w:val="20"/>
              </w:rPr>
              <w:t>789.16</w:t>
            </w:r>
          </w:p>
        </w:tc>
        <w:tc>
          <w:tcPr>
            <w:tcW w:w="1060" w:type="dxa"/>
            <w:tcBorders>
              <w:top w:val="nil"/>
              <w:left w:val="nil"/>
              <w:bottom w:val="nil"/>
              <w:right w:val="nil"/>
            </w:tcBorders>
            <w:shd w:val="clear" w:color="auto" w:fill="auto"/>
            <w:tcMar>
              <w:top w:w="15" w:type="dxa"/>
              <w:left w:w="15" w:type="dxa"/>
              <w:bottom w:w="0" w:type="dxa"/>
              <w:right w:w="15" w:type="dxa"/>
            </w:tcMar>
            <w:vAlign w:val="center"/>
            <w:hideMark/>
          </w:tcPr>
          <w:p w:rsidR="000F236F" w:rsidRDefault="000F236F" w:rsidP="00DB5405">
            <w:pPr>
              <w:jc w:val="right"/>
              <w:rPr>
                <w:rFonts w:ascii="Garamond" w:hAnsi="Garamond" w:cs="Calibri"/>
                <w:color w:val="000000"/>
                <w:sz w:val="20"/>
                <w:szCs w:val="20"/>
              </w:rPr>
            </w:pPr>
            <w:r>
              <w:rPr>
                <w:rFonts w:ascii="Garamond" w:hAnsi="Garamond" w:cs="Calibri"/>
                <w:color w:val="000000"/>
                <w:sz w:val="20"/>
                <w:szCs w:val="20"/>
              </w:rPr>
              <w:t>21,185</w:t>
            </w:r>
          </w:p>
        </w:tc>
        <w:tc>
          <w:tcPr>
            <w:tcW w:w="1060" w:type="dxa"/>
            <w:tcBorders>
              <w:top w:val="nil"/>
              <w:left w:val="single" w:sz="8" w:space="0" w:color="auto"/>
              <w:bottom w:val="nil"/>
              <w:right w:val="single" w:sz="8" w:space="0" w:color="auto"/>
            </w:tcBorders>
            <w:shd w:val="clear" w:color="auto" w:fill="auto"/>
            <w:tcMar>
              <w:top w:w="15" w:type="dxa"/>
              <w:left w:w="15" w:type="dxa"/>
              <w:bottom w:w="0" w:type="dxa"/>
              <w:right w:w="15" w:type="dxa"/>
            </w:tcMar>
            <w:vAlign w:val="center"/>
            <w:hideMark/>
          </w:tcPr>
          <w:p w:rsidR="000F236F" w:rsidRDefault="000F236F" w:rsidP="00DB5405">
            <w:pPr>
              <w:jc w:val="right"/>
              <w:rPr>
                <w:rFonts w:ascii="Garamond" w:hAnsi="Garamond" w:cs="Calibri"/>
                <w:color w:val="000000"/>
                <w:sz w:val="20"/>
                <w:szCs w:val="20"/>
              </w:rPr>
            </w:pPr>
            <w:r>
              <w:rPr>
                <w:rFonts w:ascii="Garamond" w:hAnsi="Garamond" w:cs="Calibri"/>
                <w:color w:val="000000"/>
                <w:sz w:val="20"/>
                <w:szCs w:val="20"/>
              </w:rPr>
              <w:t>1,01,36,750</w:t>
            </w:r>
          </w:p>
        </w:tc>
        <w:tc>
          <w:tcPr>
            <w:tcW w:w="1060" w:type="dxa"/>
            <w:tcBorders>
              <w:top w:val="nil"/>
              <w:left w:val="nil"/>
              <w:bottom w:val="nil"/>
              <w:right w:val="nil"/>
            </w:tcBorders>
            <w:shd w:val="clear" w:color="auto" w:fill="auto"/>
            <w:tcMar>
              <w:top w:w="15" w:type="dxa"/>
              <w:left w:w="15" w:type="dxa"/>
              <w:bottom w:w="0" w:type="dxa"/>
              <w:right w:w="15" w:type="dxa"/>
            </w:tcMar>
            <w:vAlign w:val="center"/>
            <w:hideMark/>
          </w:tcPr>
          <w:p w:rsidR="000F236F" w:rsidRDefault="000F236F" w:rsidP="00DB5405">
            <w:pPr>
              <w:jc w:val="right"/>
              <w:rPr>
                <w:rFonts w:ascii="Garamond" w:hAnsi="Garamond" w:cs="Calibri"/>
                <w:color w:val="000000"/>
                <w:sz w:val="20"/>
                <w:szCs w:val="20"/>
              </w:rPr>
            </w:pPr>
            <w:r>
              <w:rPr>
                <w:rFonts w:ascii="Garamond" w:hAnsi="Garamond" w:cs="Calibri"/>
                <w:color w:val="000000"/>
                <w:sz w:val="20"/>
                <w:szCs w:val="20"/>
              </w:rPr>
              <w:t>51,499</w:t>
            </w:r>
          </w:p>
        </w:tc>
        <w:tc>
          <w:tcPr>
            <w:tcW w:w="1060" w:type="dxa"/>
            <w:tcBorders>
              <w:top w:val="nil"/>
              <w:left w:val="single" w:sz="8" w:space="0" w:color="auto"/>
              <w:bottom w:val="nil"/>
              <w:right w:val="single" w:sz="8" w:space="0" w:color="auto"/>
            </w:tcBorders>
            <w:shd w:val="clear" w:color="auto" w:fill="auto"/>
            <w:tcMar>
              <w:top w:w="15" w:type="dxa"/>
              <w:left w:w="15" w:type="dxa"/>
              <w:bottom w:w="0" w:type="dxa"/>
              <w:right w:w="15" w:type="dxa"/>
            </w:tcMar>
            <w:vAlign w:val="center"/>
            <w:hideMark/>
          </w:tcPr>
          <w:p w:rsidR="000F236F" w:rsidRDefault="000F236F" w:rsidP="00DB5405">
            <w:pPr>
              <w:jc w:val="right"/>
              <w:rPr>
                <w:rFonts w:ascii="Garamond" w:hAnsi="Garamond" w:cs="Calibri"/>
                <w:color w:val="000000"/>
                <w:sz w:val="20"/>
                <w:szCs w:val="20"/>
              </w:rPr>
            </w:pPr>
            <w:r>
              <w:rPr>
                <w:rFonts w:ascii="Garamond" w:hAnsi="Garamond" w:cs="Calibri"/>
                <w:color w:val="000000"/>
                <w:sz w:val="20"/>
                <w:szCs w:val="20"/>
              </w:rPr>
              <w:t>1,03,57,975</w:t>
            </w:r>
          </w:p>
        </w:tc>
      </w:tr>
      <w:tr w:rsidR="000F236F" w:rsidTr="00DB5405">
        <w:trPr>
          <w:trHeight w:val="243"/>
        </w:trPr>
        <w:tc>
          <w:tcPr>
            <w:tcW w:w="3433" w:type="dxa"/>
            <w:tcBorders>
              <w:top w:val="nil"/>
              <w:left w:val="single" w:sz="8" w:space="0" w:color="auto"/>
              <w:bottom w:val="nil"/>
              <w:right w:val="single" w:sz="8" w:space="0" w:color="auto"/>
            </w:tcBorders>
            <w:shd w:val="clear" w:color="000000" w:fill="B4C6E7"/>
            <w:tcMar>
              <w:top w:w="15" w:type="dxa"/>
              <w:left w:w="15" w:type="dxa"/>
              <w:bottom w:w="0" w:type="dxa"/>
              <w:right w:w="15" w:type="dxa"/>
            </w:tcMar>
            <w:vAlign w:val="center"/>
            <w:hideMark/>
          </w:tcPr>
          <w:p w:rsidR="000F236F" w:rsidRDefault="000F236F" w:rsidP="00DB5405">
            <w:pPr>
              <w:rPr>
                <w:rFonts w:ascii="Garamond" w:hAnsi="Garamond" w:cs="Calibri"/>
                <w:color w:val="000000"/>
                <w:sz w:val="20"/>
                <w:szCs w:val="20"/>
              </w:rPr>
            </w:pPr>
            <w:r>
              <w:rPr>
                <w:rFonts w:ascii="Garamond" w:hAnsi="Garamond" w:cs="Calibri"/>
                <w:color w:val="000000"/>
                <w:sz w:val="20"/>
                <w:szCs w:val="20"/>
              </w:rPr>
              <w:t>Japan Exchange Group</w:t>
            </w:r>
          </w:p>
        </w:tc>
        <w:tc>
          <w:tcPr>
            <w:tcW w:w="1060" w:type="dxa"/>
            <w:tcBorders>
              <w:top w:val="nil"/>
              <w:left w:val="nil"/>
              <w:bottom w:val="nil"/>
              <w:right w:val="single" w:sz="8" w:space="0" w:color="auto"/>
            </w:tcBorders>
            <w:shd w:val="clear" w:color="auto" w:fill="auto"/>
            <w:tcMar>
              <w:top w:w="15" w:type="dxa"/>
              <w:left w:w="15" w:type="dxa"/>
              <w:bottom w:w="0" w:type="dxa"/>
              <w:right w:w="15" w:type="dxa"/>
            </w:tcMar>
            <w:vAlign w:val="center"/>
            <w:hideMark/>
          </w:tcPr>
          <w:p w:rsidR="000F236F" w:rsidRDefault="000F236F" w:rsidP="00DB5405">
            <w:pPr>
              <w:jc w:val="right"/>
              <w:rPr>
                <w:rFonts w:ascii="Garamond" w:hAnsi="Garamond" w:cs="Calibri"/>
                <w:color w:val="000000"/>
                <w:sz w:val="20"/>
                <w:szCs w:val="20"/>
              </w:rPr>
            </w:pPr>
            <w:r>
              <w:rPr>
                <w:rFonts w:ascii="Garamond" w:hAnsi="Garamond" w:cs="Calibri"/>
                <w:color w:val="000000"/>
                <w:sz w:val="20"/>
                <w:szCs w:val="20"/>
              </w:rPr>
              <w:t>NA</w:t>
            </w:r>
          </w:p>
        </w:tc>
        <w:tc>
          <w:tcPr>
            <w:tcW w:w="1060" w:type="dxa"/>
            <w:tcBorders>
              <w:top w:val="nil"/>
              <w:left w:val="nil"/>
              <w:bottom w:val="nil"/>
              <w:right w:val="single" w:sz="8" w:space="0" w:color="auto"/>
            </w:tcBorders>
            <w:shd w:val="clear" w:color="auto" w:fill="auto"/>
            <w:tcMar>
              <w:top w:w="15" w:type="dxa"/>
              <w:left w:w="15" w:type="dxa"/>
              <w:bottom w:w="0" w:type="dxa"/>
              <w:right w:w="15" w:type="dxa"/>
            </w:tcMar>
            <w:vAlign w:val="center"/>
            <w:hideMark/>
          </w:tcPr>
          <w:p w:rsidR="000F236F" w:rsidRDefault="000F236F" w:rsidP="00DB5405">
            <w:pPr>
              <w:jc w:val="right"/>
              <w:rPr>
                <w:rFonts w:ascii="Garamond" w:hAnsi="Garamond" w:cs="Calibri"/>
                <w:color w:val="000000"/>
                <w:sz w:val="20"/>
                <w:szCs w:val="20"/>
              </w:rPr>
            </w:pPr>
            <w:r>
              <w:rPr>
                <w:rFonts w:ascii="Garamond" w:hAnsi="Garamond" w:cs="Calibri"/>
                <w:color w:val="000000"/>
                <w:sz w:val="20"/>
                <w:szCs w:val="20"/>
              </w:rPr>
              <w:t>NA</w:t>
            </w:r>
          </w:p>
        </w:tc>
        <w:tc>
          <w:tcPr>
            <w:tcW w:w="1060" w:type="dxa"/>
            <w:tcBorders>
              <w:top w:val="nil"/>
              <w:left w:val="nil"/>
              <w:bottom w:val="nil"/>
              <w:right w:val="nil"/>
            </w:tcBorders>
            <w:shd w:val="clear" w:color="auto" w:fill="auto"/>
            <w:tcMar>
              <w:top w:w="15" w:type="dxa"/>
              <w:left w:w="15" w:type="dxa"/>
              <w:bottom w:w="0" w:type="dxa"/>
              <w:right w:w="15" w:type="dxa"/>
            </w:tcMar>
            <w:vAlign w:val="center"/>
            <w:hideMark/>
          </w:tcPr>
          <w:p w:rsidR="000F236F" w:rsidRDefault="000F236F" w:rsidP="00DB5405">
            <w:pPr>
              <w:jc w:val="right"/>
              <w:rPr>
                <w:rFonts w:ascii="Garamond" w:hAnsi="Garamond" w:cs="Calibri"/>
                <w:color w:val="000000"/>
                <w:sz w:val="20"/>
                <w:szCs w:val="20"/>
              </w:rPr>
            </w:pPr>
            <w:r>
              <w:rPr>
                <w:rFonts w:ascii="Garamond" w:hAnsi="Garamond" w:cs="Calibri"/>
                <w:color w:val="000000"/>
                <w:sz w:val="20"/>
                <w:szCs w:val="20"/>
              </w:rPr>
              <w:t>NA</w:t>
            </w:r>
          </w:p>
        </w:tc>
        <w:tc>
          <w:tcPr>
            <w:tcW w:w="1060" w:type="dxa"/>
            <w:tcBorders>
              <w:top w:val="nil"/>
              <w:left w:val="single" w:sz="8" w:space="0" w:color="auto"/>
              <w:bottom w:val="nil"/>
              <w:right w:val="single" w:sz="8" w:space="0" w:color="auto"/>
            </w:tcBorders>
            <w:shd w:val="clear" w:color="auto" w:fill="auto"/>
            <w:tcMar>
              <w:top w:w="15" w:type="dxa"/>
              <w:left w:w="15" w:type="dxa"/>
              <w:bottom w:w="0" w:type="dxa"/>
              <w:right w:w="15" w:type="dxa"/>
            </w:tcMar>
            <w:vAlign w:val="center"/>
            <w:hideMark/>
          </w:tcPr>
          <w:p w:rsidR="000F236F" w:rsidRDefault="000F236F" w:rsidP="00DB5405">
            <w:pPr>
              <w:jc w:val="right"/>
              <w:rPr>
                <w:rFonts w:ascii="Garamond" w:hAnsi="Garamond" w:cs="Calibri"/>
                <w:color w:val="000000"/>
                <w:sz w:val="20"/>
                <w:szCs w:val="20"/>
              </w:rPr>
            </w:pPr>
            <w:r>
              <w:rPr>
                <w:rFonts w:ascii="Garamond" w:hAnsi="Garamond" w:cs="Calibri"/>
                <w:color w:val="000000"/>
                <w:sz w:val="20"/>
                <w:szCs w:val="20"/>
              </w:rPr>
              <w:t>1,798</w:t>
            </w:r>
          </w:p>
        </w:tc>
        <w:tc>
          <w:tcPr>
            <w:tcW w:w="1060" w:type="dxa"/>
            <w:tcBorders>
              <w:top w:val="nil"/>
              <w:left w:val="nil"/>
              <w:bottom w:val="nil"/>
              <w:right w:val="nil"/>
            </w:tcBorders>
            <w:shd w:val="clear" w:color="auto" w:fill="auto"/>
            <w:tcMar>
              <w:top w:w="15" w:type="dxa"/>
              <w:left w:w="15" w:type="dxa"/>
              <w:bottom w:w="0" w:type="dxa"/>
              <w:right w:w="15" w:type="dxa"/>
            </w:tcMar>
            <w:vAlign w:val="center"/>
            <w:hideMark/>
          </w:tcPr>
          <w:p w:rsidR="000F236F" w:rsidRDefault="000F236F" w:rsidP="00DB5405">
            <w:pPr>
              <w:jc w:val="right"/>
              <w:rPr>
                <w:rFonts w:ascii="Garamond" w:hAnsi="Garamond" w:cs="Calibri"/>
                <w:color w:val="000000"/>
                <w:sz w:val="20"/>
                <w:szCs w:val="20"/>
              </w:rPr>
            </w:pPr>
            <w:r>
              <w:rPr>
                <w:rFonts w:ascii="Garamond" w:hAnsi="Garamond" w:cs="Calibri"/>
                <w:color w:val="000000"/>
                <w:sz w:val="20"/>
                <w:szCs w:val="20"/>
              </w:rPr>
              <w:t>NA</w:t>
            </w:r>
          </w:p>
        </w:tc>
        <w:tc>
          <w:tcPr>
            <w:tcW w:w="1060" w:type="dxa"/>
            <w:tcBorders>
              <w:top w:val="nil"/>
              <w:left w:val="single" w:sz="8" w:space="0" w:color="auto"/>
              <w:bottom w:val="nil"/>
              <w:right w:val="single" w:sz="8" w:space="0" w:color="auto"/>
            </w:tcBorders>
            <w:shd w:val="clear" w:color="auto" w:fill="auto"/>
            <w:tcMar>
              <w:top w:w="15" w:type="dxa"/>
              <w:left w:w="15" w:type="dxa"/>
              <w:bottom w:w="0" w:type="dxa"/>
              <w:right w:w="15" w:type="dxa"/>
            </w:tcMar>
            <w:vAlign w:val="center"/>
            <w:hideMark/>
          </w:tcPr>
          <w:p w:rsidR="000F236F" w:rsidRDefault="000F236F" w:rsidP="00DB5405">
            <w:pPr>
              <w:jc w:val="right"/>
              <w:rPr>
                <w:rFonts w:ascii="Garamond" w:hAnsi="Garamond" w:cs="Calibri"/>
                <w:color w:val="000000"/>
                <w:sz w:val="20"/>
                <w:szCs w:val="20"/>
              </w:rPr>
            </w:pPr>
            <w:r>
              <w:rPr>
                <w:rFonts w:ascii="Garamond" w:hAnsi="Garamond" w:cs="Calibri"/>
                <w:color w:val="000000"/>
                <w:sz w:val="20"/>
                <w:szCs w:val="20"/>
              </w:rPr>
              <w:t>40,962</w:t>
            </w:r>
          </w:p>
        </w:tc>
      </w:tr>
      <w:tr w:rsidR="000F236F" w:rsidTr="00DB5405">
        <w:trPr>
          <w:trHeight w:val="243"/>
        </w:trPr>
        <w:tc>
          <w:tcPr>
            <w:tcW w:w="3433" w:type="dxa"/>
            <w:tcBorders>
              <w:top w:val="nil"/>
              <w:left w:val="single" w:sz="8" w:space="0" w:color="auto"/>
              <w:bottom w:val="nil"/>
              <w:right w:val="single" w:sz="8" w:space="0" w:color="auto"/>
            </w:tcBorders>
            <w:shd w:val="clear" w:color="000000" w:fill="B4C6E7"/>
            <w:tcMar>
              <w:top w:w="15" w:type="dxa"/>
              <w:left w:w="15" w:type="dxa"/>
              <w:bottom w:w="0" w:type="dxa"/>
              <w:right w:w="15" w:type="dxa"/>
            </w:tcMar>
            <w:vAlign w:val="center"/>
            <w:hideMark/>
          </w:tcPr>
          <w:p w:rsidR="000F236F" w:rsidRDefault="000F236F" w:rsidP="00DB5405">
            <w:pPr>
              <w:rPr>
                <w:rFonts w:ascii="Garamond" w:hAnsi="Garamond" w:cs="Calibri"/>
                <w:color w:val="000000"/>
                <w:sz w:val="20"/>
                <w:szCs w:val="20"/>
              </w:rPr>
            </w:pPr>
            <w:r>
              <w:rPr>
                <w:rFonts w:ascii="Garamond" w:hAnsi="Garamond" w:cs="Calibri"/>
                <w:color w:val="000000"/>
                <w:sz w:val="20"/>
                <w:szCs w:val="20"/>
              </w:rPr>
              <w:t>Korea Exchange</w:t>
            </w:r>
          </w:p>
        </w:tc>
        <w:tc>
          <w:tcPr>
            <w:tcW w:w="1060" w:type="dxa"/>
            <w:tcBorders>
              <w:top w:val="nil"/>
              <w:left w:val="nil"/>
              <w:bottom w:val="nil"/>
              <w:right w:val="single" w:sz="8" w:space="0" w:color="auto"/>
            </w:tcBorders>
            <w:shd w:val="clear" w:color="auto" w:fill="auto"/>
            <w:tcMar>
              <w:top w:w="15" w:type="dxa"/>
              <w:left w:w="15" w:type="dxa"/>
              <w:bottom w:w="0" w:type="dxa"/>
              <w:right w:w="15" w:type="dxa"/>
            </w:tcMar>
            <w:vAlign w:val="center"/>
            <w:hideMark/>
          </w:tcPr>
          <w:p w:rsidR="000F236F" w:rsidRDefault="000F236F" w:rsidP="00DB5405">
            <w:pPr>
              <w:jc w:val="right"/>
              <w:rPr>
                <w:rFonts w:ascii="Garamond" w:hAnsi="Garamond" w:cs="Calibri"/>
                <w:color w:val="000000"/>
                <w:sz w:val="20"/>
                <w:szCs w:val="20"/>
              </w:rPr>
            </w:pPr>
            <w:r>
              <w:rPr>
                <w:rFonts w:ascii="Garamond" w:hAnsi="Garamond" w:cs="Calibri"/>
                <w:color w:val="000000"/>
                <w:sz w:val="20"/>
                <w:szCs w:val="20"/>
              </w:rPr>
              <w:t>10,50,61,166</w:t>
            </w:r>
          </w:p>
        </w:tc>
        <w:tc>
          <w:tcPr>
            <w:tcW w:w="1060" w:type="dxa"/>
            <w:tcBorders>
              <w:top w:val="nil"/>
              <w:left w:val="nil"/>
              <w:bottom w:val="nil"/>
              <w:right w:val="single" w:sz="8" w:space="0" w:color="auto"/>
            </w:tcBorders>
            <w:shd w:val="clear" w:color="auto" w:fill="auto"/>
            <w:tcMar>
              <w:top w:w="15" w:type="dxa"/>
              <w:left w:w="15" w:type="dxa"/>
              <w:bottom w:w="0" w:type="dxa"/>
              <w:right w:w="15" w:type="dxa"/>
            </w:tcMar>
            <w:vAlign w:val="center"/>
            <w:hideMark/>
          </w:tcPr>
          <w:p w:rsidR="000F236F" w:rsidRDefault="000F236F" w:rsidP="00DB5405">
            <w:pPr>
              <w:jc w:val="right"/>
              <w:rPr>
                <w:rFonts w:ascii="Garamond" w:hAnsi="Garamond" w:cs="Calibri"/>
                <w:color w:val="000000"/>
                <w:sz w:val="20"/>
                <w:szCs w:val="20"/>
              </w:rPr>
            </w:pPr>
            <w:r>
              <w:rPr>
                <w:rFonts w:ascii="Garamond" w:hAnsi="Garamond" w:cs="Calibri"/>
                <w:color w:val="000000"/>
                <w:sz w:val="20"/>
                <w:szCs w:val="20"/>
              </w:rPr>
              <w:t>73286.46</w:t>
            </w:r>
          </w:p>
        </w:tc>
        <w:tc>
          <w:tcPr>
            <w:tcW w:w="1060" w:type="dxa"/>
            <w:tcBorders>
              <w:top w:val="nil"/>
              <w:left w:val="nil"/>
              <w:bottom w:val="nil"/>
              <w:right w:val="nil"/>
            </w:tcBorders>
            <w:shd w:val="clear" w:color="auto" w:fill="auto"/>
            <w:tcMar>
              <w:top w:w="15" w:type="dxa"/>
              <w:left w:w="15" w:type="dxa"/>
              <w:bottom w:w="0" w:type="dxa"/>
              <w:right w:w="15" w:type="dxa"/>
            </w:tcMar>
            <w:vAlign w:val="center"/>
            <w:hideMark/>
          </w:tcPr>
          <w:p w:rsidR="000F236F" w:rsidRDefault="000F236F" w:rsidP="00DB5405">
            <w:pPr>
              <w:jc w:val="right"/>
              <w:rPr>
                <w:rFonts w:ascii="Garamond" w:hAnsi="Garamond" w:cs="Calibri"/>
                <w:color w:val="000000"/>
                <w:sz w:val="20"/>
                <w:szCs w:val="20"/>
              </w:rPr>
            </w:pPr>
            <w:r>
              <w:rPr>
                <w:rFonts w:ascii="Garamond" w:hAnsi="Garamond" w:cs="Calibri"/>
                <w:color w:val="000000"/>
                <w:sz w:val="20"/>
                <w:szCs w:val="20"/>
              </w:rPr>
              <w:t>55,40,555</w:t>
            </w:r>
          </w:p>
        </w:tc>
        <w:tc>
          <w:tcPr>
            <w:tcW w:w="1060" w:type="dxa"/>
            <w:tcBorders>
              <w:top w:val="nil"/>
              <w:left w:val="single" w:sz="8" w:space="0" w:color="auto"/>
              <w:bottom w:val="nil"/>
              <w:right w:val="single" w:sz="8" w:space="0" w:color="auto"/>
            </w:tcBorders>
            <w:shd w:val="clear" w:color="auto" w:fill="auto"/>
            <w:tcMar>
              <w:top w:w="15" w:type="dxa"/>
              <w:left w:w="15" w:type="dxa"/>
              <w:bottom w:w="0" w:type="dxa"/>
              <w:right w:w="15" w:type="dxa"/>
            </w:tcMar>
            <w:vAlign w:val="center"/>
            <w:hideMark/>
          </w:tcPr>
          <w:p w:rsidR="000F236F" w:rsidRDefault="000F236F" w:rsidP="00DB5405">
            <w:pPr>
              <w:jc w:val="right"/>
              <w:rPr>
                <w:rFonts w:ascii="Garamond" w:hAnsi="Garamond" w:cs="Calibri"/>
                <w:color w:val="000000"/>
                <w:sz w:val="20"/>
                <w:szCs w:val="20"/>
              </w:rPr>
            </w:pPr>
            <w:r>
              <w:rPr>
                <w:rFonts w:ascii="Garamond" w:hAnsi="Garamond" w:cs="Calibri"/>
                <w:color w:val="000000"/>
                <w:sz w:val="20"/>
                <w:szCs w:val="20"/>
              </w:rPr>
              <w:t>1,04,569</w:t>
            </w:r>
          </w:p>
        </w:tc>
        <w:tc>
          <w:tcPr>
            <w:tcW w:w="1060" w:type="dxa"/>
            <w:tcBorders>
              <w:top w:val="nil"/>
              <w:left w:val="nil"/>
              <w:bottom w:val="nil"/>
              <w:right w:val="nil"/>
            </w:tcBorders>
            <w:shd w:val="clear" w:color="auto" w:fill="auto"/>
            <w:tcMar>
              <w:top w:w="15" w:type="dxa"/>
              <w:left w:w="15" w:type="dxa"/>
              <w:bottom w:w="0" w:type="dxa"/>
              <w:right w:w="15" w:type="dxa"/>
            </w:tcMar>
            <w:vAlign w:val="center"/>
            <w:hideMark/>
          </w:tcPr>
          <w:p w:rsidR="000F236F" w:rsidRDefault="000F236F" w:rsidP="00DB5405">
            <w:pPr>
              <w:jc w:val="right"/>
              <w:rPr>
                <w:rFonts w:ascii="Garamond" w:hAnsi="Garamond" w:cs="Calibri"/>
                <w:color w:val="000000"/>
                <w:sz w:val="20"/>
                <w:szCs w:val="20"/>
              </w:rPr>
            </w:pPr>
            <w:r>
              <w:rPr>
                <w:rFonts w:ascii="Garamond" w:hAnsi="Garamond" w:cs="Calibri"/>
                <w:color w:val="000000"/>
                <w:sz w:val="20"/>
                <w:szCs w:val="20"/>
              </w:rPr>
              <w:t>NA</w:t>
            </w:r>
          </w:p>
        </w:tc>
        <w:tc>
          <w:tcPr>
            <w:tcW w:w="1060" w:type="dxa"/>
            <w:tcBorders>
              <w:top w:val="nil"/>
              <w:left w:val="single" w:sz="8" w:space="0" w:color="auto"/>
              <w:bottom w:val="nil"/>
              <w:right w:val="single" w:sz="8" w:space="0" w:color="auto"/>
            </w:tcBorders>
            <w:shd w:val="clear" w:color="auto" w:fill="auto"/>
            <w:tcMar>
              <w:top w:w="15" w:type="dxa"/>
              <w:left w:w="15" w:type="dxa"/>
              <w:bottom w:w="0" w:type="dxa"/>
              <w:right w:w="15" w:type="dxa"/>
            </w:tcMar>
            <w:vAlign w:val="center"/>
            <w:hideMark/>
          </w:tcPr>
          <w:p w:rsidR="000F236F" w:rsidRDefault="000F236F" w:rsidP="00DB5405">
            <w:pPr>
              <w:jc w:val="right"/>
              <w:rPr>
                <w:rFonts w:ascii="Garamond" w:hAnsi="Garamond" w:cs="Calibri"/>
                <w:color w:val="000000"/>
                <w:sz w:val="20"/>
                <w:szCs w:val="20"/>
              </w:rPr>
            </w:pPr>
            <w:r>
              <w:rPr>
                <w:rFonts w:ascii="Garamond" w:hAnsi="Garamond" w:cs="Calibri"/>
                <w:color w:val="000000"/>
                <w:sz w:val="20"/>
                <w:szCs w:val="20"/>
              </w:rPr>
              <w:t>21,367</w:t>
            </w:r>
          </w:p>
        </w:tc>
      </w:tr>
      <w:tr w:rsidR="000F236F" w:rsidTr="00DB5405">
        <w:trPr>
          <w:trHeight w:val="243"/>
        </w:trPr>
        <w:tc>
          <w:tcPr>
            <w:tcW w:w="3433" w:type="dxa"/>
            <w:tcBorders>
              <w:top w:val="nil"/>
              <w:left w:val="single" w:sz="8" w:space="0" w:color="auto"/>
              <w:bottom w:val="nil"/>
              <w:right w:val="single" w:sz="8" w:space="0" w:color="auto"/>
            </w:tcBorders>
            <w:shd w:val="clear" w:color="000000" w:fill="B4C6E7"/>
            <w:tcMar>
              <w:top w:w="15" w:type="dxa"/>
              <w:left w:w="15" w:type="dxa"/>
              <w:bottom w:w="0" w:type="dxa"/>
              <w:right w:w="15" w:type="dxa"/>
            </w:tcMar>
            <w:vAlign w:val="center"/>
            <w:hideMark/>
          </w:tcPr>
          <w:p w:rsidR="000F236F" w:rsidRDefault="000F236F" w:rsidP="00DB5405">
            <w:pPr>
              <w:rPr>
                <w:rFonts w:ascii="Garamond" w:hAnsi="Garamond" w:cs="Calibri"/>
                <w:color w:val="000000"/>
                <w:sz w:val="20"/>
                <w:szCs w:val="20"/>
              </w:rPr>
            </w:pPr>
            <w:r>
              <w:rPr>
                <w:rFonts w:ascii="Garamond" w:hAnsi="Garamond" w:cs="Calibri"/>
                <w:color w:val="000000"/>
                <w:sz w:val="20"/>
                <w:szCs w:val="20"/>
              </w:rPr>
              <w:t>National Stock Exchange of India</w:t>
            </w:r>
          </w:p>
        </w:tc>
        <w:tc>
          <w:tcPr>
            <w:tcW w:w="1060" w:type="dxa"/>
            <w:tcBorders>
              <w:top w:val="nil"/>
              <w:left w:val="nil"/>
              <w:bottom w:val="nil"/>
              <w:right w:val="single" w:sz="8" w:space="0" w:color="auto"/>
            </w:tcBorders>
            <w:shd w:val="clear" w:color="auto" w:fill="auto"/>
            <w:tcMar>
              <w:top w:w="15" w:type="dxa"/>
              <w:left w:w="15" w:type="dxa"/>
              <w:bottom w:w="0" w:type="dxa"/>
              <w:right w:w="15" w:type="dxa"/>
            </w:tcMar>
            <w:vAlign w:val="center"/>
            <w:hideMark/>
          </w:tcPr>
          <w:p w:rsidR="000F236F" w:rsidRDefault="000F236F" w:rsidP="00DB5405">
            <w:pPr>
              <w:jc w:val="right"/>
              <w:rPr>
                <w:rFonts w:ascii="Garamond" w:hAnsi="Garamond" w:cs="Calibri"/>
                <w:color w:val="000000"/>
                <w:sz w:val="20"/>
                <w:szCs w:val="20"/>
              </w:rPr>
            </w:pPr>
            <w:r>
              <w:rPr>
                <w:rFonts w:ascii="Garamond" w:hAnsi="Garamond" w:cs="Calibri"/>
                <w:color w:val="000000"/>
                <w:sz w:val="20"/>
                <w:szCs w:val="20"/>
              </w:rPr>
              <w:t>2,05,82,172</w:t>
            </w:r>
          </w:p>
        </w:tc>
        <w:tc>
          <w:tcPr>
            <w:tcW w:w="1060" w:type="dxa"/>
            <w:tcBorders>
              <w:top w:val="nil"/>
              <w:left w:val="nil"/>
              <w:bottom w:val="nil"/>
              <w:right w:val="single" w:sz="8" w:space="0" w:color="auto"/>
            </w:tcBorders>
            <w:shd w:val="clear" w:color="auto" w:fill="auto"/>
            <w:tcMar>
              <w:top w:w="15" w:type="dxa"/>
              <w:left w:w="15" w:type="dxa"/>
              <w:bottom w:w="0" w:type="dxa"/>
              <w:right w:w="15" w:type="dxa"/>
            </w:tcMar>
            <w:vAlign w:val="center"/>
            <w:hideMark/>
          </w:tcPr>
          <w:p w:rsidR="000F236F" w:rsidRDefault="000F236F" w:rsidP="00DB5405">
            <w:pPr>
              <w:jc w:val="right"/>
              <w:rPr>
                <w:rFonts w:ascii="Garamond" w:hAnsi="Garamond" w:cs="Calibri"/>
                <w:color w:val="000000"/>
                <w:sz w:val="20"/>
                <w:szCs w:val="20"/>
              </w:rPr>
            </w:pPr>
            <w:r>
              <w:rPr>
                <w:rFonts w:ascii="Garamond" w:hAnsi="Garamond" w:cs="Calibri"/>
                <w:color w:val="000000"/>
                <w:sz w:val="20"/>
                <w:szCs w:val="20"/>
              </w:rPr>
              <w:t>201782.24</w:t>
            </w:r>
          </w:p>
        </w:tc>
        <w:tc>
          <w:tcPr>
            <w:tcW w:w="1060" w:type="dxa"/>
            <w:tcBorders>
              <w:top w:val="nil"/>
              <w:left w:val="nil"/>
              <w:bottom w:val="nil"/>
              <w:right w:val="nil"/>
            </w:tcBorders>
            <w:shd w:val="clear" w:color="auto" w:fill="auto"/>
            <w:tcMar>
              <w:top w:w="15" w:type="dxa"/>
              <w:left w:w="15" w:type="dxa"/>
              <w:bottom w:w="0" w:type="dxa"/>
              <w:right w:w="15" w:type="dxa"/>
            </w:tcMar>
            <w:vAlign w:val="center"/>
            <w:hideMark/>
          </w:tcPr>
          <w:p w:rsidR="000F236F" w:rsidRDefault="000F236F" w:rsidP="00DB5405">
            <w:pPr>
              <w:jc w:val="right"/>
              <w:rPr>
                <w:rFonts w:ascii="Garamond" w:hAnsi="Garamond" w:cs="Calibri"/>
                <w:color w:val="000000"/>
                <w:sz w:val="20"/>
                <w:szCs w:val="20"/>
              </w:rPr>
            </w:pPr>
            <w:r>
              <w:rPr>
                <w:rFonts w:ascii="Garamond" w:hAnsi="Garamond" w:cs="Calibri"/>
                <w:color w:val="000000"/>
                <w:sz w:val="20"/>
                <w:szCs w:val="20"/>
              </w:rPr>
              <w:t>14,33,181</w:t>
            </w:r>
          </w:p>
        </w:tc>
        <w:tc>
          <w:tcPr>
            <w:tcW w:w="1060" w:type="dxa"/>
            <w:tcBorders>
              <w:top w:val="nil"/>
              <w:left w:val="single" w:sz="8" w:space="0" w:color="auto"/>
              <w:bottom w:val="nil"/>
              <w:right w:val="single" w:sz="8" w:space="0" w:color="auto"/>
            </w:tcBorders>
            <w:shd w:val="clear" w:color="auto" w:fill="auto"/>
            <w:tcMar>
              <w:top w:w="15" w:type="dxa"/>
              <w:left w:w="15" w:type="dxa"/>
              <w:bottom w:w="0" w:type="dxa"/>
              <w:right w:w="15" w:type="dxa"/>
            </w:tcMar>
            <w:vAlign w:val="center"/>
            <w:hideMark/>
          </w:tcPr>
          <w:p w:rsidR="000F236F" w:rsidRDefault="000F236F" w:rsidP="00DB5405">
            <w:pPr>
              <w:jc w:val="right"/>
              <w:rPr>
                <w:rFonts w:ascii="Garamond" w:hAnsi="Garamond" w:cs="Calibri"/>
                <w:color w:val="000000"/>
                <w:sz w:val="20"/>
                <w:szCs w:val="20"/>
              </w:rPr>
            </w:pPr>
            <w:r>
              <w:rPr>
                <w:rFonts w:ascii="Garamond" w:hAnsi="Garamond" w:cs="Calibri"/>
                <w:color w:val="000000"/>
                <w:sz w:val="20"/>
                <w:szCs w:val="20"/>
              </w:rPr>
              <w:t>2,56,45,175</w:t>
            </w:r>
          </w:p>
        </w:tc>
        <w:tc>
          <w:tcPr>
            <w:tcW w:w="1060" w:type="dxa"/>
            <w:tcBorders>
              <w:top w:val="nil"/>
              <w:left w:val="nil"/>
              <w:bottom w:val="nil"/>
              <w:right w:val="nil"/>
            </w:tcBorders>
            <w:shd w:val="clear" w:color="auto" w:fill="auto"/>
            <w:tcMar>
              <w:top w:w="15" w:type="dxa"/>
              <w:left w:w="15" w:type="dxa"/>
              <w:bottom w:w="0" w:type="dxa"/>
              <w:right w:w="15" w:type="dxa"/>
            </w:tcMar>
            <w:vAlign w:val="center"/>
            <w:hideMark/>
          </w:tcPr>
          <w:p w:rsidR="000F236F" w:rsidRDefault="000F236F" w:rsidP="00DB5405">
            <w:pPr>
              <w:jc w:val="right"/>
              <w:rPr>
                <w:rFonts w:ascii="Garamond" w:hAnsi="Garamond" w:cs="Calibri"/>
                <w:color w:val="000000"/>
                <w:sz w:val="20"/>
                <w:szCs w:val="20"/>
              </w:rPr>
            </w:pPr>
            <w:r>
              <w:rPr>
                <w:rFonts w:ascii="Garamond" w:hAnsi="Garamond" w:cs="Calibri"/>
                <w:color w:val="000000"/>
                <w:sz w:val="20"/>
                <w:szCs w:val="20"/>
              </w:rPr>
              <w:t>2,66,906</w:t>
            </w:r>
          </w:p>
        </w:tc>
        <w:tc>
          <w:tcPr>
            <w:tcW w:w="1060" w:type="dxa"/>
            <w:tcBorders>
              <w:top w:val="nil"/>
              <w:left w:val="single" w:sz="8" w:space="0" w:color="auto"/>
              <w:bottom w:val="nil"/>
              <w:right w:val="single" w:sz="8" w:space="0" w:color="auto"/>
            </w:tcBorders>
            <w:shd w:val="clear" w:color="auto" w:fill="auto"/>
            <w:tcMar>
              <w:top w:w="15" w:type="dxa"/>
              <w:left w:w="15" w:type="dxa"/>
              <w:bottom w:w="0" w:type="dxa"/>
              <w:right w:w="15" w:type="dxa"/>
            </w:tcMar>
            <w:vAlign w:val="center"/>
            <w:hideMark/>
          </w:tcPr>
          <w:p w:rsidR="000F236F" w:rsidRDefault="000F236F" w:rsidP="00DB5405">
            <w:pPr>
              <w:jc w:val="right"/>
              <w:rPr>
                <w:rFonts w:ascii="Garamond" w:hAnsi="Garamond" w:cs="Calibri"/>
                <w:color w:val="000000"/>
                <w:sz w:val="20"/>
                <w:szCs w:val="20"/>
              </w:rPr>
            </w:pPr>
            <w:r>
              <w:rPr>
                <w:rFonts w:ascii="Garamond" w:hAnsi="Garamond" w:cs="Calibri"/>
                <w:color w:val="000000"/>
                <w:sz w:val="20"/>
                <w:szCs w:val="20"/>
              </w:rPr>
              <w:t>6,03,146</w:t>
            </w:r>
          </w:p>
        </w:tc>
      </w:tr>
      <w:tr w:rsidR="000F236F" w:rsidTr="00DB5405">
        <w:trPr>
          <w:trHeight w:val="243"/>
        </w:trPr>
        <w:tc>
          <w:tcPr>
            <w:tcW w:w="3433" w:type="dxa"/>
            <w:tcBorders>
              <w:top w:val="nil"/>
              <w:left w:val="single" w:sz="8" w:space="0" w:color="auto"/>
              <w:bottom w:val="nil"/>
              <w:right w:val="single" w:sz="8" w:space="0" w:color="auto"/>
            </w:tcBorders>
            <w:shd w:val="clear" w:color="000000" w:fill="B4C6E7"/>
            <w:tcMar>
              <w:top w:w="15" w:type="dxa"/>
              <w:left w:w="15" w:type="dxa"/>
              <w:bottom w:w="0" w:type="dxa"/>
              <w:right w:w="15" w:type="dxa"/>
            </w:tcMar>
            <w:vAlign w:val="center"/>
            <w:hideMark/>
          </w:tcPr>
          <w:p w:rsidR="000F236F" w:rsidRDefault="000F236F" w:rsidP="00DB5405">
            <w:pPr>
              <w:rPr>
                <w:rFonts w:ascii="Garamond" w:hAnsi="Garamond" w:cs="Calibri"/>
                <w:color w:val="000000"/>
                <w:sz w:val="20"/>
                <w:szCs w:val="20"/>
              </w:rPr>
            </w:pPr>
            <w:r>
              <w:rPr>
                <w:rFonts w:ascii="Garamond" w:hAnsi="Garamond" w:cs="Calibri"/>
                <w:color w:val="000000"/>
                <w:sz w:val="20"/>
                <w:szCs w:val="20"/>
              </w:rPr>
              <w:t>Singapore Exchange</w:t>
            </w:r>
          </w:p>
        </w:tc>
        <w:tc>
          <w:tcPr>
            <w:tcW w:w="1060" w:type="dxa"/>
            <w:tcBorders>
              <w:top w:val="nil"/>
              <w:left w:val="nil"/>
              <w:bottom w:val="nil"/>
              <w:right w:val="single" w:sz="8" w:space="0" w:color="auto"/>
            </w:tcBorders>
            <w:shd w:val="clear" w:color="auto" w:fill="auto"/>
            <w:tcMar>
              <w:top w:w="15" w:type="dxa"/>
              <w:left w:w="15" w:type="dxa"/>
              <w:bottom w:w="0" w:type="dxa"/>
              <w:right w:w="15" w:type="dxa"/>
            </w:tcMar>
            <w:vAlign w:val="center"/>
            <w:hideMark/>
          </w:tcPr>
          <w:p w:rsidR="000F236F" w:rsidRDefault="000F236F" w:rsidP="00DB5405">
            <w:pPr>
              <w:jc w:val="right"/>
              <w:rPr>
                <w:rFonts w:ascii="Garamond" w:hAnsi="Garamond" w:cs="Calibri"/>
                <w:color w:val="000000"/>
                <w:sz w:val="20"/>
                <w:szCs w:val="20"/>
              </w:rPr>
            </w:pPr>
            <w:r>
              <w:rPr>
                <w:rFonts w:ascii="Garamond" w:hAnsi="Garamond" w:cs="Calibri"/>
                <w:color w:val="000000"/>
                <w:sz w:val="20"/>
                <w:szCs w:val="20"/>
              </w:rPr>
              <w:t>1,20,040</w:t>
            </w:r>
          </w:p>
        </w:tc>
        <w:tc>
          <w:tcPr>
            <w:tcW w:w="1060" w:type="dxa"/>
            <w:tcBorders>
              <w:top w:val="nil"/>
              <w:left w:val="nil"/>
              <w:bottom w:val="nil"/>
              <w:right w:val="single" w:sz="8" w:space="0" w:color="auto"/>
            </w:tcBorders>
            <w:shd w:val="clear" w:color="auto" w:fill="auto"/>
            <w:tcMar>
              <w:top w:w="15" w:type="dxa"/>
              <w:left w:w="15" w:type="dxa"/>
              <w:bottom w:w="0" w:type="dxa"/>
              <w:right w:w="15" w:type="dxa"/>
            </w:tcMar>
            <w:vAlign w:val="center"/>
            <w:hideMark/>
          </w:tcPr>
          <w:p w:rsidR="000F236F" w:rsidRDefault="000F236F" w:rsidP="00DB5405">
            <w:pPr>
              <w:jc w:val="right"/>
              <w:rPr>
                <w:rFonts w:ascii="Garamond" w:hAnsi="Garamond" w:cs="Calibri"/>
                <w:color w:val="000000"/>
                <w:sz w:val="20"/>
                <w:szCs w:val="20"/>
              </w:rPr>
            </w:pPr>
            <w:r>
              <w:rPr>
                <w:rFonts w:ascii="Garamond" w:hAnsi="Garamond" w:cs="Calibri"/>
                <w:color w:val="000000"/>
                <w:sz w:val="20"/>
                <w:szCs w:val="20"/>
              </w:rPr>
              <w:t>NA</w:t>
            </w:r>
          </w:p>
        </w:tc>
        <w:tc>
          <w:tcPr>
            <w:tcW w:w="1060" w:type="dxa"/>
            <w:tcBorders>
              <w:top w:val="nil"/>
              <w:left w:val="nil"/>
              <w:bottom w:val="nil"/>
              <w:right w:val="nil"/>
            </w:tcBorders>
            <w:shd w:val="clear" w:color="auto" w:fill="auto"/>
            <w:tcMar>
              <w:top w:w="15" w:type="dxa"/>
              <w:left w:w="15" w:type="dxa"/>
              <w:bottom w:w="0" w:type="dxa"/>
              <w:right w:w="15" w:type="dxa"/>
            </w:tcMar>
            <w:vAlign w:val="center"/>
            <w:hideMark/>
          </w:tcPr>
          <w:p w:rsidR="000F236F" w:rsidRDefault="000F236F" w:rsidP="00DB5405">
            <w:pPr>
              <w:jc w:val="right"/>
              <w:rPr>
                <w:rFonts w:ascii="Garamond" w:hAnsi="Garamond" w:cs="Calibri"/>
                <w:color w:val="000000"/>
                <w:sz w:val="20"/>
                <w:szCs w:val="20"/>
              </w:rPr>
            </w:pPr>
            <w:r>
              <w:rPr>
                <w:rFonts w:ascii="Garamond" w:hAnsi="Garamond" w:cs="Calibri"/>
                <w:color w:val="000000"/>
                <w:sz w:val="20"/>
                <w:szCs w:val="20"/>
              </w:rPr>
              <w:t>29,274</w:t>
            </w:r>
          </w:p>
        </w:tc>
        <w:tc>
          <w:tcPr>
            <w:tcW w:w="1060" w:type="dxa"/>
            <w:tcBorders>
              <w:top w:val="nil"/>
              <w:left w:val="single" w:sz="8" w:space="0" w:color="auto"/>
              <w:bottom w:val="nil"/>
              <w:right w:val="single" w:sz="8" w:space="0" w:color="auto"/>
            </w:tcBorders>
            <w:shd w:val="clear" w:color="auto" w:fill="auto"/>
            <w:tcMar>
              <w:top w:w="15" w:type="dxa"/>
              <w:left w:w="15" w:type="dxa"/>
              <w:bottom w:w="0" w:type="dxa"/>
              <w:right w:w="15" w:type="dxa"/>
            </w:tcMar>
            <w:vAlign w:val="center"/>
            <w:hideMark/>
          </w:tcPr>
          <w:p w:rsidR="000F236F" w:rsidRDefault="000F236F" w:rsidP="00DB5405">
            <w:pPr>
              <w:jc w:val="right"/>
              <w:rPr>
                <w:rFonts w:ascii="Garamond" w:hAnsi="Garamond" w:cs="Calibri"/>
                <w:color w:val="000000"/>
                <w:sz w:val="20"/>
                <w:szCs w:val="20"/>
              </w:rPr>
            </w:pPr>
            <w:r>
              <w:rPr>
                <w:rFonts w:ascii="Garamond" w:hAnsi="Garamond" w:cs="Calibri"/>
                <w:color w:val="000000"/>
                <w:sz w:val="20"/>
                <w:szCs w:val="20"/>
              </w:rPr>
              <w:t>NA</w:t>
            </w:r>
          </w:p>
        </w:tc>
        <w:tc>
          <w:tcPr>
            <w:tcW w:w="1060" w:type="dxa"/>
            <w:tcBorders>
              <w:top w:val="nil"/>
              <w:left w:val="nil"/>
              <w:bottom w:val="nil"/>
              <w:right w:val="nil"/>
            </w:tcBorders>
            <w:shd w:val="clear" w:color="auto" w:fill="auto"/>
            <w:tcMar>
              <w:top w:w="15" w:type="dxa"/>
              <w:left w:w="15" w:type="dxa"/>
              <w:bottom w:w="0" w:type="dxa"/>
              <w:right w:w="15" w:type="dxa"/>
            </w:tcMar>
            <w:vAlign w:val="center"/>
            <w:hideMark/>
          </w:tcPr>
          <w:p w:rsidR="000F236F" w:rsidRDefault="000F236F" w:rsidP="00DB5405">
            <w:pPr>
              <w:jc w:val="right"/>
              <w:rPr>
                <w:rFonts w:ascii="Garamond" w:hAnsi="Garamond" w:cs="Calibri"/>
                <w:color w:val="000000"/>
                <w:sz w:val="20"/>
                <w:szCs w:val="20"/>
              </w:rPr>
            </w:pPr>
            <w:r>
              <w:rPr>
                <w:rFonts w:ascii="Garamond" w:hAnsi="Garamond" w:cs="Calibri"/>
                <w:color w:val="000000"/>
                <w:sz w:val="20"/>
                <w:szCs w:val="20"/>
              </w:rPr>
              <w:t>NA</w:t>
            </w:r>
          </w:p>
        </w:tc>
        <w:tc>
          <w:tcPr>
            <w:tcW w:w="1060" w:type="dxa"/>
            <w:tcBorders>
              <w:top w:val="nil"/>
              <w:left w:val="single" w:sz="8" w:space="0" w:color="auto"/>
              <w:bottom w:val="nil"/>
              <w:right w:val="single" w:sz="8" w:space="0" w:color="auto"/>
            </w:tcBorders>
            <w:shd w:val="clear" w:color="auto" w:fill="auto"/>
            <w:tcMar>
              <w:top w:w="15" w:type="dxa"/>
              <w:left w:w="15" w:type="dxa"/>
              <w:bottom w:w="0" w:type="dxa"/>
              <w:right w:w="15" w:type="dxa"/>
            </w:tcMar>
            <w:vAlign w:val="center"/>
            <w:hideMark/>
          </w:tcPr>
          <w:p w:rsidR="000F236F" w:rsidRDefault="000F236F" w:rsidP="00DB5405">
            <w:pPr>
              <w:jc w:val="right"/>
              <w:rPr>
                <w:rFonts w:ascii="Garamond" w:hAnsi="Garamond" w:cs="Calibri"/>
                <w:color w:val="000000"/>
                <w:sz w:val="20"/>
                <w:szCs w:val="20"/>
              </w:rPr>
            </w:pPr>
            <w:r>
              <w:rPr>
                <w:rFonts w:ascii="Garamond" w:hAnsi="Garamond" w:cs="Calibri"/>
                <w:color w:val="000000"/>
                <w:sz w:val="20"/>
                <w:szCs w:val="20"/>
              </w:rPr>
              <w:t>NA</w:t>
            </w:r>
          </w:p>
        </w:tc>
      </w:tr>
      <w:tr w:rsidR="000F236F" w:rsidTr="00DB5405">
        <w:trPr>
          <w:trHeight w:val="243"/>
        </w:trPr>
        <w:tc>
          <w:tcPr>
            <w:tcW w:w="3433" w:type="dxa"/>
            <w:tcBorders>
              <w:top w:val="nil"/>
              <w:left w:val="single" w:sz="8" w:space="0" w:color="auto"/>
              <w:bottom w:val="nil"/>
              <w:right w:val="single" w:sz="8" w:space="0" w:color="auto"/>
            </w:tcBorders>
            <w:shd w:val="clear" w:color="000000" w:fill="B4C6E7"/>
            <w:tcMar>
              <w:top w:w="15" w:type="dxa"/>
              <w:left w:w="15" w:type="dxa"/>
              <w:bottom w:w="0" w:type="dxa"/>
              <w:right w:w="15" w:type="dxa"/>
            </w:tcMar>
            <w:vAlign w:val="center"/>
            <w:hideMark/>
          </w:tcPr>
          <w:p w:rsidR="000F236F" w:rsidRDefault="000F236F" w:rsidP="00DB5405">
            <w:pPr>
              <w:rPr>
                <w:rFonts w:ascii="Garamond" w:hAnsi="Garamond" w:cs="Calibri"/>
                <w:color w:val="000000"/>
                <w:sz w:val="20"/>
                <w:szCs w:val="20"/>
              </w:rPr>
            </w:pPr>
            <w:r>
              <w:rPr>
                <w:rFonts w:ascii="Garamond" w:hAnsi="Garamond" w:cs="Calibri"/>
                <w:color w:val="000000"/>
                <w:sz w:val="20"/>
                <w:szCs w:val="20"/>
              </w:rPr>
              <w:t>Taiwan Futures Exchange</w:t>
            </w:r>
          </w:p>
        </w:tc>
        <w:tc>
          <w:tcPr>
            <w:tcW w:w="1060" w:type="dxa"/>
            <w:tcBorders>
              <w:top w:val="nil"/>
              <w:left w:val="nil"/>
              <w:bottom w:val="nil"/>
              <w:right w:val="single" w:sz="8" w:space="0" w:color="auto"/>
            </w:tcBorders>
            <w:shd w:val="clear" w:color="auto" w:fill="auto"/>
            <w:tcMar>
              <w:top w:w="15" w:type="dxa"/>
              <w:left w:w="15" w:type="dxa"/>
              <w:bottom w:w="0" w:type="dxa"/>
              <w:right w:w="15" w:type="dxa"/>
            </w:tcMar>
            <w:vAlign w:val="center"/>
            <w:hideMark/>
          </w:tcPr>
          <w:p w:rsidR="000F236F" w:rsidRDefault="000F236F" w:rsidP="00DB5405">
            <w:pPr>
              <w:jc w:val="right"/>
              <w:rPr>
                <w:rFonts w:ascii="Garamond" w:hAnsi="Garamond" w:cs="Calibri"/>
                <w:color w:val="000000"/>
                <w:sz w:val="20"/>
                <w:szCs w:val="20"/>
              </w:rPr>
            </w:pPr>
            <w:r>
              <w:rPr>
                <w:rFonts w:ascii="Garamond" w:hAnsi="Garamond" w:cs="Calibri"/>
                <w:color w:val="000000"/>
                <w:sz w:val="20"/>
                <w:szCs w:val="20"/>
              </w:rPr>
              <w:t>21,85,563</w:t>
            </w:r>
          </w:p>
        </w:tc>
        <w:tc>
          <w:tcPr>
            <w:tcW w:w="1060" w:type="dxa"/>
            <w:tcBorders>
              <w:top w:val="nil"/>
              <w:left w:val="nil"/>
              <w:bottom w:val="nil"/>
              <w:right w:val="single" w:sz="8" w:space="0" w:color="auto"/>
            </w:tcBorders>
            <w:shd w:val="clear" w:color="auto" w:fill="auto"/>
            <w:tcMar>
              <w:top w:w="15" w:type="dxa"/>
              <w:left w:w="15" w:type="dxa"/>
              <w:bottom w:w="0" w:type="dxa"/>
              <w:right w:w="15" w:type="dxa"/>
            </w:tcMar>
            <w:vAlign w:val="center"/>
            <w:hideMark/>
          </w:tcPr>
          <w:p w:rsidR="000F236F" w:rsidRDefault="000F236F" w:rsidP="00DB5405">
            <w:pPr>
              <w:jc w:val="right"/>
              <w:rPr>
                <w:rFonts w:ascii="Garamond" w:hAnsi="Garamond" w:cs="Calibri"/>
                <w:color w:val="000000"/>
                <w:sz w:val="20"/>
                <w:szCs w:val="20"/>
              </w:rPr>
            </w:pPr>
            <w:r>
              <w:rPr>
                <w:rFonts w:ascii="Garamond" w:hAnsi="Garamond" w:cs="Calibri"/>
                <w:color w:val="000000"/>
                <w:sz w:val="20"/>
                <w:szCs w:val="20"/>
              </w:rPr>
              <w:t>21433.49</w:t>
            </w:r>
          </w:p>
        </w:tc>
        <w:tc>
          <w:tcPr>
            <w:tcW w:w="1060" w:type="dxa"/>
            <w:tcBorders>
              <w:top w:val="nil"/>
              <w:left w:val="nil"/>
              <w:bottom w:val="nil"/>
              <w:right w:val="nil"/>
            </w:tcBorders>
            <w:shd w:val="clear" w:color="auto" w:fill="auto"/>
            <w:tcMar>
              <w:top w:w="15" w:type="dxa"/>
              <w:left w:w="15" w:type="dxa"/>
              <w:bottom w:w="0" w:type="dxa"/>
              <w:right w:w="15" w:type="dxa"/>
            </w:tcMar>
            <w:vAlign w:val="center"/>
            <w:hideMark/>
          </w:tcPr>
          <w:p w:rsidR="000F236F" w:rsidRDefault="000F236F" w:rsidP="00DB5405">
            <w:pPr>
              <w:jc w:val="right"/>
              <w:rPr>
                <w:rFonts w:ascii="Garamond" w:hAnsi="Garamond" w:cs="Calibri"/>
                <w:color w:val="000000"/>
                <w:sz w:val="20"/>
                <w:szCs w:val="20"/>
              </w:rPr>
            </w:pPr>
            <w:r>
              <w:rPr>
                <w:rFonts w:ascii="Garamond" w:hAnsi="Garamond" w:cs="Calibri"/>
                <w:color w:val="000000"/>
                <w:sz w:val="20"/>
                <w:szCs w:val="20"/>
              </w:rPr>
              <w:t>1,80,912</w:t>
            </w:r>
          </w:p>
        </w:tc>
        <w:tc>
          <w:tcPr>
            <w:tcW w:w="1060" w:type="dxa"/>
            <w:tcBorders>
              <w:top w:val="nil"/>
              <w:left w:val="single" w:sz="8" w:space="0" w:color="auto"/>
              <w:bottom w:val="nil"/>
              <w:right w:val="single" w:sz="8" w:space="0" w:color="auto"/>
            </w:tcBorders>
            <w:shd w:val="clear" w:color="auto" w:fill="auto"/>
            <w:tcMar>
              <w:top w:w="15" w:type="dxa"/>
              <w:left w:w="15" w:type="dxa"/>
              <w:bottom w:w="0" w:type="dxa"/>
              <w:right w:w="15" w:type="dxa"/>
            </w:tcMar>
            <w:vAlign w:val="center"/>
            <w:hideMark/>
          </w:tcPr>
          <w:p w:rsidR="000F236F" w:rsidRDefault="000F236F" w:rsidP="00DB5405">
            <w:pPr>
              <w:jc w:val="right"/>
              <w:rPr>
                <w:rFonts w:ascii="Garamond" w:hAnsi="Garamond" w:cs="Calibri"/>
                <w:color w:val="000000"/>
                <w:sz w:val="20"/>
                <w:szCs w:val="20"/>
              </w:rPr>
            </w:pPr>
            <w:r>
              <w:rPr>
                <w:rFonts w:ascii="Garamond" w:hAnsi="Garamond" w:cs="Calibri"/>
                <w:color w:val="000000"/>
                <w:sz w:val="20"/>
                <w:szCs w:val="20"/>
              </w:rPr>
              <w:t>10,157</w:t>
            </w:r>
          </w:p>
        </w:tc>
        <w:tc>
          <w:tcPr>
            <w:tcW w:w="1060" w:type="dxa"/>
            <w:tcBorders>
              <w:top w:val="nil"/>
              <w:left w:val="nil"/>
              <w:bottom w:val="nil"/>
              <w:right w:val="nil"/>
            </w:tcBorders>
            <w:shd w:val="clear" w:color="auto" w:fill="auto"/>
            <w:tcMar>
              <w:top w:w="15" w:type="dxa"/>
              <w:left w:w="15" w:type="dxa"/>
              <w:bottom w:w="0" w:type="dxa"/>
              <w:right w:w="15" w:type="dxa"/>
            </w:tcMar>
            <w:vAlign w:val="center"/>
            <w:hideMark/>
          </w:tcPr>
          <w:p w:rsidR="000F236F" w:rsidRDefault="000F236F" w:rsidP="00DB5405">
            <w:pPr>
              <w:jc w:val="right"/>
              <w:rPr>
                <w:rFonts w:ascii="Garamond" w:hAnsi="Garamond" w:cs="Calibri"/>
                <w:color w:val="000000"/>
                <w:sz w:val="20"/>
                <w:szCs w:val="20"/>
              </w:rPr>
            </w:pPr>
            <w:r>
              <w:rPr>
                <w:rFonts w:ascii="Garamond" w:hAnsi="Garamond" w:cs="Calibri"/>
                <w:color w:val="000000"/>
                <w:sz w:val="20"/>
                <w:szCs w:val="20"/>
              </w:rPr>
              <w:t>73</w:t>
            </w:r>
          </w:p>
        </w:tc>
        <w:tc>
          <w:tcPr>
            <w:tcW w:w="1060" w:type="dxa"/>
            <w:tcBorders>
              <w:top w:val="nil"/>
              <w:left w:val="single" w:sz="8" w:space="0" w:color="auto"/>
              <w:bottom w:val="nil"/>
              <w:right w:val="single" w:sz="8" w:space="0" w:color="auto"/>
            </w:tcBorders>
            <w:shd w:val="clear" w:color="auto" w:fill="auto"/>
            <w:tcMar>
              <w:top w:w="15" w:type="dxa"/>
              <w:left w:w="15" w:type="dxa"/>
              <w:bottom w:w="0" w:type="dxa"/>
              <w:right w:w="15" w:type="dxa"/>
            </w:tcMar>
            <w:vAlign w:val="center"/>
            <w:hideMark/>
          </w:tcPr>
          <w:p w:rsidR="000F236F" w:rsidRDefault="000F236F" w:rsidP="00DB5405">
            <w:pPr>
              <w:jc w:val="right"/>
              <w:rPr>
                <w:rFonts w:ascii="Garamond" w:hAnsi="Garamond" w:cs="Calibri"/>
                <w:color w:val="000000"/>
                <w:sz w:val="20"/>
                <w:szCs w:val="20"/>
              </w:rPr>
            </w:pPr>
            <w:r>
              <w:rPr>
                <w:rFonts w:ascii="Garamond" w:hAnsi="Garamond" w:cs="Calibri"/>
                <w:color w:val="000000"/>
                <w:sz w:val="20"/>
                <w:szCs w:val="20"/>
              </w:rPr>
              <w:t>4,031</w:t>
            </w:r>
          </w:p>
        </w:tc>
      </w:tr>
      <w:tr w:rsidR="000F236F" w:rsidTr="00DB5405">
        <w:trPr>
          <w:trHeight w:val="243"/>
        </w:trPr>
        <w:tc>
          <w:tcPr>
            <w:tcW w:w="3433" w:type="dxa"/>
            <w:tcBorders>
              <w:top w:val="nil"/>
              <w:left w:val="single" w:sz="8" w:space="0" w:color="auto"/>
              <w:bottom w:val="nil"/>
              <w:right w:val="single" w:sz="8" w:space="0" w:color="auto"/>
            </w:tcBorders>
            <w:shd w:val="clear" w:color="000000" w:fill="B4C6E7"/>
            <w:tcMar>
              <w:top w:w="15" w:type="dxa"/>
              <w:left w:w="15" w:type="dxa"/>
              <w:bottom w:w="0" w:type="dxa"/>
              <w:right w:w="15" w:type="dxa"/>
            </w:tcMar>
            <w:vAlign w:val="center"/>
            <w:hideMark/>
          </w:tcPr>
          <w:p w:rsidR="000F236F" w:rsidRDefault="000F236F" w:rsidP="00DB5405">
            <w:pPr>
              <w:rPr>
                <w:rFonts w:ascii="Garamond" w:hAnsi="Garamond" w:cs="Calibri"/>
                <w:color w:val="000000"/>
                <w:sz w:val="20"/>
                <w:szCs w:val="20"/>
              </w:rPr>
            </w:pPr>
            <w:r>
              <w:rPr>
                <w:rFonts w:ascii="Garamond" w:hAnsi="Garamond" w:cs="Calibri"/>
                <w:color w:val="000000"/>
                <w:sz w:val="20"/>
                <w:szCs w:val="20"/>
              </w:rPr>
              <w:t>Thailand Futures Exchange</w:t>
            </w:r>
          </w:p>
        </w:tc>
        <w:tc>
          <w:tcPr>
            <w:tcW w:w="1060" w:type="dxa"/>
            <w:tcBorders>
              <w:top w:val="nil"/>
              <w:left w:val="nil"/>
              <w:bottom w:val="nil"/>
              <w:right w:val="single" w:sz="8" w:space="0" w:color="auto"/>
            </w:tcBorders>
            <w:shd w:val="clear" w:color="auto" w:fill="auto"/>
            <w:tcMar>
              <w:top w:w="15" w:type="dxa"/>
              <w:left w:w="15" w:type="dxa"/>
              <w:bottom w:w="0" w:type="dxa"/>
              <w:right w:w="15" w:type="dxa"/>
            </w:tcMar>
            <w:vAlign w:val="center"/>
            <w:hideMark/>
          </w:tcPr>
          <w:p w:rsidR="000F236F" w:rsidRDefault="000F236F" w:rsidP="00DB5405">
            <w:pPr>
              <w:jc w:val="right"/>
              <w:rPr>
                <w:rFonts w:ascii="Garamond" w:hAnsi="Garamond" w:cs="Calibri"/>
                <w:color w:val="000000"/>
                <w:sz w:val="20"/>
                <w:szCs w:val="20"/>
              </w:rPr>
            </w:pPr>
            <w:r>
              <w:rPr>
                <w:rFonts w:ascii="Garamond" w:hAnsi="Garamond" w:cs="Calibri"/>
                <w:color w:val="000000"/>
                <w:sz w:val="20"/>
                <w:szCs w:val="20"/>
              </w:rPr>
              <w:t>20,61,861</w:t>
            </w:r>
          </w:p>
        </w:tc>
        <w:tc>
          <w:tcPr>
            <w:tcW w:w="1060" w:type="dxa"/>
            <w:tcBorders>
              <w:top w:val="nil"/>
              <w:left w:val="nil"/>
              <w:bottom w:val="nil"/>
              <w:right w:val="single" w:sz="8" w:space="0" w:color="auto"/>
            </w:tcBorders>
            <w:shd w:val="clear" w:color="auto" w:fill="auto"/>
            <w:tcMar>
              <w:top w:w="15" w:type="dxa"/>
              <w:left w:w="15" w:type="dxa"/>
              <w:bottom w:w="0" w:type="dxa"/>
              <w:right w:w="15" w:type="dxa"/>
            </w:tcMar>
            <w:vAlign w:val="center"/>
            <w:hideMark/>
          </w:tcPr>
          <w:p w:rsidR="000F236F" w:rsidRDefault="000F236F" w:rsidP="00DB5405">
            <w:pPr>
              <w:jc w:val="right"/>
              <w:rPr>
                <w:rFonts w:ascii="Garamond" w:hAnsi="Garamond" w:cs="Calibri"/>
                <w:color w:val="000000"/>
                <w:sz w:val="20"/>
                <w:szCs w:val="20"/>
              </w:rPr>
            </w:pPr>
            <w:r>
              <w:rPr>
                <w:rFonts w:ascii="Garamond" w:hAnsi="Garamond" w:cs="Calibri"/>
                <w:color w:val="000000"/>
                <w:sz w:val="20"/>
                <w:szCs w:val="20"/>
              </w:rPr>
              <w:t>NA</w:t>
            </w:r>
          </w:p>
        </w:tc>
        <w:tc>
          <w:tcPr>
            <w:tcW w:w="1060" w:type="dxa"/>
            <w:tcBorders>
              <w:top w:val="nil"/>
              <w:left w:val="nil"/>
              <w:bottom w:val="nil"/>
              <w:right w:val="nil"/>
            </w:tcBorders>
            <w:shd w:val="clear" w:color="auto" w:fill="auto"/>
            <w:tcMar>
              <w:top w:w="15" w:type="dxa"/>
              <w:left w:w="15" w:type="dxa"/>
              <w:bottom w:w="0" w:type="dxa"/>
              <w:right w:w="15" w:type="dxa"/>
            </w:tcMar>
            <w:vAlign w:val="center"/>
            <w:hideMark/>
          </w:tcPr>
          <w:p w:rsidR="000F236F" w:rsidRDefault="000F236F" w:rsidP="00DB5405">
            <w:pPr>
              <w:jc w:val="right"/>
              <w:rPr>
                <w:rFonts w:ascii="Garamond" w:hAnsi="Garamond" w:cs="Calibri"/>
                <w:color w:val="000000"/>
                <w:sz w:val="20"/>
                <w:szCs w:val="20"/>
              </w:rPr>
            </w:pPr>
            <w:r>
              <w:rPr>
                <w:rFonts w:ascii="Garamond" w:hAnsi="Garamond" w:cs="Calibri"/>
                <w:color w:val="000000"/>
                <w:sz w:val="20"/>
                <w:szCs w:val="20"/>
              </w:rPr>
              <w:t>12,77,511</w:t>
            </w:r>
          </w:p>
        </w:tc>
        <w:tc>
          <w:tcPr>
            <w:tcW w:w="1060" w:type="dxa"/>
            <w:tcBorders>
              <w:top w:val="nil"/>
              <w:left w:val="single" w:sz="8" w:space="0" w:color="auto"/>
              <w:bottom w:val="nil"/>
              <w:right w:val="single" w:sz="8" w:space="0" w:color="auto"/>
            </w:tcBorders>
            <w:shd w:val="clear" w:color="auto" w:fill="auto"/>
            <w:tcMar>
              <w:top w:w="15" w:type="dxa"/>
              <w:left w:w="15" w:type="dxa"/>
              <w:bottom w:w="0" w:type="dxa"/>
              <w:right w:w="15" w:type="dxa"/>
            </w:tcMar>
            <w:vAlign w:val="center"/>
            <w:hideMark/>
          </w:tcPr>
          <w:p w:rsidR="000F236F" w:rsidRDefault="000F236F" w:rsidP="00DB5405">
            <w:pPr>
              <w:jc w:val="right"/>
              <w:rPr>
                <w:rFonts w:ascii="Garamond" w:hAnsi="Garamond" w:cs="Calibri"/>
                <w:color w:val="000000"/>
                <w:sz w:val="20"/>
                <w:szCs w:val="20"/>
              </w:rPr>
            </w:pPr>
            <w:r>
              <w:rPr>
                <w:rFonts w:ascii="Garamond" w:hAnsi="Garamond" w:cs="Calibri"/>
                <w:color w:val="000000"/>
                <w:sz w:val="20"/>
                <w:szCs w:val="20"/>
              </w:rPr>
              <w:t>NA</w:t>
            </w:r>
          </w:p>
        </w:tc>
        <w:tc>
          <w:tcPr>
            <w:tcW w:w="1060" w:type="dxa"/>
            <w:tcBorders>
              <w:top w:val="nil"/>
              <w:left w:val="nil"/>
              <w:bottom w:val="nil"/>
              <w:right w:val="nil"/>
            </w:tcBorders>
            <w:shd w:val="clear" w:color="auto" w:fill="auto"/>
            <w:tcMar>
              <w:top w:w="15" w:type="dxa"/>
              <w:left w:w="15" w:type="dxa"/>
              <w:bottom w:w="0" w:type="dxa"/>
              <w:right w:w="15" w:type="dxa"/>
            </w:tcMar>
            <w:vAlign w:val="center"/>
            <w:hideMark/>
          </w:tcPr>
          <w:p w:rsidR="000F236F" w:rsidRDefault="000F236F" w:rsidP="00DB5405">
            <w:pPr>
              <w:jc w:val="right"/>
              <w:rPr>
                <w:rFonts w:ascii="Garamond" w:hAnsi="Garamond" w:cs="Calibri"/>
                <w:color w:val="000000"/>
                <w:sz w:val="20"/>
                <w:szCs w:val="20"/>
              </w:rPr>
            </w:pPr>
            <w:r>
              <w:rPr>
                <w:rFonts w:ascii="Garamond" w:hAnsi="Garamond" w:cs="Calibri"/>
                <w:color w:val="000000"/>
                <w:sz w:val="20"/>
                <w:szCs w:val="20"/>
              </w:rPr>
              <w:t>NA</w:t>
            </w:r>
          </w:p>
        </w:tc>
        <w:tc>
          <w:tcPr>
            <w:tcW w:w="1060" w:type="dxa"/>
            <w:tcBorders>
              <w:top w:val="nil"/>
              <w:left w:val="single" w:sz="8" w:space="0" w:color="auto"/>
              <w:bottom w:val="nil"/>
              <w:right w:val="single" w:sz="8" w:space="0" w:color="auto"/>
            </w:tcBorders>
            <w:shd w:val="clear" w:color="auto" w:fill="auto"/>
            <w:tcMar>
              <w:top w:w="15" w:type="dxa"/>
              <w:left w:w="15" w:type="dxa"/>
              <w:bottom w:w="0" w:type="dxa"/>
              <w:right w:w="15" w:type="dxa"/>
            </w:tcMar>
            <w:vAlign w:val="center"/>
            <w:hideMark/>
          </w:tcPr>
          <w:p w:rsidR="000F236F" w:rsidRDefault="000F236F" w:rsidP="00DB5405">
            <w:pPr>
              <w:jc w:val="right"/>
              <w:rPr>
                <w:rFonts w:ascii="Garamond" w:hAnsi="Garamond" w:cs="Calibri"/>
                <w:color w:val="000000"/>
                <w:sz w:val="20"/>
                <w:szCs w:val="20"/>
              </w:rPr>
            </w:pPr>
            <w:r>
              <w:rPr>
                <w:rFonts w:ascii="Garamond" w:hAnsi="Garamond" w:cs="Calibri"/>
                <w:color w:val="000000"/>
                <w:sz w:val="20"/>
                <w:szCs w:val="20"/>
              </w:rPr>
              <w:t>NA</w:t>
            </w:r>
          </w:p>
        </w:tc>
      </w:tr>
      <w:tr w:rsidR="000F236F" w:rsidTr="00DB5405">
        <w:trPr>
          <w:trHeight w:val="243"/>
        </w:trPr>
        <w:tc>
          <w:tcPr>
            <w:tcW w:w="3433" w:type="dxa"/>
            <w:tcBorders>
              <w:top w:val="nil"/>
              <w:left w:val="single" w:sz="8" w:space="0" w:color="auto"/>
              <w:bottom w:val="nil"/>
              <w:right w:val="single" w:sz="8" w:space="0" w:color="auto"/>
            </w:tcBorders>
            <w:shd w:val="clear" w:color="000000" w:fill="B4C6E7"/>
            <w:tcMar>
              <w:top w:w="15" w:type="dxa"/>
              <w:left w:w="15" w:type="dxa"/>
              <w:bottom w:w="0" w:type="dxa"/>
              <w:right w:w="15" w:type="dxa"/>
            </w:tcMar>
            <w:vAlign w:val="center"/>
            <w:hideMark/>
          </w:tcPr>
          <w:p w:rsidR="000F236F" w:rsidRDefault="000F236F" w:rsidP="00DB5405">
            <w:pPr>
              <w:rPr>
                <w:rFonts w:ascii="Garamond" w:hAnsi="Garamond" w:cs="Calibri"/>
                <w:color w:val="000000"/>
                <w:sz w:val="20"/>
                <w:szCs w:val="20"/>
              </w:rPr>
            </w:pPr>
            <w:r>
              <w:rPr>
                <w:rFonts w:ascii="Garamond" w:hAnsi="Garamond" w:cs="Calibri"/>
                <w:color w:val="000000"/>
                <w:sz w:val="20"/>
                <w:szCs w:val="20"/>
              </w:rPr>
              <w:t>Athens Stock Exchange</w:t>
            </w:r>
          </w:p>
        </w:tc>
        <w:tc>
          <w:tcPr>
            <w:tcW w:w="1060" w:type="dxa"/>
            <w:tcBorders>
              <w:top w:val="nil"/>
              <w:left w:val="nil"/>
              <w:bottom w:val="nil"/>
              <w:right w:val="single" w:sz="8" w:space="0" w:color="auto"/>
            </w:tcBorders>
            <w:shd w:val="clear" w:color="auto" w:fill="auto"/>
            <w:tcMar>
              <w:top w:w="15" w:type="dxa"/>
              <w:left w:w="15" w:type="dxa"/>
              <w:bottom w:w="0" w:type="dxa"/>
              <w:right w:w="15" w:type="dxa"/>
            </w:tcMar>
            <w:vAlign w:val="center"/>
            <w:hideMark/>
          </w:tcPr>
          <w:p w:rsidR="000F236F" w:rsidRDefault="000F236F" w:rsidP="00DB5405">
            <w:pPr>
              <w:jc w:val="right"/>
              <w:rPr>
                <w:rFonts w:ascii="Garamond" w:hAnsi="Garamond" w:cs="Calibri"/>
                <w:color w:val="000000"/>
                <w:sz w:val="20"/>
                <w:szCs w:val="20"/>
              </w:rPr>
            </w:pPr>
            <w:r>
              <w:rPr>
                <w:rFonts w:ascii="Garamond" w:hAnsi="Garamond" w:cs="Calibri"/>
                <w:color w:val="000000"/>
                <w:sz w:val="20"/>
                <w:szCs w:val="20"/>
              </w:rPr>
              <w:t>3,60,779</w:t>
            </w:r>
          </w:p>
        </w:tc>
        <w:tc>
          <w:tcPr>
            <w:tcW w:w="1060" w:type="dxa"/>
            <w:tcBorders>
              <w:top w:val="nil"/>
              <w:left w:val="nil"/>
              <w:bottom w:val="nil"/>
              <w:right w:val="single" w:sz="8" w:space="0" w:color="auto"/>
            </w:tcBorders>
            <w:shd w:val="clear" w:color="auto" w:fill="auto"/>
            <w:tcMar>
              <w:top w:w="15" w:type="dxa"/>
              <w:left w:w="15" w:type="dxa"/>
              <w:bottom w:w="0" w:type="dxa"/>
              <w:right w:w="15" w:type="dxa"/>
            </w:tcMar>
            <w:vAlign w:val="center"/>
            <w:hideMark/>
          </w:tcPr>
          <w:p w:rsidR="000F236F" w:rsidRDefault="000F236F" w:rsidP="00DB5405">
            <w:pPr>
              <w:jc w:val="right"/>
              <w:rPr>
                <w:rFonts w:ascii="Garamond" w:hAnsi="Garamond" w:cs="Calibri"/>
                <w:color w:val="000000"/>
                <w:sz w:val="20"/>
                <w:szCs w:val="20"/>
              </w:rPr>
            </w:pPr>
            <w:r>
              <w:rPr>
                <w:rFonts w:ascii="Garamond" w:hAnsi="Garamond" w:cs="Calibri"/>
                <w:color w:val="000000"/>
                <w:sz w:val="20"/>
                <w:szCs w:val="20"/>
              </w:rPr>
              <w:t>56.05</w:t>
            </w:r>
          </w:p>
        </w:tc>
        <w:tc>
          <w:tcPr>
            <w:tcW w:w="1060" w:type="dxa"/>
            <w:tcBorders>
              <w:top w:val="nil"/>
              <w:left w:val="nil"/>
              <w:bottom w:val="nil"/>
              <w:right w:val="nil"/>
            </w:tcBorders>
            <w:shd w:val="clear" w:color="auto" w:fill="auto"/>
            <w:tcMar>
              <w:top w:w="15" w:type="dxa"/>
              <w:left w:w="15" w:type="dxa"/>
              <w:bottom w:w="0" w:type="dxa"/>
              <w:right w:w="15" w:type="dxa"/>
            </w:tcMar>
            <w:vAlign w:val="center"/>
            <w:hideMark/>
          </w:tcPr>
          <w:p w:rsidR="000F236F" w:rsidRDefault="000F236F" w:rsidP="00DB5405">
            <w:pPr>
              <w:jc w:val="right"/>
              <w:rPr>
                <w:rFonts w:ascii="Garamond" w:hAnsi="Garamond" w:cs="Calibri"/>
                <w:color w:val="000000"/>
                <w:sz w:val="20"/>
                <w:szCs w:val="20"/>
              </w:rPr>
            </w:pPr>
            <w:r>
              <w:rPr>
                <w:rFonts w:ascii="Garamond" w:hAnsi="Garamond" w:cs="Calibri"/>
                <w:color w:val="000000"/>
                <w:sz w:val="20"/>
                <w:szCs w:val="20"/>
              </w:rPr>
              <w:t>2,76,658</w:t>
            </w:r>
          </w:p>
        </w:tc>
        <w:tc>
          <w:tcPr>
            <w:tcW w:w="1060" w:type="dxa"/>
            <w:tcBorders>
              <w:top w:val="nil"/>
              <w:left w:val="single" w:sz="8" w:space="0" w:color="auto"/>
              <w:bottom w:val="nil"/>
              <w:right w:val="single" w:sz="8" w:space="0" w:color="auto"/>
            </w:tcBorders>
            <w:shd w:val="clear" w:color="auto" w:fill="auto"/>
            <w:tcMar>
              <w:top w:w="15" w:type="dxa"/>
              <w:left w:w="15" w:type="dxa"/>
              <w:bottom w:w="0" w:type="dxa"/>
              <w:right w:w="15" w:type="dxa"/>
            </w:tcMar>
            <w:vAlign w:val="center"/>
            <w:hideMark/>
          </w:tcPr>
          <w:p w:rsidR="000F236F" w:rsidRDefault="000F236F" w:rsidP="00DB5405">
            <w:pPr>
              <w:jc w:val="right"/>
              <w:rPr>
                <w:rFonts w:ascii="Garamond" w:hAnsi="Garamond" w:cs="Calibri"/>
                <w:color w:val="000000"/>
                <w:sz w:val="20"/>
                <w:szCs w:val="20"/>
              </w:rPr>
            </w:pPr>
            <w:r>
              <w:rPr>
                <w:rFonts w:ascii="Garamond" w:hAnsi="Garamond" w:cs="Calibri"/>
                <w:color w:val="000000"/>
                <w:sz w:val="20"/>
                <w:szCs w:val="20"/>
              </w:rPr>
              <w:t>374</w:t>
            </w:r>
          </w:p>
        </w:tc>
        <w:tc>
          <w:tcPr>
            <w:tcW w:w="1060" w:type="dxa"/>
            <w:tcBorders>
              <w:top w:val="nil"/>
              <w:left w:val="nil"/>
              <w:bottom w:val="nil"/>
              <w:right w:val="nil"/>
            </w:tcBorders>
            <w:shd w:val="clear" w:color="auto" w:fill="auto"/>
            <w:tcMar>
              <w:top w:w="15" w:type="dxa"/>
              <w:left w:w="15" w:type="dxa"/>
              <w:bottom w:w="0" w:type="dxa"/>
              <w:right w:w="15" w:type="dxa"/>
            </w:tcMar>
            <w:vAlign w:val="center"/>
            <w:hideMark/>
          </w:tcPr>
          <w:p w:rsidR="000F236F" w:rsidRDefault="000F236F" w:rsidP="00DB5405">
            <w:pPr>
              <w:jc w:val="right"/>
              <w:rPr>
                <w:rFonts w:ascii="Garamond" w:hAnsi="Garamond" w:cs="Calibri"/>
                <w:color w:val="000000"/>
                <w:sz w:val="20"/>
                <w:szCs w:val="20"/>
              </w:rPr>
            </w:pPr>
            <w:r>
              <w:rPr>
                <w:rFonts w:ascii="Garamond" w:hAnsi="Garamond" w:cs="Calibri"/>
                <w:color w:val="000000"/>
                <w:sz w:val="20"/>
                <w:szCs w:val="20"/>
              </w:rPr>
              <w:t>0</w:t>
            </w:r>
          </w:p>
        </w:tc>
        <w:tc>
          <w:tcPr>
            <w:tcW w:w="1060" w:type="dxa"/>
            <w:tcBorders>
              <w:top w:val="nil"/>
              <w:left w:val="single" w:sz="8" w:space="0" w:color="auto"/>
              <w:bottom w:val="nil"/>
              <w:right w:val="single" w:sz="8" w:space="0" w:color="auto"/>
            </w:tcBorders>
            <w:shd w:val="clear" w:color="auto" w:fill="auto"/>
            <w:tcMar>
              <w:top w:w="15" w:type="dxa"/>
              <w:left w:w="15" w:type="dxa"/>
              <w:bottom w:w="0" w:type="dxa"/>
              <w:right w:w="15" w:type="dxa"/>
            </w:tcMar>
            <w:vAlign w:val="center"/>
            <w:hideMark/>
          </w:tcPr>
          <w:p w:rsidR="000F236F" w:rsidRDefault="000F236F" w:rsidP="00DB5405">
            <w:pPr>
              <w:jc w:val="right"/>
              <w:rPr>
                <w:rFonts w:ascii="Garamond" w:hAnsi="Garamond" w:cs="Calibri"/>
                <w:color w:val="000000"/>
                <w:sz w:val="20"/>
                <w:szCs w:val="20"/>
              </w:rPr>
            </w:pPr>
            <w:r>
              <w:rPr>
                <w:rFonts w:ascii="Garamond" w:hAnsi="Garamond" w:cs="Calibri"/>
                <w:color w:val="000000"/>
                <w:sz w:val="20"/>
                <w:szCs w:val="20"/>
              </w:rPr>
              <w:t>912</w:t>
            </w:r>
          </w:p>
        </w:tc>
      </w:tr>
      <w:tr w:rsidR="000F236F" w:rsidTr="00DB5405">
        <w:trPr>
          <w:trHeight w:val="243"/>
        </w:trPr>
        <w:tc>
          <w:tcPr>
            <w:tcW w:w="3433" w:type="dxa"/>
            <w:tcBorders>
              <w:top w:val="nil"/>
              <w:left w:val="single" w:sz="8" w:space="0" w:color="auto"/>
              <w:bottom w:val="nil"/>
              <w:right w:val="single" w:sz="8" w:space="0" w:color="auto"/>
            </w:tcBorders>
            <w:shd w:val="clear" w:color="000000" w:fill="B4C6E7"/>
            <w:tcMar>
              <w:top w:w="15" w:type="dxa"/>
              <w:left w:w="15" w:type="dxa"/>
              <w:bottom w:w="0" w:type="dxa"/>
              <w:right w:w="15" w:type="dxa"/>
            </w:tcMar>
            <w:vAlign w:val="center"/>
            <w:hideMark/>
          </w:tcPr>
          <w:p w:rsidR="000F236F" w:rsidRDefault="000F236F" w:rsidP="00DB5405">
            <w:pPr>
              <w:rPr>
                <w:rFonts w:ascii="Garamond" w:hAnsi="Garamond" w:cs="Calibri"/>
                <w:color w:val="000000"/>
                <w:sz w:val="20"/>
                <w:szCs w:val="20"/>
              </w:rPr>
            </w:pPr>
            <w:r>
              <w:rPr>
                <w:rFonts w:ascii="Garamond" w:hAnsi="Garamond" w:cs="Calibri"/>
                <w:color w:val="000000"/>
                <w:sz w:val="20"/>
                <w:szCs w:val="20"/>
              </w:rPr>
              <w:t>BME Spanish Exchanges</w:t>
            </w:r>
          </w:p>
        </w:tc>
        <w:tc>
          <w:tcPr>
            <w:tcW w:w="1060" w:type="dxa"/>
            <w:tcBorders>
              <w:top w:val="nil"/>
              <w:left w:val="nil"/>
              <w:bottom w:val="nil"/>
              <w:right w:val="single" w:sz="8" w:space="0" w:color="auto"/>
            </w:tcBorders>
            <w:shd w:val="clear" w:color="auto" w:fill="auto"/>
            <w:tcMar>
              <w:top w:w="15" w:type="dxa"/>
              <w:left w:w="15" w:type="dxa"/>
              <w:bottom w:w="0" w:type="dxa"/>
              <w:right w:w="15" w:type="dxa"/>
            </w:tcMar>
            <w:vAlign w:val="center"/>
            <w:hideMark/>
          </w:tcPr>
          <w:p w:rsidR="000F236F" w:rsidRDefault="000F236F" w:rsidP="00DB5405">
            <w:pPr>
              <w:jc w:val="right"/>
              <w:rPr>
                <w:rFonts w:ascii="Garamond" w:hAnsi="Garamond" w:cs="Calibri"/>
                <w:color w:val="000000"/>
                <w:sz w:val="20"/>
                <w:szCs w:val="20"/>
              </w:rPr>
            </w:pPr>
            <w:r>
              <w:rPr>
                <w:rFonts w:ascii="Garamond" w:hAnsi="Garamond" w:cs="Calibri"/>
                <w:color w:val="000000"/>
                <w:sz w:val="20"/>
                <w:szCs w:val="20"/>
              </w:rPr>
              <w:t>4,881</w:t>
            </w:r>
          </w:p>
        </w:tc>
        <w:tc>
          <w:tcPr>
            <w:tcW w:w="1060" w:type="dxa"/>
            <w:tcBorders>
              <w:top w:val="nil"/>
              <w:left w:val="nil"/>
              <w:bottom w:val="nil"/>
              <w:right w:val="single" w:sz="8" w:space="0" w:color="auto"/>
            </w:tcBorders>
            <w:shd w:val="clear" w:color="auto" w:fill="auto"/>
            <w:tcMar>
              <w:top w:w="15" w:type="dxa"/>
              <w:left w:w="15" w:type="dxa"/>
              <w:bottom w:w="0" w:type="dxa"/>
              <w:right w:w="15" w:type="dxa"/>
            </w:tcMar>
            <w:vAlign w:val="center"/>
            <w:hideMark/>
          </w:tcPr>
          <w:p w:rsidR="000F236F" w:rsidRDefault="000F236F" w:rsidP="00DB5405">
            <w:pPr>
              <w:jc w:val="right"/>
              <w:rPr>
                <w:rFonts w:ascii="Garamond" w:hAnsi="Garamond" w:cs="Calibri"/>
                <w:color w:val="000000"/>
                <w:sz w:val="20"/>
                <w:szCs w:val="20"/>
              </w:rPr>
            </w:pPr>
            <w:r>
              <w:rPr>
                <w:rFonts w:ascii="Garamond" w:hAnsi="Garamond" w:cs="Calibri"/>
                <w:color w:val="000000"/>
                <w:sz w:val="20"/>
                <w:szCs w:val="20"/>
              </w:rPr>
              <w:t>3.58</w:t>
            </w:r>
          </w:p>
        </w:tc>
        <w:tc>
          <w:tcPr>
            <w:tcW w:w="1060" w:type="dxa"/>
            <w:tcBorders>
              <w:top w:val="nil"/>
              <w:left w:val="nil"/>
              <w:bottom w:val="nil"/>
              <w:right w:val="nil"/>
            </w:tcBorders>
            <w:shd w:val="clear" w:color="auto" w:fill="auto"/>
            <w:tcMar>
              <w:top w:w="15" w:type="dxa"/>
              <w:left w:w="15" w:type="dxa"/>
              <w:bottom w:w="0" w:type="dxa"/>
              <w:right w:w="15" w:type="dxa"/>
            </w:tcMar>
            <w:vAlign w:val="center"/>
            <w:hideMark/>
          </w:tcPr>
          <w:p w:rsidR="000F236F" w:rsidRDefault="000F236F" w:rsidP="00DB5405">
            <w:pPr>
              <w:jc w:val="right"/>
              <w:rPr>
                <w:rFonts w:ascii="Garamond" w:hAnsi="Garamond" w:cs="Calibri"/>
                <w:color w:val="000000"/>
                <w:sz w:val="20"/>
                <w:szCs w:val="20"/>
              </w:rPr>
            </w:pPr>
            <w:r>
              <w:rPr>
                <w:rFonts w:ascii="Garamond" w:hAnsi="Garamond" w:cs="Calibri"/>
                <w:color w:val="000000"/>
                <w:sz w:val="20"/>
                <w:szCs w:val="20"/>
              </w:rPr>
              <w:t>12,47,635</w:t>
            </w:r>
          </w:p>
        </w:tc>
        <w:tc>
          <w:tcPr>
            <w:tcW w:w="1060" w:type="dxa"/>
            <w:tcBorders>
              <w:top w:val="nil"/>
              <w:left w:val="single" w:sz="8" w:space="0" w:color="auto"/>
              <w:bottom w:val="nil"/>
              <w:right w:val="single" w:sz="8" w:space="0" w:color="auto"/>
            </w:tcBorders>
            <w:shd w:val="clear" w:color="auto" w:fill="auto"/>
            <w:tcMar>
              <w:top w:w="15" w:type="dxa"/>
              <w:left w:w="15" w:type="dxa"/>
              <w:bottom w:w="0" w:type="dxa"/>
              <w:right w:w="15" w:type="dxa"/>
            </w:tcMar>
            <w:vAlign w:val="center"/>
            <w:hideMark/>
          </w:tcPr>
          <w:p w:rsidR="000F236F" w:rsidRDefault="000F236F" w:rsidP="00DB5405">
            <w:pPr>
              <w:jc w:val="right"/>
              <w:rPr>
                <w:rFonts w:ascii="Garamond" w:hAnsi="Garamond" w:cs="Calibri"/>
                <w:color w:val="000000"/>
                <w:sz w:val="20"/>
                <w:szCs w:val="20"/>
              </w:rPr>
            </w:pPr>
            <w:r>
              <w:rPr>
                <w:rFonts w:ascii="Garamond" w:hAnsi="Garamond" w:cs="Calibri"/>
                <w:color w:val="000000"/>
                <w:sz w:val="20"/>
                <w:szCs w:val="20"/>
              </w:rPr>
              <w:t>7,28,048</w:t>
            </w:r>
          </w:p>
        </w:tc>
        <w:tc>
          <w:tcPr>
            <w:tcW w:w="1060" w:type="dxa"/>
            <w:tcBorders>
              <w:top w:val="nil"/>
              <w:left w:val="nil"/>
              <w:bottom w:val="nil"/>
              <w:right w:val="nil"/>
            </w:tcBorders>
            <w:shd w:val="clear" w:color="auto" w:fill="auto"/>
            <w:tcMar>
              <w:top w:w="15" w:type="dxa"/>
              <w:left w:w="15" w:type="dxa"/>
              <w:bottom w:w="0" w:type="dxa"/>
              <w:right w:w="15" w:type="dxa"/>
            </w:tcMar>
            <w:vAlign w:val="center"/>
            <w:hideMark/>
          </w:tcPr>
          <w:p w:rsidR="000F236F" w:rsidRDefault="000F236F" w:rsidP="00DB5405">
            <w:pPr>
              <w:jc w:val="right"/>
              <w:rPr>
                <w:rFonts w:ascii="Garamond" w:hAnsi="Garamond" w:cs="Calibri"/>
                <w:color w:val="000000"/>
                <w:sz w:val="20"/>
                <w:szCs w:val="20"/>
              </w:rPr>
            </w:pPr>
            <w:r>
              <w:rPr>
                <w:rFonts w:ascii="Garamond" w:hAnsi="Garamond" w:cs="Calibri"/>
                <w:color w:val="000000"/>
                <w:sz w:val="20"/>
                <w:szCs w:val="20"/>
              </w:rPr>
              <w:t>951</w:t>
            </w:r>
          </w:p>
        </w:tc>
        <w:tc>
          <w:tcPr>
            <w:tcW w:w="1060" w:type="dxa"/>
            <w:tcBorders>
              <w:top w:val="nil"/>
              <w:left w:val="single" w:sz="8" w:space="0" w:color="auto"/>
              <w:bottom w:val="nil"/>
              <w:right w:val="single" w:sz="8" w:space="0" w:color="auto"/>
            </w:tcBorders>
            <w:shd w:val="clear" w:color="auto" w:fill="auto"/>
            <w:tcMar>
              <w:top w:w="15" w:type="dxa"/>
              <w:left w:w="15" w:type="dxa"/>
              <w:bottom w:w="0" w:type="dxa"/>
              <w:right w:w="15" w:type="dxa"/>
            </w:tcMar>
            <w:vAlign w:val="center"/>
            <w:hideMark/>
          </w:tcPr>
          <w:p w:rsidR="000F236F" w:rsidRDefault="000F236F" w:rsidP="00DB5405">
            <w:pPr>
              <w:jc w:val="right"/>
              <w:rPr>
                <w:rFonts w:ascii="Garamond" w:hAnsi="Garamond" w:cs="Calibri"/>
                <w:color w:val="000000"/>
                <w:sz w:val="20"/>
                <w:szCs w:val="20"/>
              </w:rPr>
            </w:pPr>
            <w:r>
              <w:rPr>
                <w:rFonts w:ascii="Garamond" w:hAnsi="Garamond" w:cs="Calibri"/>
                <w:color w:val="000000"/>
                <w:sz w:val="20"/>
                <w:szCs w:val="20"/>
              </w:rPr>
              <w:t>86,65,602</w:t>
            </w:r>
          </w:p>
        </w:tc>
      </w:tr>
      <w:tr w:rsidR="000F236F" w:rsidTr="00DB5405">
        <w:trPr>
          <w:trHeight w:val="243"/>
        </w:trPr>
        <w:tc>
          <w:tcPr>
            <w:tcW w:w="3433" w:type="dxa"/>
            <w:tcBorders>
              <w:top w:val="nil"/>
              <w:left w:val="single" w:sz="8" w:space="0" w:color="auto"/>
              <w:bottom w:val="nil"/>
              <w:right w:val="single" w:sz="8" w:space="0" w:color="auto"/>
            </w:tcBorders>
            <w:shd w:val="clear" w:color="000000" w:fill="B4C6E7"/>
            <w:tcMar>
              <w:top w:w="15" w:type="dxa"/>
              <w:left w:w="15" w:type="dxa"/>
              <w:bottom w:w="0" w:type="dxa"/>
              <w:right w:w="15" w:type="dxa"/>
            </w:tcMar>
            <w:vAlign w:val="center"/>
            <w:hideMark/>
          </w:tcPr>
          <w:p w:rsidR="000F236F" w:rsidRDefault="000F236F" w:rsidP="00DB5405">
            <w:pPr>
              <w:rPr>
                <w:rFonts w:ascii="Garamond" w:hAnsi="Garamond" w:cs="Calibri"/>
                <w:color w:val="000000"/>
                <w:sz w:val="20"/>
                <w:szCs w:val="20"/>
              </w:rPr>
            </w:pPr>
            <w:r>
              <w:rPr>
                <w:rFonts w:ascii="Garamond" w:hAnsi="Garamond" w:cs="Calibri"/>
                <w:color w:val="000000"/>
                <w:sz w:val="20"/>
                <w:szCs w:val="20"/>
              </w:rPr>
              <w:t>Borsa Istanbul</w:t>
            </w:r>
          </w:p>
        </w:tc>
        <w:tc>
          <w:tcPr>
            <w:tcW w:w="1060" w:type="dxa"/>
            <w:tcBorders>
              <w:top w:val="nil"/>
              <w:left w:val="nil"/>
              <w:bottom w:val="nil"/>
              <w:right w:val="single" w:sz="8" w:space="0" w:color="auto"/>
            </w:tcBorders>
            <w:shd w:val="clear" w:color="auto" w:fill="auto"/>
            <w:tcMar>
              <w:top w:w="15" w:type="dxa"/>
              <w:left w:w="15" w:type="dxa"/>
              <w:bottom w:w="0" w:type="dxa"/>
              <w:right w:w="15" w:type="dxa"/>
            </w:tcMar>
            <w:vAlign w:val="center"/>
            <w:hideMark/>
          </w:tcPr>
          <w:p w:rsidR="000F236F" w:rsidRDefault="000F236F" w:rsidP="00DB5405">
            <w:pPr>
              <w:jc w:val="right"/>
              <w:rPr>
                <w:rFonts w:ascii="Garamond" w:hAnsi="Garamond" w:cs="Calibri"/>
                <w:color w:val="000000"/>
                <w:sz w:val="20"/>
                <w:szCs w:val="20"/>
              </w:rPr>
            </w:pPr>
            <w:r>
              <w:rPr>
                <w:rFonts w:ascii="Garamond" w:hAnsi="Garamond" w:cs="Calibri"/>
                <w:color w:val="000000"/>
                <w:sz w:val="20"/>
                <w:szCs w:val="20"/>
              </w:rPr>
              <w:t>11,58,75,595</w:t>
            </w:r>
          </w:p>
        </w:tc>
        <w:tc>
          <w:tcPr>
            <w:tcW w:w="1060" w:type="dxa"/>
            <w:tcBorders>
              <w:top w:val="nil"/>
              <w:left w:val="nil"/>
              <w:bottom w:val="nil"/>
              <w:right w:val="single" w:sz="8" w:space="0" w:color="auto"/>
            </w:tcBorders>
            <w:shd w:val="clear" w:color="auto" w:fill="auto"/>
            <w:tcMar>
              <w:top w:w="15" w:type="dxa"/>
              <w:left w:w="15" w:type="dxa"/>
              <w:bottom w:w="0" w:type="dxa"/>
              <w:right w:w="15" w:type="dxa"/>
            </w:tcMar>
            <w:vAlign w:val="center"/>
            <w:hideMark/>
          </w:tcPr>
          <w:p w:rsidR="000F236F" w:rsidRDefault="000F236F" w:rsidP="00DB5405">
            <w:pPr>
              <w:jc w:val="right"/>
              <w:rPr>
                <w:rFonts w:ascii="Garamond" w:hAnsi="Garamond" w:cs="Calibri"/>
                <w:color w:val="000000"/>
                <w:sz w:val="20"/>
                <w:szCs w:val="20"/>
              </w:rPr>
            </w:pPr>
            <w:r>
              <w:rPr>
                <w:rFonts w:ascii="Garamond" w:hAnsi="Garamond" w:cs="Calibri"/>
                <w:color w:val="000000"/>
                <w:sz w:val="20"/>
                <w:szCs w:val="20"/>
              </w:rPr>
              <w:t>9132.73</w:t>
            </w:r>
          </w:p>
        </w:tc>
        <w:tc>
          <w:tcPr>
            <w:tcW w:w="1060" w:type="dxa"/>
            <w:tcBorders>
              <w:top w:val="nil"/>
              <w:left w:val="nil"/>
              <w:bottom w:val="nil"/>
              <w:right w:val="nil"/>
            </w:tcBorders>
            <w:shd w:val="clear" w:color="auto" w:fill="auto"/>
            <w:tcMar>
              <w:top w:w="15" w:type="dxa"/>
              <w:left w:w="15" w:type="dxa"/>
              <w:bottom w:w="0" w:type="dxa"/>
              <w:right w:w="15" w:type="dxa"/>
            </w:tcMar>
            <w:vAlign w:val="center"/>
            <w:hideMark/>
          </w:tcPr>
          <w:p w:rsidR="000F236F" w:rsidRDefault="000F236F" w:rsidP="00DB5405">
            <w:pPr>
              <w:jc w:val="right"/>
              <w:rPr>
                <w:rFonts w:ascii="Garamond" w:hAnsi="Garamond" w:cs="Calibri"/>
                <w:color w:val="000000"/>
                <w:sz w:val="20"/>
                <w:szCs w:val="20"/>
              </w:rPr>
            </w:pPr>
            <w:r>
              <w:rPr>
                <w:rFonts w:ascii="Garamond" w:hAnsi="Garamond" w:cs="Calibri"/>
                <w:color w:val="000000"/>
                <w:sz w:val="20"/>
                <w:szCs w:val="20"/>
              </w:rPr>
              <w:t>63,40,027</w:t>
            </w:r>
          </w:p>
        </w:tc>
        <w:tc>
          <w:tcPr>
            <w:tcW w:w="1060" w:type="dxa"/>
            <w:tcBorders>
              <w:top w:val="nil"/>
              <w:left w:val="single" w:sz="8" w:space="0" w:color="auto"/>
              <w:bottom w:val="nil"/>
              <w:right w:val="single" w:sz="8" w:space="0" w:color="auto"/>
            </w:tcBorders>
            <w:shd w:val="clear" w:color="auto" w:fill="auto"/>
            <w:tcMar>
              <w:top w:w="15" w:type="dxa"/>
              <w:left w:w="15" w:type="dxa"/>
              <w:bottom w:w="0" w:type="dxa"/>
              <w:right w:w="15" w:type="dxa"/>
            </w:tcMar>
            <w:vAlign w:val="center"/>
            <w:hideMark/>
          </w:tcPr>
          <w:p w:rsidR="000F236F" w:rsidRDefault="000F236F" w:rsidP="00DB5405">
            <w:pPr>
              <w:jc w:val="right"/>
              <w:rPr>
                <w:rFonts w:ascii="Garamond" w:hAnsi="Garamond" w:cs="Calibri"/>
                <w:color w:val="000000"/>
                <w:sz w:val="20"/>
                <w:szCs w:val="20"/>
              </w:rPr>
            </w:pPr>
            <w:r>
              <w:rPr>
                <w:rFonts w:ascii="Garamond" w:hAnsi="Garamond" w:cs="Calibri"/>
                <w:color w:val="000000"/>
                <w:sz w:val="20"/>
                <w:szCs w:val="20"/>
              </w:rPr>
              <w:t>63,203</w:t>
            </w:r>
          </w:p>
        </w:tc>
        <w:tc>
          <w:tcPr>
            <w:tcW w:w="1060" w:type="dxa"/>
            <w:tcBorders>
              <w:top w:val="nil"/>
              <w:left w:val="nil"/>
              <w:bottom w:val="nil"/>
              <w:right w:val="nil"/>
            </w:tcBorders>
            <w:shd w:val="clear" w:color="auto" w:fill="auto"/>
            <w:tcMar>
              <w:top w:w="15" w:type="dxa"/>
              <w:left w:w="15" w:type="dxa"/>
              <w:bottom w:w="0" w:type="dxa"/>
              <w:right w:w="15" w:type="dxa"/>
            </w:tcMar>
            <w:vAlign w:val="center"/>
            <w:hideMark/>
          </w:tcPr>
          <w:p w:rsidR="000F236F" w:rsidRDefault="000F236F" w:rsidP="00DB5405">
            <w:pPr>
              <w:jc w:val="right"/>
              <w:rPr>
                <w:rFonts w:ascii="Garamond" w:hAnsi="Garamond" w:cs="Calibri"/>
                <w:color w:val="000000"/>
                <w:sz w:val="20"/>
                <w:szCs w:val="20"/>
              </w:rPr>
            </w:pPr>
            <w:r>
              <w:rPr>
                <w:rFonts w:ascii="Garamond" w:hAnsi="Garamond" w:cs="Calibri"/>
                <w:color w:val="000000"/>
                <w:sz w:val="20"/>
                <w:szCs w:val="20"/>
              </w:rPr>
              <w:t>8</w:t>
            </w:r>
          </w:p>
        </w:tc>
        <w:tc>
          <w:tcPr>
            <w:tcW w:w="1060" w:type="dxa"/>
            <w:tcBorders>
              <w:top w:val="nil"/>
              <w:left w:val="single" w:sz="8" w:space="0" w:color="auto"/>
              <w:bottom w:val="nil"/>
              <w:right w:val="single" w:sz="8" w:space="0" w:color="auto"/>
            </w:tcBorders>
            <w:shd w:val="clear" w:color="auto" w:fill="auto"/>
            <w:tcMar>
              <w:top w:w="15" w:type="dxa"/>
              <w:left w:w="15" w:type="dxa"/>
              <w:bottom w:w="0" w:type="dxa"/>
              <w:right w:w="15" w:type="dxa"/>
            </w:tcMar>
            <w:vAlign w:val="center"/>
            <w:hideMark/>
          </w:tcPr>
          <w:p w:rsidR="000F236F" w:rsidRDefault="000F236F" w:rsidP="00DB5405">
            <w:pPr>
              <w:jc w:val="right"/>
              <w:rPr>
                <w:rFonts w:ascii="Garamond" w:hAnsi="Garamond" w:cs="Calibri"/>
                <w:color w:val="000000"/>
                <w:sz w:val="20"/>
                <w:szCs w:val="20"/>
              </w:rPr>
            </w:pPr>
            <w:r>
              <w:rPr>
                <w:rFonts w:ascii="Garamond" w:hAnsi="Garamond" w:cs="Calibri"/>
                <w:color w:val="000000"/>
                <w:sz w:val="20"/>
                <w:szCs w:val="20"/>
              </w:rPr>
              <w:t>2,41,487</w:t>
            </w:r>
          </w:p>
        </w:tc>
      </w:tr>
      <w:tr w:rsidR="000F236F" w:rsidTr="00DB5405">
        <w:trPr>
          <w:trHeight w:val="243"/>
        </w:trPr>
        <w:tc>
          <w:tcPr>
            <w:tcW w:w="3433" w:type="dxa"/>
            <w:tcBorders>
              <w:top w:val="nil"/>
              <w:left w:val="single" w:sz="8" w:space="0" w:color="auto"/>
              <w:bottom w:val="nil"/>
              <w:right w:val="single" w:sz="8" w:space="0" w:color="auto"/>
            </w:tcBorders>
            <w:shd w:val="clear" w:color="000000" w:fill="B4C6E7"/>
            <w:tcMar>
              <w:top w:w="15" w:type="dxa"/>
              <w:left w:w="15" w:type="dxa"/>
              <w:bottom w:w="0" w:type="dxa"/>
              <w:right w:w="15" w:type="dxa"/>
            </w:tcMar>
            <w:vAlign w:val="center"/>
            <w:hideMark/>
          </w:tcPr>
          <w:p w:rsidR="000F236F" w:rsidRDefault="000F236F" w:rsidP="00DB5405">
            <w:pPr>
              <w:rPr>
                <w:rFonts w:ascii="Garamond" w:hAnsi="Garamond" w:cs="Calibri"/>
                <w:color w:val="000000"/>
                <w:sz w:val="20"/>
                <w:szCs w:val="20"/>
              </w:rPr>
            </w:pPr>
            <w:r>
              <w:rPr>
                <w:rFonts w:ascii="Garamond" w:hAnsi="Garamond" w:cs="Calibri"/>
                <w:color w:val="000000"/>
                <w:sz w:val="20"/>
                <w:szCs w:val="20"/>
              </w:rPr>
              <w:t>Budapest Stock Exchange</w:t>
            </w:r>
          </w:p>
        </w:tc>
        <w:tc>
          <w:tcPr>
            <w:tcW w:w="1060" w:type="dxa"/>
            <w:tcBorders>
              <w:top w:val="nil"/>
              <w:left w:val="nil"/>
              <w:bottom w:val="nil"/>
              <w:right w:val="single" w:sz="8" w:space="0" w:color="auto"/>
            </w:tcBorders>
            <w:shd w:val="clear" w:color="auto" w:fill="auto"/>
            <w:tcMar>
              <w:top w:w="15" w:type="dxa"/>
              <w:left w:w="15" w:type="dxa"/>
              <w:bottom w:w="0" w:type="dxa"/>
              <w:right w:w="15" w:type="dxa"/>
            </w:tcMar>
            <w:vAlign w:val="center"/>
            <w:hideMark/>
          </w:tcPr>
          <w:p w:rsidR="000F236F" w:rsidRDefault="000F236F" w:rsidP="00DB5405">
            <w:pPr>
              <w:jc w:val="right"/>
              <w:rPr>
                <w:rFonts w:ascii="Garamond" w:hAnsi="Garamond" w:cs="Calibri"/>
                <w:color w:val="000000"/>
                <w:sz w:val="20"/>
                <w:szCs w:val="20"/>
              </w:rPr>
            </w:pPr>
            <w:r>
              <w:rPr>
                <w:rFonts w:ascii="Garamond" w:hAnsi="Garamond" w:cs="Calibri"/>
                <w:color w:val="000000"/>
                <w:sz w:val="20"/>
                <w:szCs w:val="20"/>
              </w:rPr>
              <w:t>6,895</w:t>
            </w:r>
          </w:p>
        </w:tc>
        <w:tc>
          <w:tcPr>
            <w:tcW w:w="1060" w:type="dxa"/>
            <w:tcBorders>
              <w:top w:val="nil"/>
              <w:left w:val="nil"/>
              <w:bottom w:val="nil"/>
              <w:right w:val="single" w:sz="8" w:space="0" w:color="auto"/>
            </w:tcBorders>
            <w:shd w:val="clear" w:color="auto" w:fill="auto"/>
            <w:tcMar>
              <w:top w:w="15" w:type="dxa"/>
              <w:left w:w="15" w:type="dxa"/>
              <w:bottom w:w="0" w:type="dxa"/>
              <w:right w:w="15" w:type="dxa"/>
            </w:tcMar>
            <w:vAlign w:val="center"/>
            <w:hideMark/>
          </w:tcPr>
          <w:p w:rsidR="000F236F" w:rsidRDefault="000F236F" w:rsidP="00DB5405">
            <w:pPr>
              <w:jc w:val="right"/>
              <w:rPr>
                <w:rFonts w:ascii="Garamond" w:hAnsi="Garamond" w:cs="Calibri"/>
                <w:color w:val="000000"/>
                <w:sz w:val="20"/>
                <w:szCs w:val="20"/>
              </w:rPr>
            </w:pPr>
            <w:r>
              <w:rPr>
                <w:rFonts w:ascii="Garamond" w:hAnsi="Garamond" w:cs="Calibri"/>
                <w:color w:val="000000"/>
                <w:sz w:val="20"/>
                <w:szCs w:val="20"/>
              </w:rPr>
              <w:t>43.43</w:t>
            </w:r>
          </w:p>
        </w:tc>
        <w:tc>
          <w:tcPr>
            <w:tcW w:w="1060" w:type="dxa"/>
            <w:tcBorders>
              <w:top w:val="nil"/>
              <w:left w:val="nil"/>
              <w:bottom w:val="nil"/>
              <w:right w:val="nil"/>
            </w:tcBorders>
            <w:shd w:val="clear" w:color="auto" w:fill="auto"/>
            <w:tcMar>
              <w:top w:w="15" w:type="dxa"/>
              <w:left w:w="15" w:type="dxa"/>
              <w:bottom w:w="0" w:type="dxa"/>
              <w:right w:w="15" w:type="dxa"/>
            </w:tcMar>
            <w:vAlign w:val="center"/>
            <w:hideMark/>
          </w:tcPr>
          <w:p w:rsidR="000F236F" w:rsidRDefault="000F236F" w:rsidP="00DB5405">
            <w:pPr>
              <w:jc w:val="right"/>
              <w:rPr>
                <w:rFonts w:ascii="Garamond" w:hAnsi="Garamond" w:cs="Calibri"/>
                <w:color w:val="000000"/>
                <w:sz w:val="20"/>
                <w:szCs w:val="20"/>
              </w:rPr>
            </w:pPr>
            <w:r>
              <w:rPr>
                <w:rFonts w:ascii="Garamond" w:hAnsi="Garamond" w:cs="Calibri"/>
                <w:color w:val="000000"/>
                <w:sz w:val="20"/>
                <w:szCs w:val="20"/>
              </w:rPr>
              <w:t>4,529</w:t>
            </w:r>
          </w:p>
        </w:tc>
        <w:tc>
          <w:tcPr>
            <w:tcW w:w="1060" w:type="dxa"/>
            <w:tcBorders>
              <w:top w:val="nil"/>
              <w:left w:val="single" w:sz="8" w:space="0" w:color="auto"/>
              <w:bottom w:val="nil"/>
              <w:right w:val="single" w:sz="8" w:space="0" w:color="auto"/>
            </w:tcBorders>
            <w:shd w:val="clear" w:color="auto" w:fill="auto"/>
            <w:tcMar>
              <w:top w:w="15" w:type="dxa"/>
              <w:left w:w="15" w:type="dxa"/>
              <w:bottom w:w="0" w:type="dxa"/>
              <w:right w:w="15" w:type="dxa"/>
            </w:tcMar>
            <w:vAlign w:val="center"/>
            <w:hideMark/>
          </w:tcPr>
          <w:p w:rsidR="000F236F" w:rsidRDefault="000F236F" w:rsidP="00DB5405">
            <w:pPr>
              <w:jc w:val="right"/>
              <w:rPr>
                <w:rFonts w:ascii="Garamond" w:hAnsi="Garamond" w:cs="Calibri"/>
                <w:color w:val="000000"/>
                <w:sz w:val="20"/>
                <w:szCs w:val="20"/>
              </w:rPr>
            </w:pPr>
            <w:r>
              <w:rPr>
                <w:rFonts w:ascii="Garamond" w:hAnsi="Garamond" w:cs="Calibri"/>
                <w:color w:val="000000"/>
                <w:sz w:val="20"/>
                <w:szCs w:val="20"/>
              </w:rPr>
              <w:t>0</w:t>
            </w:r>
          </w:p>
        </w:tc>
        <w:tc>
          <w:tcPr>
            <w:tcW w:w="1060" w:type="dxa"/>
            <w:tcBorders>
              <w:top w:val="nil"/>
              <w:left w:val="nil"/>
              <w:bottom w:val="nil"/>
              <w:right w:val="nil"/>
            </w:tcBorders>
            <w:shd w:val="clear" w:color="auto" w:fill="auto"/>
            <w:tcMar>
              <w:top w:w="15" w:type="dxa"/>
              <w:left w:w="15" w:type="dxa"/>
              <w:bottom w:w="0" w:type="dxa"/>
              <w:right w:w="15" w:type="dxa"/>
            </w:tcMar>
            <w:vAlign w:val="center"/>
            <w:hideMark/>
          </w:tcPr>
          <w:p w:rsidR="000F236F" w:rsidRDefault="000F236F" w:rsidP="00DB5405">
            <w:pPr>
              <w:jc w:val="right"/>
              <w:rPr>
                <w:rFonts w:ascii="Garamond" w:hAnsi="Garamond" w:cs="Calibri"/>
                <w:color w:val="000000"/>
                <w:sz w:val="20"/>
                <w:szCs w:val="20"/>
              </w:rPr>
            </w:pPr>
            <w:r>
              <w:rPr>
                <w:rFonts w:ascii="Garamond" w:hAnsi="Garamond" w:cs="Calibri"/>
                <w:color w:val="000000"/>
                <w:sz w:val="20"/>
                <w:szCs w:val="20"/>
              </w:rPr>
              <w:t>0</w:t>
            </w:r>
          </w:p>
        </w:tc>
        <w:tc>
          <w:tcPr>
            <w:tcW w:w="1060" w:type="dxa"/>
            <w:tcBorders>
              <w:top w:val="nil"/>
              <w:left w:val="single" w:sz="8" w:space="0" w:color="auto"/>
              <w:bottom w:val="nil"/>
              <w:right w:val="single" w:sz="8" w:space="0" w:color="auto"/>
            </w:tcBorders>
            <w:shd w:val="clear" w:color="auto" w:fill="auto"/>
            <w:tcMar>
              <w:top w:w="15" w:type="dxa"/>
              <w:left w:w="15" w:type="dxa"/>
              <w:bottom w:w="0" w:type="dxa"/>
              <w:right w:w="15" w:type="dxa"/>
            </w:tcMar>
            <w:vAlign w:val="center"/>
            <w:hideMark/>
          </w:tcPr>
          <w:p w:rsidR="000F236F" w:rsidRDefault="000F236F" w:rsidP="00DB5405">
            <w:pPr>
              <w:jc w:val="right"/>
              <w:rPr>
                <w:rFonts w:ascii="Garamond" w:hAnsi="Garamond" w:cs="Calibri"/>
                <w:color w:val="000000"/>
                <w:sz w:val="20"/>
                <w:szCs w:val="20"/>
              </w:rPr>
            </w:pPr>
            <w:r>
              <w:rPr>
                <w:rFonts w:ascii="Garamond" w:hAnsi="Garamond" w:cs="Calibri"/>
                <w:color w:val="000000"/>
                <w:sz w:val="20"/>
                <w:szCs w:val="20"/>
              </w:rPr>
              <w:t>0</w:t>
            </w:r>
          </w:p>
        </w:tc>
      </w:tr>
      <w:tr w:rsidR="000F236F" w:rsidTr="00DB5405">
        <w:trPr>
          <w:trHeight w:val="243"/>
        </w:trPr>
        <w:tc>
          <w:tcPr>
            <w:tcW w:w="3433" w:type="dxa"/>
            <w:tcBorders>
              <w:top w:val="nil"/>
              <w:left w:val="single" w:sz="8" w:space="0" w:color="auto"/>
              <w:bottom w:val="nil"/>
              <w:right w:val="single" w:sz="8" w:space="0" w:color="auto"/>
            </w:tcBorders>
            <w:shd w:val="clear" w:color="000000" w:fill="B4C6E7"/>
            <w:tcMar>
              <w:top w:w="15" w:type="dxa"/>
              <w:left w:w="15" w:type="dxa"/>
              <w:bottom w:w="0" w:type="dxa"/>
              <w:right w:w="15" w:type="dxa"/>
            </w:tcMar>
            <w:vAlign w:val="center"/>
            <w:hideMark/>
          </w:tcPr>
          <w:p w:rsidR="000F236F" w:rsidRDefault="000F236F" w:rsidP="00DB5405">
            <w:pPr>
              <w:rPr>
                <w:rFonts w:ascii="Garamond" w:hAnsi="Garamond" w:cs="Calibri"/>
                <w:color w:val="000000"/>
                <w:sz w:val="20"/>
                <w:szCs w:val="20"/>
              </w:rPr>
            </w:pPr>
            <w:r>
              <w:rPr>
                <w:rFonts w:ascii="Garamond" w:hAnsi="Garamond" w:cs="Calibri"/>
                <w:color w:val="000000"/>
                <w:sz w:val="20"/>
                <w:szCs w:val="20"/>
              </w:rPr>
              <w:t>Deutsche Boerse AG</w:t>
            </w:r>
          </w:p>
        </w:tc>
        <w:tc>
          <w:tcPr>
            <w:tcW w:w="1060" w:type="dxa"/>
            <w:tcBorders>
              <w:top w:val="nil"/>
              <w:left w:val="nil"/>
              <w:bottom w:val="nil"/>
              <w:right w:val="single" w:sz="8" w:space="0" w:color="auto"/>
            </w:tcBorders>
            <w:shd w:val="clear" w:color="auto" w:fill="auto"/>
            <w:tcMar>
              <w:top w:w="15" w:type="dxa"/>
              <w:left w:w="15" w:type="dxa"/>
              <w:bottom w:w="0" w:type="dxa"/>
              <w:right w:w="15" w:type="dxa"/>
            </w:tcMar>
            <w:vAlign w:val="center"/>
            <w:hideMark/>
          </w:tcPr>
          <w:p w:rsidR="000F236F" w:rsidRDefault="000F236F" w:rsidP="00DB5405">
            <w:pPr>
              <w:jc w:val="right"/>
              <w:rPr>
                <w:rFonts w:ascii="Garamond" w:hAnsi="Garamond" w:cs="Calibri"/>
                <w:color w:val="000000"/>
                <w:sz w:val="20"/>
                <w:szCs w:val="20"/>
              </w:rPr>
            </w:pPr>
            <w:r>
              <w:rPr>
                <w:rFonts w:ascii="Garamond" w:hAnsi="Garamond" w:cs="Calibri"/>
                <w:color w:val="000000"/>
                <w:sz w:val="20"/>
                <w:szCs w:val="20"/>
              </w:rPr>
              <w:t>16,29,153</w:t>
            </w:r>
          </w:p>
        </w:tc>
        <w:tc>
          <w:tcPr>
            <w:tcW w:w="1060" w:type="dxa"/>
            <w:tcBorders>
              <w:top w:val="nil"/>
              <w:left w:val="nil"/>
              <w:bottom w:val="nil"/>
              <w:right w:val="single" w:sz="8" w:space="0" w:color="auto"/>
            </w:tcBorders>
            <w:shd w:val="clear" w:color="auto" w:fill="auto"/>
            <w:tcMar>
              <w:top w:w="15" w:type="dxa"/>
              <w:left w:w="15" w:type="dxa"/>
              <w:bottom w:w="0" w:type="dxa"/>
              <w:right w:w="15" w:type="dxa"/>
            </w:tcMar>
            <w:vAlign w:val="center"/>
            <w:hideMark/>
          </w:tcPr>
          <w:p w:rsidR="000F236F" w:rsidRDefault="000F236F" w:rsidP="00DB5405">
            <w:pPr>
              <w:jc w:val="right"/>
              <w:rPr>
                <w:rFonts w:ascii="Garamond" w:hAnsi="Garamond" w:cs="Calibri"/>
                <w:color w:val="000000"/>
                <w:sz w:val="20"/>
                <w:szCs w:val="20"/>
              </w:rPr>
            </w:pPr>
            <w:r>
              <w:rPr>
                <w:rFonts w:ascii="Garamond" w:hAnsi="Garamond" w:cs="Calibri"/>
                <w:color w:val="000000"/>
                <w:sz w:val="20"/>
                <w:szCs w:val="20"/>
              </w:rPr>
              <w:t>9350.95</w:t>
            </w:r>
          </w:p>
        </w:tc>
        <w:tc>
          <w:tcPr>
            <w:tcW w:w="1060" w:type="dxa"/>
            <w:tcBorders>
              <w:top w:val="nil"/>
              <w:left w:val="nil"/>
              <w:bottom w:val="nil"/>
              <w:right w:val="nil"/>
            </w:tcBorders>
            <w:shd w:val="clear" w:color="auto" w:fill="auto"/>
            <w:tcMar>
              <w:top w:w="15" w:type="dxa"/>
              <w:left w:w="15" w:type="dxa"/>
              <w:bottom w:w="0" w:type="dxa"/>
              <w:right w:w="15" w:type="dxa"/>
            </w:tcMar>
            <w:vAlign w:val="center"/>
            <w:hideMark/>
          </w:tcPr>
          <w:p w:rsidR="000F236F" w:rsidRDefault="000F236F" w:rsidP="00DB5405">
            <w:pPr>
              <w:jc w:val="right"/>
              <w:rPr>
                <w:rFonts w:ascii="Garamond" w:hAnsi="Garamond" w:cs="Calibri"/>
                <w:color w:val="000000"/>
                <w:sz w:val="20"/>
                <w:szCs w:val="20"/>
              </w:rPr>
            </w:pPr>
            <w:r>
              <w:rPr>
                <w:rFonts w:ascii="Garamond" w:hAnsi="Garamond" w:cs="Calibri"/>
                <w:color w:val="000000"/>
                <w:sz w:val="20"/>
                <w:szCs w:val="20"/>
              </w:rPr>
              <w:t>55,37,866</w:t>
            </w:r>
          </w:p>
        </w:tc>
        <w:tc>
          <w:tcPr>
            <w:tcW w:w="1060" w:type="dxa"/>
            <w:tcBorders>
              <w:top w:val="nil"/>
              <w:left w:val="single" w:sz="8" w:space="0" w:color="auto"/>
              <w:bottom w:val="nil"/>
              <w:right w:val="single" w:sz="8" w:space="0" w:color="auto"/>
            </w:tcBorders>
            <w:shd w:val="clear" w:color="auto" w:fill="auto"/>
            <w:tcMar>
              <w:top w:w="15" w:type="dxa"/>
              <w:left w:w="15" w:type="dxa"/>
              <w:bottom w:w="0" w:type="dxa"/>
              <w:right w:w="15" w:type="dxa"/>
            </w:tcMar>
            <w:vAlign w:val="center"/>
            <w:hideMark/>
          </w:tcPr>
          <w:p w:rsidR="000F236F" w:rsidRDefault="000F236F" w:rsidP="00DB5405">
            <w:pPr>
              <w:jc w:val="right"/>
              <w:rPr>
                <w:rFonts w:ascii="Garamond" w:hAnsi="Garamond" w:cs="Calibri"/>
                <w:color w:val="000000"/>
                <w:sz w:val="20"/>
                <w:szCs w:val="20"/>
              </w:rPr>
            </w:pPr>
            <w:r>
              <w:rPr>
                <w:rFonts w:ascii="Garamond" w:hAnsi="Garamond" w:cs="Calibri"/>
                <w:color w:val="000000"/>
                <w:sz w:val="20"/>
                <w:szCs w:val="20"/>
              </w:rPr>
              <w:t>1,02,04,996</w:t>
            </w:r>
          </w:p>
        </w:tc>
        <w:tc>
          <w:tcPr>
            <w:tcW w:w="1060" w:type="dxa"/>
            <w:tcBorders>
              <w:top w:val="nil"/>
              <w:left w:val="nil"/>
              <w:bottom w:val="nil"/>
              <w:right w:val="nil"/>
            </w:tcBorders>
            <w:shd w:val="clear" w:color="auto" w:fill="auto"/>
            <w:tcMar>
              <w:top w:w="15" w:type="dxa"/>
              <w:left w:w="15" w:type="dxa"/>
              <w:bottom w:w="0" w:type="dxa"/>
              <w:right w:w="15" w:type="dxa"/>
            </w:tcMar>
            <w:vAlign w:val="center"/>
            <w:hideMark/>
          </w:tcPr>
          <w:p w:rsidR="000F236F" w:rsidRDefault="000F236F" w:rsidP="00DB5405">
            <w:pPr>
              <w:jc w:val="right"/>
              <w:rPr>
                <w:rFonts w:ascii="Garamond" w:hAnsi="Garamond" w:cs="Calibri"/>
                <w:color w:val="000000"/>
                <w:sz w:val="20"/>
                <w:szCs w:val="20"/>
              </w:rPr>
            </w:pPr>
            <w:r>
              <w:rPr>
                <w:rFonts w:ascii="Garamond" w:hAnsi="Garamond" w:cs="Calibri"/>
                <w:color w:val="000000"/>
                <w:sz w:val="20"/>
                <w:szCs w:val="20"/>
              </w:rPr>
              <w:t>45,265</w:t>
            </w:r>
          </w:p>
        </w:tc>
        <w:tc>
          <w:tcPr>
            <w:tcW w:w="1060" w:type="dxa"/>
            <w:tcBorders>
              <w:top w:val="nil"/>
              <w:left w:val="single" w:sz="8" w:space="0" w:color="auto"/>
              <w:bottom w:val="nil"/>
              <w:right w:val="single" w:sz="8" w:space="0" w:color="auto"/>
            </w:tcBorders>
            <w:shd w:val="clear" w:color="auto" w:fill="auto"/>
            <w:tcMar>
              <w:top w:w="15" w:type="dxa"/>
              <w:left w:w="15" w:type="dxa"/>
              <w:bottom w:w="0" w:type="dxa"/>
              <w:right w:w="15" w:type="dxa"/>
            </w:tcMar>
            <w:vAlign w:val="center"/>
            <w:hideMark/>
          </w:tcPr>
          <w:p w:rsidR="000F236F" w:rsidRDefault="000F236F" w:rsidP="00DB5405">
            <w:pPr>
              <w:jc w:val="right"/>
              <w:rPr>
                <w:rFonts w:ascii="Garamond" w:hAnsi="Garamond" w:cs="Calibri"/>
                <w:color w:val="000000"/>
                <w:sz w:val="20"/>
                <w:szCs w:val="20"/>
              </w:rPr>
            </w:pPr>
            <w:r>
              <w:rPr>
                <w:rFonts w:ascii="Garamond" w:hAnsi="Garamond" w:cs="Calibri"/>
                <w:color w:val="000000"/>
                <w:sz w:val="20"/>
                <w:szCs w:val="20"/>
              </w:rPr>
              <w:t>6,28,22,193</w:t>
            </w:r>
          </w:p>
        </w:tc>
      </w:tr>
      <w:tr w:rsidR="000F236F" w:rsidTr="00DB5405">
        <w:trPr>
          <w:trHeight w:val="243"/>
        </w:trPr>
        <w:tc>
          <w:tcPr>
            <w:tcW w:w="3433" w:type="dxa"/>
            <w:tcBorders>
              <w:top w:val="nil"/>
              <w:left w:val="single" w:sz="8" w:space="0" w:color="auto"/>
              <w:bottom w:val="nil"/>
              <w:right w:val="single" w:sz="8" w:space="0" w:color="auto"/>
            </w:tcBorders>
            <w:shd w:val="clear" w:color="000000" w:fill="B4C6E7"/>
            <w:tcMar>
              <w:top w:w="15" w:type="dxa"/>
              <w:left w:w="15" w:type="dxa"/>
              <w:bottom w:w="0" w:type="dxa"/>
              <w:right w:w="15" w:type="dxa"/>
            </w:tcMar>
            <w:vAlign w:val="center"/>
            <w:hideMark/>
          </w:tcPr>
          <w:p w:rsidR="000F236F" w:rsidRDefault="000F236F" w:rsidP="00DB5405">
            <w:pPr>
              <w:rPr>
                <w:rFonts w:ascii="Garamond" w:hAnsi="Garamond" w:cs="Calibri"/>
                <w:color w:val="000000"/>
                <w:sz w:val="20"/>
                <w:szCs w:val="20"/>
              </w:rPr>
            </w:pPr>
            <w:r>
              <w:rPr>
                <w:rFonts w:ascii="Garamond" w:hAnsi="Garamond" w:cs="Calibri"/>
                <w:color w:val="000000"/>
                <w:sz w:val="20"/>
                <w:szCs w:val="20"/>
              </w:rPr>
              <w:t>Euronext</w:t>
            </w:r>
          </w:p>
        </w:tc>
        <w:tc>
          <w:tcPr>
            <w:tcW w:w="1060" w:type="dxa"/>
            <w:tcBorders>
              <w:top w:val="nil"/>
              <w:left w:val="nil"/>
              <w:bottom w:val="nil"/>
              <w:right w:val="single" w:sz="8" w:space="0" w:color="auto"/>
            </w:tcBorders>
            <w:shd w:val="clear" w:color="auto" w:fill="auto"/>
            <w:tcMar>
              <w:top w:w="15" w:type="dxa"/>
              <w:left w:w="15" w:type="dxa"/>
              <w:bottom w:w="0" w:type="dxa"/>
              <w:right w:w="15" w:type="dxa"/>
            </w:tcMar>
            <w:vAlign w:val="center"/>
            <w:hideMark/>
          </w:tcPr>
          <w:p w:rsidR="000F236F" w:rsidRDefault="000F236F" w:rsidP="00DB5405">
            <w:pPr>
              <w:jc w:val="right"/>
              <w:rPr>
                <w:rFonts w:ascii="Garamond" w:hAnsi="Garamond" w:cs="Calibri"/>
                <w:color w:val="000000"/>
                <w:sz w:val="20"/>
                <w:szCs w:val="20"/>
              </w:rPr>
            </w:pPr>
            <w:r>
              <w:rPr>
                <w:rFonts w:ascii="Garamond" w:hAnsi="Garamond" w:cs="Calibri"/>
                <w:color w:val="000000"/>
                <w:sz w:val="20"/>
                <w:szCs w:val="20"/>
              </w:rPr>
              <w:t>NA</w:t>
            </w:r>
          </w:p>
        </w:tc>
        <w:tc>
          <w:tcPr>
            <w:tcW w:w="1060" w:type="dxa"/>
            <w:tcBorders>
              <w:top w:val="nil"/>
              <w:left w:val="nil"/>
              <w:bottom w:val="nil"/>
              <w:right w:val="single" w:sz="8" w:space="0" w:color="auto"/>
            </w:tcBorders>
            <w:shd w:val="clear" w:color="auto" w:fill="auto"/>
            <w:tcMar>
              <w:top w:w="15" w:type="dxa"/>
              <w:left w:w="15" w:type="dxa"/>
              <w:bottom w:w="0" w:type="dxa"/>
              <w:right w:w="15" w:type="dxa"/>
            </w:tcMar>
            <w:vAlign w:val="center"/>
            <w:hideMark/>
          </w:tcPr>
          <w:p w:rsidR="000F236F" w:rsidRDefault="000F236F" w:rsidP="00DB5405">
            <w:pPr>
              <w:jc w:val="right"/>
              <w:rPr>
                <w:rFonts w:ascii="Garamond" w:hAnsi="Garamond" w:cs="Calibri"/>
                <w:color w:val="000000"/>
                <w:sz w:val="20"/>
                <w:szCs w:val="20"/>
              </w:rPr>
            </w:pPr>
            <w:r>
              <w:rPr>
                <w:rFonts w:ascii="Garamond" w:hAnsi="Garamond" w:cs="Calibri"/>
                <w:color w:val="000000"/>
                <w:sz w:val="20"/>
                <w:szCs w:val="20"/>
              </w:rPr>
              <w:t>NA</w:t>
            </w:r>
          </w:p>
        </w:tc>
        <w:tc>
          <w:tcPr>
            <w:tcW w:w="1060" w:type="dxa"/>
            <w:tcBorders>
              <w:top w:val="nil"/>
              <w:left w:val="nil"/>
              <w:bottom w:val="nil"/>
              <w:right w:val="nil"/>
            </w:tcBorders>
            <w:shd w:val="clear" w:color="auto" w:fill="auto"/>
            <w:tcMar>
              <w:top w:w="15" w:type="dxa"/>
              <w:left w:w="15" w:type="dxa"/>
              <w:bottom w:w="0" w:type="dxa"/>
              <w:right w:w="15" w:type="dxa"/>
            </w:tcMar>
            <w:vAlign w:val="center"/>
            <w:hideMark/>
          </w:tcPr>
          <w:p w:rsidR="000F236F" w:rsidRDefault="000F236F" w:rsidP="00DB5405">
            <w:pPr>
              <w:jc w:val="right"/>
              <w:rPr>
                <w:rFonts w:ascii="Garamond" w:hAnsi="Garamond" w:cs="Calibri"/>
                <w:color w:val="000000"/>
                <w:sz w:val="20"/>
                <w:szCs w:val="20"/>
              </w:rPr>
            </w:pPr>
            <w:r>
              <w:rPr>
                <w:rFonts w:ascii="Garamond" w:hAnsi="Garamond" w:cs="Calibri"/>
                <w:color w:val="000000"/>
                <w:sz w:val="20"/>
                <w:szCs w:val="20"/>
              </w:rPr>
              <w:t>NA</w:t>
            </w:r>
          </w:p>
        </w:tc>
        <w:tc>
          <w:tcPr>
            <w:tcW w:w="1060" w:type="dxa"/>
            <w:tcBorders>
              <w:top w:val="nil"/>
              <w:left w:val="single" w:sz="8" w:space="0" w:color="auto"/>
              <w:bottom w:val="nil"/>
              <w:right w:val="single" w:sz="8" w:space="0" w:color="auto"/>
            </w:tcBorders>
            <w:shd w:val="clear" w:color="auto" w:fill="auto"/>
            <w:tcMar>
              <w:top w:w="15" w:type="dxa"/>
              <w:left w:w="15" w:type="dxa"/>
              <w:bottom w:w="0" w:type="dxa"/>
              <w:right w:w="15" w:type="dxa"/>
            </w:tcMar>
            <w:vAlign w:val="center"/>
            <w:hideMark/>
          </w:tcPr>
          <w:p w:rsidR="000F236F" w:rsidRDefault="000F236F" w:rsidP="00DB5405">
            <w:pPr>
              <w:jc w:val="right"/>
              <w:rPr>
                <w:rFonts w:ascii="Garamond" w:hAnsi="Garamond" w:cs="Calibri"/>
                <w:color w:val="000000"/>
                <w:sz w:val="20"/>
                <w:szCs w:val="20"/>
              </w:rPr>
            </w:pPr>
            <w:r>
              <w:rPr>
                <w:rFonts w:ascii="Garamond" w:hAnsi="Garamond" w:cs="Calibri"/>
                <w:color w:val="000000"/>
                <w:sz w:val="20"/>
                <w:szCs w:val="20"/>
              </w:rPr>
              <w:t>NA</w:t>
            </w:r>
          </w:p>
        </w:tc>
        <w:tc>
          <w:tcPr>
            <w:tcW w:w="1060" w:type="dxa"/>
            <w:tcBorders>
              <w:top w:val="nil"/>
              <w:left w:val="nil"/>
              <w:bottom w:val="nil"/>
              <w:right w:val="nil"/>
            </w:tcBorders>
            <w:shd w:val="clear" w:color="auto" w:fill="auto"/>
            <w:tcMar>
              <w:top w:w="15" w:type="dxa"/>
              <w:left w:w="15" w:type="dxa"/>
              <w:bottom w:w="0" w:type="dxa"/>
              <w:right w:w="15" w:type="dxa"/>
            </w:tcMar>
            <w:vAlign w:val="center"/>
            <w:hideMark/>
          </w:tcPr>
          <w:p w:rsidR="000F236F" w:rsidRDefault="000F236F" w:rsidP="00DB5405">
            <w:pPr>
              <w:jc w:val="right"/>
              <w:rPr>
                <w:rFonts w:ascii="Garamond" w:hAnsi="Garamond" w:cs="Calibri"/>
                <w:color w:val="000000"/>
                <w:sz w:val="20"/>
                <w:szCs w:val="20"/>
              </w:rPr>
            </w:pPr>
            <w:r>
              <w:rPr>
                <w:rFonts w:ascii="Garamond" w:hAnsi="Garamond" w:cs="Calibri"/>
                <w:color w:val="000000"/>
                <w:sz w:val="20"/>
                <w:szCs w:val="20"/>
              </w:rPr>
              <w:t>NA</w:t>
            </w:r>
          </w:p>
        </w:tc>
        <w:tc>
          <w:tcPr>
            <w:tcW w:w="1060" w:type="dxa"/>
            <w:tcBorders>
              <w:top w:val="nil"/>
              <w:left w:val="single" w:sz="8" w:space="0" w:color="auto"/>
              <w:bottom w:val="nil"/>
              <w:right w:val="single" w:sz="8" w:space="0" w:color="auto"/>
            </w:tcBorders>
            <w:shd w:val="clear" w:color="auto" w:fill="auto"/>
            <w:tcMar>
              <w:top w:w="15" w:type="dxa"/>
              <w:left w:w="15" w:type="dxa"/>
              <w:bottom w:w="0" w:type="dxa"/>
              <w:right w:w="15" w:type="dxa"/>
            </w:tcMar>
            <w:vAlign w:val="center"/>
            <w:hideMark/>
          </w:tcPr>
          <w:p w:rsidR="000F236F" w:rsidRDefault="000F236F" w:rsidP="00DB5405">
            <w:pPr>
              <w:jc w:val="right"/>
              <w:rPr>
                <w:rFonts w:ascii="Garamond" w:hAnsi="Garamond" w:cs="Calibri"/>
                <w:color w:val="000000"/>
                <w:sz w:val="20"/>
                <w:szCs w:val="20"/>
              </w:rPr>
            </w:pPr>
            <w:r>
              <w:rPr>
                <w:rFonts w:ascii="Garamond" w:hAnsi="Garamond" w:cs="Calibri"/>
                <w:color w:val="000000"/>
                <w:sz w:val="20"/>
                <w:szCs w:val="20"/>
              </w:rPr>
              <w:t>NA</w:t>
            </w:r>
          </w:p>
        </w:tc>
      </w:tr>
      <w:tr w:rsidR="000F236F" w:rsidTr="00DB5405">
        <w:trPr>
          <w:trHeight w:val="243"/>
        </w:trPr>
        <w:tc>
          <w:tcPr>
            <w:tcW w:w="3433" w:type="dxa"/>
            <w:tcBorders>
              <w:top w:val="nil"/>
              <w:left w:val="single" w:sz="8" w:space="0" w:color="auto"/>
              <w:bottom w:val="nil"/>
              <w:right w:val="single" w:sz="8" w:space="0" w:color="auto"/>
            </w:tcBorders>
            <w:shd w:val="clear" w:color="000000" w:fill="B4C6E7"/>
            <w:tcMar>
              <w:top w:w="15" w:type="dxa"/>
              <w:left w:w="15" w:type="dxa"/>
              <w:bottom w:w="0" w:type="dxa"/>
              <w:right w:w="15" w:type="dxa"/>
            </w:tcMar>
            <w:vAlign w:val="center"/>
            <w:hideMark/>
          </w:tcPr>
          <w:p w:rsidR="000F236F" w:rsidRDefault="000F236F" w:rsidP="00DB5405">
            <w:pPr>
              <w:rPr>
                <w:rFonts w:ascii="Garamond" w:hAnsi="Garamond" w:cs="Calibri"/>
                <w:color w:val="000000"/>
                <w:sz w:val="20"/>
                <w:szCs w:val="20"/>
              </w:rPr>
            </w:pPr>
            <w:r>
              <w:rPr>
                <w:rFonts w:ascii="Garamond" w:hAnsi="Garamond" w:cs="Calibri"/>
                <w:color w:val="000000"/>
                <w:sz w:val="20"/>
                <w:szCs w:val="20"/>
              </w:rPr>
              <w:t>Moscow Exchange</w:t>
            </w:r>
          </w:p>
        </w:tc>
        <w:tc>
          <w:tcPr>
            <w:tcW w:w="1060" w:type="dxa"/>
            <w:tcBorders>
              <w:top w:val="nil"/>
              <w:left w:val="nil"/>
              <w:bottom w:val="nil"/>
              <w:right w:val="single" w:sz="8" w:space="0" w:color="auto"/>
            </w:tcBorders>
            <w:shd w:val="clear" w:color="auto" w:fill="auto"/>
            <w:tcMar>
              <w:top w:w="15" w:type="dxa"/>
              <w:left w:w="15" w:type="dxa"/>
              <w:bottom w:w="0" w:type="dxa"/>
              <w:right w:w="15" w:type="dxa"/>
            </w:tcMar>
            <w:vAlign w:val="center"/>
            <w:hideMark/>
          </w:tcPr>
          <w:p w:rsidR="000F236F" w:rsidRDefault="000F236F" w:rsidP="00DB5405">
            <w:pPr>
              <w:jc w:val="right"/>
              <w:rPr>
                <w:rFonts w:ascii="Garamond" w:hAnsi="Garamond" w:cs="Calibri"/>
                <w:color w:val="000000"/>
                <w:sz w:val="20"/>
                <w:szCs w:val="20"/>
              </w:rPr>
            </w:pPr>
            <w:r>
              <w:rPr>
                <w:rFonts w:ascii="Garamond" w:hAnsi="Garamond" w:cs="Calibri"/>
                <w:color w:val="000000"/>
                <w:sz w:val="20"/>
                <w:szCs w:val="20"/>
              </w:rPr>
              <w:t>1,28,63,399</w:t>
            </w:r>
          </w:p>
        </w:tc>
        <w:tc>
          <w:tcPr>
            <w:tcW w:w="1060" w:type="dxa"/>
            <w:tcBorders>
              <w:top w:val="nil"/>
              <w:left w:val="nil"/>
              <w:bottom w:val="nil"/>
              <w:right w:val="single" w:sz="8" w:space="0" w:color="auto"/>
            </w:tcBorders>
            <w:shd w:val="clear" w:color="auto" w:fill="auto"/>
            <w:tcMar>
              <w:top w:w="15" w:type="dxa"/>
              <w:left w:w="15" w:type="dxa"/>
              <w:bottom w:w="0" w:type="dxa"/>
              <w:right w:w="15" w:type="dxa"/>
            </w:tcMar>
            <w:vAlign w:val="center"/>
            <w:hideMark/>
          </w:tcPr>
          <w:p w:rsidR="000F236F" w:rsidRDefault="000F236F" w:rsidP="00DB5405">
            <w:pPr>
              <w:jc w:val="right"/>
              <w:rPr>
                <w:rFonts w:ascii="Garamond" w:hAnsi="Garamond" w:cs="Calibri"/>
                <w:color w:val="000000"/>
                <w:sz w:val="20"/>
                <w:szCs w:val="20"/>
              </w:rPr>
            </w:pPr>
            <w:r>
              <w:rPr>
                <w:rFonts w:ascii="Garamond" w:hAnsi="Garamond" w:cs="Calibri"/>
                <w:color w:val="000000"/>
                <w:sz w:val="20"/>
                <w:szCs w:val="20"/>
              </w:rPr>
              <w:t>3615.84</w:t>
            </w:r>
          </w:p>
        </w:tc>
        <w:tc>
          <w:tcPr>
            <w:tcW w:w="1060" w:type="dxa"/>
            <w:tcBorders>
              <w:top w:val="nil"/>
              <w:left w:val="nil"/>
              <w:bottom w:val="nil"/>
              <w:right w:val="nil"/>
            </w:tcBorders>
            <w:shd w:val="clear" w:color="auto" w:fill="auto"/>
            <w:tcMar>
              <w:top w:w="15" w:type="dxa"/>
              <w:left w:w="15" w:type="dxa"/>
              <w:bottom w:w="0" w:type="dxa"/>
              <w:right w:w="15" w:type="dxa"/>
            </w:tcMar>
            <w:vAlign w:val="center"/>
            <w:hideMark/>
          </w:tcPr>
          <w:p w:rsidR="000F236F" w:rsidRDefault="000F236F" w:rsidP="00DB5405">
            <w:pPr>
              <w:jc w:val="right"/>
              <w:rPr>
                <w:rFonts w:ascii="Garamond" w:hAnsi="Garamond" w:cs="Calibri"/>
                <w:color w:val="000000"/>
                <w:sz w:val="20"/>
                <w:szCs w:val="20"/>
              </w:rPr>
            </w:pPr>
            <w:r>
              <w:rPr>
                <w:rFonts w:ascii="Garamond" w:hAnsi="Garamond" w:cs="Calibri"/>
                <w:color w:val="000000"/>
                <w:sz w:val="20"/>
                <w:szCs w:val="20"/>
              </w:rPr>
              <w:t>15,24,784</w:t>
            </w:r>
          </w:p>
        </w:tc>
        <w:tc>
          <w:tcPr>
            <w:tcW w:w="1060" w:type="dxa"/>
            <w:tcBorders>
              <w:top w:val="nil"/>
              <w:left w:val="single" w:sz="8" w:space="0" w:color="auto"/>
              <w:bottom w:val="nil"/>
              <w:right w:val="single" w:sz="8" w:space="0" w:color="auto"/>
            </w:tcBorders>
            <w:shd w:val="clear" w:color="auto" w:fill="auto"/>
            <w:tcMar>
              <w:top w:w="15" w:type="dxa"/>
              <w:left w:w="15" w:type="dxa"/>
              <w:bottom w:w="0" w:type="dxa"/>
              <w:right w:w="15" w:type="dxa"/>
            </w:tcMar>
            <w:vAlign w:val="center"/>
            <w:hideMark/>
          </w:tcPr>
          <w:p w:rsidR="000F236F" w:rsidRDefault="000F236F" w:rsidP="00DB5405">
            <w:pPr>
              <w:jc w:val="right"/>
              <w:rPr>
                <w:rFonts w:ascii="Garamond" w:hAnsi="Garamond" w:cs="Calibri"/>
                <w:color w:val="000000"/>
                <w:sz w:val="20"/>
                <w:szCs w:val="20"/>
              </w:rPr>
            </w:pPr>
            <w:r>
              <w:rPr>
                <w:rFonts w:ascii="Garamond" w:hAnsi="Garamond" w:cs="Calibri"/>
                <w:color w:val="000000"/>
                <w:sz w:val="20"/>
                <w:szCs w:val="20"/>
              </w:rPr>
              <w:t>1,05,160</w:t>
            </w:r>
          </w:p>
        </w:tc>
        <w:tc>
          <w:tcPr>
            <w:tcW w:w="1060" w:type="dxa"/>
            <w:tcBorders>
              <w:top w:val="nil"/>
              <w:left w:val="nil"/>
              <w:bottom w:val="nil"/>
              <w:right w:val="nil"/>
            </w:tcBorders>
            <w:shd w:val="clear" w:color="auto" w:fill="auto"/>
            <w:tcMar>
              <w:top w:w="15" w:type="dxa"/>
              <w:left w:w="15" w:type="dxa"/>
              <w:bottom w:w="0" w:type="dxa"/>
              <w:right w:w="15" w:type="dxa"/>
            </w:tcMar>
            <w:vAlign w:val="center"/>
            <w:hideMark/>
          </w:tcPr>
          <w:p w:rsidR="000F236F" w:rsidRDefault="000F236F" w:rsidP="00DB5405">
            <w:pPr>
              <w:jc w:val="right"/>
              <w:rPr>
                <w:rFonts w:ascii="Garamond" w:hAnsi="Garamond" w:cs="Calibri"/>
                <w:color w:val="000000"/>
                <w:sz w:val="20"/>
                <w:szCs w:val="20"/>
              </w:rPr>
            </w:pPr>
            <w:r>
              <w:rPr>
                <w:rFonts w:ascii="Garamond" w:hAnsi="Garamond" w:cs="Calibri"/>
                <w:color w:val="000000"/>
                <w:sz w:val="20"/>
                <w:szCs w:val="20"/>
              </w:rPr>
              <w:t>28</w:t>
            </w:r>
          </w:p>
        </w:tc>
        <w:tc>
          <w:tcPr>
            <w:tcW w:w="1060" w:type="dxa"/>
            <w:tcBorders>
              <w:top w:val="nil"/>
              <w:left w:val="single" w:sz="8" w:space="0" w:color="auto"/>
              <w:bottom w:val="nil"/>
              <w:right w:val="single" w:sz="8" w:space="0" w:color="auto"/>
            </w:tcBorders>
            <w:shd w:val="clear" w:color="auto" w:fill="auto"/>
            <w:tcMar>
              <w:top w:w="15" w:type="dxa"/>
              <w:left w:w="15" w:type="dxa"/>
              <w:bottom w:w="0" w:type="dxa"/>
              <w:right w:w="15" w:type="dxa"/>
            </w:tcMar>
            <w:vAlign w:val="center"/>
            <w:hideMark/>
          </w:tcPr>
          <w:p w:rsidR="000F236F" w:rsidRDefault="000F236F" w:rsidP="00DB5405">
            <w:pPr>
              <w:jc w:val="right"/>
              <w:rPr>
                <w:rFonts w:ascii="Garamond" w:hAnsi="Garamond" w:cs="Calibri"/>
                <w:color w:val="000000"/>
                <w:sz w:val="20"/>
                <w:szCs w:val="20"/>
              </w:rPr>
            </w:pPr>
            <w:r>
              <w:rPr>
                <w:rFonts w:ascii="Garamond" w:hAnsi="Garamond" w:cs="Calibri"/>
                <w:color w:val="000000"/>
                <w:sz w:val="20"/>
                <w:szCs w:val="20"/>
              </w:rPr>
              <w:t>1,48,778</w:t>
            </w:r>
          </w:p>
        </w:tc>
      </w:tr>
      <w:tr w:rsidR="000F236F" w:rsidTr="00DB5405">
        <w:trPr>
          <w:trHeight w:val="243"/>
        </w:trPr>
        <w:tc>
          <w:tcPr>
            <w:tcW w:w="3433" w:type="dxa"/>
            <w:tcBorders>
              <w:top w:val="nil"/>
              <w:left w:val="single" w:sz="8" w:space="0" w:color="auto"/>
              <w:bottom w:val="nil"/>
              <w:right w:val="single" w:sz="8" w:space="0" w:color="auto"/>
            </w:tcBorders>
            <w:shd w:val="clear" w:color="000000" w:fill="B4C6E7"/>
            <w:tcMar>
              <w:top w:w="15" w:type="dxa"/>
              <w:left w:w="15" w:type="dxa"/>
              <w:bottom w:w="0" w:type="dxa"/>
              <w:right w:w="15" w:type="dxa"/>
            </w:tcMar>
            <w:vAlign w:val="center"/>
            <w:hideMark/>
          </w:tcPr>
          <w:p w:rsidR="000F236F" w:rsidRDefault="000F236F" w:rsidP="00DB5405">
            <w:pPr>
              <w:rPr>
                <w:rFonts w:ascii="Garamond" w:hAnsi="Garamond" w:cs="Calibri"/>
                <w:color w:val="000000"/>
                <w:sz w:val="20"/>
                <w:szCs w:val="20"/>
              </w:rPr>
            </w:pPr>
            <w:r>
              <w:rPr>
                <w:rFonts w:ascii="Garamond" w:hAnsi="Garamond" w:cs="Calibri"/>
                <w:color w:val="000000"/>
                <w:sz w:val="20"/>
                <w:szCs w:val="20"/>
              </w:rPr>
              <w:t>Nasdaq Nordic and Baltics</w:t>
            </w:r>
          </w:p>
        </w:tc>
        <w:tc>
          <w:tcPr>
            <w:tcW w:w="1060" w:type="dxa"/>
            <w:tcBorders>
              <w:top w:val="nil"/>
              <w:left w:val="nil"/>
              <w:bottom w:val="nil"/>
              <w:right w:val="single" w:sz="8" w:space="0" w:color="auto"/>
            </w:tcBorders>
            <w:shd w:val="clear" w:color="auto" w:fill="auto"/>
            <w:tcMar>
              <w:top w:w="15" w:type="dxa"/>
              <w:left w:w="15" w:type="dxa"/>
              <w:bottom w:w="0" w:type="dxa"/>
              <w:right w:w="15" w:type="dxa"/>
            </w:tcMar>
            <w:vAlign w:val="center"/>
            <w:hideMark/>
          </w:tcPr>
          <w:p w:rsidR="000F236F" w:rsidRDefault="000F236F" w:rsidP="00DB5405">
            <w:pPr>
              <w:jc w:val="right"/>
              <w:rPr>
                <w:rFonts w:ascii="Garamond" w:hAnsi="Garamond" w:cs="Calibri"/>
                <w:color w:val="000000"/>
                <w:sz w:val="20"/>
                <w:szCs w:val="20"/>
              </w:rPr>
            </w:pPr>
            <w:r>
              <w:rPr>
                <w:rFonts w:ascii="Garamond" w:hAnsi="Garamond" w:cs="Calibri"/>
                <w:color w:val="000000"/>
                <w:sz w:val="20"/>
                <w:szCs w:val="20"/>
              </w:rPr>
              <w:t>1,47,194</w:t>
            </w:r>
          </w:p>
        </w:tc>
        <w:tc>
          <w:tcPr>
            <w:tcW w:w="1060" w:type="dxa"/>
            <w:tcBorders>
              <w:top w:val="nil"/>
              <w:left w:val="nil"/>
              <w:bottom w:val="nil"/>
              <w:right w:val="single" w:sz="8" w:space="0" w:color="auto"/>
            </w:tcBorders>
            <w:shd w:val="clear" w:color="auto" w:fill="auto"/>
            <w:tcMar>
              <w:top w:w="15" w:type="dxa"/>
              <w:left w:w="15" w:type="dxa"/>
              <w:bottom w:w="0" w:type="dxa"/>
              <w:right w:w="15" w:type="dxa"/>
            </w:tcMar>
            <w:vAlign w:val="center"/>
            <w:hideMark/>
          </w:tcPr>
          <w:p w:rsidR="000F236F" w:rsidRDefault="000F236F" w:rsidP="00DB5405">
            <w:pPr>
              <w:jc w:val="right"/>
              <w:rPr>
                <w:rFonts w:ascii="Garamond" w:hAnsi="Garamond" w:cs="Calibri"/>
                <w:color w:val="000000"/>
                <w:sz w:val="20"/>
                <w:szCs w:val="20"/>
              </w:rPr>
            </w:pPr>
            <w:r>
              <w:rPr>
                <w:rFonts w:ascii="Garamond" w:hAnsi="Garamond" w:cs="Calibri"/>
                <w:color w:val="000000"/>
                <w:sz w:val="20"/>
                <w:szCs w:val="20"/>
              </w:rPr>
              <w:t>413.84</w:t>
            </w:r>
          </w:p>
        </w:tc>
        <w:tc>
          <w:tcPr>
            <w:tcW w:w="1060" w:type="dxa"/>
            <w:tcBorders>
              <w:top w:val="nil"/>
              <w:left w:val="nil"/>
              <w:bottom w:val="nil"/>
              <w:right w:val="nil"/>
            </w:tcBorders>
            <w:shd w:val="clear" w:color="auto" w:fill="auto"/>
            <w:tcMar>
              <w:top w:w="15" w:type="dxa"/>
              <w:left w:w="15" w:type="dxa"/>
              <w:bottom w:w="0" w:type="dxa"/>
              <w:right w:w="15" w:type="dxa"/>
            </w:tcMar>
            <w:vAlign w:val="center"/>
            <w:hideMark/>
          </w:tcPr>
          <w:p w:rsidR="000F236F" w:rsidRDefault="000F236F" w:rsidP="00DB5405">
            <w:pPr>
              <w:jc w:val="right"/>
              <w:rPr>
                <w:rFonts w:ascii="Garamond" w:hAnsi="Garamond" w:cs="Calibri"/>
                <w:color w:val="000000"/>
                <w:sz w:val="20"/>
                <w:szCs w:val="20"/>
              </w:rPr>
            </w:pPr>
            <w:r>
              <w:rPr>
                <w:rFonts w:ascii="Garamond" w:hAnsi="Garamond" w:cs="Calibri"/>
                <w:color w:val="000000"/>
                <w:sz w:val="20"/>
                <w:szCs w:val="20"/>
              </w:rPr>
              <w:t>1,16,906</w:t>
            </w:r>
          </w:p>
        </w:tc>
        <w:tc>
          <w:tcPr>
            <w:tcW w:w="1060" w:type="dxa"/>
            <w:tcBorders>
              <w:top w:val="nil"/>
              <w:left w:val="single" w:sz="8" w:space="0" w:color="auto"/>
              <w:bottom w:val="nil"/>
              <w:right w:val="single" w:sz="8" w:space="0" w:color="auto"/>
            </w:tcBorders>
            <w:shd w:val="clear" w:color="auto" w:fill="auto"/>
            <w:tcMar>
              <w:top w:w="15" w:type="dxa"/>
              <w:left w:w="15" w:type="dxa"/>
              <w:bottom w:w="0" w:type="dxa"/>
              <w:right w:w="15" w:type="dxa"/>
            </w:tcMar>
            <w:vAlign w:val="center"/>
            <w:hideMark/>
          </w:tcPr>
          <w:p w:rsidR="000F236F" w:rsidRDefault="000F236F" w:rsidP="00DB5405">
            <w:pPr>
              <w:jc w:val="right"/>
              <w:rPr>
                <w:rFonts w:ascii="Garamond" w:hAnsi="Garamond" w:cs="Calibri"/>
                <w:color w:val="000000"/>
                <w:sz w:val="20"/>
                <w:szCs w:val="20"/>
              </w:rPr>
            </w:pPr>
            <w:r>
              <w:rPr>
                <w:rFonts w:ascii="Garamond" w:hAnsi="Garamond" w:cs="Calibri"/>
                <w:color w:val="000000"/>
                <w:sz w:val="20"/>
                <w:szCs w:val="20"/>
              </w:rPr>
              <w:t>10,22,529</w:t>
            </w:r>
          </w:p>
        </w:tc>
        <w:tc>
          <w:tcPr>
            <w:tcW w:w="1060" w:type="dxa"/>
            <w:tcBorders>
              <w:top w:val="nil"/>
              <w:left w:val="nil"/>
              <w:bottom w:val="nil"/>
              <w:right w:val="nil"/>
            </w:tcBorders>
            <w:shd w:val="clear" w:color="auto" w:fill="auto"/>
            <w:tcMar>
              <w:top w:w="15" w:type="dxa"/>
              <w:left w:w="15" w:type="dxa"/>
              <w:bottom w:w="0" w:type="dxa"/>
              <w:right w:w="15" w:type="dxa"/>
            </w:tcMar>
            <w:vAlign w:val="center"/>
            <w:hideMark/>
          </w:tcPr>
          <w:p w:rsidR="000F236F" w:rsidRDefault="000F236F" w:rsidP="00DB5405">
            <w:pPr>
              <w:jc w:val="right"/>
              <w:rPr>
                <w:rFonts w:ascii="Garamond" w:hAnsi="Garamond" w:cs="Calibri"/>
                <w:color w:val="000000"/>
                <w:sz w:val="20"/>
                <w:szCs w:val="20"/>
              </w:rPr>
            </w:pPr>
            <w:r>
              <w:rPr>
                <w:rFonts w:ascii="Garamond" w:hAnsi="Garamond" w:cs="Calibri"/>
                <w:color w:val="000000"/>
                <w:sz w:val="20"/>
                <w:szCs w:val="20"/>
              </w:rPr>
              <w:t>1,936</w:t>
            </w:r>
          </w:p>
        </w:tc>
        <w:tc>
          <w:tcPr>
            <w:tcW w:w="1060" w:type="dxa"/>
            <w:tcBorders>
              <w:top w:val="nil"/>
              <w:left w:val="single" w:sz="8" w:space="0" w:color="auto"/>
              <w:bottom w:val="nil"/>
              <w:right w:val="single" w:sz="8" w:space="0" w:color="auto"/>
            </w:tcBorders>
            <w:shd w:val="clear" w:color="auto" w:fill="auto"/>
            <w:tcMar>
              <w:top w:w="15" w:type="dxa"/>
              <w:left w:w="15" w:type="dxa"/>
              <w:bottom w:w="0" w:type="dxa"/>
              <w:right w:w="15" w:type="dxa"/>
            </w:tcMar>
            <w:vAlign w:val="center"/>
            <w:hideMark/>
          </w:tcPr>
          <w:p w:rsidR="000F236F" w:rsidRDefault="000F236F" w:rsidP="00DB5405">
            <w:pPr>
              <w:jc w:val="right"/>
              <w:rPr>
                <w:rFonts w:ascii="Garamond" w:hAnsi="Garamond" w:cs="Calibri"/>
                <w:color w:val="000000"/>
                <w:sz w:val="20"/>
                <w:szCs w:val="20"/>
              </w:rPr>
            </w:pPr>
            <w:r>
              <w:rPr>
                <w:rFonts w:ascii="Garamond" w:hAnsi="Garamond" w:cs="Calibri"/>
                <w:color w:val="000000"/>
                <w:sz w:val="20"/>
                <w:szCs w:val="20"/>
              </w:rPr>
              <w:t>30,19,579</w:t>
            </w:r>
          </w:p>
        </w:tc>
      </w:tr>
      <w:tr w:rsidR="000F236F" w:rsidTr="00DB5405">
        <w:trPr>
          <w:trHeight w:val="243"/>
        </w:trPr>
        <w:tc>
          <w:tcPr>
            <w:tcW w:w="3433" w:type="dxa"/>
            <w:tcBorders>
              <w:top w:val="nil"/>
              <w:left w:val="single" w:sz="8" w:space="0" w:color="auto"/>
              <w:bottom w:val="nil"/>
              <w:right w:val="single" w:sz="8" w:space="0" w:color="auto"/>
            </w:tcBorders>
            <w:shd w:val="clear" w:color="000000" w:fill="B4C6E7"/>
            <w:tcMar>
              <w:top w:w="15" w:type="dxa"/>
              <w:left w:w="15" w:type="dxa"/>
              <w:bottom w:w="0" w:type="dxa"/>
              <w:right w:w="15" w:type="dxa"/>
            </w:tcMar>
            <w:vAlign w:val="center"/>
            <w:hideMark/>
          </w:tcPr>
          <w:p w:rsidR="000F236F" w:rsidRDefault="000F236F" w:rsidP="00DB5405">
            <w:pPr>
              <w:rPr>
                <w:rFonts w:ascii="Garamond" w:hAnsi="Garamond" w:cs="Calibri"/>
                <w:color w:val="000000"/>
                <w:sz w:val="20"/>
                <w:szCs w:val="20"/>
              </w:rPr>
            </w:pPr>
            <w:r>
              <w:rPr>
                <w:rFonts w:ascii="Garamond" w:hAnsi="Garamond" w:cs="Calibri"/>
                <w:color w:val="000000"/>
                <w:sz w:val="20"/>
                <w:szCs w:val="20"/>
              </w:rPr>
              <w:t>Tehran Stock Exchange</w:t>
            </w:r>
          </w:p>
        </w:tc>
        <w:tc>
          <w:tcPr>
            <w:tcW w:w="1060" w:type="dxa"/>
            <w:tcBorders>
              <w:top w:val="nil"/>
              <w:left w:val="nil"/>
              <w:bottom w:val="nil"/>
              <w:right w:val="single" w:sz="8" w:space="0" w:color="auto"/>
            </w:tcBorders>
            <w:shd w:val="clear" w:color="auto" w:fill="auto"/>
            <w:tcMar>
              <w:top w:w="15" w:type="dxa"/>
              <w:left w:w="15" w:type="dxa"/>
              <w:bottom w:w="0" w:type="dxa"/>
              <w:right w:w="15" w:type="dxa"/>
            </w:tcMar>
            <w:vAlign w:val="center"/>
            <w:hideMark/>
          </w:tcPr>
          <w:p w:rsidR="000F236F" w:rsidRDefault="000F236F" w:rsidP="00DB5405">
            <w:pPr>
              <w:jc w:val="right"/>
              <w:rPr>
                <w:rFonts w:ascii="Garamond" w:hAnsi="Garamond" w:cs="Calibri"/>
                <w:color w:val="000000"/>
                <w:sz w:val="20"/>
                <w:szCs w:val="20"/>
              </w:rPr>
            </w:pPr>
            <w:r>
              <w:rPr>
                <w:rFonts w:ascii="Garamond" w:hAnsi="Garamond" w:cs="Calibri"/>
                <w:color w:val="000000"/>
                <w:sz w:val="20"/>
                <w:szCs w:val="20"/>
              </w:rPr>
              <w:t>1</w:t>
            </w:r>
          </w:p>
        </w:tc>
        <w:tc>
          <w:tcPr>
            <w:tcW w:w="1060" w:type="dxa"/>
            <w:tcBorders>
              <w:top w:val="nil"/>
              <w:left w:val="nil"/>
              <w:bottom w:val="nil"/>
              <w:right w:val="single" w:sz="8" w:space="0" w:color="auto"/>
            </w:tcBorders>
            <w:shd w:val="clear" w:color="auto" w:fill="auto"/>
            <w:tcMar>
              <w:top w:w="15" w:type="dxa"/>
              <w:left w:w="15" w:type="dxa"/>
              <w:bottom w:w="0" w:type="dxa"/>
              <w:right w:w="15" w:type="dxa"/>
            </w:tcMar>
            <w:vAlign w:val="center"/>
            <w:hideMark/>
          </w:tcPr>
          <w:p w:rsidR="000F236F" w:rsidRDefault="000F236F" w:rsidP="00DB5405">
            <w:pPr>
              <w:jc w:val="right"/>
              <w:rPr>
                <w:rFonts w:ascii="Garamond" w:hAnsi="Garamond" w:cs="Calibri"/>
                <w:color w:val="000000"/>
                <w:sz w:val="20"/>
                <w:szCs w:val="20"/>
              </w:rPr>
            </w:pPr>
            <w:r>
              <w:rPr>
                <w:rFonts w:ascii="Garamond" w:hAnsi="Garamond" w:cs="Calibri"/>
                <w:color w:val="000000"/>
                <w:sz w:val="20"/>
                <w:szCs w:val="20"/>
              </w:rPr>
              <w:t>0</w:t>
            </w:r>
          </w:p>
        </w:tc>
        <w:tc>
          <w:tcPr>
            <w:tcW w:w="1060" w:type="dxa"/>
            <w:tcBorders>
              <w:top w:val="nil"/>
              <w:left w:val="nil"/>
              <w:bottom w:val="nil"/>
              <w:right w:val="nil"/>
            </w:tcBorders>
            <w:shd w:val="clear" w:color="auto" w:fill="auto"/>
            <w:tcMar>
              <w:top w:w="15" w:type="dxa"/>
              <w:left w:w="15" w:type="dxa"/>
              <w:bottom w:w="0" w:type="dxa"/>
              <w:right w:w="15" w:type="dxa"/>
            </w:tcMar>
            <w:vAlign w:val="center"/>
            <w:hideMark/>
          </w:tcPr>
          <w:p w:rsidR="000F236F" w:rsidRDefault="000F236F" w:rsidP="00DB5405">
            <w:pPr>
              <w:jc w:val="right"/>
              <w:rPr>
                <w:rFonts w:ascii="Garamond" w:hAnsi="Garamond" w:cs="Calibri"/>
                <w:color w:val="000000"/>
                <w:sz w:val="20"/>
                <w:szCs w:val="20"/>
              </w:rPr>
            </w:pPr>
            <w:r>
              <w:rPr>
                <w:rFonts w:ascii="Garamond" w:hAnsi="Garamond" w:cs="Calibri"/>
                <w:color w:val="000000"/>
                <w:sz w:val="20"/>
                <w:szCs w:val="20"/>
              </w:rPr>
              <w:t>NA</w:t>
            </w:r>
          </w:p>
        </w:tc>
        <w:tc>
          <w:tcPr>
            <w:tcW w:w="1060" w:type="dxa"/>
            <w:tcBorders>
              <w:top w:val="nil"/>
              <w:left w:val="single" w:sz="8" w:space="0" w:color="auto"/>
              <w:bottom w:val="nil"/>
              <w:right w:val="single" w:sz="8" w:space="0" w:color="auto"/>
            </w:tcBorders>
            <w:shd w:val="clear" w:color="auto" w:fill="auto"/>
            <w:tcMar>
              <w:top w:w="15" w:type="dxa"/>
              <w:left w:w="15" w:type="dxa"/>
              <w:bottom w:w="0" w:type="dxa"/>
              <w:right w:w="15" w:type="dxa"/>
            </w:tcMar>
            <w:vAlign w:val="center"/>
            <w:hideMark/>
          </w:tcPr>
          <w:p w:rsidR="000F236F" w:rsidRDefault="000F236F" w:rsidP="00DB5405">
            <w:pPr>
              <w:jc w:val="right"/>
              <w:rPr>
                <w:rFonts w:ascii="Garamond" w:hAnsi="Garamond" w:cs="Calibri"/>
                <w:color w:val="000000"/>
                <w:sz w:val="20"/>
                <w:szCs w:val="20"/>
              </w:rPr>
            </w:pPr>
            <w:r>
              <w:rPr>
                <w:rFonts w:ascii="Garamond" w:hAnsi="Garamond" w:cs="Calibri"/>
                <w:color w:val="000000"/>
                <w:sz w:val="20"/>
                <w:szCs w:val="20"/>
              </w:rPr>
              <w:t>6,55,798</w:t>
            </w:r>
          </w:p>
        </w:tc>
        <w:tc>
          <w:tcPr>
            <w:tcW w:w="1060" w:type="dxa"/>
            <w:tcBorders>
              <w:top w:val="nil"/>
              <w:left w:val="nil"/>
              <w:bottom w:val="nil"/>
              <w:right w:val="nil"/>
            </w:tcBorders>
            <w:shd w:val="clear" w:color="auto" w:fill="auto"/>
            <w:tcMar>
              <w:top w:w="15" w:type="dxa"/>
              <w:left w:w="15" w:type="dxa"/>
              <w:bottom w:w="0" w:type="dxa"/>
              <w:right w:w="15" w:type="dxa"/>
            </w:tcMar>
            <w:vAlign w:val="center"/>
            <w:hideMark/>
          </w:tcPr>
          <w:p w:rsidR="000F236F" w:rsidRDefault="000F236F" w:rsidP="00DB5405">
            <w:pPr>
              <w:jc w:val="right"/>
              <w:rPr>
                <w:rFonts w:ascii="Garamond" w:hAnsi="Garamond" w:cs="Calibri"/>
                <w:color w:val="000000"/>
                <w:sz w:val="20"/>
                <w:szCs w:val="20"/>
              </w:rPr>
            </w:pPr>
            <w:r>
              <w:rPr>
                <w:rFonts w:ascii="Garamond" w:hAnsi="Garamond" w:cs="Calibri"/>
                <w:color w:val="000000"/>
                <w:sz w:val="20"/>
                <w:szCs w:val="20"/>
              </w:rPr>
              <w:t>109</w:t>
            </w:r>
          </w:p>
        </w:tc>
        <w:tc>
          <w:tcPr>
            <w:tcW w:w="1060" w:type="dxa"/>
            <w:tcBorders>
              <w:top w:val="nil"/>
              <w:left w:val="single" w:sz="8" w:space="0" w:color="auto"/>
              <w:bottom w:val="nil"/>
              <w:right w:val="single" w:sz="8" w:space="0" w:color="auto"/>
            </w:tcBorders>
            <w:shd w:val="clear" w:color="auto" w:fill="auto"/>
            <w:tcMar>
              <w:top w:w="15" w:type="dxa"/>
              <w:left w:w="15" w:type="dxa"/>
              <w:bottom w:w="0" w:type="dxa"/>
              <w:right w:w="15" w:type="dxa"/>
            </w:tcMar>
            <w:vAlign w:val="center"/>
            <w:hideMark/>
          </w:tcPr>
          <w:p w:rsidR="000F236F" w:rsidRDefault="000F236F" w:rsidP="00DB5405">
            <w:pPr>
              <w:jc w:val="right"/>
              <w:rPr>
                <w:rFonts w:ascii="Garamond" w:hAnsi="Garamond" w:cs="Calibri"/>
                <w:color w:val="000000"/>
                <w:sz w:val="20"/>
                <w:szCs w:val="20"/>
              </w:rPr>
            </w:pPr>
            <w:r>
              <w:rPr>
                <w:rFonts w:ascii="Garamond" w:hAnsi="Garamond" w:cs="Calibri"/>
                <w:color w:val="000000"/>
                <w:sz w:val="20"/>
                <w:szCs w:val="20"/>
              </w:rPr>
              <w:t>NA</w:t>
            </w:r>
          </w:p>
        </w:tc>
      </w:tr>
      <w:tr w:rsidR="000F236F" w:rsidTr="00DB5405">
        <w:trPr>
          <w:trHeight w:val="243"/>
        </w:trPr>
        <w:tc>
          <w:tcPr>
            <w:tcW w:w="3433" w:type="dxa"/>
            <w:tcBorders>
              <w:top w:val="nil"/>
              <w:left w:val="single" w:sz="8" w:space="0" w:color="auto"/>
              <w:bottom w:val="nil"/>
              <w:right w:val="single" w:sz="8" w:space="0" w:color="auto"/>
            </w:tcBorders>
            <w:shd w:val="clear" w:color="000000" w:fill="B4C6E7"/>
            <w:tcMar>
              <w:top w:w="15" w:type="dxa"/>
              <w:left w:w="15" w:type="dxa"/>
              <w:bottom w:w="0" w:type="dxa"/>
              <w:right w:w="15" w:type="dxa"/>
            </w:tcMar>
            <w:vAlign w:val="center"/>
            <w:hideMark/>
          </w:tcPr>
          <w:p w:rsidR="000F236F" w:rsidRDefault="000F236F" w:rsidP="00DB5405">
            <w:pPr>
              <w:rPr>
                <w:rFonts w:ascii="Garamond" w:hAnsi="Garamond" w:cs="Calibri"/>
                <w:color w:val="000000"/>
                <w:sz w:val="20"/>
                <w:szCs w:val="20"/>
              </w:rPr>
            </w:pPr>
            <w:r>
              <w:rPr>
                <w:rFonts w:ascii="Garamond" w:hAnsi="Garamond" w:cs="Calibri"/>
                <w:color w:val="000000"/>
                <w:sz w:val="20"/>
                <w:szCs w:val="20"/>
              </w:rPr>
              <w:t>Tel-Aviv Stock Exchange</w:t>
            </w:r>
          </w:p>
        </w:tc>
        <w:tc>
          <w:tcPr>
            <w:tcW w:w="1060" w:type="dxa"/>
            <w:tcBorders>
              <w:top w:val="nil"/>
              <w:left w:val="nil"/>
              <w:bottom w:val="nil"/>
              <w:right w:val="single" w:sz="8" w:space="0" w:color="auto"/>
            </w:tcBorders>
            <w:shd w:val="clear" w:color="auto" w:fill="auto"/>
            <w:tcMar>
              <w:top w:w="15" w:type="dxa"/>
              <w:left w:w="15" w:type="dxa"/>
              <w:bottom w:w="0" w:type="dxa"/>
              <w:right w:w="15" w:type="dxa"/>
            </w:tcMar>
            <w:vAlign w:val="center"/>
            <w:hideMark/>
          </w:tcPr>
          <w:p w:rsidR="000F236F" w:rsidRDefault="000F236F" w:rsidP="00DB5405">
            <w:pPr>
              <w:jc w:val="right"/>
              <w:rPr>
                <w:rFonts w:ascii="Garamond" w:hAnsi="Garamond" w:cs="Calibri"/>
                <w:color w:val="000000"/>
                <w:sz w:val="20"/>
                <w:szCs w:val="20"/>
              </w:rPr>
            </w:pPr>
            <w:r>
              <w:rPr>
                <w:rFonts w:ascii="Garamond" w:hAnsi="Garamond" w:cs="Calibri"/>
                <w:color w:val="000000"/>
                <w:sz w:val="20"/>
                <w:szCs w:val="20"/>
              </w:rPr>
              <w:t>NA</w:t>
            </w:r>
          </w:p>
        </w:tc>
        <w:tc>
          <w:tcPr>
            <w:tcW w:w="1060" w:type="dxa"/>
            <w:tcBorders>
              <w:top w:val="nil"/>
              <w:left w:val="nil"/>
              <w:bottom w:val="nil"/>
              <w:right w:val="single" w:sz="8" w:space="0" w:color="auto"/>
            </w:tcBorders>
            <w:shd w:val="clear" w:color="auto" w:fill="auto"/>
            <w:tcMar>
              <w:top w:w="15" w:type="dxa"/>
              <w:left w:w="15" w:type="dxa"/>
              <w:bottom w:w="0" w:type="dxa"/>
              <w:right w:w="15" w:type="dxa"/>
            </w:tcMar>
            <w:vAlign w:val="center"/>
            <w:hideMark/>
          </w:tcPr>
          <w:p w:rsidR="000F236F" w:rsidRDefault="000F236F" w:rsidP="00DB5405">
            <w:pPr>
              <w:jc w:val="right"/>
              <w:rPr>
                <w:rFonts w:ascii="Garamond" w:hAnsi="Garamond" w:cs="Calibri"/>
                <w:color w:val="000000"/>
                <w:sz w:val="20"/>
                <w:szCs w:val="20"/>
              </w:rPr>
            </w:pPr>
            <w:r>
              <w:rPr>
                <w:rFonts w:ascii="Garamond" w:hAnsi="Garamond" w:cs="Calibri"/>
                <w:color w:val="000000"/>
                <w:sz w:val="20"/>
                <w:szCs w:val="20"/>
              </w:rPr>
              <w:t>NA</w:t>
            </w:r>
          </w:p>
        </w:tc>
        <w:tc>
          <w:tcPr>
            <w:tcW w:w="1060" w:type="dxa"/>
            <w:tcBorders>
              <w:top w:val="nil"/>
              <w:left w:val="nil"/>
              <w:bottom w:val="nil"/>
              <w:right w:val="nil"/>
            </w:tcBorders>
            <w:shd w:val="clear" w:color="auto" w:fill="auto"/>
            <w:tcMar>
              <w:top w:w="15" w:type="dxa"/>
              <w:left w:w="15" w:type="dxa"/>
              <w:bottom w:w="0" w:type="dxa"/>
              <w:right w:w="15" w:type="dxa"/>
            </w:tcMar>
            <w:vAlign w:val="center"/>
            <w:hideMark/>
          </w:tcPr>
          <w:p w:rsidR="000F236F" w:rsidRDefault="000F236F" w:rsidP="00DB5405">
            <w:pPr>
              <w:jc w:val="right"/>
              <w:rPr>
                <w:rFonts w:ascii="Garamond" w:hAnsi="Garamond" w:cs="Calibri"/>
                <w:color w:val="000000"/>
                <w:sz w:val="20"/>
                <w:szCs w:val="20"/>
              </w:rPr>
            </w:pPr>
            <w:r>
              <w:rPr>
                <w:rFonts w:ascii="Garamond" w:hAnsi="Garamond" w:cs="Calibri"/>
                <w:color w:val="000000"/>
                <w:sz w:val="20"/>
                <w:szCs w:val="20"/>
              </w:rPr>
              <w:t>NA</w:t>
            </w:r>
          </w:p>
        </w:tc>
        <w:tc>
          <w:tcPr>
            <w:tcW w:w="1060" w:type="dxa"/>
            <w:tcBorders>
              <w:top w:val="nil"/>
              <w:left w:val="single" w:sz="8" w:space="0" w:color="auto"/>
              <w:bottom w:val="nil"/>
              <w:right w:val="single" w:sz="8" w:space="0" w:color="auto"/>
            </w:tcBorders>
            <w:shd w:val="clear" w:color="auto" w:fill="auto"/>
            <w:tcMar>
              <w:top w:w="15" w:type="dxa"/>
              <w:left w:w="15" w:type="dxa"/>
              <w:bottom w:w="0" w:type="dxa"/>
              <w:right w:w="15" w:type="dxa"/>
            </w:tcMar>
            <w:vAlign w:val="center"/>
            <w:hideMark/>
          </w:tcPr>
          <w:p w:rsidR="000F236F" w:rsidRDefault="000F236F" w:rsidP="00DB5405">
            <w:pPr>
              <w:jc w:val="right"/>
              <w:rPr>
                <w:rFonts w:ascii="Garamond" w:hAnsi="Garamond" w:cs="Calibri"/>
                <w:color w:val="000000"/>
                <w:sz w:val="20"/>
                <w:szCs w:val="20"/>
              </w:rPr>
            </w:pPr>
            <w:r>
              <w:rPr>
                <w:rFonts w:ascii="Garamond" w:hAnsi="Garamond" w:cs="Calibri"/>
                <w:color w:val="000000"/>
                <w:sz w:val="20"/>
                <w:szCs w:val="20"/>
              </w:rPr>
              <w:t>6,970</w:t>
            </w:r>
          </w:p>
        </w:tc>
        <w:tc>
          <w:tcPr>
            <w:tcW w:w="1060" w:type="dxa"/>
            <w:tcBorders>
              <w:top w:val="nil"/>
              <w:left w:val="nil"/>
              <w:bottom w:val="nil"/>
              <w:right w:val="nil"/>
            </w:tcBorders>
            <w:shd w:val="clear" w:color="auto" w:fill="auto"/>
            <w:tcMar>
              <w:top w:w="15" w:type="dxa"/>
              <w:left w:w="15" w:type="dxa"/>
              <w:bottom w:w="0" w:type="dxa"/>
              <w:right w:w="15" w:type="dxa"/>
            </w:tcMar>
            <w:vAlign w:val="center"/>
            <w:hideMark/>
          </w:tcPr>
          <w:p w:rsidR="000F236F" w:rsidRDefault="000F236F" w:rsidP="00DB5405">
            <w:pPr>
              <w:jc w:val="right"/>
              <w:rPr>
                <w:rFonts w:ascii="Garamond" w:hAnsi="Garamond" w:cs="Calibri"/>
                <w:color w:val="000000"/>
                <w:sz w:val="20"/>
                <w:szCs w:val="20"/>
              </w:rPr>
            </w:pPr>
            <w:r>
              <w:rPr>
                <w:rFonts w:ascii="Garamond" w:hAnsi="Garamond" w:cs="Calibri"/>
                <w:color w:val="000000"/>
                <w:sz w:val="20"/>
                <w:szCs w:val="20"/>
              </w:rPr>
              <w:t>41</w:t>
            </w:r>
          </w:p>
        </w:tc>
        <w:tc>
          <w:tcPr>
            <w:tcW w:w="1060" w:type="dxa"/>
            <w:tcBorders>
              <w:top w:val="nil"/>
              <w:left w:val="single" w:sz="8" w:space="0" w:color="auto"/>
              <w:bottom w:val="nil"/>
              <w:right w:val="single" w:sz="8" w:space="0" w:color="auto"/>
            </w:tcBorders>
            <w:shd w:val="clear" w:color="auto" w:fill="auto"/>
            <w:tcMar>
              <w:top w:w="15" w:type="dxa"/>
              <w:left w:w="15" w:type="dxa"/>
              <w:bottom w:w="0" w:type="dxa"/>
              <w:right w:w="15" w:type="dxa"/>
            </w:tcMar>
            <w:vAlign w:val="center"/>
            <w:hideMark/>
          </w:tcPr>
          <w:p w:rsidR="000F236F" w:rsidRDefault="000F236F" w:rsidP="00DB5405">
            <w:pPr>
              <w:jc w:val="right"/>
              <w:rPr>
                <w:rFonts w:ascii="Garamond" w:hAnsi="Garamond" w:cs="Calibri"/>
                <w:color w:val="000000"/>
                <w:sz w:val="20"/>
                <w:szCs w:val="20"/>
              </w:rPr>
            </w:pPr>
            <w:r>
              <w:rPr>
                <w:rFonts w:ascii="Garamond" w:hAnsi="Garamond" w:cs="Calibri"/>
                <w:color w:val="000000"/>
                <w:sz w:val="20"/>
                <w:szCs w:val="20"/>
              </w:rPr>
              <w:t>25,852</w:t>
            </w:r>
          </w:p>
        </w:tc>
      </w:tr>
      <w:tr w:rsidR="000F236F" w:rsidTr="00DB5405">
        <w:trPr>
          <w:trHeight w:val="243"/>
        </w:trPr>
        <w:tc>
          <w:tcPr>
            <w:tcW w:w="3433" w:type="dxa"/>
            <w:tcBorders>
              <w:top w:val="nil"/>
              <w:left w:val="single" w:sz="8" w:space="0" w:color="auto"/>
              <w:bottom w:val="nil"/>
              <w:right w:val="single" w:sz="8" w:space="0" w:color="auto"/>
            </w:tcBorders>
            <w:shd w:val="clear" w:color="000000" w:fill="B4C6E7"/>
            <w:tcMar>
              <w:top w:w="15" w:type="dxa"/>
              <w:left w:w="15" w:type="dxa"/>
              <w:bottom w:w="0" w:type="dxa"/>
              <w:right w:w="15" w:type="dxa"/>
            </w:tcMar>
            <w:vAlign w:val="center"/>
            <w:hideMark/>
          </w:tcPr>
          <w:p w:rsidR="000F236F" w:rsidRDefault="000F236F" w:rsidP="00DB5405">
            <w:pPr>
              <w:rPr>
                <w:rFonts w:ascii="Garamond" w:hAnsi="Garamond" w:cs="Calibri"/>
                <w:color w:val="000000"/>
                <w:sz w:val="20"/>
                <w:szCs w:val="20"/>
              </w:rPr>
            </w:pPr>
            <w:r>
              <w:rPr>
                <w:rFonts w:ascii="Garamond" w:hAnsi="Garamond" w:cs="Calibri"/>
                <w:color w:val="000000"/>
                <w:sz w:val="20"/>
                <w:szCs w:val="20"/>
              </w:rPr>
              <w:t>Warsaw Stock Exchange</w:t>
            </w:r>
          </w:p>
        </w:tc>
        <w:tc>
          <w:tcPr>
            <w:tcW w:w="1060" w:type="dxa"/>
            <w:tcBorders>
              <w:top w:val="nil"/>
              <w:left w:val="nil"/>
              <w:bottom w:val="nil"/>
              <w:right w:val="single" w:sz="8" w:space="0" w:color="auto"/>
            </w:tcBorders>
            <w:shd w:val="clear" w:color="auto" w:fill="auto"/>
            <w:tcMar>
              <w:top w:w="15" w:type="dxa"/>
              <w:left w:w="15" w:type="dxa"/>
              <w:bottom w:w="0" w:type="dxa"/>
              <w:right w:w="15" w:type="dxa"/>
            </w:tcMar>
            <w:vAlign w:val="center"/>
            <w:hideMark/>
          </w:tcPr>
          <w:p w:rsidR="000F236F" w:rsidRDefault="000F236F" w:rsidP="00DB5405">
            <w:pPr>
              <w:jc w:val="right"/>
              <w:rPr>
                <w:rFonts w:ascii="Garamond" w:hAnsi="Garamond" w:cs="Calibri"/>
                <w:color w:val="000000"/>
                <w:sz w:val="20"/>
                <w:szCs w:val="20"/>
              </w:rPr>
            </w:pPr>
            <w:r>
              <w:rPr>
                <w:rFonts w:ascii="Garamond" w:hAnsi="Garamond" w:cs="Calibri"/>
                <w:color w:val="000000"/>
                <w:sz w:val="20"/>
                <w:szCs w:val="20"/>
              </w:rPr>
              <w:t>1,08,876</w:t>
            </w:r>
          </w:p>
        </w:tc>
        <w:tc>
          <w:tcPr>
            <w:tcW w:w="1060" w:type="dxa"/>
            <w:tcBorders>
              <w:top w:val="nil"/>
              <w:left w:val="nil"/>
              <w:bottom w:val="nil"/>
              <w:right w:val="single" w:sz="8" w:space="0" w:color="auto"/>
            </w:tcBorders>
            <w:shd w:val="clear" w:color="auto" w:fill="auto"/>
            <w:tcMar>
              <w:top w:w="15" w:type="dxa"/>
              <w:left w:w="15" w:type="dxa"/>
              <w:bottom w:w="0" w:type="dxa"/>
              <w:right w:w="15" w:type="dxa"/>
            </w:tcMar>
            <w:vAlign w:val="center"/>
            <w:hideMark/>
          </w:tcPr>
          <w:p w:rsidR="000F236F" w:rsidRDefault="000F236F" w:rsidP="00DB5405">
            <w:pPr>
              <w:jc w:val="right"/>
              <w:rPr>
                <w:rFonts w:ascii="Garamond" w:hAnsi="Garamond" w:cs="Calibri"/>
                <w:color w:val="000000"/>
                <w:sz w:val="20"/>
                <w:szCs w:val="20"/>
              </w:rPr>
            </w:pPr>
            <w:r>
              <w:rPr>
                <w:rFonts w:ascii="Garamond" w:hAnsi="Garamond" w:cs="Calibri"/>
                <w:color w:val="000000"/>
                <w:sz w:val="20"/>
                <w:szCs w:val="20"/>
              </w:rPr>
              <w:t>249.68</w:t>
            </w:r>
          </w:p>
        </w:tc>
        <w:tc>
          <w:tcPr>
            <w:tcW w:w="1060" w:type="dxa"/>
            <w:tcBorders>
              <w:top w:val="nil"/>
              <w:left w:val="nil"/>
              <w:bottom w:val="nil"/>
              <w:right w:val="nil"/>
            </w:tcBorders>
            <w:shd w:val="clear" w:color="auto" w:fill="auto"/>
            <w:tcMar>
              <w:top w:w="15" w:type="dxa"/>
              <w:left w:w="15" w:type="dxa"/>
              <w:bottom w:w="0" w:type="dxa"/>
              <w:right w:w="15" w:type="dxa"/>
            </w:tcMar>
            <w:vAlign w:val="center"/>
            <w:hideMark/>
          </w:tcPr>
          <w:p w:rsidR="000F236F" w:rsidRDefault="000F236F" w:rsidP="00DB5405">
            <w:pPr>
              <w:jc w:val="right"/>
              <w:rPr>
                <w:rFonts w:ascii="Garamond" w:hAnsi="Garamond" w:cs="Calibri"/>
                <w:color w:val="000000"/>
                <w:sz w:val="20"/>
                <w:szCs w:val="20"/>
              </w:rPr>
            </w:pPr>
            <w:r>
              <w:rPr>
                <w:rFonts w:ascii="Garamond" w:hAnsi="Garamond" w:cs="Calibri"/>
                <w:color w:val="000000"/>
                <w:sz w:val="20"/>
                <w:szCs w:val="20"/>
              </w:rPr>
              <w:t>37,687</w:t>
            </w:r>
          </w:p>
        </w:tc>
        <w:tc>
          <w:tcPr>
            <w:tcW w:w="1060" w:type="dxa"/>
            <w:tcBorders>
              <w:top w:val="nil"/>
              <w:left w:val="single" w:sz="8" w:space="0" w:color="auto"/>
              <w:bottom w:val="nil"/>
              <w:right w:val="single" w:sz="8" w:space="0" w:color="auto"/>
            </w:tcBorders>
            <w:shd w:val="clear" w:color="auto" w:fill="auto"/>
            <w:tcMar>
              <w:top w:w="15" w:type="dxa"/>
              <w:left w:w="15" w:type="dxa"/>
              <w:bottom w:w="0" w:type="dxa"/>
              <w:right w:w="15" w:type="dxa"/>
            </w:tcMar>
            <w:vAlign w:val="center"/>
            <w:hideMark/>
          </w:tcPr>
          <w:p w:rsidR="000F236F" w:rsidRDefault="000F236F" w:rsidP="00DB5405">
            <w:pPr>
              <w:jc w:val="right"/>
              <w:rPr>
                <w:rFonts w:ascii="Garamond" w:hAnsi="Garamond" w:cs="Calibri"/>
                <w:color w:val="000000"/>
                <w:sz w:val="20"/>
                <w:szCs w:val="20"/>
              </w:rPr>
            </w:pPr>
            <w:r>
              <w:rPr>
                <w:rFonts w:ascii="Garamond" w:hAnsi="Garamond" w:cs="Calibri"/>
                <w:color w:val="000000"/>
                <w:sz w:val="20"/>
                <w:szCs w:val="20"/>
              </w:rPr>
              <w:t>NA</w:t>
            </w:r>
          </w:p>
        </w:tc>
        <w:tc>
          <w:tcPr>
            <w:tcW w:w="1060" w:type="dxa"/>
            <w:tcBorders>
              <w:top w:val="nil"/>
              <w:left w:val="nil"/>
              <w:bottom w:val="nil"/>
              <w:right w:val="nil"/>
            </w:tcBorders>
            <w:shd w:val="clear" w:color="auto" w:fill="auto"/>
            <w:tcMar>
              <w:top w:w="15" w:type="dxa"/>
              <w:left w:w="15" w:type="dxa"/>
              <w:bottom w:w="0" w:type="dxa"/>
              <w:right w:w="15" w:type="dxa"/>
            </w:tcMar>
            <w:vAlign w:val="center"/>
            <w:hideMark/>
          </w:tcPr>
          <w:p w:rsidR="000F236F" w:rsidRDefault="000F236F" w:rsidP="00DB5405">
            <w:pPr>
              <w:jc w:val="right"/>
              <w:rPr>
                <w:rFonts w:ascii="Garamond" w:hAnsi="Garamond" w:cs="Calibri"/>
                <w:color w:val="000000"/>
                <w:sz w:val="20"/>
                <w:szCs w:val="20"/>
              </w:rPr>
            </w:pPr>
            <w:r>
              <w:rPr>
                <w:rFonts w:ascii="Garamond" w:hAnsi="Garamond" w:cs="Calibri"/>
                <w:color w:val="000000"/>
                <w:sz w:val="20"/>
                <w:szCs w:val="20"/>
              </w:rPr>
              <w:t>NA</w:t>
            </w:r>
          </w:p>
        </w:tc>
        <w:tc>
          <w:tcPr>
            <w:tcW w:w="1060" w:type="dxa"/>
            <w:tcBorders>
              <w:top w:val="nil"/>
              <w:left w:val="single" w:sz="8" w:space="0" w:color="auto"/>
              <w:bottom w:val="nil"/>
              <w:right w:val="single" w:sz="8" w:space="0" w:color="auto"/>
            </w:tcBorders>
            <w:shd w:val="clear" w:color="auto" w:fill="auto"/>
            <w:tcMar>
              <w:top w:w="15" w:type="dxa"/>
              <w:left w:w="15" w:type="dxa"/>
              <w:bottom w:w="0" w:type="dxa"/>
              <w:right w:w="15" w:type="dxa"/>
            </w:tcMar>
            <w:vAlign w:val="center"/>
            <w:hideMark/>
          </w:tcPr>
          <w:p w:rsidR="000F236F" w:rsidRDefault="000F236F" w:rsidP="00DB5405">
            <w:pPr>
              <w:jc w:val="right"/>
              <w:rPr>
                <w:rFonts w:ascii="Garamond" w:hAnsi="Garamond" w:cs="Calibri"/>
                <w:color w:val="000000"/>
                <w:sz w:val="20"/>
                <w:szCs w:val="20"/>
              </w:rPr>
            </w:pPr>
            <w:r>
              <w:rPr>
                <w:rFonts w:ascii="Garamond" w:hAnsi="Garamond" w:cs="Calibri"/>
                <w:color w:val="000000"/>
                <w:sz w:val="20"/>
                <w:szCs w:val="20"/>
              </w:rPr>
              <w:t>NA</w:t>
            </w:r>
          </w:p>
        </w:tc>
      </w:tr>
      <w:tr w:rsidR="000F236F" w:rsidTr="00DB5405">
        <w:trPr>
          <w:trHeight w:val="255"/>
        </w:trPr>
        <w:tc>
          <w:tcPr>
            <w:tcW w:w="3433" w:type="dxa"/>
            <w:tcBorders>
              <w:top w:val="nil"/>
              <w:left w:val="single" w:sz="8" w:space="0" w:color="auto"/>
              <w:bottom w:val="nil"/>
              <w:right w:val="single" w:sz="8" w:space="0" w:color="auto"/>
            </w:tcBorders>
            <w:shd w:val="clear" w:color="000000" w:fill="B4C6E7"/>
            <w:tcMar>
              <w:top w:w="15" w:type="dxa"/>
              <w:left w:w="15" w:type="dxa"/>
              <w:bottom w:w="0" w:type="dxa"/>
              <w:right w:w="15" w:type="dxa"/>
            </w:tcMar>
            <w:vAlign w:val="center"/>
            <w:hideMark/>
          </w:tcPr>
          <w:p w:rsidR="000F236F" w:rsidRDefault="000F236F" w:rsidP="00DB5405">
            <w:pPr>
              <w:rPr>
                <w:rFonts w:ascii="Garamond" w:hAnsi="Garamond" w:cs="Calibri"/>
                <w:color w:val="000000"/>
                <w:sz w:val="20"/>
                <w:szCs w:val="20"/>
              </w:rPr>
            </w:pPr>
            <w:r>
              <w:rPr>
                <w:rFonts w:ascii="Garamond" w:hAnsi="Garamond" w:cs="Calibri"/>
                <w:color w:val="000000"/>
                <w:sz w:val="20"/>
                <w:szCs w:val="20"/>
              </w:rPr>
              <w:t>Dubai Gold and Commodities Exchange</w:t>
            </w:r>
          </w:p>
        </w:tc>
        <w:tc>
          <w:tcPr>
            <w:tcW w:w="1060" w:type="dxa"/>
            <w:tcBorders>
              <w:top w:val="nil"/>
              <w:left w:val="nil"/>
              <w:bottom w:val="nil"/>
              <w:right w:val="single" w:sz="8" w:space="0" w:color="auto"/>
            </w:tcBorders>
            <w:shd w:val="clear" w:color="auto" w:fill="auto"/>
            <w:tcMar>
              <w:top w:w="15" w:type="dxa"/>
              <w:left w:w="15" w:type="dxa"/>
              <w:bottom w:w="0" w:type="dxa"/>
              <w:right w:w="15" w:type="dxa"/>
            </w:tcMar>
            <w:vAlign w:val="center"/>
            <w:hideMark/>
          </w:tcPr>
          <w:p w:rsidR="000F236F" w:rsidRDefault="000F236F" w:rsidP="00DB5405">
            <w:pPr>
              <w:jc w:val="right"/>
              <w:rPr>
                <w:rFonts w:ascii="Garamond" w:hAnsi="Garamond" w:cs="Calibri"/>
                <w:color w:val="000000"/>
                <w:sz w:val="20"/>
                <w:szCs w:val="20"/>
              </w:rPr>
            </w:pPr>
            <w:r>
              <w:rPr>
                <w:rFonts w:ascii="Garamond" w:hAnsi="Garamond" w:cs="Calibri"/>
                <w:color w:val="000000"/>
                <w:sz w:val="20"/>
                <w:szCs w:val="20"/>
              </w:rPr>
              <w:t>9,362</w:t>
            </w:r>
          </w:p>
        </w:tc>
        <w:tc>
          <w:tcPr>
            <w:tcW w:w="1060" w:type="dxa"/>
            <w:tcBorders>
              <w:top w:val="nil"/>
              <w:left w:val="nil"/>
              <w:bottom w:val="nil"/>
              <w:right w:val="single" w:sz="8" w:space="0" w:color="auto"/>
            </w:tcBorders>
            <w:shd w:val="clear" w:color="auto" w:fill="auto"/>
            <w:tcMar>
              <w:top w:w="15" w:type="dxa"/>
              <w:left w:w="15" w:type="dxa"/>
              <w:bottom w:w="0" w:type="dxa"/>
              <w:right w:w="15" w:type="dxa"/>
            </w:tcMar>
            <w:vAlign w:val="center"/>
            <w:hideMark/>
          </w:tcPr>
          <w:p w:rsidR="000F236F" w:rsidRDefault="000F236F" w:rsidP="00DB5405">
            <w:pPr>
              <w:jc w:val="right"/>
              <w:rPr>
                <w:rFonts w:ascii="Garamond" w:hAnsi="Garamond" w:cs="Calibri"/>
                <w:color w:val="000000"/>
                <w:sz w:val="20"/>
                <w:szCs w:val="20"/>
              </w:rPr>
            </w:pPr>
            <w:r>
              <w:rPr>
                <w:rFonts w:ascii="Garamond" w:hAnsi="Garamond" w:cs="Calibri"/>
                <w:color w:val="000000"/>
                <w:sz w:val="20"/>
                <w:szCs w:val="20"/>
              </w:rPr>
              <w:t>20.54</w:t>
            </w:r>
          </w:p>
        </w:tc>
        <w:tc>
          <w:tcPr>
            <w:tcW w:w="1060" w:type="dxa"/>
            <w:tcBorders>
              <w:top w:val="nil"/>
              <w:left w:val="nil"/>
              <w:bottom w:val="nil"/>
              <w:right w:val="nil"/>
            </w:tcBorders>
            <w:shd w:val="clear" w:color="auto" w:fill="auto"/>
            <w:tcMar>
              <w:top w:w="15" w:type="dxa"/>
              <w:left w:w="15" w:type="dxa"/>
              <w:bottom w:w="0" w:type="dxa"/>
              <w:right w:w="15" w:type="dxa"/>
            </w:tcMar>
            <w:vAlign w:val="center"/>
            <w:hideMark/>
          </w:tcPr>
          <w:p w:rsidR="000F236F" w:rsidRDefault="000F236F" w:rsidP="00DB5405">
            <w:pPr>
              <w:jc w:val="right"/>
              <w:rPr>
                <w:rFonts w:ascii="Garamond" w:hAnsi="Garamond" w:cs="Calibri"/>
                <w:color w:val="000000"/>
                <w:sz w:val="20"/>
                <w:szCs w:val="20"/>
              </w:rPr>
            </w:pPr>
            <w:r>
              <w:rPr>
                <w:rFonts w:ascii="Garamond" w:hAnsi="Garamond" w:cs="Calibri"/>
                <w:color w:val="000000"/>
                <w:sz w:val="20"/>
                <w:szCs w:val="20"/>
              </w:rPr>
              <w:t>770</w:t>
            </w:r>
          </w:p>
        </w:tc>
        <w:tc>
          <w:tcPr>
            <w:tcW w:w="1060" w:type="dxa"/>
            <w:tcBorders>
              <w:top w:val="nil"/>
              <w:left w:val="single" w:sz="8" w:space="0" w:color="auto"/>
              <w:bottom w:val="nil"/>
              <w:right w:val="single" w:sz="8" w:space="0" w:color="auto"/>
            </w:tcBorders>
            <w:shd w:val="clear" w:color="auto" w:fill="auto"/>
            <w:tcMar>
              <w:top w:w="15" w:type="dxa"/>
              <w:left w:w="15" w:type="dxa"/>
              <w:bottom w:w="0" w:type="dxa"/>
              <w:right w:w="15" w:type="dxa"/>
            </w:tcMar>
            <w:vAlign w:val="center"/>
            <w:hideMark/>
          </w:tcPr>
          <w:p w:rsidR="000F236F" w:rsidRDefault="000F236F" w:rsidP="00DB5405">
            <w:pPr>
              <w:jc w:val="right"/>
              <w:rPr>
                <w:rFonts w:ascii="Garamond" w:hAnsi="Garamond" w:cs="Calibri"/>
                <w:color w:val="000000"/>
                <w:sz w:val="20"/>
                <w:szCs w:val="20"/>
              </w:rPr>
            </w:pPr>
            <w:r>
              <w:rPr>
                <w:rFonts w:ascii="Garamond" w:hAnsi="Garamond" w:cs="Calibri"/>
                <w:color w:val="000000"/>
                <w:sz w:val="20"/>
                <w:szCs w:val="20"/>
              </w:rPr>
              <w:t>NA</w:t>
            </w:r>
          </w:p>
        </w:tc>
        <w:tc>
          <w:tcPr>
            <w:tcW w:w="1060" w:type="dxa"/>
            <w:tcBorders>
              <w:top w:val="nil"/>
              <w:left w:val="nil"/>
              <w:bottom w:val="nil"/>
              <w:right w:val="nil"/>
            </w:tcBorders>
            <w:shd w:val="clear" w:color="auto" w:fill="auto"/>
            <w:tcMar>
              <w:top w:w="15" w:type="dxa"/>
              <w:left w:w="15" w:type="dxa"/>
              <w:bottom w:w="0" w:type="dxa"/>
              <w:right w:w="15" w:type="dxa"/>
            </w:tcMar>
            <w:vAlign w:val="center"/>
            <w:hideMark/>
          </w:tcPr>
          <w:p w:rsidR="000F236F" w:rsidRDefault="000F236F" w:rsidP="00DB5405">
            <w:pPr>
              <w:jc w:val="right"/>
              <w:rPr>
                <w:rFonts w:ascii="Garamond" w:hAnsi="Garamond" w:cs="Calibri"/>
                <w:color w:val="000000"/>
                <w:sz w:val="20"/>
                <w:szCs w:val="20"/>
              </w:rPr>
            </w:pPr>
            <w:r>
              <w:rPr>
                <w:rFonts w:ascii="Garamond" w:hAnsi="Garamond" w:cs="Calibri"/>
                <w:color w:val="000000"/>
                <w:sz w:val="20"/>
                <w:szCs w:val="20"/>
              </w:rPr>
              <w:t>NA</w:t>
            </w:r>
          </w:p>
        </w:tc>
        <w:tc>
          <w:tcPr>
            <w:tcW w:w="1060" w:type="dxa"/>
            <w:tcBorders>
              <w:top w:val="nil"/>
              <w:left w:val="single" w:sz="8" w:space="0" w:color="auto"/>
              <w:bottom w:val="nil"/>
              <w:right w:val="single" w:sz="8" w:space="0" w:color="auto"/>
            </w:tcBorders>
            <w:shd w:val="clear" w:color="auto" w:fill="auto"/>
            <w:tcMar>
              <w:top w:w="15" w:type="dxa"/>
              <w:left w:w="15" w:type="dxa"/>
              <w:bottom w:w="0" w:type="dxa"/>
              <w:right w:w="15" w:type="dxa"/>
            </w:tcMar>
            <w:vAlign w:val="center"/>
            <w:hideMark/>
          </w:tcPr>
          <w:p w:rsidR="000F236F" w:rsidRDefault="000F236F" w:rsidP="00DB5405">
            <w:pPr>
              <w:jc w:val="right"/>
              <w:rPr>
                <w:rFonts w:ascii="Garamond" w:hAnsi="Garamond" w:cs="Calibri"/>
                <w:color w:val="000000"/>
                <w:sz w:val="20"/>
                <w:szCs w:val="20"/>
              </w:rPr>
            </w:pPr>
            <w:r>
              <w:rPr>
                <w:rFonts w:ascii="Garamond" w:hAnsi="Garamond" w:cs="Calibri"/>
                <w:color w:val="000000"/>
                <w:sz w:val="20"/>
                <w:szCs w:val="20"/>
              </w:rPr>
              <w:t>NA</w:t>
            </w:r>
          </w:p>
        </w:tc>
      </w:tr>
      <w:tr w:rsidR="000F236F" w:rsidTr="00DB5405">
        <w:trPr>
          <w:trHeight w:val="255"/>
        </w:trPr>
        <w:tc>
          <w:tcPr>
            <w:tcW w:w="3433" w:type="dxa"/>
            <w:tcBorders>
              <w:top w:val="single" w:sz="8" w:space="0" w:color="auto"/>
              <w:left w:val="single" w:sz="8" w:space="0" w:color="auto"/>
              <w:bottom w:val="single" w:sz="8" w:space="0" w:color="auto"/>
              <w:right w:val="nil"/>
            </w:tcBorders>
            <w:shd w:val="clear" w:color="000000" w:fill="D9E1F2"/>
            <w:tcMar>
              <w:top w:w="15" w:type="dxa"/>
              <w:left w:w="15" w:type="dxa"/>
              <w:bottom w:w="0" w:type="dxa"/>
              <w:right w:w="15" w:type="dxa"/>
            </w:tcMar>
            <w:vAlign w:val="center"/>
            <w:hideMark/>
          </w:tcPr>
          <w:p w:rsidR="000F236F" w:rsidRDefault="000F236F" w:rsidP="00DB5405">
            <w:pPr>
              <w:rPr>
                <w:rFonts w:ascii="Garamond" w:hAnsi="Garamond" w:cs="Calibri"/>
                <w:b/>
                <w:bCs/>
                <w:color w:val="000000"/>
                <w:sz w:val="20"/>
                <w:szCs w:val="20"/>
              </w:rPr>
            </w:pPr>
            <w:r>
              <w:rPr>
                <w:rFonts w:ascii="Garamond" w:hAnsi="Garamond" w:cs="Calibri"/>
                <w:b/>
                <w:bCs/>
                <w:color w:val="000000"/>
                <w:sz w:val="20"/>
                <w:szCs w:val="20"/>
              </w:rPr>
              <w:t>Grand Total</w:t>
            </w:r>
          </w:p>
        </w:tc>
        <w:tc>
          <w:tcPr>
            <w:tcW w:w="1060" w:type="dxa"/>
            <w:tcBorders>
              <w:top w:val="single" w:sz="8" w:space="0" w:color="auto"/>
              <w:left w:val="single" w:sz="8" w:space="0" w:color="auto"/>
              <w:bottom w:val="single" w:sz="8" w:space="0" w:color="auto"/>
              <w:right w:val="single" w:sz="8" w:space="0" w:color="auto"/>
            </w:tcBorders>
            <w:shd w:val="clear" w:color="000000" w:fill="D9E1F2"/>
            <w:tcMar>
              <w:top w:w="15" w:type="dxa"/>
              <w:left w:w="15" w:type="dxa"/>
              <w:bottom w:w="0" w:type="dxa"/>
              <w:right w:w="15" w:type="dxa"/>
            </w:tcMar>
            <w:vAlign w:val="center"/>
            <w:hideMark/>
          </w:tcPr>
          <w:p w:rsidR="000F236F" w:rsidRDefault="000F236F" w:rsidP="00DB5405">
            <w:pPr>
              <w:jc w:val="right"/>
              <w:rPr>
                <w:rFonts w:ascii="Garamond" w:hAnsi="Garamond" w:cs="Calibri"/>
                <w:b/>
                <w:bCs/>
                <w:color w:val="000000"/>
                <w:sz w:val="20"/>
                <w:szCs w:val="20"/>
              </w:rPr>
            </w:pPr>
            <w:r>
              <w:rPr>
                <w:rFonts w:ascii="Garamond" w:hAnsi="Garamond" w:cs="Calibri"/>
                <w:b/>
                <w:bCs/>
                <w:color w:val="000000"/>
                <w:sz w:val="20"/>
                <w:szCs w:val="20"/>
              </w:rPr>
              <w:t>30,06,45,106</w:t>
            </w:r>
          </w:p>
        </w:tc>
        <w:tc>
          <w:tcPr>
            <w:tcW w:w="1060" w:type="dxa"/>
            <w:tcBorders>
              <w:top w:val="single" w:sz="8" w:space="0" w:color="auto"/>
              <w:left w:val="nil"/>
              <w:bottom w:val="single" w:sz="8" w:space="0" w:color="auto"/>
              <w:right w:val="single" w:sz="8" w:space="0" w:color="auto"/>
            </w:tcBorders>
            <w:shd w:val="clear" w:color="000000" w:fill="D9E1F2"/>
            <w:tcMar>
              <w:top w:w="15" w:type="dxa"/>
              <w:left w:w="15" w:type="dxa"/>
              <w:bottom w:w="0" w:type="dxa"/>
              <w:right w:w="15" w:type="dxa"/>
            </w:tcMar>
            <w:vAlign w:val="center"/>
            <w:hideMark/>
          </w:tcPr>
          <w:p w:rsidR="000F236F" w:rsidRDefault="000F236F" w:rsidP="00DB5405">
            <w:pPr>
              <w:jc w:val="right"/>
              <w:rPr>
                <w:rFonts w:ascii="Garamond" w:hAnsi="Garamond" w:cs="Calibri"/>
                <w:b/>
                <w:bCs/>
                <w:color w:val="000000"/>
                <w:sz w:val="20"/>
                <w:szCs w:val="20"/>
              </w:rPr>
            </w:pPr>
            <w:r>
              <w:rPr>
                <w:rFonts w:ascii="Garamond" w:hAnsi="Garamond" w:cs="Calibri"/>
                <w:b/>
                <w:bCs/>
                <w:color w:val="000000"/>
                <w:sz w:val="20"/>
                <w:szCs w:val="20"/>
              </w:rPr>
              <w:t>3,20,406</w:t>
            </w:r>
          </w:p>
        </w:tc>
        <w:tc>
          <w:tcPr>
            <w:tcW w:w="1060" w:type="dxa"/>
            <w:tcBorders>
              <w:top w:val="single" w:sz="8" w:space="0" w:color="auto"/>
              <w:left w:val="nil"/>
              <w:bottom w:val="single" w:sz="8" w:space="0" w:color="auto"/>
              <w:right w:val="single" w:sz="8" w:space="0" w:color="auto"/>
            </w:tcBorders>
            <w:shd w:val="clear" w:color="000000" w:fill="D9E1F2"/>
            <w:tcMar>
              <w:top w:w="15" w:type="dxa"/>
              <w:left w:w="15" w:type="dxa"/>
              <w:bottom w:w="0" w:type="dxa"/>
              <w:right w:w="15" w:type="dxa"/>
            </w:tcMar>
            <w:vAlign w:val="center"/>
            <w:hideMark/>
          </w:tcPr>
          <w:p w:rsidR="000F236F" w:rsidRDefault="000F236F" w:rsidP="00DB5405">
            <w:pPr>
              <w:jc w:val="right"/>
              <w:rPr>
                <w:rFonts w:ascii="Garamond" w:hAnsi="Garamond" w:cs="Calibri"/>
                <w:b/>
                <w:bCs/>
                <w:color w:val="000000"/>
                <w:sz w:val="20"/>
                <w:szCs w:val="20"/>
              </w:rPr>
            </w:pPr>
            <w:r>
              <w:rPr>
                <w:rFonts w:ascii="Garamond" w:hAnsi="Garamond" w:cs="Calibri"/>
                <w:b/>
                <w:bCs/>
                <w:color w:val="000000"/>
                <w:sz w:val="20"/>
                <w:szCs w:val="20"/>
              </w:rPr>
              <w:t>4,62,54,496</w:t>
            </w:r>
          </w:p>
        </w:tc>
        <w:tc>
          <w:tcPr>
            <w:tcW w:w="1060" w:type="dxa"/>
            <w:tcBorders>
              <w:top w:val="single" w:sz="8" w:space="0" w:color="auto"/>
              <w:left w:val="nil"/>
              <w:bottom w:val="single" w:sz="8" w:space="0" w:color="auto"/>
              <w:right w:val="single" w:sz="8" w:space="0" w:color="auto"/>
            </w:tcBorders>
            <w:shd w:val="clear" w:color="000000" w:fill="D9E1F2"/>
            <w:tcMar>
              <w:top w:w="15" w:type="dxa"/>
              <w:left w:w="15" w:type="dxa"/>
              <w:bottom w:w="0" w:type="dxa"/>
              <w:right w:w="15" w:type="dxa"/>
            </w:tcMar>
            <w:vAlign w:val="center"/>
            <w:hideMark/>
          </w:tcPr>
          <w:p w:rsidR="000F236F" w:rsidRDefault="000F236F" w:rsidP="00DB5405">
            <w:pPr>
              <w:jc w:val="right"/>
              <w:rPr>
                <w:rFonts w:ascii="Garamond" w:hAnsi="Garamond" w:cs="Calibri"/>
                <w:b/>
                <w:bCs/>
                <w:color w:val="000000"/>
                <w:sz w:val="20"/>
                <w:szCs w:val="20"/>
              </w:rPr>
            </w:pPr>
            <w:r>
              <w:rPr>
                <w:rFonts w:ascii="Garamond" w:hAnsi="Garamond" w:cs="Calibri"/>
                <w:b/>
                <w:bCs/>
                <w:color w:val="000000"/>
                <w:sz w:val="20"/>
                <w:szCs w:val="20"/>
              </w:rPr>
              <w:t>53,52,06,328</w:t>
            </w:r>
          </w:p>
        </w:tc>
        <w:tc>
          <w:tcPr>
            <w:tcW w:w="1060" w:type="dxa"/>
            <w:tcBorders>
              <w:top w:val="single" w:sz="8" w:space="0" w:color="auto"/>
              <w:left w:val="nil"/>
              <w:bottom w:val="single" w:sz="8" w:space="0" w:color="auto"/>
              <w:right w:val="single" w:sz="8" w:space="0" w:color="auto"/>
            </w:tcBorders>
            <w:shd w:val="clear" w:color="000000" w:fill="D9E1F2"/>
            <w:tcMar>
              <w:top w:w="15" w:type="dxa"/>
              <w:left w:w="15" w:type="dxa"/>
              <w:bottom w:w="0" w:type="dxa"/>
              <w:right w:w="15" w:type="dxa"/>
            </w:tcMar>
            <w:vAlign w:val="center"/>
            <w:hideMark/>
          </w:tcPr>
          <w:p w:rsidR="000F236F" w:rsidRDefault="000F236F" w:rsidP="00DB5405">
            <w:pPr>
              <w:jc w:val="right"/>
              <w:rPr>
                <w:rFonts w:ascii="Garamond" w:hAnsi="Garamond" w:cs="Calibri"/>
                <w:b/>
                <w:bCs/>
                <w:color w:val="000000"/>
                <w:sz w:val="20"/>
                <w:szCs w:val="20"/>
              </w:rPr>
            </w:pPr>
            <w:r>
              <w:rPr>
                <w:rFonts w:ascii="Garamond" w:hAnsi="Garamond" w:cs="Calibri"/>
                <w:b/>
                <w:bCs/>
                <w:color w:val="000000"/>
                <w:sz w:val="20"/>
                <w:szCs w:val="20"/>
              </w:rPr>
              <w:t>17,01,989</w:t>
            </w:r>
          </w:p>
        </w:tc>
        <w:tc>
          <w:tcPr>
            <w:tcW w:w="1060" w:type="dxa"/>
            <w:tcBorders>
              <w:top w:val="single" w:sz="8" w:space="0" w:color="auto"/>
              <w:left w:val="nil"/>
              <w:bottom w:val="single" w:sz="8" w:space="0" w:color="auto"/>
              <w:right w:val="single" w:sz="8" w:space="0" w:color="auto"/>
            </w:tcBorders>
            <w:shd w:val="clear" w:color="000000" w:fill="D9E1F2"/>
            <w:tcMar>
              <w:top w:w="15" w:type="dxa"/>
              <w:left w:w="15" w:type="dxa"/>
              <w:bottom w:w="0" w:type="dxa"/>
              <w:right w:w="15" w:type="dxa"/>
            </w:tcMar>
            <w:vAlign w:val="center"/>
            <w:hideMark/>
          </w:tcPr>
          <w:p w:rsidR="000F236F" w:rsidRDefault="000F236F" w:rsidP="00DB5405">
            <w:pPr>
              <w:jc w:val="right"/>
              <w:rPr>
                <w:rFonts w:ascii="Garamond" w:hAnsi="Garamond" w:cs="Calibri"/>
                <w:b/>
                <w:bCs/>
                <w:color w:val="000000"/>
                <w:sz w:val="20"/>
                <w:szCs w:val="20"/>
              </w:rPr>
            </w:pPr>
            <w:r>
              <w:rPr>
                <w:rFonts w:ascii="Garamond" w:hAnsi="Garamond" w:cs="Calibri"/>
                <w:b/>
                <w:bCs/>
                <w:color w:val="000000"/>
                <w:sz w:val="20"/>
                <w:szCs w:val="20"/>
              </w:rPr>
              <w:t>34,04,25,149</w:t>
            </w:r>
          </w:p>
        </w:tc>
      </w:tr>
    </w:tbl>
    <w:p w:rsidR="000F236F" w:rsidRDefault="000F236F" w:rsidP="000F236F">
      <w:pPr>
        <w:tabs>
          <w:tab w:val="left" w:pos="3306"/>
          <w:tab w:val="left" w:pos="4629"/>
          <w:tab w:val="left" w:pos="5685"/>
          <w:tab w:val="left" w:pos="6835"/>
          <w:tab w:val="left" w:pos="7999"/>
          <w:tab w:val="left" w:pos="9070"/>
        </w:tabs>
        <w:spacing w:line="23" w:lineRule="atLeast"/>
        <w:rPr>
          <w:rFonts w:ascii="Garamond" w:eastAsia="Times New Roman" w:hAnsi="Garamond" w:cs="Calibri"/>
          <w:color w:val="000000"/>
          <w:sz w:val="20"/>
          <w:szCs w:val="20"/>
          <w:lang w:val="en-IN" w:eastAsia="en-IN"/>
        </w:rPr>
      </w:pPr>
      <w:r>
        <w:rPr>
          <w:rFonts w:ascii="Garamond" w:hAnsi="Garamond"/>
          <w:bCs/>
          <w:sz w:val="18"/>
          <w:szCs w:val="18"/>
        </w:rPr>
        <w:t xml:space="preserve"> NA: Not Available</w:t>
      </w:r>
    </w:p>
    <w:p w:rsidR="000F236F" w:rsidRDefault="000F236F" w:rsidP="000F236F">
      <w:pPr>
        <w:tabs>
          <w:tab w:val="left" w:pos="3306"/>
          <w:tab w:val="left" w:pos="4629"/>
          <w:tab w:val="left" w:pos="5685"/>
          <w:tab w:val="left" w:pos="6835"/>
          <w:tab w:val="left" w:pos="7999"/>
          <w:tab w:val="left" w:pos="9070"/>
        </w:tabs>
        <w:spacing w:line="23" w:lineRule="atLeast"/>
        <w:rPr>
          <w:rFonts w:ascii="Garamond" w:hAnsi="Garamond"/>
          <w:bCs/>
          <w:sz w:val="18"/>
          <w:szCs w:val="18"/>
        </w:rPr>
      </w:pPr>
      <w:r>
        <w:rPr>
          <w:rFonts w:ascii="Garamond" w:hAnsi="Garamond"/>
          <w:bCs/>
          <w:sz w:val="18"/>
          <w:szCs w:val="18"/>
        </w:rPr>
        <w:t>Source: World Federation of Exchanges</w:t>
      </w:r>
    </w:p>
    <w:p w:rsidR="000F236F" w:rsidRDefault="000F236F" w:rsidP="000F236F">
      <w:pPr>
        <w:rPr>
          <w:rFonts w:ascii="Garamond" w:eastAsia="Times New Roman" w:hAnsi="Garamond"/>
          <w:bCs/>
          <w:sz w:val="22"/>
          <w:szCs w:val="22"/>
          <w:lang w:val="en-US"/>
        </w:rPr>
      </w:pPr>
    </w:p>
    <w:p w:rsidR="000F236F" w:rsidRDefault="000F236F" w:rsidP="000F236F">
      <w:pPr>
        <w:rPr>
          <w:rFonts w:ascii="Garamond" w:eastAsia="Times New Roman" w:hAnsi="Garamond"/>
          <w:bCs/>
          <w:sz w:val="22"/>
          <w:szCs w:val="22"/>
          <w:lang w:val="en-US"/>
        </w:rPr>
      </w:pPr>
      <w:r>
        <w:rPr>
          <w:rFonts w:ascii="Garamond" w:eastAsia="Times New Roman" w:hAnsi="Garamond"/>
          <w:bCs/>
          <w:sz w:val="22"/>
          <w:szCs w:val="22"/>
          <w:lang w:val="en-US"/>
        </w:rPr>
        <w:br w:type="page"/>
      </w:r>
    </w:p>
    <w:p w:rsidR="000F236F" w:rsidRDefault="000F236F" w:rsidP="000F236F">
      <w:pPr>
        <w:spacing w:line="23" w:lineRule="atLeast"/>
        <w:rPr>
          <w:rFonts w:ascii="Garamond" w:eastAsia="Times New Roman" w:hAnsi="Garamond"/>
          <w:b/>
          <w:bCs/>
          <w:szCs w:val="22"/>
          <w:lang w:val="en-US"/>
        </w:rPr>
      </w:pPr>
      <w:r>
        <w:rPr>
          <w:rFonts w:ascii="Garamond" w:eastAsia="Times New Roman" w:hAnsi="Garamond"/>
          <w:b/>
          <w:bCs/>
          <w:szCs w:val="22"/>
          <w:lang w:val="en-US"/>
        </w:rPr>
        <w:lastRenderedPageBreak/>
        <w:t xml:space="preserve">Table A5: Index Futures and Index Options Traded in Major Exchanges </w:t>
      </w:r>
    </w:p>
    <w:p w:rsidR="000F236F" w:rsidRDefault="000F236F" w:rsidP="000F236F">
      <w:pPr>
        <w:spacing w:line="23" w:lineRule="atLeast"/>
        <w:ind w:right="249"/>
        <w:jc w:val="right"/>
        <w:rPr>
          <w:rFonts w:ascii="Garamond" w:eastAsia="Times New Roman" w:hAnsi="Garamond"/>
          <w:bCs/>
          <w:sz w:val="22"/>
          <w:szCs w:val="22"/>
          <w:lang w:val="en-US"/>
        </w:rPr>
      </w:pPr>
      <w:r>
        <w:rPr>
          <w:rFonts w:ascii="Garamond" w:hAnsi="Garamond"/>
          <w:bCs/>
          <w:sz w:val="22"/>
          <w:szCs w:val="22"/>
        </w:rPr>
        <w:t>Notional Turnover in (USD million)</w:t>
      </w:r>
    </w:p>
    <w:tbl>
      <w:tblPr>
        <w:tblW w:w="10173" w:type="dxa"/>
        <w:tblLook w:val="04A0" w:firstRow="1" w:lastRow="0" w:firstColumn="1" w:lastColumn="0" w:noHBand="0" w:noVBand="1"/>
      </w:tblPr>
      <w:tblGrid>
        <w:gridCol w:w="3359"/>
        <w:gridCol w:w="1191"/>
        <w:gridCol w:w="1098"/>
        <w:gridCol w:w="1123"/>
        <w:gridCol w:w="1202"/>
        <w:gridCol w:w="1092"/>
        <w:gridCol w:w="1108"/>
      </w:tblGrid>
      <w:tr w:rsidR="000F236F" w:rsidTr="00DB5405">
        <w:trPr>
          <w:trHeight w:val="248"/>
        </w:trPr>
        <w:tc>
          <w:tcPr>
            <w:tcW w:w="3539" w:type="dxa"/>
            <w:vMerge w:val="restart"/>
            <w:tcBorders>
              <w:top w:val="single" w:sz="4" w:space="0" w:color="auto"/>
              <w:left w:val="single" w:sz="4" w:space="0" w:color="auto"/>
              <w:bottom w:val="single" w:sz="4" w:space="0" w:color="auto"/>
              <w:right w:val="single" w:sz="4" w:space="0" w:color="auto"/>
            </w:tcBorders>
            <w:shd w:val="clear" w:color="000000" w:fill="B4C6E7"/>
            <w:vAlign w:val="center"/>
            <w:hideMark/>
          </w:tcPr>
          <w:p w:rsidR="000F236F" w:rsidRDefault="000F236F" w:rsidP="00DB5405">
            <w:pPr>
              <w:jc w:val="center"/>
              <w:rPr>
                <w:rFonts w:ascii="Garamond" w:eastAsia="Times New Roman" w:hAnsi="Garamond" w:cs="Calibri"/>
                <w:b/>
                <w:bCs/>
                <w:color w:val="000000"/>
                <w:sz w:val="20"/>
                <w:szCs w:val="20"/>
                <w:lang w:val="en-IN" w:eastAsia="en-IN"/>
              </w:rPr>
            </w:pPr>
            <w:r>
              <w:rPr>
                <w:rFonts w:ascii="Garamond" w:eastAsia="Times New Roman" w:hAnsi="Garamond" w:cs="Calibri"/>
                <w:b/>
                <w:bCs/>
                <w:color w:val="000000"/>
                <w:sz w:val="20"/>
                <w:szCs w:val="20"/>
                <w:lang w:val="en-IN" w:eastAsia="en-IN"/>
              </w:rPr>
              <w:t>Exchange</w:t>
            </w:r>
          </w:p>
        </w:tc>
        <w:tc>
          <w:tcPr>
            <w:tcW w:w="6634" w:type="dxa"/>
            <w:gridSpan w:val="6"/>
            <w:tcBorders>
              <w:top w:val="single" w:sz="4" w:space="0" w:color="auto"/>
              <w:left w:val="nil"/>
              <w:bottom w:val="single" w:sz="4" w:space="0" w:color="auto"/>
              <w:right w:val="single" w:sz="4" w:space="0" w:color="auto"/>
            </w:tcBorders>
            <w:shd w:val="clear" w:color="000000" w:fill="B4C6E7"/>
            <w:vAlign w:val="center"/>
            <w:hideMark/>
          </w:tcPr>
          <w:p w:rsidR="000F236F" w:rsidRDefault="000F236F" w:rsidP="00DB5405">
            <w:pPr>
              <w:jc w:val="center"/>
              <w:rPr>
                <w:rFonts w:ascii="Garamond" w:eastAsia="Times New Roman" w:hAnsi="Garamond" w:cs="Calibri"/>
                <w:b/>
                <w:bCs/>
                <w:color w:val="000000"/>
                <w:sz w:val="20"/>
                <w:szCs w:val="20"/>
                <w:lang w:val="en-IN" w:eastAsia="en-IN"/>
              </w:rPr>
            </w:pPr>
            <w:r>
              <w:rPr>
                <w:rFonts w:ascii="Garamond" w:eastAsia="Times New Roman" w:hAnsi="Garamond" w:cs="Calibri"/>
                <w:b/>
                <w:bCs/>
                <w:color w:val="000000"/>
                <w:sz w:val="20"/>
                <w:szCs w:val="20"/>
                <w:lang w:val="en-IN" w:eastAsia="en-IN"/>
              </w:rPr>
              <w:t>Aug-20</w:t>
            </w:r>
          </w:p>
        </w:tc>
      </w:tr>
      <w:tr w:rsidR="000F236F" w:rsidTr="00DB5405">
        <w:trPr>
          <w:trHeight w:val="248"/>
        </w:trPr>
        <w:tc>
          <w:tcPr>
            <w:tcW w:w="3539" w:type="dxa"/>
            <w:vMerge/>
            <w:tcBorders>
              <w:top w:val="single" w:sz="4" w:space="0" w:color="auto"/>
              <w:left w:val="single" w:sz="4" w:space="0" w:color="auto"/>
              <w:bottom w:val="single" w:sz="4" w:space="0" w:color="auto"/>
              <w:right w:val="single" w:sz="4" w:space="0" w:color="auto"/>
            </w:tcBorders>
            <w:vAlign w:val="center"/>
            <w:hideMark/>
          </w:tcPr>
          <w:p w:rsidR="000F236F" w:rsidRDefault="000F236F" w:rsidP="00DB5405">
            <w:pPr>
              <w:rPr>
                <w:rFonts w:ascii="Garamond" w:eastAsia="Times New Roman" w:hAnsi="Garamond" w:cs="Calibri"/>
                <w:b/>
                <w:bCs/>
                <w:color w:val="000000"/>
                <w:sz w:val="20"/>
                <w:szCs w:val="20"/>
                <w:lang w:val="en-IN" w:eastAsia="en-IN"/>
              </w:rPr>
            </w:pPr>
          </w:p>
        </w:tc>
        <w:tc>
          <w:tcPr>
            <w:tcW w:w="3312" w:type="dxa"/>
            <w:gridSpan w:val="3"/>
            <w:tcBorders>
              <w:top w:val="single" w:sz="4" w:space="0" w:color="auto"/>
              <w:left w:val="nil"/>
              <w:bottom w:val="single" w:sz="4" w:space="0" w:color="auto"/>
              <w:right w:val="single" w:sz="4" w:space="0" w:color="000000"/>
            </w:tcBorders>
            <w:shd w:val="clear" w:color="000000" w:fill="B4C6E7"/>
            <w:vAlign w:val="center"/>
            <w:hideMark/>
          </w:tcPr>
          <w:p w:rsidR="000F236F" w:rsidRDefault="000F236F" w:rsidP="00DB5405">
            <w:pPr>
              <w:jc w:val="center"/>
              <w:rPr>
                <w:rFonts w:ascii="Garamond" w:eastAsia="Times New Roman" w:hAnsi="Garamond" w:cs="Calibri"/>
                <w:b/>
                <w:bCs/>
                <w:color w:val="000000"/>
                <w:sz w:val="20"/>
                <w:szCs w:val="20"/>
                <w:lang w:val="en-IN" w:eastAsia="en-IN"/>
              </w:rPr>
            </w:pPr>
            <w:r>
              <w:rPr>
                <w:rFonts w:ascii="Garamond" w:eastAsia="Times New Roman" w:hAnsi="Garamond" w:cs="Calibri"/>
                <w:b/>
                <w:bCs/>
                <w:color w:val="000000"/>
                <w:sz w:val="20"/>
                <w:szCs w:val="20"/>
                <w:lang w:val="en-IN" w:eastAsia="en-IN"/>
              </w:rPr>
              <w:t>Stock Index Futures</w:t>
            </w:r>
          </w:p>
        </w:tc>
        <w:tc>
          <w:tcPr>
            <w:tcW w:w="3322" w:type="dxa"/>
            <w:gridSpan w:val="3"/>
            <w:tcBorders>
              <w:top w:val="single" w:sz="4" w:space="0" w:color="auto"/>
              <w:left w:val="single" w:sz="4" w:space="0" w:color="auto"/>
              <w:bottom w:val="single" w:sz="4" w:space="0" w:color="auto"/>
              <w:right w:val="single" w:sz="4" w:space="0" w:color="000000"/>
            </w:tcBorders>
            <w:shd w:val="clear" w:color="000000" w:fill="B4C6E7"/>
            <w:vAlign w:val="center"/>
            <w:hideMark/>
          </w:tcPr>
          <w:p w:rsidR="000F236F" w:rsidRDefault="000F236F" w:rsidP="00DB5405">
            <w:pPr>
              <w:jc w:val="center"/>
              <w:rPr>
                <w:rFonts w:ascii="Garamond" w:eastAsia="Times New Roman" w:hAnsi="Garamond" w:cs="Calibri"/>
                <w:b/>
                <w:bCs/>
                <w:color w:val="000000"/>
                <w:sz w:val="20"/>
                <w:szCs w:val="20"/>
                <w:lang w:val="en-IN" w:eastAsia="en-IN"/>
              </w:rPr>
            </w:pPr>
            <w:r>
              <w:rPr>
                <w:rFonts w:ascii="Garamond" w:eastAsia="Times New Roman" w:hAnsi="Garamond" w:cs="Calibri"/>
                <w:b/>
                <w:bCs/>
                <w:color w:val="000000"/>
                <w:sz w:val="20"/>
                <w:szCs w:val="20"/>
                <w:lang w:val="en-IN" w:eastAsia="en-IN"/>
              </w:rPr>
              <w:t>Stock Index Options</w:t>
            </w:r>
          </w:p>
        </w:tc>
      </w:tr>
      <w:tr w:rsidR="000F236F" w:rsidTr="00DB5405">
        <w:trPr>
          <w:trHeight w:val="644"/>
        </w:trPr>
        <w:tc>
          <w:tcPr>
            <w:tcW w:w="3539" w:type="dxa"/>
            <w:vMerge/>
            <w:tcBorders>
              <w:top w:val="single" w:sz="4" w:space="0" w:color="auto"/>
              <w:left w:val="single" w:sz="4" w:space="0" w:color="auto"/>
              <w:bottom w:val="single" w:sz="4" w:space="0" w:color="auto"/>
              <w:right w:val="single" w:sz="4" w:space="0" w:color="auto"/>
            </w:tcBorders>
            <w:vAlign w:val="center"/>
            <w:hideMark/>
          </w:tcPr>
          <w:p w:rsidR="000F236F" w:rsidRDefault="000F236F" w:rsidP="00DB5405">
            <w:pPr>
              <w:rPr>
                <w:rFonts w:ascii="Garamond" w:eastAsia="Times New Roman" w:hAnsi="Garamond" w:cs="Calibri"/>
                <w:b/>
                <w:bCs/>
                <w:color w:val="000000"/>
                <w:sz w:val="20"/>
                <w:szCs w:val="20"/>
                <w:lang w:val="en-IN" w:eastAsia="en-IN"/>
              </w:rPr>
            </w:pPr>
          </w:p>
        </w:tc>
        <w:tc>
          <w:tcPr>
            <w:tcW w:w="1111" w:type="dxa"/>
            <w:tcBorders>
              <w:top w:val="single" w:sz="4" w:space="0" w:color="auto"/>
              <w:left w:val="nil"/>
              <w:bottom w:val="single" w:sz="4" w:space="0" w:color="auto"/>
              <w:right w:val="single" w:sz="4" w:space="0" w:color="auto"/>
            </w:tcBorders>
            <w:shd w:val="clear" w:color="000000" w:fill="B4C6E7"/>
            <w:vAlign w:val="center"/>
            <w:hideMark/>
          </w:tcPr>
          <w:p w:rsidR="000F236F" w:rsidRDefault="000F236F" w:rsidP="00DB5405">
            <w:pPr>
              <w:jc w:val="center"/>
              <w:rPr>
                <w:rFonts w:ascii="Garamond" w:eastAsia="Times New Roman" w:hAnsi="Garamond" w:cs="Calibri"/>
                <w:b/>
                <w:bCs/>
                <w:color w:val="000000"/>
                <w:sz w:val="20"/>
                <w:szCs w:val="20"/>
                <w:lang w:val="en-IN" w:eastAsia="en-IN"/>
              </w:rPr>
            </w:pPr>
            <w:r>
              <w:rPr>
                <w:rFonts w:ascii="Garamond" w:eastAsia="Times New Roman" w:hAnsi="Garamond" w:cs="Calibri"/>
                <w:b/>
                <w:bCs/>
                <w:color w:val="000000"/>
                <w:sz w:val="20"/>
                <w:szCs w:val="20"/>
                <w:lang w:val="en-IN" w:eastAsia="en-IN"/>
              </w:rPr>
              <w:t>Number of</w:t>
            </w:r>
            <w:r>
              <w:rPr>
                <w:rFonts w:ascii="Garamond" w:eastAsia="Times New Roman" w:hAnsi="Garamond" w:cs="Calibri"/>
                <w:b/>
                <w:bCs/>
                <w:color w:val="000000"/>
                <w:sz w:val="20"/>
                <w:szCs w:val="20"/>
                <w:lang w:val="en-IN" w:eastAsia="en-IN"/>
              </w:rPr>
              <w:br/>
              <w:t>Contracts Traded</w:t>
            </w:r>
          </w:p>
        </w:tc>
        <w:tc>
          <w:tcPr>
            <w:tcW w:w="1100" w:type="dxa"/>
            <w:tcBorders>
              <w:top w:val="single" w:sz="4" w:space="0" w:color="auto"/>
              <w:left w:val="nil"/>
              <w:bottom w:val="single" w:sz="4" w:space="0" w:color="auto"/>
              <w:right w:val="single" w:sz="4" w:space="0" w:color="auto"/>
            </w:tcBorders>
            <w:shd w:val="clear" w:color="000000" w:fill="B4C6E7"/>
            <w:vAlign w:val="center"/>
            <w:hideMark/>
          </w:tcPr>
          <w:p w:rsidR="000F236F" w:rsidRDefault="000F236F" w:rsidP="00DB5405">
            <w:pPr>
              <w:jc w:val="center"/>
              <w:rPr>
                <w:rFonts w:ascii="Garamond" w:eastAsia="Times New Roman" w:hAnsi="Garamond" w:cs="Calibri"/>
                <w:b/>
                <w:bCs/>
                <w:color w:val="000000"/>
                <w:sz w:val="20"/>
                <w:szCs w:val="20"/>
                <w:lang w:val="en-IN" w:eastAsia="en-IN"/>
              </w:rPr>
            </w:pPr>
            <w:r>
              <w:rPr>
                <w:rFonts w:ascii="Garamond" w:eastAsia="Times New Roman" w:hAnsi="Garamond" w:cs="Calibri"/>
                <w:b/>
                <w:bCs/>
                <w:color w:val="000000"/>
                <w:sz w:val="20"/>
                <w:szCs w:val="20"/>
                <w:lang w:val="en-IN" w:eastAsia="en-IN"/>
              </w:rPr>
              <w:t>Notional</w:t>
            </w:r>
            <w:r>
              <w:rPr>
                <w:rFonts w:ascii="Garamond" w:eastAsia="Times New Roman" w:hAnsi="Garamond" w:cs="Calibri"/>
                <w:b/>
                <w:bCs/>
                <w:color w:val="000000"/>
                <w:sz w:val="20"/>
                <w:szCs w:val="20"/>
                <w:lang w:val="en-IN" w:eastAsia="en-IN"/>
              </w:rPr>
              <w:br/>
              <w:t>Turnover</w:t>
            </w:r>
          </w:p>
        </w:tc>
        <w:tc>
          <w:tcPr>
            <w:tcW w:w="1100" w:type="dxa"/>
            <w:tcBorders>
              <w:top w:val="single" w:sz="4" w:space="0" w:color="auto"/>
              <w:left w:val="nil"/>
              <w:bottom w:val="single" w:sz="4" w:space="0" w:color="auto"/>
              <w:right w:val="single" w:sz="4" w:space="0" w:color="auto"/>
            </w:tcBorders>
            <w:shd w:val="clear" w:color="000000" w:fill="B4C6E7"/>
            <w:vAlign w:val="center"/>
            <w:hideMark/>
          </w:tcPr>
          <w:p w:rsidR="000F236F" w:rsidRDefault="000F236F" w:rsidP="00DB5405">
            <w:pPr>
              <w:jc w:val="center"/>
              <w:rPr>
                <w:rFonts w:ascii="Garamond" w:eastAsia="Times New Roman" w:hAnsi="Garamond" w:cs="Calibri"/>
                <w:b/>
                <w:bCs/>
                <w:color w:val="000000"/>
                <w:sz w:val="20"/>
                <w:szCs w:val="20"/>
                <w:lang w:val="en-IN" w:eastAsia="en-IN"/>
              </w:rPr>
            </w:pPr>
            <w:r>
              <w:rPr>
                <w:rFonts w:ascii="Garamond" w:eastAsia="Times New Roman" w:hAnsi="Garamond" w:cs="Calibri"/>
                <w:b/>
                <w:bCs/>
                <w:color w:val="000000"/>
                <w:sz w:val="20"/>
                <w:szCs w:val="20"/>
                <w:lang w:val="en-IN" w:eastAsia="en-IN"/>
              </w:rPr>
              <w:t>Open</w:t>
            </w:r>
            <w:r>
              <w:rPr>
                <w:rFonts w:ascii="Garamond" w:eastAsia="Times New Roman" w:hAnsi="Garamond" w:cs="Calibri"/>
                <w:b/>
                <w:bCs/>
                <w:color w:val="000000"/>
                <w:sz w:val="20"/>
                <w:szCs w:val="20"/>
                <w:lang w:val="en-IN" w:eastAsia="en-IN"/>
              </w:rPr>
              <w:br/>
              <w:t>Interest</w:t>
            </w:r>
          </w:p>
        </w:tc>
        <w:tc>
          <w:tcPr>
            <w:tcW w:w="1121" w:type="dxa"/>
            <w:tcBorders>
              <w:top w:val="single" w:sz="4" w:space="0" w:color="auto"/>
              <w:left w:val="nil"/>
              <w:bottom w:val="single" w:sz="4" w:space="0" w:color="auto"/>
              <w:right w:val="single" w:sz="4" w:space="0" w:color="auto"/>
            </w:tcBorders>
            <w:shd w:val="clear" w:color="000000" w:fill="B4C6E7"/>
            <w:vAlign w:val="center"/>
            <w:hideMark/>
          </w:tcPr>
          <w:p w:rsidR="000F236F" w:rsidRDefault="000F236F" w:rsidP="00DB5405">
            <w:pPr>
              <w:jc w:val="center"/>
              <w:rPr>
                <w:rFonts w:ascii="Garamond" w:eastAsia="Times New Roman" w:hAnsi="Garamond" w:cs="Calibri"/>
                <w:b/>
                <w:bCs/>
                <w:color w:val="000000"/>
                <w:sz w:val="20"/>
                <w:szCs w:val="20"/>
                <w:lang w:val="en-IN" w:eastAsia="en-IN"/>
              </w:rPr>
            </w:pPr>
            <w:r>
              <w:rPr>
                <w:rFonts w:ascii="Garamond" w:eastAsia="Times New Roman" w:hAnsi="Garamond" w:cs="Calibri"/>
                <w:b/>
                <w:bCs/>
                <w:color w:val="000000"/>
                <w:sz w:val="20"/>
                <w:szCs w:val="20"/>
                <w:lang w:val="en-IN" w:eastAsia="en-IN"/>
              </w:rPr>
              <w:t>Number of</w:t>
            </w:r>
            <w:r>
              <w:rPr>
                <w:rFonts w:ascii="Garamond" w:eastAsia="Times New Roman" w:hAnsi="Garamond" w:cs="Calibri"/>
                <w:b/>
                <w:bCs/>
                <w:color w:val="000000"/>
                <w:sz w:val="20"/>
                <w:szCs w:val="20"/>
                <w:lang w:val="en-IN" w:eastAsia="en-IN"/>
              </w:rPr>
              <w:br/>
              <w:t>Contracts Traded</w:t>
            </w:r>
          </w:p>
        </w:tc>
        <w:tc>
          <w:tcPr>
            <w:tcW w:w="1099" w:type="dxa"/>
            <w:tcBorders>
              <w:top w:val="single" w:sz="4" w:space="0" w:color="auto"/>
              <w:left w:val="nil"/>
              <w:bottom w:val="single" w:sz="4" w:space="0" w:color="auto"/>
              <w:right w:val="single" w:sz="4" w:space="0" w:color="auto"/>
            </w:tcBorders>
            <w:shd w:val="clear" w:color="000000" w:fill="B4C6E7"/>
            <w:vAlign w:val="center"/>
            <w:hideMark/>
          </w:tcPr>
          <w:p w:rsidR="000F236F" w:rsidRDefault="000F236F" w:rsidP="00DB5405">
            <w:pPr>
              <w:jc w:val="center"/>
              <w:rPr>
                <w:rFonts w:ascii="Garamond" w:eastAsia="Times New Roman" w:hAnsi="Garamond" w:cs="Calibri"/>
                <w:b/>
                <w:bCs/>
                <w:color w:val="000000"/>
                <w:sz w:val="20"/>
                <w:szCs w:val="20"/>
                <w:lang w:val="en-IN" w:eastAsia="en-IN"/>
              </w:rPr>
            </w:pPr>
            <w:r>
              <w:rPr>
                <w:rFonts w:ascii="Garamond" w:eastAsia="Times New Roman" w:hAnsi="Garamond" w:cs="Calibri"/>
                <w:b/>
                <w:bCs/>
                <w:color w:val="000000"/>
                <w:sz w:val="20"/>
                <w:szCs w:val="20"/>
                <w:lang w:val="en-IN" w:eastAsia="en-IN"/>
              </w:rPr>
              <w:t>Notional</w:t>
            </w:r>
            <w:r>
              <w:rPr>
                <w:rFonts w:ascii="Garamond" w:eastAsia="Times New Roman" w:hAnsi="Garamond" w:cs="Calibri"/>
                <w:b/>
                <w:bCs/>
                <w:color w:val="000000"/>
                <w:sz w:val="20"/>
                <w:szCs w:val="20"/>
                <w:lang w:val="en-IN" w:eastAsia="en-IN"/>
              </w:rPr>
              <w:br/>
              <w:t>Turnover</w:t>
            </w:r>
          </w:p>
        </w:tc>
        <w:tc>
          <w:tcPr>
            <w:tcW w:w="1100" w:type="dxa"/>
            <w:tcBorders>
              <w:top w:val="single" w:sz="4" w:space="0" w:color="auto"/>
              <w:left w:val="nil"/>
              <w:bottom w:val="single" w:sz="4" w:space="0" w:color="auto"/>
              <w:right w:val="single" w:sz="4" w:space="0" w:color="auto"/>
            </w:tcBorders>
            <w:shd w:val="clear" w:color="000000" w:fill="B4C6E7"/>
            <w:vAlign w:val="center"/>
            <w:hideMark/>
          </w:tcPr>
          <w:p w:rsidR="000F236F" w:rsidRDefault="000F236F" w:rsidP="00DB5405">
            <w:pPr>
              <w:jc w:val="center"/>
              <w:rPr>
                <w:rFonts w:ascii="Garamond" w:eastAsia="Times New Roman" w:hAnsi="Garamond" w:cs="Calibri"/>
                <w:b/>
                <w:bCs/>
                <w:color w:val="000000"/>
                <w:sz w:val="20"/>
                <w:szCs w:val="20"/>
                <w:lang w:val="en-IN" w:eastAsia="en-IN"/>
              </w:rPr>
            </w:pPr>
            <w:r>
              <w:rPr>
                <w:rFonts w:ascii="Garamond" w:eastAsia="Times New Roman" w:hAnsi="Garamond" w:cs="Calibri"/>
                <w:b/>
                <w:bCs/>
                <w:color w:val="000000"/>
                <w:sz w:val="20"/>
                <w:szCs w:val="20"/>
                <w:lang w:val="en-IN" w:eastAsia="en-IN"/>
              </w:rPr>
              <w:t>Open</w:t>
            </w:r>
            <w:r>
              <w:rPr>
                <w:rFonts w:ascii="Garamond" w:eastAsia="Times New Roman" w:hAnsi="Garamond" w:cs="Calibri"/>
                <w:b/>
                <w:bCs/>
                <w:color w:val="000000"/>
                <w:sz w:val="20"/>
                <w:szCs w:val="20"/>
                <w:lang w:val="en-IN" w:eastAsia="en-IN"/>
              </w:rPr>
              <w:br/>
              <w:t>Interest</w:t>
            </w:r>
          </w:p>
        </w:tc>
      </w:tr>
      <w:tr w:rsidR="000F236F" w:rsidTr="00DB5405">
        <w:trPr>
          <w:trHeight w:val="248"/>
        </w:trPr>
        <w:tc>
          <w:tcPr>
            <w:tcW w:w="3539" w:type="dxa"/>
            <w:tcBorders>
              <w:top w:val="nil"/>
              <w:left w:val="single" w:sz="4" w:space="0" w:color="auto"/>
              <w:bottom w:val="nil"/>
              <w:right w:val="nil"/>
            </w:tcBorders>
            <w:shd w:val="clear" w:color="000000" w:fill="B4C6E7"/>
            <w:vAlign w:val="center"/>
            <w:hideMark/>
          </w:tcPr>
          <w:p w:rsidR="000F236F" w:rsidRDefault="000F236F" w:rsidP="00DB5405">
            <w:pPr>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B3 - Brasil Bolsa Balcão</w:t>
            </w:r>
          </w:p>
        </w:tc>
        <w:tc>
          <w:tcPr>
            <w:tcW w:w="1111" w:type="dxa"/>
            <w:tcBorders>
              <w:top w:val="single" w:sz="8" w:space="0" w:color="auto"/>
              <w:left w:val="single" w:sz="8" w:space="0" w:color="auto"/>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26,42,45,759</w:t>
            </w:r>
          </w:p>
        </w:tc>
        <w:tc>
          <w:tcPr>
            <w:tcW w:w="1100" w:type="dxa"/>
            <w:tcBorders>
              <w:top w:val="single" w:sz="8" w:space="0" w:color="auto"/>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10,32,945</w:t>
            </w:r>
          </w:p>
        </w:tc>
        <w:tc>
          <w:tcPr>
            <w:tcW w:w="1100" w:type="dxa"/>
            <w:tcBorders>
              <w:top w:val="single" w:sz="8" w:space="0" w:color="auto"/>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11,05,746</w:t>
            </w:r>
          </w:p>
        </w:tc>
        <w:tc>
          <w:tcPr>
            <w:tcW w:w="1121" w:type="dxa"/>
            <w:tcBorders>
              <w:top w:val="single" w:sz="8" w:space="0" w:color="auto"/>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48,36,128</w:t>
            </w:r>
          </w:p>
        </w:tc>
        <w:tc>
          <w:tcPr>
            <w:tcW w:w="1099" w:type="dxa"/>
            <w:tcBorders>
              <w:top w:val="single" w:sz="8" w:space="0" w:color="auto"/>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27,836</w:t>
            </w:r>
          </w:p>
        </w:tc>
        <w:tc>
          <w:tcPr>
            <w:tcW w:w="1100" w:type="dxa"/>
            <w:tcBorders>
              <w:top w:val="single" w:sz="8" w:space="0" w:color="auto"/>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5,24,027</w:t>
            </w:r>
          </w:p>
        </w:tc>
      </w:tr>
      <w:tr w:rsidR="000F236F" w:rsidTr="00DB5405">
        <w:trPr>
          <w:trHeight w:val="248"/>
        </w:trPr>
        <w:tc>
          <w:tcPr>
            <w:tcW w:w="3539" w:type="dxa"/>
            <w:tcBorders>
              <w:top w:val="nil"/>
              <w:left w:val="single" w:sz="4" w:space="0" w:color="auto"/>
              <w:bottom w:val="nil"/>
              <w:right w:val="nil"/>
            </w:tcBorders>
            <w:shd w:val="clear" w:color="000000" w:fill="B4C6E7"/>
            <w:vAlign w:val="center"/>
            <w:hideMark/>
          </w:tcPr>
          <w:p w:rsidR="000F236F" w:rsidRDefault="000F236F" w:rsidP="00DB5405">
            <w:pPr>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Bolsa de Valores de Colombia</w:t>
            </w:r>
          </w:p>
        </w:tc>
        <w:tc>
          <w:tcPr>
            <w:tcW w:w="1111" w:type="dxa"/>
            <w:tcBorders>
              <w:top w:val="nil"/>
              <w:left w:val="single" w:sz="8" w:space="0" w:color="auto"/>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3,148</w:t>
            </w:r>
          </w:p>
        </w:tc>
        <w:tc>
          <w:tcPr>
            <w:tcW w:w="1100"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2</w:t>
            </w:r>
          </w:p>
        </w:tc>
        <w:tc>
          <w:tcPr>
            <w:tcW w:w="1100"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4,898</w:t>
            </w:r>
          </w:p>
        </w:tc>
        <w:tc>
          <w:tcPr>
            <w:tcW w:w="1121"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NA</w:t>
            </w:r>
          </w:p>
        </w:tc>
        <w:tc>
          <w:tcPr>
            <w:tcW w:w="1099"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NA</w:t>
            </w:r>
          </w:p>
        </w:tc>
        <w:tc>
          <w:tcPr>
            <w:tcW w:w="1100"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NA</w:t>
            </w:r>
          </w:p>
        </w:tc>
      </w:tr>
      <w:tr w:rsidR="000F236F" w:rsidTr="00DB5405">
        <w:trPr>
          <w:trHeight w:val="248"/>
        </w:trPr>
        <w:tc>
          <w:tcPr>
            <w:tcW w:w="3539" w:type="dxa"/>
            <w:tcBorders>
              <w:top w:val="nil"/>
              <w:left w:val="single" w:sz="4" w:space="0" w:color="auto"/>
              <w:bottom w:val="nil"/>
              <w:right w:val="nil"/>
            </w:tcBorders>
            <w:shd w:val="clear" w:color="000000" w:fill="B4C6E7"/>
            <w:vAlign w:val="center"/>
            <w:hideMark/>
          </w:tcPr>
          <w:p w:rsidR="000F236F" w:rsidRDefault="000F236F" w:rsidP="00DB5405">
            <w:pPr>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Bolsa Mexicana de Valores</w:t>
            </w:r>
          </w:p>
        </w:tc>
        <w:tc>
          <w:tcPr>
            <w:tcW w:w="1111" w:type="dxa"/>
            <w:tcBorders>
              <w:top w:val="nil"/>
              <w:left w:val="single" w:sz="8" w:space="0" w:color="auto"/>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21,954</w:t>
            </w:r>
          </w:p>
        </w:tc>
        <w:tc>
          <w:tcPr>
            <w:tcW w:w="1100"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382</w:t>
            </w:r>
          </w:p>
        </w:tc>
        <w:tc>
          <w:tcPr>
            <w:tcW w:w="1100"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23,697</w:t>
            </w:r>
          </w:p>
        </w:tc>
        <w:tc>
          <w:tcPr>
            <w:tcW w:w="1121"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558</w:t>
            </w:r>
          </w:p>
        </w:tc>
        <w:tc>
          <w:tcPr>
            <w:tcW w:w="1099"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10</w:t>
            </w:r>
          </w:p>
        </w:tc>
        <w:tc>
          <w:tcPr>
            <w:tcW w:w="1100"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446</w:t>
            </w:r>
          </w:p>
        </w:tc>
      </w:tr>
      <w:tr w:rsidR="000F236F" w:rsidTr="00DB5405">
        <w:trPr>
          <w:trHeight w:val="248"/>
        </w:trPr>
        <w:tc>
          <w:tcPr>
            <w:tcW w:w="3539" w:type="dxa"/>
            <w:tcBorders>
              <w:top w:val="nil"/>
              <w:left w:val="single" w:sz="4" w:space="0" w:color="auto"/>
              <w:bottom w:val="nil"/>
              <w:right w:val="nil"/>
            </w:tcBorders>
            <w:shd w:val="clear" w:color="000000" w:fill="B4C6E7"/>
            <w:vAlign w:val="center"/>
            <w:hideMark/>
          </w:tcPr>
          <w:p w:rsidR="000F236F" w:rsidRDefault="000F236F" w:rsidP="00DB5405">
            <w:pPr>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Bolsa y Mercados Argentinos</w:t>
            </w:r>
          </w:p>
        </w:tc>
        <w:tc>
          <w:tcPr>
            <w:tcW w:w="1111" w:type="dxa"/>
            <w:tcBorders>
              <w:top w:val="nil"/>
              <w:left w:val="single" w:sz="8" w:space="0" w:color="auto"/>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4,819</w:t>
            </w:r>
          </w:p>
        </w:tc>
        <w:tc>
          <w:tcPr>
            <w:tcW w:w="1100"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3</w:t>
            </w:r>
          </w:p>
        </w:tc>
        <w:tc>
          <w:tcPr>
            <w:tcW w:w="1100"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3,683</w:t>
            </w:r>
          </w:p>
        </w:tc>
        <w:tc>
          <w:tcPr>
            <w:tcW w:w="1121"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0</w:t>
            </w:r>
          </w:p>
        </w:tc>
        <w:tc>
          <w:tcPr>
            <w:tcW w:w="1099"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0</w:t>
            </w:r>
          </w:p>
        </w:tc>
        <w:tc>
          <w:tcPr>
            <w:tcW w:w="1100"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0</w:t>
            </w:r>
          </w:p>
        </w:tc>
      </w:tr>
      <w:tr w:rsidR="000F236F" w:rsidTr="00DB5405">
        <w:trPr>
          <w:trHeight w:val="248"/>
        </w:trPr>
        <w:tc>
          <w:tcPr>
            <w:tcW w:w="3539" w:type="dxa"/>
            <w:tcBorders>
              <w:top w:val="nil"/>
              <w:left w:val="single" w:sz="4" w:space="0" w:color="auto"/>
              <w:bottom w:val="nil"/>
              <w:right w:val="nil"/>
            </w:tcBorders>
            <w:shd w:val="clear" w:color="000000" w:fill="B4C6E7"/>
            <w:vAlign w:val="center"/>
            <w:hideMark/>
          </w:tcPr>
          <w:p w:rsidR="000F236F" w:rsidRDefault="000F236F" w:rsidP="00DB5405">
            <w:pPr>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Cboe Global Markets</w:t>
            </w:r>
          </w:p>
        </w:tc>
        <w:tc>
          <w:tcPr>
            <w:tcW w:w="1111" w:type="dxa"/>
            <w:tcBorders>
              <w:top w:val="nil"/>
              <w:left w:val="single" w:sz="8" w:space="0" w:color="auto"/>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NA</w:t>
            </w:r>
          </w:p>
        </w:tc>
        <w:tc>
          <w:tcPr>
            <w:tcW w:w="1100"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NA</w:t>
            </w:r>
          </w:p>
        </w:tc>
        <w:tc>
          <w:tcPr>
            <w:tcW w:w="1100"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NA</w:t>
            </w:r>
          </w:p>
        </w:tc>
        <w:tc>
          <w:tcPr>
            <w:tcW w:w="1121"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2,90,28,798</w:t>
            </w:r>
          </w:p>
        </w:tc>
        <w:tc>
          <w:tcPr>
            <w:tcW w:w="1099"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NA</w:t>
            </w:r>
          </w:p>
        </w:tc>
        <w:tc>
          <w:tcPr>
            <w:tcW w:w="1100"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2,23,00,588</w:t>
            </w:r>
          </w:p>
        </w:tc>
      </w:tr>
      <w:tr w:rsidR="000F236F" w:rsidTr="00DB5405">
        <w:trPr>
          <w:trHeight w:val="248"/>
        </w:trPr>
        <w:tc>
          <w:tcPr>
            <w:tcW w:w="3539" w:type="dxa"/>
            <w:tcBorders>
              <w:top w:val="nil"/>
              <w:left w:val="single" w:sz="4" w:space="0" w:color="auto"/>
              <w:bottom w:val="nil"/>
              <w:right w:val="nil"/>
            </w:tcBorders>
            <w:shd w:val="clear" w:color="000000" w:fill="B4C6E7"/>
            <w:vAlign w:val="center"/>
            <w:hideMark/>
          </w:tcPr>
          <w:p w:rsidR="000F236F" w:rsidRDefault="000F236F" w:rsidP="00DB5405">
            <w:pPr>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Nasdaq - US</w:t>
            </w:r>
          </w:p>
        </w:tc>
        <w:tc>
          <w:tcPr>
            <w:tcW w:w="1111" w:type="dxa"/>
            <w:tcBorders>
              <w:top w:val="nil"/>
              <w:left w:val="single" w:sz="8" w:space="0" w:color="auto"/>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NA</w:t>
            </w:r>
          </w:p>
        </w:tc>
        <w:tc>
          <w:tcPr>
            <w:tcW w:w="1100"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NA</w:t>
            </w:r>
          </w:p>
        </w:tc>
        <w:tc>
          <w:tcPr>
            <w:tcW w:w="1100"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NA</w:t>
            </w:r>
          </w:p>
        </w:tc>
        <w:tc>
          <w:tcPr>
            <w:tcW w:w="1121"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3,58,474</w:t>
            </w:r>
          </w:p>
        </w:tc>
        <w:tc>
          <w:tcPr>
            <w:tcW w:w="1099"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NA</w:t>
            </w:r>
          </w:p>
        </w:tc>
        <w:tc>
          <w:tcPr>
            <w:tcW w:w="1100"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NA</w:t>
            </w:r>
          </w:p>
        </w:tc>
      </w:tr>
      <w:tr w:rsidR="000F236F" w:rsidTr="00DB5405">
        <w:trPr>
          <w:trHeight w:val="248"/>
        </w:trPr>
        <w:tc>
          <w:tcPr>
            <w:tcW w:w="3539" w:type="dxa"/>
            <w:tcBorders>
              <w:top w:val="nil"/>
              <w:left w:val="single" w:sz="4" w:space="0" w:color="auto"/>
              <w:bottom w:val="nil"/>
              <w:right w:val="nil"/>
            </w:tcBorders>
            <w:shd w:val="clear" w:color="000000" w:fill="B4C6E7"/>
            <w:vAlign w:val="center"/>
            <w:hideMark/>
          </w:tcPr>
          <w:p w:rsidR="000F236F" w:rsidRDefault="000F236F" w:rsidP="00DB5405">
            <w:pPr>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MIAX Exchange Group</w:t>
            </w:r>
          </w:p>
        </w:tc>
        <w:tc>
          <w:tcPr>
            <w:tcW w:w="1111" w:type="dxa"/>
            <w:tcBorders>
              <w:top w:val="nil"/>
              <w:left w:val="single" w:sz="8" w:space="0" w:color="auto"/>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NA</w:t>
            </w:r>
          </w:p>
        </w:tc>
        <w:tc>
          <w:tcPr>
            <w:tcW w:w="1100"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NA</w:t>
            </w:r>
          </w:p>
        </w:tc>
        <w:tc>
          <w:tcPr>
            <w:tcW w:w="1100"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NA</w:t>
            </w:r>
          </w:p>
        </w:tc>
        <w:tc>
          <w:tcPr>
            <w:tcW w:w="1121"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0</w:t>
            </w:r>
          </w:p>
        </w:tc>
        <w:tc>
          <w:tcPr>
            <w:tcW w:w="1099"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0</w:t>
            </w:r>
          </w:p>
        </w:tc>
        <w:tc>
          <w:tcPr>
            <w:tcW w:w="1100"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NA</w:t>
            </w:r>
          </w:p>
        </w:tc>
      </w:tr>
      <w:tr w:rsidR="000F236F" w:rsidTr="00DB5405">
        <w:trPr>
          <w:trHeight w:val="248"/>
        </w:trPr>
        <w:tc>
          <w:tcPr>
            <w:tcW w:w="3539" w:type="dxa"/>
            <w:tcBorders>
              <w:top w:val="nil"/>
              <w:left w:val="single" w:sz="4" w:space="0" w:color="auto"/>
              <w:bottom w:val="nil"/>
              <w:right w:val="nil"/>
            </w:tcBorders>
            <w:shd w:val="clear" w:color="000000" w:fill="B4C6E7"/>
            <w:vAlign w:val="center"/>
            <w:hideMark/>
          </w:tcPr>
          <w:p w:rsidR="000F236F" w:rsidRDefault="000F236F" w:rsidP="00DB5405">
            <w:pPr>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Matba Rofex</w:t>
            </w:r>
          </w:p>
        </w:tc>
        <w:tc>
          <w:tcPr>
            <w:tcW w:w="1111" w:type="dxa"/>
            <w:tcBorders>
              <w:top w:val="nil"/>
              <w:left w:val="single" w:sz="8" w:space="0" w:color="auto"/>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1,91,553</w:t>
            </w:r>
          </w:p>
        </w:tc>
        <w:tc>
          <w:tcPr>
            <w:tcW w:w="1100"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185</w:t>
            </w:r>
          </w:p>
        </w:tc>
        <w:tc>
          <w:tcPr>
            <w:tcW w:w="1100"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21,129</w:t>
            </w:r>
          </w:p>
        </w:tc>
        <w:tc>
          <w:tcPr>
            <w:tcW w:w="1121"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469</w:t>
            </w:r>
          </w:p>
        </w:tc>
        <w:tc>
          <w:tcPr>
            <w:tcW w:w="1099"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0</w:t>
            </w:r>
          </w:p>
        </w:tc>
        <w:tc>
          <w:tcPr>
            <w:tcW w:w="1100"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103</w:t>
            </w:r>
          </w:p>
        </w:tc>
      </w:tr>
      <w:tr w:rsidR="000F236F" w:rsidTr="00DB5405">
        <w:trPr>
          <w:trHeight w:val="248"/>
        </w:trPr>
        <w:tc>
          <w:tcPr>
            <w:tcW w:w="3539" w:type="dxa"/>
            <w:tcBorders>
              <w:top w:val="nil"/>
              <w:left w:val="single" w:sz="4" w:space="0" w:color="auto"/>
              <w:bottom w:val="nil"/>
              <w:right w:val="nil"/>
            </w:tcBorders>
            <w:shd w:val="clear" w:color="000000" w:fill="B4C6E7"/>
            <w:vAlign w:val="center"/>
            <w:hideMark/>
          </w:tcPr>
          <w:p w:rsidR="000F236F" w:rsidRDefault="000F236F" w:rsidP="00DB5405">
            <w:pPr>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CME Group</w:t>
            </w:r>
          </w:p>
        </w:tc>
        <w:tc>
          <w:tcPr>
            <w:tcW w:w="1111" w:type="dxa"/>
            <w:tcBorders>
              <w:top w:val="nil"/>
              <w:left w:val="single" w:sz="8" w:space="0" w:color="auto"/>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7,47,90,977</w:t>
            </w:r>
          </w:p>
        </w:tc>
        <w:tc>
          <w:tcPr>
            <w:tcW w:w="1100"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81,95,456</w:t>
            </w:r>
          </w:p>
        </w:tc>
        <w:tc>
          <w:tcPr>
            <w:tcW w:w="1100"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47,65,296</w:t>
            </w:r>
          </w:p>
        </w:tc>
        <w:tc>
          <w:tcPr>
            <w:tcW w:w="1121"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1,19,01,163</w:t>
            </w:r>
          </w:p>
        </w:tc>
        <w:tc>
          <w:tcPr>
            <w:tcW w:w="1099"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21,86,190</w:t>
            </w:r>
          </w:p>
        </w:tc>
        <w:tc>
          <w:tcPr>
            <w:tcW w:w="1100"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35,46,793</w:t>
            </w:r>
          </w:p>
        </w:tc>
      </w:tr>
      <w:tr w:rsidR="000F236F" w:rsidTr="00DB5405">
        <w:trPr>
          <w:trHeight w:val="248"/>
        </w:trPr>
        <w:tc>
          <w:tcPr>
            <w:tcW w:w="3539" w:type="dxa"/>
            <w:tcBorders>
              <w:top w:val="nil"/>
              <w:left w:val="single" w:sz="4" w:space="0" w:color="auto"/>
              <w:bottom w:val="nil"/>
              <w:right w:val="nil"/>
            </w:tcBorders>
            <w:shd w:val="clear" w:color="000000" w:fill="B4C6E7"/>
            <w:vAlign w:val="center"/>
            <w:hideMark/>
          </w:tcPr>
          <w:p w:rsidR="000F236F" w:rsidRDefault="000F236F" w:rsidP="00DB5405">
            <w:pPr>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Cboe Futures Exchange</w:t>
            </w:r>
          </w:p>
        </w:tc>
        <w:tc>
          <w:tcPr>
            <w:tcW w:w="1111" w:type="dxa"/>
            <w:tcBorders>
              <w:top w:val="nil"/>
              <w:left w:val="single" w:sz="8" w:space="0" w:color="auto"/>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37,23,267</w:t>
            </w:r>
          </w:p>
        </w:tc>
        <w:tc>
          <w:tcPr>
            <w:tcW w:w="1100"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NA</w:t>
            </w:r>
          </w:p>
        </w:tc>
        <w:tc>
          <w:tcPr>
            <w:tcW w:w="1100"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3,05,192</w:t>
            </w:r>
          </w:p>
        </w:tc>
        <w:tc>
          <w:tcPr>
            <w:tcW w:w="1121"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NA</w:t>
            </w:r>
          </w:p>
        </w:tc>
        <w:tc>
          <w:tcPr>
            <w:tcW w:w="1099"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NA</w:t>
            </w:r>
          </w:p>
        </w:tc>
        <w:tc>
          <w:tcPr>
            <w:tcW w:w="1100"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NA</w:t>
            </w:r>
          </w:p>
        </w:tc>
      </w:tr>
      <w:tr w:rsidR="000F236F" w:rsidTr="00DB5405">
        <w:trPr>
          <w:trHeight w:val="248"/>
        </w:trPr>
        <w:tc>
          <w:tcPr>
            <w:tcW w:w="3539" w:type="dxa"/>
            <w:tcBorders>
              <w:top w:val="nil"/>
              <w:left w:val="single" w:sz="4" w:space="0" w:color="auto"/>
              <w:bottom w:val="nil"/>
              <w:right w:val="nil"/>
            </w:tcBorders>
            <w:shd w:val="clear" w:color="000000" w:fill="B4C6E7"/>
            <w:vAlign w:val="center"/>
            <w:hideMark/>
          </w:tcPr>
          <w:p w:rsidR="000F236F" w:rsidRDefault="000F236F" w:rsidP="00DB5405">
            <w:pPr>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ASX Australian Securities Exchange</w:t>
            </w:r>
          </w:p>
        </w:tc>
        <w:tc>
          <w:tcPr>
            <w:tcW w:w="1111" w:type="dxa"/>
            <w:tcBorders>
              <w:top w:val="nil"/>
              <w:left w:val="single" w:sz="8" w:space="0" w:color="auto"/>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8,84,850</w:t>
            </w:r>
          </w:p>
        </w:tc>
        <w:tc>
          <w:tcPr>
            <w:tcW w:w="1100"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98,013</w:t>
            </w:r>
          </w:p>
        </w:tc>
        <w:tc>
          <w:tcPr>
            <w:tcW w:w="1100"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3,31,394</w:t>
            </w:r>
          </w:p>
        </w:tc>
        <w:tc>
          <w:tcPr>
            <w:tcW w:w="1121"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4,68,833</w:t>
            </w:r>
          </w:p>
        </w:tc>
        <w:tc>
          <w:tcPr>
            <w:tcW w:w="1099"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20,839</w:t>
            </w:r>
          </w:p>
        </w:tc>
        <w:tc>
          <w:tcPr>
            <w:tcW w:w="1100"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7,23,359</w:t>
            </w:r>
          </w:p>
        </w:tc>
      </w:tr>
      <w:tr w:rsidR="000F236F" w:rsidTr="00DB5405">
        <w:trPr>
          <w:trHeight w:val="248"/>
        </w:trPr>
        <w:tc>
          <w:tcPr>
            <w:tcW w:w="3539" w:type="dxa"/>
            <w:tcBorders>
              <w:top w:val="nil"/>
              <w:left w:val="single" w:sz="4" w:space="0" w:color="auto"/>
              <w:bottom w:val="nil"/>
              <w:right w:val="nil"/>
            </w:tcBorders>
            <w:shd w:val="clear" w:color="000000" w:fill="B4C6E7"/>
            <w:vAlign w:val="center"/>
            <w:hideMark/>
          </w:tcPr>
          <w:p w:rsidR="000F236F" w:rsidRDefault="000F236F" w:rsidP="00DB5405">
            <w:pPr>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Hong Kong Exchanges and Clearing</w:t>
            </w:r>
          </w:p>
        </w:tc>
        <w:tc>
          <w:tcPr>
            <w:tcW w:w="1111" w:type="dxa"/>
            <w:tcBorders>
              <w:top w:val="nil"/>
              <w:left w:val="single" w:sz="8" w:space="0" w:color="auto"/>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86,90,367</w:t>
            </w:r>
          </w:p>
        </w:tc>
        <w:tc>
          <w:tcPr>
            <w:tcW w:w="1100"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7,87,992</w:t>
            </w:r>
          </w:p>
        </w:tc>
        <w:tc>
          <w:tcPr>
            <w:tcW w:w="1100"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6,10,088</w:t>
            </w:r>
          </w:p>
        </w:tc>
        <w:tc>
          <w:tcPr>
            <w:tcW w:w="1121"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23,73,594</w:t>
            </w:r>
          </w:p>
        </w:tc>
        <w:tc>
          <w:tcPr>
            <w:tcW w:w="1099"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1,65,333</w:t>
            </w:r>
          </w:p>
        </w:tc>
        <w:tc>
          <w:tcPr>
            <w:tcW w:w="1100"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29,39,286</w:t>
            </w:r>
          </w:p>
        </w:tc>
      </w:tr>
      <w:tr w:rsidR="000F236F" w:rsidTr="00DB5405">
        <w:trPr>
          <w:trHeight w:val="248"/>
        </w:trPr>
        <w:tc>
          <w:tcPr>
            <w:tcW w:w="3539" w:type="dxa"/>
            <w:tcBorders>
              <w:top w:val="nil"/>
              <w:left w:val="single" w:sz="4" w:space="0" w:color="auto"/>
              <w:bottom w:val="nil"/>
              <w:right w:val="nil"/>
            </w:tcBorders>
            <w:shd w:val="clear" w:color="000000" w:fill="B4C6E7"/>
            <w:vAlign w:val="center"/>
            <w:hideMark/>
          </w:tcPr>
          <w:p w:rsidR="000F236F" w:rsidRDefault="000F236F" w:rsidP="00DB5405">
            <w:pPr>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Japan Exchange Group</w:t>
            </w:r>
          </w:p>
        </w:tc>
        <w:tc>
          <w:tcPr>
            <w:tcW w:w="1111" w:type="dxa"/>
            <w:tcBorders>
              <w:top w:val="nil"/>
              <w:left w:val="single" w:sz="8" w:space="0" w:color="auto"/>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2,33,45,306</w:t>
            </w:r>
          </w:p>
        </w:tc>
        <w:tc>
          <w:tcPr>
            <w:tcW w:w="1100"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9,12,474</w:t>
            </w:r>
          </w:p>
        </w:tc>
        <w:tc>
          <w:tcPr>
            <w:tcW w:w="1100"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20,18,382</w:t>
            </w:r>
          </w:p>
        </w:tc>
        <w:tc>
          <w:tcPr>
            <w:tcW w:w="1121"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2,85,575</w:t>
            </w:r>
          </w:p>
        </w:tc>
        <w:tc>
          <w:tcPr>
            <w:tcW w:w="1099"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NA</w:t>
            </w:r>
          </w:p>
        </w:tc>
        <w:tc>
          <w:tcPr>
            <w:tcW w:w="1100"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67,789</w:t>
            </w:r>
          </w:p>
        </w:tc>
      </w:tr>
      <w:tr w:rsidR="000F236F" w:rsidTr="00DB5405">
        <w:trPr>
          <w:trHeight w:val="248"/>
        </w:trPr>
        <w:tc>
          <w:tcPr>
            <w:tcW w:w="3539" w:type="dxa"/>
            <w:tcBorders>
              <w:top w:val="nil"/>
              <w:left w:val="single" w:sz="4" w:space="0" w:color="auto"/>
              <w:bottom w:val="nil"/>
              <w:right w:val="nil"/>
            </w:tcBorders>
            <w:shd w:val="clear" w:color="000000" w:fill="B4C6E7"/>
            <w:vAlign w:val="center"/>
            <w:hideMark/>
          </w:tcPr>
          <w:p w:rsidR="000F236F" w:rsidRDefault="000F236F" w:rsidP="00DB5405">
            <w:pPr>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Korea Exchange</w:t>
            </w:r>
          </w:p>
        </w:tc>
        <w:tc>
          <w:tcPr>
            <w:tcW w:w="1111" w:type="dxa"/>
            <w:tcBorders>
              <w:top w:val="nil"/>
              <w:left w:val="single" w:sz="8" w:space="0" w:color="auto"/>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1,07,99,123</w:t>
            </w:r>
          </w:p>
        </w:tc>
        <w:tc>
          <w:tcPr>
            <w:tcW w:w="1100"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4,56,071</w:t>
            </w:r>
          </w:p>
        </w:tc>
        <w:tc>
          <w:tcPr>
            <w:tcW w:w="1100"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7,51,926</w:t>
            </w:r>
          </w:p>
        </w:tc>
        <w:tc>
          <w:tcPr>
            <w:tcW w:w="1121"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19,70,378</w:t>
            </w:r>
          </w:p>
        </w:tc>
        <w:tc>
          <w:tcPr>
            <w:tcW w:w="1099"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26,152</w:t>
            </w:r>
          </w:p>
        </w:tc>
        <w:tc>
          <w:tcPr>
            <w:tcW w:w="1100"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23,63,941</w:t>
            </w:r>
          </w:p>
        </w:tc>
      </w:tr>
      <w:tr w:rsidR="000F236F" w:rsidTr="00DB5405">
        <w:trPr>
          <w:trHeight w:val="248"/>
        </w:trPr>
        <w:tc>
          <w:tcPr>
            <w:tcW w:w="3539" w:type="dxa"/>
            <w:tcBorders>
              <w:top w:val="nil"/>
              <w:left w:val="single" w:sz="4" w:space="0" w:color="auto"/>
              <w:bottom w:val="nil"/>
              <w:right w:val="nil"/>
            </w:tcBorders>
            <w:shd w:val="clear" w:color="000000" w:fill="B4C6E7"/>
            <w:vAlign w:val="center"/>
            <w:hideMark/>
          </w:tcPr>
          <w:p w:rsidR="000F236F" w:rsidRDefault="000F236F" w:rsidP="00DB5405">
            <w:pPr>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National Stock Exchange of India</w:t>
            </w:r>
          </w:p>
        </w:tc>
        <w:tc>
          <w:tcPr>
            <w:tcW w:w="1111" w:type="dxa"/>
            <w:tcBorders>
              <w:top w:val="nil"/>
              <w:left w:val="single" w:sz="8" w:space="0" w:color="auto"/>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92,11,071</w:t>
            </w:r>
          </w:p>
        </w:tc>
        <w:tc>
          <w:tcPr>
            <w:tcW w:w="1100"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84,796</w:t>
            </w:r>
          </w:p>
        </w:tc>
        <w:tc>
          <w:tcPr>
            <w:tcW w:w="1100"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2,18,651</w:t>
            </w:r>
          </w:p>
        </w:tc>
        <w:tc>
          <w:tcPr>
            <w:tcW w:w="1121"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52,17,31,380</w:t>
            </w:r>
          </w:p>
        </w:tc>
        <w:tc>
          <w:tcPr>
            <w:tcW w:w="1099"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48,28,924</w:t>
            </w:r>
          </w:p>
        </w:tc>
        <w:tc>
          <w:tcPr>
            <w:tcW w:w="1100"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23,34,223</w:t>
            </w:r>
          </w:p>
        </w:tc>
      </w:tr>
      <w:tr w:rsidR="000F236F" w:rsidTr="00DB5405">
        <w:trPr>
          <w:trHeight w:val="248"/>
        </w:trPr>
        <w:tc>
          <w:tcPr>
            <w:tcW w:w="3539" w:type="dxa"/>
            <w:tcBorders>
              <w:top w:val="nil"/>
              <w:left w:val="single" w:sz="4" w:space="0" w:color="auto"/>
              <w:bottom w:val="nil"/>
              <w:right w:val="nil"/>
            </w:tcBorders>
            <w:shd w:val="clear" w:color="000000" w:fill="B4C6E7"/>
            <w:vAlign w:val="center"/>
            <w:hideMark/>
          </w:tcPr>
          <w:p w:rsidR="000F236F" w:rsidRDefault="000F236F" w:rsidP="00DB5405">
            <w:pPr>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Singapore Exchange</w:t>
            </w:r>
          </w:p>
        </w:tc>
        <w:tc>
          <w:tcPr>
            <w:tcW w:w="1111" w:type="dxa"/>
            <w:tcBorders>
              <w:top w:val="nil"/>
              <w:left w:val="single" w:sz="8" w:space="0" w:color="auto"/>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1,49,05,430</w:t>
            </w:r>
          </w:p>
        </w:tc>
        <w:tc>
          <w:tcPr>
            <w:tcW w:w="1100"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NA</w:t>
            </w:r>
          </w:p>
        </w:tc>
        <w:tc>
          <w:tcPr>
            <w:tcW w:w="1100"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17,46,885</w:t>
            </w:r>
          </w:p>
        </w:tc>
        <w:tc>
          <w:tcPr>
            <w:tcW w:w="1121"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5,04,305</w:t>
            </w:r>
          </w:p>
        </w:tc>
        <w:tc>
          <w:tcPr>
            <w:tcW w:w="1099"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NA</w:t>
            </w:r>
          </w:p>
        </w:tc>
        <w:tc>
          <w:tcPr>
            <w:tcW w:w="1100"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19,78,361</w:t>
            </w:r>
          </w:p>
        </w:tc>
      </w:tr>
      <w:tr w:rsidR="000F236F" w:rsidTr="00DB5405">
        <w:trPr>
          <w:trHeight w:val="248"/>
        </w:trPr>
        <w:tc>
          <w:tcPr>
            <w:tcW w:w="3539" w:type="dxa"/>
            <w:tcBorders>
              <w:top w:val="nil"/>
              <w:left w:val="single" w:sz="4" w:space="0" w:color="auto"/>
              <w:bottom w:val="nil"/>
              <w:right w:val="nil"/>
            </w:tcBorders>
            <w:shd w:val="clear" w:color="000000" w:fill="B4C6E7"/>
            <w:vAlign w:val="center"/>
            <w:hideMark/>
          </w:tcPr>
          <w:p w:rsidR="000F236F" w:rsidRDefault="000F236F" w:rsidP="00DB5405">
            <w:pPr>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Taiwan Futures Exchange</w:t>
            </w:r>
          </w:p>
        </w:tc>
        <w:tc>
          <w:tcPr>
            <w:tcW w:w="1111" w:type="dxa"/>
            <w:tcBorders>
              <w:top w:val="nil"/>
              <w:left w:val="single" w:sz="8" w:space="0" w:color="auto"/>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86,08,491</w:t>
            </w:r>
          </w:p>
        </w:tc>
        <w:tc>
          <w:tcPr>
            <w:tcW w:w="1100"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4,23,447</w:t>
            </w:r>
          </w:p>
        </w:tc>
        <w:tc>
          <w:tcPr>
            <w:tcW w:w="1100"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1,63,116</w:t>
            </w:r>
          </w:p>
        </w:tc>
        <w:tc>
          <w:tcPr>
            <w:tcW w:w="1121"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1,55,13,230</w:t>
            </w:r>
          </w:p>
        </w:tc>
        <w:tc>
          <w:tcPr>
            <w:tcW w:w="1099"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3,36,158</w:t>
            </w:r>
          </w:p>
        </w:tc>
        <w:tc>
          <w:tcPr>
            <w:tcW w:w="1100"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5,32,925</w:t>
            </w:r>
          </w:p>
        </w:tc>
      </w:tr>
      <w:tr w:rsidR="000F236F" w:rsidTr="00DB5405">
        <w:trPr>
          <w:trHeight w:val="248"/>
        </w:trPr>
        <w:tc>
          <w:tcPr>
            <w:tcW w:w="3539" w:type="dxa"/>
            <w:tcBorders>
              <w:top w:val="nil"/>
              <w:left w:val="single" w:sz="4" w:space="0" w:color="auto"/>
              <w:bottom w:val="nil"/>
              <w:right w:val="nil"/>
            </w:tcBorders>
            <w:shd w:val="clear" w:color="000000" w:fill="B4C6E7"/>
            <w:vAlign w:val="center"/>
            <w:hideMark/>
          </w:tcPr>
          <w:p w:rsidR="000F236F" w:rsidRDefault="000F236F" w:rsidP="00DB5405">
            <w:pPr>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Thailand Futures Exchange</w:t>
            </w:r>
          </w:p>
        </w:tc>
        <w:tc>
          <w:tcPr>
            <w:tcW w:w="1111" w:type="dxa"/>
            <w:tcBorders>
              <w:top w:val="nil"/>
              <w:left w:val="single" w:sz="8" w:space="0" w:color="auto"/>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35,61,665</w:t>
            </w:r>
          </w:p>
        </w:tc>
        <w:tc>
          <w:tcPr>
            <w:tcW w:w="1100"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NA</w:t>
            </w:r>
          </w:p>
        </w:tc>
        <w:tc>
          <w:tcPr>
            <w:tcW w:w="1100"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3,92,260</w:t>
            </w:r>
          </w:p>
        </w:tc>
        <w:tc>
          <w:tcPr>
            <w:tcW w:w="1121"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1,06,511</w:t>
            </w:r>
          </w:p>
        </w:tc>
        <w:tc>
          <w:tcPr>
            <w:tcW w:w="1099"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NA</w:t>
            </w:r>
          </w:p>
        </w:tc>
        <w:tc>
          <w:tcPr>
            <w:tcW w:w="1100"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60,755</w:t>
            </w:r>
          </w:p>
        </w:tc>
      </w:tr>
      <w:tr w:rsidR="000F236F" w:rsidTr="00DB5405">
        <w:trPr>
          <w:trHeight w:val="248"/>
        </w:trPr>
        <w:tc>
          <w:tcPr>
            <w:tcW w:w="3539" w:type="dxa"/>
            <w:tcBorders>
              <w:top w:val="nil"/>
              <w:left w:val="single" w:sz="4" w:space="0" w:color="auto"/>
              <w:bottom w:val="nil"/>
              <w:right w:val="nil"/>
            </w:tcBorders>
            <w:shd w:val="clear" w:color="000000" w:fill="B4C6E7"/>
            <w:vAlign w:val="center"/>
            <w:hideMark/>
          </w:tcPr>
          <w:p w:rsidR="000F236F" w:rsidRDefault="000F236F" w:rsidP="00DB5405">
            <w:pPr>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Bursa Malaysia Derivatives</w:t>
            </w:r>
          </w:p>
        </w:tc>
        <w:tc>
          <w:tcPr>
            <w:tcW w:w="1111" w:type="dxa"/>
            <w:tcBorders>
              <w:top w:val="nil"/>
              <w:left w:val="single" w:sz="8" w:space="0" w:color="auto"/>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2,57,763</w:t>
            </w:r>
          </w:p>
        </w:tc>
        <w:tc>
          <w:tcPr>
            <w:tcW w:w="1100"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4,830</w:t>
            </w:r>
          </w:p>
        </w:tc>
        <w:tc>
          <w:tcPr>
            <w:tcW w:w="1100"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28,014</w:t>
            </w:r>
          </w:p>
        </w:tc>
        <w:tc>
          <w:tcPr>
            <w:tcW w:w="1121"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627</w:t>
            </w:r>
          </w:p>
        </w:tc>
        <w:tc>
          <w:tcPr>
            <w:tcW w:w="1099"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0</w:t>
            </w:r>
          </w:p>
        </w:tc>
        <w:tc>
          <w:tcPr>
            <w:tcW w:w="1100"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168</w:t>
            </w:r>
          </w:p>
        </w:tc>
      </w:tr>
      <w:tr w:rsidR="000F236F" w:rsidTr="00DB5405">
        <w:trPr>
          <w:trHeight w:val="248"/>
        </w:trPr>
        <w:tc>
          <w:tcPr>
            <w:tcW w:w="3539" w:type="dxa"/>
            <w:tcBorders>
              <w:top w:val="nil"/>
              <w:left w:val="single" w:sz="4" w:space="0" w:color="auto"/>
              <w:bottom w:val="nil"/>
              <w:right w:val="nil"/>
            </w:tcBorders>
            <w:shd w:val="clear" w:color="000000" w:fill="B4C6E7"/>
            <w:vAlign w:val="center"/>
            <w:hideMark/>
          </w:tcPr>
          <w:p w:rsidR="000F236F" w:rsidRDefault="000F236F" w:rsidP="00DB5405">
            <w:pPr>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China Financial Futures Exchange</w:t>
            </w:r>
          </w:p>
        </w:tc>
        <w:tc>
          <w:tcPr>
            <w:tcW w:w="1111" w:type="dxa"/>
            <w:tcBorders>
              <w:top w:val="nil"/>
              <w:left w:val="single" w:sz="8" w:space="0" w:color="auto"/>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76,07,643</w:t>
            </w:r>
          </w:p>
        </w:tc>
        <w:tc>
          <w:tcPr>
            <w:tcW w:w="1100"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14,42,807</w:t>
            </w:r>
          </w:p>
        </w:tc>
        <w:tc>
          <w:tcPr>
            <w:tcW w:w="1100"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4,71,572</w:t>
            </w:r>
          </w:p>
        </w:tc>
        <w:tc>
          <w:tcPr>
            <w:tcW w:w="1121"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19,85,134</w:t>
            </w:r>
          </w:p>
        </w:tc>
        <w:tc>
          <w:tcPr>
            <w:tcW w:w="1099"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2,513</w:t>
            </w:r>
          </w:p>
        </w:tc>
        <w:tc>
          <w:tcPr>
            <w:tcW w:w="1100"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1,24,610</w:t>
            </w:r>
          </w:p>
        </w:tc>
      </w:tr>
      <w:tr w:rsidR="000F236F" w:rsidTr="00DB5405">
        <w:trPr>
          <w:trHeight w:val="248"/>
        </w:trPr>
        <w:tc>
          <w:tcPr>
            <w:tcW w:w="3539" w:type="dxa"/>
            <w:tcBorders>
              <w:top w:val="nil"/>
              <w:left w:val="single" w:sz="4" w:space="0" w:color="auto"/>
              <w:bottom w:val="nil"/>
              <w:right w:val="nil"/>
            </w:tcBorders>
            <w:shd w:val="clear" w:color="000000" w:fill="B4C6E7"/>
            <w:vAlign w:val="center"/>
            <w:hideMark/>
          </w:tcPr>
          <w:p w:rsidR="000F236F" w:rsidRDefault="000F236F" w:rsidP="00DB5405">
            <w:pPr>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Athens Stock Exchange</w:t>
            </w:r>
          </w:p>
        </w:tc>
        <w:tc>
          <w:tcPr>
            <w:tcW w:w="1111" w:type="dxa"/>
            <w:tcBorders>
              <w:top w:val="nil"/>
              <w:left w:val="single" w:sz="8" w:space="0" w:color="auto"/>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18,753</w:t>
            </w:r>
          </w:p>
        </w:tc>
        <w:tc>
          <w:tcPr>
            <w:tcW w:w="1100"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68</w:t>
            </w:r>
          </w:p>
        </w:tc>
        <w:tc>
          <w:tcPr>
            <w:tcW w:w="1100"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3,389</w:t>
            </w:r>
          </w:p>
        </w:tc>
        <w:tc>
          <w:tcPr>
            <w:tcW w:w="1121"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2,066</w:t>
            </w:r>
          </w:p>
        </w:tc>
        <w:tc>
          <w:tcPr>
            <w:tcW w:w="1099"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8</w:t>
            </w:r>
          </w:p>
        </w:tc>
        <w:tc>
          <w:tcPr>
            <w:tcW w:w="1100"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1,150</w:t>
            </w:r>
          </w:p>
        </w:tc>
      </w:tr>
      <w:tr w:rsidR="000F236F" w:rsidTr="00DB5405">
        <w:trPr>
          <w:trHeight w:val="248"/>
        </w:trPr>
        <w:tc>
          <w:tcPr>
            <w:tcW w:w="3539" w:type="dxa"/>
            <w:tcBorders>
              <w:top w:val="nil"/>
              <w:left w:val="single" w:sz="4" w:space="0" w:color="auto"/>
              <w:bottom w:val="nil"/>
              <w:right w:val="nil"/>
            </w:tcBorders>
            <w:shd w:val="clear" w:color="000000" w:fill="B4C6E7"/>
            <w:vAlign w:val="center"/>
            <w:hideMark/>
          </w:tcPr>
          <w:p w:rsidR="000F236F" w:rsidRDefault="000F236F" w:rsidP="00DB5405">
            <w:pPr>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BME Spanish Exchanges</w:t>
            </w:r>
          </w:p>
        </w:tc>
        <w:tc>
          <w:tcPr>
            <w:tcW w:w="1111" w:type="dxa"/>
            <w:tcBorders>
              <w:top w:val="nil"/>
              <w:left w:val="single" w:sz="8" w:space="0" w:color="auto"/>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4,84,078</w:t>
            </w:r>
          </w:p>
        </w:tc>
        <w:tc>
          <w:tcPr>
            <w:tcW w:w="1100"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33,951</w:t>
            </w:r>
          </w:p>
        </w:tc>
        <w:tc>
          <w:tcPr>
            <w:tcW w:w="1100"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1,11,516</w:t>
            </w:r>
          </w:p>
        </w:tc>
        <w:tc>
          <w:tcPr>
            <w:tcW w:w="1121"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47,137</w:t>
            </w:r>
          </w:p>
        </w:tc>
        <w:tc>
          <w:tcPr>
            <w:tcW w:w="1099"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394</w:t>
            </w:r>
          </w:p>
        </w:tc>
        <w:tc>
          <w:tcPr>
            <w:tcW w:w="1100"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6,23,387</w:t>
            </w:r>
          </w:p>
        </w:tc>
      </w:tr>
      <w:tr w:rsidR="000F236F" w:rsidTr="00DB5405">
        <w:trPr>
          <w:trHeight w:val="248"/>
        </w:trPr>
        <w:tc>
          <w:tcPr>
            <w:tcW w:w="3539" w:type="dxa"/>
            <w:tcBorders>
              <w:top w:val="nil"/>
              <w:left w:val="single" w:sz="4" w:space="0" w:color="auto"/>
              <w:bottom w:val="nil"/>
              <w:right w:val="nil"/>
            </w:tcBorders>
            <w:shd w:val="clear" w:color="000000" w:fill="B4C6E7"/>
            <w:vAlign w:val="center"/>
            <w:hideMark/>
          </w:tcPr>
          <w:p w:rsidR="000F236F" w:rsidRDefault="000F236F" w:rsidP="00DB5405">
            <w:pPr>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Borsa Istanbul</w:t>
            </w:r>
          </w:p>
        </w:tc>
        <w:tc>
          <w:tcPr>
            <w:tcW w:w="1111" w:type="dxa"/>
            <w:tcBorders>
              <w:top w:val="nil"/>
              <w:left w:val="single" w:sz="8" w:space="0" w:color="auto"/>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95,54,572</w:t>
            </w:r>
          </w:p>
        </w:tc>
        <w:tc>
          <w:tcPr>
            <w:tcW w:w="1100"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16,091</w:t>
            </w:r>
          </w:p>
        </w:tc>
        <w:tc>
          <w:tcPr>
            <w:tcW w:w="1100"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4,47,820</w:t>
            </w:r>
          </w:p>
        </w:tc>
        <w:tc>
          <w:tcPr>
            <w:tcW w:w="1121"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31,003</w:t>
            </w:r>
          </w:p>
        </w:tc>
        <w:tc>
          <w:tcPr>
            <w:tcW w:w="1099"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53</w:t>
            </w:r>
          </w:p>
        </w:tc>
        <w:tc>
          <w:tcPr>
            <w:tcW w:w="1100"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25,503</w:t>
            </w:r>
          </w:p>
        </w:tc>
      </w:tr>
      <w:tr w:rsidR="000F236F" w:rsidTr="00DB5405">
        <w:trPr>
          <w:trHeight w:val="248"/>
        </w:trPr>
        <w:tc>
          <w:tcPr>
            <w:tcW w:w="3539" w:type="dxa"/>
            <w:tcBorders>
              <w:top w:val="nil"/>
              <w:left w:val="single" w:sz="4" w:space="0" w:color="auto"/>
              <w:bottom w:val="nil"/>
              <w:right w:val="nil"/>
            </w:tcBorders>
            <w:shd w:val="clear" w:color="000000" w:fill="B4C6E7"/>
            <w:vAlign w:val="center"/>
            <w:hideMark/>
          </w:tcPr>
          <w:p w:rsidR="000F236F" w:rsidRDefault="000F236F" w:rsidP="00DB5405">
            <w:pPr>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Budapest Stock Exchange</w:t>
            </w:r>
          </w:p>
        </w:tc>
        <w:tc>
          <w:tcPr>
            <w:tcW w:w="1111" w:type="dxa"/>
            <w:tcBorders>
              <w:top w:val="nil"/>
              <w:left w:val="single" w:sz="8" w:space="0" w:color="auto"/>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30,493</w:t>
            </w:r>
          </w:p>
        </w:tc>
        <w:tc>
          <w:tcPr>
            <w:tcW w:w="1100"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36</w:t>
            </w:r>
          </w:p>
        </w:tc>
        <w:tc>
          <w:tcPr>
            <w:tcW w:w="1100"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18,540</w:t>
            </w:r>
          </w:p>
        </w:tc>
        <w:tc>
          <w:tcPr>
            <w:tcW w:w="1121"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0</w:t>
            </w:r>
          </w:p>
        </w:tc>
        <w:tc>
          <w:tcPr>
            <w:tcW w:w="1099"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0</w:t>
            </w:r>
          </w:p>
        </w:tc>
        <w:tc>
          <w:tcPr>
            <w:tcW w:w="1100"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0</w:t>
            </w:r>
          </w:p>
        </w:tc>
      </w:tr>
      <w:tr w:rsidR="000F236F" w:rsidTr="00DB5405">
        <w:trPr>
          <w:trHeight w:val="248"/>
        </w:trPr>
        <w:tc>
          <w:tcPr>
            <w:tcW w:w="3539" w:type="dxa"/>
            <w:tcBorders>
              <w:top w:val="nil"/>
              <w:left w:val="single" w:sz="4" w:space="0" w:color="auto"/>
              <w:bottom w:val="nil"/>
              <w:right w:val="nil"/>
            </w:tcBorders>
            <w:shd w:val="clear" w:color="000000" w:fill="B4C6E7"/>
            <w:vAlign w:val="center"/>
            <w:hideMark/>
          </w:tcPr>
          <w:p w:rsidR="000F236F" w:rsidRDefault="000F236F" w:rsidP="00DB5405">
            <w:pPr>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Deutsche Boerse AG</w:t>
            </w:r>
          </w:p>
        </w:tc>
        <w:tc>
          <w:tcPr>
            <w:tcW w:w="1111" w:type="dxa"/>
            <w:tcBorders>
              <w:top w:val="nil"/>
              <w:left w:val="single" w:sz="8" w:space="0" w:color="auto"/>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2,46,43,513</w:t>
            </w:r>
          </w:p>
        </w:tc>
        <w:tc>
          <w:tcPr>
            <w:tcW w:w="1100"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13,70,962</w:t>
            </w:r>
          </w:p>
        </w:tc>
        <w:tc>
          <w:tcPr>
            <w:tcW w:w="1100"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1,08,74,272</w:t>
            </w:r>
          </w:p>
        </w:tc>
        <w:tc>
          <w:tcPr>
            <w:tcW w:w="1121"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2,03,15,532</w:t>
            </w:r>
          </w:p>
        </w:tc>
        <w:tc>
          <w:tcPr>
            <w:tcW w:w="1099"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7,54,906</w:t>
            </w:r>
          </w:p>
        </w:tc>
        <w:tc>
          <w:tcPr>
            <w:tcW w:w="1100"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5,42,43,289</w:t>
            </w:r>
          </w:p>
        </w:tc>
      </w:tr>
      <w:tr w:rsidR="000F236F" w:rsidTr="00DB5405">
        <w:trPr>
          <w:trHeight w:val="248"/>
        </w:trPr>
        <w:tc>
          <w:tcPr>
            <w:tcW w:w="3539" w:type="dxa"/>
            <w:tcBorders>
              <w:top w:val="nil"/>
              <w:left w:val="single" w:sz="4" w:space="0" w:color="auto"/>
              <w:bottom w:val="nil"/>
              <w:right w:val="nil"/>
            </w:tcBorders>
            <w:shd w:val="clear" w:color="000000" w:fill="B4C6E7"/>
            <w:vAlign w:val="center"/>
            <w:hideMark/>
          </w:tcPr>
          <w:p w:rsidR="000F236F" w:rsidRDefault="000F236F" w:rsidP="00DB5405">
            <w:pPr>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Euronext</w:t>
            </w:r>
          </w:p>
        </w:tc>
        <w:tc>
          <w:tcPr>
            <w:tcW w:w="1111" w:type="dxa"/>
            <w:tcBorders>
              <w:top w:val="nil"/>
              <w:left w:val="single" w:sz="8" w:space="0" w:color="auto"/>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NA</w:t>
            </w:r>
          </w:p>
        </w:tc>
        <w:tc>
          <w:tcPr>
            <w:tcW w:w="1100"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NA</w:t>
            </w:r>
          </w:p>
        </w:tc>
        <w:tc>
          <w:tcPr>
            <w:tcW w:w="1100"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NA</w:t>
            </w:r>
          </w:p>
        </w:tc>
        <w:tc>
          <w:tcPr>
            <w:tcW w:w="1121"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NA</w:t>
            </w:r>
          </w:p>
        </w:tc>
        <w:tc>
          <w:tcPr>
            <w:tcW w:w="1099"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NA</w:t>
            </w:r>
          </w:p>
        </w:tc>
        <w:tc>
          <w:tcPr>
            <w:tcW w:w="1100"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NA</w:t>
            </w:r>
          </w:p>
        </w:tc>
      </w:tr>
      <w:tr w:rsidR="000F236F" w:rsidTr="00DB5405">
        <w:trPr>
          <w:trHeight w:val="248"/>
        </w:trPr>
        <w:tc>
          <w:tcPr>
            <w:tcW w:w="3539" w:type="dxa"/>
            <w:tcBorders>
              <w:top w:val="nil"/>
              <w:left w:val="single" w:sz="4" w:space="0" w:color="auto"/>
              <w:bottom w:val="nil"/>
              <w:right w:val="nil"/>
            </w:tcBorders>
            <w:shd w:val="clear" w:color="000000" w:fill="B4C6E7"/>
            <w:vAlign w:val="center"/>
            <w:hideMark/>
          </w:tcPr>
          <w:p w:rsidR="000F236F" w:rsidRDefault="000F236F" w:rsidP="00DB5405">
            <w:pPr>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Moscow Exchange</w:t>
            </w:r>
          </w:p>
        </w:tc>
        <w:tc>
          <w:tcPr>
            <w:tcW w:w="1111" w:type="dxa"/>
            <w:tcBorders>
              <w:top w:val="nil"/>
              <w:left w:val="single" w:sz="8" w:space="0" w:color="auto"/>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1,14,25,265</w:t>
            </w:r>
          </w:p>
        </w:tc>
        <w:tc>
          <w:tcPr>
            <w:tcW w:w="1100"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28,677</w:t>
            </w:r>
          </w:p>
        </w:tc>
        <w:tc>
          <w:tcPr>
            <w:tcW w:w="1100"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6,69,596</w:t>
            </w:r>
          </w:p>
        </w:tc>
        <w:tc>
          <w:tcPr>
            <w:tcW w:w="1121"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12,13,170</w:t>
            </w:r>
          </w:p>
        </w:tc>
        <w:tc>
          <w:tcPr>
            <w:tcW w:w="1099"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3,069</w:t>
            </w:r>
          </w:p>
        </w:tc>
        <w:tc>
          <w:tcPr>
            <w:tcW w:w="1100"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4,13,232</w:t>
            </w:r>
          </w:p>
        </w:tc>
      </w:tr>
      <w:tr w:rsidR="000F236F" w:rsidTr="00DB5405">
        <w:trPr>
          <w:trHeight w:val="248"/>
        </w:trPr>
        <w:tc>
          <w:tcPr>
            <w:tcW w:w="3539" w:type="dxa"/>
            <w:tcBorders>
              <w:top w:val="nil"/>
              <w:left w:val="single" w:sz="4" w:space="0" w:color="auto"/>
              <w:bottom w:val="nil"/>
              <w:right w:val="nil"/>
            </w:tcBorders>
            <w:shd w:val="clear" w:color="000000" w:fill="B4C6E7"/>
            <w:vAlign w:val="center"/>
            <w:hideMark/>
          </w:tcPr>
          <w:p w:rsidR="000F236F" w:rsidRDefault="000F236F" w:rsidP="00DB5405">
            <w:pPr>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Nasdaq Nordic and Baltics</w:t>
            </w:r>
          </w:p>
        </w:tc>
        <w:tc>
          <w:tcPr>
            <w:tcW w:w="1111" w:type="dxa"/>
            <w:tcBorders>
              <w:top w:val="nil"/>
              <w:left w:val="single" w:sz="8" w:space="0" w:color="auto"/>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28,18,093</w:t>
            </w:r>
          </w:p>
        </w:tc>
        <w:tc>
          <w:tcPr>
            <w:tcW w:w="1100"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56,852</w:t>
            </w:r>
          </w:p>
        </w:tc>
        <w:tc>
          <w:tcPr>
            <w:tcW w:w="1100"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4,61,011</w:t>
            </w:r>
          </w:p>
        </w:tc>
        <w:tc>
          <w:tcPr>
            <w:tcW w:w="1121"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3,93,967</w:t>
            </w:r>
          </w:p>
        </w:tc>
        <w:tc>
          <w:tcPr>
            <w:tcW w:w="1099"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8,013</w:t>
            </w:r>
          </w:p>
        </w:tc>
        <w:tc>
          <w:tcPr>
            <w:tcW w:w="1100"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6,06,317</w:t>
            </w:r>
          </w:p>
        </w:tc>
      </w:tr>
      <w:tr w:rsidR="000F236F" w:rsidTr="00DB5405">
        <w:trPr>
          <w:trHeight w:val="248"/>
        </w:trPr>
        <w:tc>
          <w:tcPr>
            <w:tcW w:w="3539" w:type="dxa"/>
            <w:tcBorders>
              <w:top w:val="nil"/>
              <w:left w:val="single" w:sz="4" w:space="0" w:color="auto"/>
              <w:bottom w:val="nil"/>
              <w:right w:val="nil"/>
            </w:tcBorders>
            <w:shd w:val="clear" w:color="000000" w:fill="B4C6E7"/>
            <w:vAlign w:val="center"/>
            <w:hideMark/>
          </w:tcPr>
          <w:p w:rsidR="000F236F" w:rsidRDefault="000F236F" w:rsidP="00DB5405">
            <w:pPr>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Tel-Aviv Stock Exchange</w:t>
            </w:r>
          </w:p>
        </w:tc>
        <w:tc>
          <w:tcPr>
            <w:tcW w:w="1111" w:type="dxa"/>
            <w:tcBorders>
              <w:top w:val="nil"/>
              <w:left w:val="single" w:sz="8" w:space="0" w:color="auto"/>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NA</w:t>
            </w:r>
          </w:p>
        </w:tc>
        <w:tc>
          <w:tcPr>
            <w:tcW w:w="1100"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NA</w:t>
            </w:r>
          </w:p>
        </w:tc>
        <w:tc>
          <w:tcPr>
            <w:tcW w:w="1100"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NA</w:t>
            </w:r>
          </w:p>
        </w:tc>
        <w:tc>
          <w:tcPr>
            <w:tcW w:w="1121"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18,85,441</w:t>
            </w:r>
          </w:p>
        </w:tc>
        <w:tc>
          <w:tcPr>
            <w:tcW w:w="1099"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79,337</w:t>
            </w:r>
          </w:p>
        </w:tc>
        <w:tc>
          <w:tcPr>
            <w:tcW w:w="1100"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1,56,094</w:t>
            </w:r>
          </w:p>
        </w:tc>
      </w:tr>
      <w:tr w:rsidR="000F236F" w:rsidTr="00DB5405">
        <w:trPr>
          <w:trHeight w:val="260"/>
        </w:trPr>
        <w:tc>
          <w:tcPr>
            <w:tcW w:w="3539" w:type="dxa"/>
            <w:tcBorders>
              <w:top w:val="nil"/>
              <w:left w:val="single" w:sz="4" w:space="0" w:color="auto"/>
              <w:bottom w:val="nil"/>
              <w:right w:val="nil"/>
            </w:tcBorders>
            <w:shd w:val="clear" w:color="000000" w:fill="B4C6E7"/>
            <w:vAlign w:val="center"/>
            <w:hideMark/>
          </w:tcPr>
          <w:p w:rsidR="000F236F" w:rsidRDefault="000F236F" w:rsidP="00DB5405">
            <w:pPr>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Warsaw Stock Exchange</w:t>
            </w:r>
          </w:p>
        </w:tc>
        <w:tc>
          <w:tcPr>
            <w:tcW w:w="1111" w:type="dxa"/>
            <w:tcBorders>
              <w:top w:val="nil"/>
              <w:left w:val="single" w:sz="8" w:space="0" w:color="auto"/>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2,79,128</w:t>
            </w:r>
          </w:p>
        </w:tc>
        <w:tc>
          <w:tcPr>
            <w:tcW w:w="1100"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2,770</w:t>
            </w:r>
          </w:p>
        </w:tc>
        <w:tc>
          <w:tcPr>
            <w:tcW w:w="1100"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38,002</w:t>
            </w:r>
          </w:p>
        </w:tc>
        <w:tc>
          <w:tcPr>
            <w:tcW w:w="1121"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21,871</w:t>
            </w:r>
          </w:p>
        </w:tc>
        <w:tc>
          <w:tcPr>
            <w:tcW w:w="1099"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108</w:t>
            </w:r>
          </w:p>
        </w:tc>
        <w:tc>
          <w:tcPr>
            <w:tcW w:w="1100"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19,468</w:t>
            </w:r>
          </w:p>
        </w:tc>
      </w:tr>
      <w:tr w:rsidR="000F236F" w:rsidTr="00DB5405">
        <w:trPr>
          <w:trHeight w:val="260"/>
        </w:trPr>
        <w:tc>
          <w:tcPr>
            <w:tcW w:w="3539" w:type="dxa"/>
            <w:tcBorders>
              <w:top w:val="single" w:sz="8" w:space="0" w:color="auto"/>
              <w:left w:val="single" w:sz="8" w:space="0" w:color="auto"/>
              <w:bottom w:val="single" w:sz="8" w:space="0" w:color="auto"/>
              <w:right w:val="nil"/>
            </w:tcBorders>
            <w:shd w:val="clear" w:color="000000" w:fill="D9E1F2"/>
            <w:vAlign w:val="center"/>
            <w:hideMark/>
          </w:tcPr>
          <w:p w:rsidR="000F236F" w:rsidRDefault="000F236F" w:rsidP="00DB5405">
            <w:pPr>
              <w:rPr>
                <w:rFonts w:ascii="Garamond" w:eastAsia="Times New Roman" w:hAnsi="Garamond" w:cs="Calibri"/>
                <w:b/>
                <w:bCs/>
                <w:color w:val="000000"/>
                <w:sz w:val="20"/>
                <w:szCs w:val="20"/>
                <w:lang w:val="en-IN" w:eastAsia="en-IN"/>
              </w:rPr>
            </w:pPr>
            <w:r>
              <w:rPr>
                <w:rFonts w:ascii="Garamond" w:eastAsia="Times New Roman" w:hAnsi="Garamond" w:cs="Calibri"/>
                <w:b/>
                <w:bCs/>
                <w:color w:val="000000"/>
                <w:sz w:val="20"/>
                <w:szCs w:val="20"/>
                <w:lang w:val="en-IN" w:eastAsia="en-IN"/>
              </w:rPr>
              <w:t>Grand Total</w:t>
            </w:r>
          </w:p>
        </w:tc>
        <w:tc>
          <w:tcPr>
            <w:tcW w:w="1111" w:type="dxa"/>
            <w:tcBorders>
              <w:top w:val="single" w:sz="8" w:space="0" w:color="auto"/>
              <w:left w:val="nil"/>
              <w:bottom w:val="single" w:sz="8" w:space="0" w:color="auto"/>
              <w:right w:val="nil"/>
            </w:tcBorders>
            <w:shd w:val="clear" w:color="000000" w:fill="D9E1F2"/>
            <w:vAlign w:val="center"/>
            <w:hideMark/>
          </w:tcPr>
          <w:p w:rsidR="000F236F" w:rsidRDefault="000F236F" w:rsidP="00DB5405">
            <w:pPr>
              <w:jc w:val="right"/>
              <w:rPr>
                <w:rFonts w:ascii="Garamond" w:eastAsia="Times New Roman" w:hAnsi="Garamond" w:cs="Calibri"/>
                <w:b/>
                <w:bCs/>
                <w:color w:val="000000"/>
                <w:sz w:val="20"/>
                <w:szCs w:val="20"/>
                <w:lang w:val="en-IN" w:eastAsia="en-IN"/>
              </w:rPr>
            </w:pPr>
            <w:r>
              <w:rPr>
                <w:rFonts w:ascii="Garamond" w:eastAsia="Times New Roman" w:hAnsi="Garamond" w:cs="Calibri"/>
                <w:b/>
                <w:bCs/>
                <w:color w:val="000000"/>
                <w:sz w:val="20"/>
                <w:szCs w:val="20"/>
                <w:lang w:val="en-IN" w:eastAsia="en-IN"/>
              </w:rPr>
              <w:t xml:space="preserve">   48,01,07,081 </w:t>
            </w:r>
          </w:p>
        </w:tc>
        <w:tc>
          <w:tcPr>
            <w:tcW w:w="1100" w:type="dxa"/>
            <w:tcBorders>
              <w:top w:val="single" w:sz="8" w:space="0" w:color="auto"/>
              <w:left w:val="nil"/>
              <w:bottom w:val="single" w:sz="8" w:space="0" w:color="auto"/>
              <w:right w:val="nil"/>
            </w:tcBorders>
            <w:shd w:val="clear" w:color="000000" w:fill="D9E1F2"/>
            <w:vAlign w:val="center"/>
            <w:hideMark/>
          </w:tcPr>
          <w:p w:rsidR="000F236F" w:rsidRDefault="000F236F" w:rsidP="00DB5405">
            <w:pPr>
              <w:jc w:val="right"/>
              <w:rPr>
                <w:rFonts w:ascii="Garamond" w:eastAsia="Times New Roman" w:hAnsi="Garamond" w:cs="Calibri"/>
                <w:b/>
                <w:bCs/>
                <w:color w:val="000000"/>
                <w:sz w:val="20"/>
                <w:szCs w:val="20"/>
                <w:lang w:val="en-IN" w:eastAsia="en-IN"/>
              </w:rPr>
            </w:pPr>
            <w:r>
              <w:rPr>
                <w:rFonts w:ascii="Garamond" w:eastAsia="Times New Roman" w:hAnsi="Garamond" w:cs="Calibri"/>
                <w:b/>
                <w:bCs/>
                <w:color w:val="000000"/>
                <w:sz w:val="20"/>
                <w:szCs w:val="20"/>
                <w:lang w:val="en-IN" w:eastAsia="en-IN"/>
              </w:rPr>
              <w:t xml:space="preserve">     1,49,48,811 </w:t>
            </w:r>
          </w:p>
        </w:tc>
        <w:tc>
          <w:tcPr>
            <w:tcW w:w="1100" w:type="dxa"/>
            <w:tcBorders>
              <w:top w:val="single" w:sz="8" w:space="0" w:color="auto"/>
              <w:left w:val="nil"/>
              <w:bottom w:val="single" w:sz="8" w:space="0" w:color="auto"/>
              <w:right w:val="nil"/>
            </w:tcBorders>
            <w:shd w:val="clear" w:color="000000" w:fill="D9E1F2"/>
            <w:vAlign w:val="center"/>
            <w:hideMark/>
          </w:tcPr>
          <w:p w:rsidR="000F236F" w:rsidRDefault="000F236F" w:rsidP="00DB5405">
            <w:pPr>
              <w:jc w:val="right"/>
              <w:rPr>
                <w:rFonts w:ascii="Garamond" w:eastAsia="Times New Roman" w:hAnsi="Garamond" w:cs="Calibri"/>
                <w:b/>
                <w:bCs/>
                <w:color w:val="000000"/>
                <w:sz w:val="20"/>
                <w:szCs w:val="20"/>
                <w:lang w:val="en-IN" w:eastAsia="en-IN"/>
              </w:rPr>
            </w:pPr>
            <w:r>
              <w:rPr>
                <w:rFonts w:ascii="Garamond" w:eastAsia="Times New Roman" w:hAnsi="Garamond" w:cs="Calibri"/>
                <w:b/>
                <w:bCs/>
                <w:color w:val="000000"/>
                <w:sz w:val="20"/>
                <w:szCs w:val="20"/>
                <w:lang w:val="en-IN" w:eastAsia="en-IN"/>
              </w:rPr>
              <w:t xml:space="preserve">    2,55,86,075 </w:t>
            </w:r>
          </w:p>
        </w:tc>
        <w:tc>
          <w:tcPr>
            <w:tcW w:w="1121" w:type="dxa"/>
            <w:tcBorders>
              <w:top w:val="single" w:sz="8" w:space="0" w:color="auto"/>
              <w:left w:val="nil"/>
              <w:bottom w:val="single" w:sz="8" w:space="0" w:color="auto"/>
              <w:right w:val="nil"/>
            </w:tcBorders>
            <w:shd w:val="clear" w:color="000000" w:fill="D9E1F2"/>
            <w:vAlign w:val="center"/>
            <w:hideMark/>
          </w:tcPr>
          <w:p w:rsidR="000F236F" w:rsidRDefault="000F236F" w:rsidP="00DB5405">
            <w:pPr>
              <w:jc w:val="right"/>
              <w:rPr>
                <w:rFonts w:ascii="Garamond" w:eastAsia="Times New Roman" w:hAnsi="Garamond" w:cs="Calibri"/>
                <w:b/>
                <w:bCs/>
                <w:color w:val="000000"/>
                <w:sz w:val="20"/>
                <w:szCs w:val="20"/>
                <w:lang w:val="en-IN" w:eastAsia="en-IN"/>
              </w:rPr>
            </w:pPr>
            <w:r>
              <w:rPr>
                <w:rFonts w:ascii="Garamond" w:eastAsia="Times New Roman" w:hAnsi="Garamond" w:cs="Calibri"/>
                <w:b/>
                <w:bCs/>
                <w:color w:val="000000"/>
                <w:sz w:val="20"/>
                <w:szCs w:val="20"/>
                <w:lang w:val="en-IN" w:eastAsia="en-IN"/>
              </w:rPr>
              <w:t xml:space="preserve">   61,49,75,344 </w:t>
            </w:r>
          </w:p>
        </w:tc>
        <w:tc>
          <w:tcPr>
            <w:tcW w:w="1099" w:type="dxa"/>
            <w:tcBorders>
              <w:top w:val="single" w:sz="8" w:space="0" w:color="auto"/>
              <w:left w:val="nil"/>
              <w:bottom w:val="single" w:sz="8" w:space="0" w:color="auto"/>
              <w:right w:val="nil"/>
            </w:tcBorders>
            <w:shd w:val="clear" w:color="000000" w:fill="D9E1F2"/>
            <w:vAlign w:val="center"/>
            <w:hideMark/>
          </w:tcPr>
          <w:p w:rsidR="000F236F" w:rsidRDefault="000F236F" w:rsidP="00DB5405">
            <w:pPr>
              <w:jc w:val="right"/>
              <w:rPr>
                <w:rFonts w:ascii="Garamond" w:eastAsia="Times New Roman" w:hAnsi="Garamond" w:cs="Calibri"/>
                <w:b/>
                <w:bCs/>
                <w:color w:val="000000"/>
                <w:sz w:val="20"/>
                <w:szCs w:val="20"/>
                <w:lang w:val="en-IN" w:eastAsia="en-IN"/>
              </w:rPr>
            </w:pPr>
            <w:r>
              <w:rPr>
                <w:rFonts w:ascii="Garamond" w:eastAsia="Times New Roman" w:hAnsi="Garamond" w:cs="Calibri"/>
                <w:b/>
                <w:bCs/>
                <w:color w:val="000000"/>
                <w:sz w:val="20"/>
                <w:szCs w:val="20"/>
                <w:lang w:val="en-IN" w:eastAsia="en-IN"/>
              </w:rPr>
              <w:t xml:space="preserve">        84,39,841 </w:t>
            </w:r>
          </w:p>
        </w:tc>
        <w:tc>
          <w:tcPr>
            <w:tcW w:w="1100" w:type="dxa"/>
            <w:tcBorders>
              <w:top w:val="single" w:sz="8" w:space="0" w:color="auto"/>
              <w:left w:val="nil"/>
              <w:bottom w:val="single" w:sz="8" w:space="0" w:color="auto"/>
              <w:right w:val="single" w:sz="8" w:space="0" w:color="auto"/>
            </w:tcBorders>
            <w:shd w:val="clear" w:color="000000" w:fill="D9E1F2"/>
            <w:vAlign w:val="center"/>
            <w:hideMark/>
          </w:tcPr>
          <w:p w:rsidR="000F236F" w:rsidRDefault="000F236F" w:rsidP="00DB5405">
            <w:pPr>
              <w:jc w:val="right"/>
              <w:rPr>
                <w:rFonts w:ascii="Garamond" w:eastAsia="Times New Roman" w:hAnsi="Garamond" w:cs="Calibri"/>
                <w:b/>
                <w:bCs/>
                <w:color w:val="000000"/>
                <w:sz w:val="20"/>
                <w:szCs w:val="20"/>
                <w:lang w:val="en-IN" w:eastAsia="en-IN"/>
              </w:rPr>
            </w:pPr>
            <w:r>
              <w:rPr>
                <w:rFonts w:ascii="Garamond" w:eastAsia="Times New Roman" w:hAnsi="Garamond" w:cs="Calibri"/>
                <w:b/>
                <w:bCs/>
                <w:color w:val="000000"/>
                <w:sz w:val="20"/>
                <w:szCs w:val="20"/>
                <w:lang w:val="en-IN" w:eastAsia="en-IN"/>
              </w:rPr>
              <w:t xml:space="preserve">     9,35,85,814 </w:t>
            </w:r>
          </w:p>
        </w:tc>
      </w:tr>
    </w:tbl>
    <w:p w:rsidR="000F236F" w:rsidRDefault="000F236F" w:rsidP="000F236F">
      <w:pPr>
        <w:spacing w:line="23" w:lineRule="atLeast"/>
        <w:rPr>
          <w:rFonts w:ascii="Garamond" w:hAnsi="Garamond"/>
          <w:bCs/>
          <w:sz w:val="18"/>
          <w:szCs w:val="18"/>
        </w:rPr>
      </w:pPr>
    </w:p>
    <w:p w:rsidR="000F236F" w:rsidRDefault="000F236F" w:rsidP="000F236F">
      <w:pPr>
        <w:spacing w:line="23" w:lineRule="atLeast"/>
        <w:jc w:val="both"/>
        <w:outlineLvl w:val="0"/>
        <w:rPr>
          <w:rFonts w:ascii="Garamond" w:eastAsia="Times New Roman" w:hAnsi="Garamond" w:cs="Calibri"/>
          <w:color w:val="000000"/>
          <w:sz w:val="20"/>
          <w:szCs w:val="20"/>
          <w:lang w:val="en-IN" w:eastAsia="en-IN"/>
        </w:rPr>
      </w:pPr>
      <w:r>
        <w:rPr>
          <w:rFonts w:ascii="Garamond" w:hAnsi="Garamond"/>
          <w:bCs/>
          <w:sz w:val="18"/>
          <w:szCs w:val="18"/>
        </w:rPr>
        <w:t>NA: Not Available</w:t>
      </w:r>
      <w:r>
        <w:rPr>
          <w:rFonts w:ascii="Garamond" w:eastAsia="Times New Roman" w:hAnsi="Garamond" w:cs="Calibri"/>
          <w:color w:val="000000"/>
          <w:sz w:val="20"/>
          <w:szCs w:val="20"/>
          <w:lang w:val="en-IN" w:eastAsia="en-IN"/>
        </w:rPr>
        <w:t>.</w:t>
      </w:r>
    </w:p>
    <w:p w:rsidR="000F236F" w:rsidRDefault="000F236F" w:rsidP="000F236F">
      <w:pPr>
        <w:spacing w:line="23" w:lineRule="atLeast"/>
        <w:jc w:val="both"/>
        <w:outlineLvl w:val="0"/>
        <w:rPr>
          <w:rFonts w:ascii="Garamond" w:eastAsia="Times New Roman" w:hAnsi="Garamond"/>
          <w:bCs/>
          <w:sz w:val="18"/>
          <w:szCs w:val="18"/>
          <w:lang w:val="en-US"/>
        </w:rPr>
      </w:pPr>
      <w:r>
        <w:rPr>
          <w:rFonts w:ascii="Garamond" w:hAnsi="Garamond"/>
          <w:bCs/>
          <w:sz w:val="18"/>
          <w:szCs w:val="18"/>
        </w:rPr>
        <w:t>Source: World Federation of Exchanges</w:t>
      </w:r>
      <w:r>
        <w:rPr>
          <w:rFonts w:ascii="Garamond" w:eastAsia="Times New Roman" w:hAnsi="Garamond"/>
          <w:bCs/>
          <w:sz w:val="18"/>
          <w:szCs w:val="18"/>
          <w:lang w:val="en-US"/>
        </w:rPr>
        <w:tab/>
      </w:r>
    </w:p>
    <w:p w:rsidR="000F236F" w:rsidRDefault="000F236F" w:rsidP="000F236F">
      <w:pPr>
        <w:spacing w:line="23" w:lineRule="atLeast"/>
        <w:jc w:val="both"/>
        <w:outlineLvl w:val="0"/>
        <w:rPr>
          <w:rFonts w:ascii="Garamond" w:eastAsia="Times New Roman" w:hAnsi="Garamond"/>
          <w:bCs/>
          <w:sz w:val="18"/>
          <w:szCs w:val="18"/>
          <w:lang w:val="en-US"/>
        </w:rPr>
      </w:pPr>
    </w:p>
    <w:p w:rsidR="000F236F" w:rsidRDefault="000F236F" w:rsidP="000F236F">
      <w:pPr>
        <w:rPr>
          <w:rFonts w:ascii="Garamond" w:hAnsi="Garamond"/>
          <w:bCs/>
          <w:strike/>
          <w:sz w:val="22"/>
          <w:szCs w:val="22"/>
        </w:rPr>
      </w:pPr>
      <w:r>
        <w:rPr>
          <w:rFonts w:ascii="Garamond" w:hAnsi="Garamond"/>
          <w:bCs/>
          <w:strike/>
          <w:sz w:val="22"/>
          <w:szCs w:val="22"/>
        </w:rPr>
        <w:br w:type="page"/>
      </w:r>
    </w:p>
    <w:p w:rsidR="000F236F" w:rsidRDefault="000F236F" w:rsidP="000F236F">
      <w:pPr>
        <w:spacing w:line="23" w:lineRule="atLeast"/>
        <w:jc w:val="both"/>
        <w:rPr>
          <w:rFonts w:ascii="Garamond" w:hAnsi="Garamond"/>
          <w:b/>
          <w:sz w:val="28"/>
          <w:lang w:val="en-US"/>
        </w:rPr>
      </w:pPr>
      <w:r>
        <w:rPr>
          <w:rFonts w:ascii="Garamond" w:hAnsi="Garamond"/>
          <w:b/>
          <w:bCs/>
          <w:szCs w:val="22"/>
        </w:rPr>
        <w:lastRenderedPageBreak/>
        <w:t>Table A6: Currency Futures and Options Traded in Major Exchanges</w:t>
      </w:r>
    </w:p>
    <w:p w:rsidR="000F236F" w:rsidRDefault="000F236F" w:rsidP="000F236F">
      <w:pPr>
        <w:ind w:right="957"/>
        <w:jc w:val="right"/>
        <w:rPr>
          <w:rFonts w:ascii="Garamond" w:eastAsia="Times New Roman" w:hAnsi="Garamond"/>
          <w:bCs/>
          <w:sz w:val="22"/>
          <w:szCs w:val="22"/>
          <w:lang w:val="en-US"/>
        </w:rPr>
      </w:pPr>
      <w:r>
        <w:rPr>
          <w:rFonts w:ascii="Garamond" w:hAnsi="Garamond"/>
          <w:bCs/>
          <w:sz w:val="22"/>
          <w:szCs w:val="22"/>
        </w:rPr>
        <w:t>Notional Turnover in (USD million)</w:t>
      </w:r>
    </w:p>
    <w:tbl>
      <w:tblPr>
        <w:tblW w:w="9823" w:type="dxa"/>
        <w:tblLook w:val="04A0" w:firstRow="1" w:lastRow="0" w:firstColumn="1" w:lastColumn="0" w:noHBand="0" w:noVBand="1"/>
      </w:tblPr>
      <w:tblGrid>
        <w:gridCol w:w="3176"/>
        <w:gridCol w:w="1202"/>
        <w:gridCol w:w="1055"/>
        <w:gridCol w:w="1108"/>
        <w:gridCol w:w="1173"/>
        <w:gridCol w:w="1055"/>
        <w:gridCol w:w="1054"/>
      </w:tblGrid>
      <w:tr w:rsidR="000F236F" w:rsidTr="00DB5405">
        <w:trPr>
          <w:trHeight w:val="238"/>
        </w:trPr>
        <w:tc>
          <w:tcPr>
            <w:tcW w:w="3425" w:type="dxa"/>
            <w:vMerge w:val="restart"/>
            <w:tcBorders>
              <w:top w:val="single" w:sz="4" w:space="0" w:color="auto"/>
              <w:left w:val="single" w:sz="4" w:space="0" w:color="auto"/>
              <w:bottom w:val="single" w:sz="4" w:space="0" w:color="auto"/>
              <w:right w:val="single" w:sz="4" w:space="0" w:color="auto"/>
            </w:tcBorders>
            <w:shd w:val="clear" w:color="000000" w:fill="B4C6E7"/>
            <w:vAlign w:val="center"/>
            <w:hideMark/>
          </w:tcPr>
          <w:p w:rsidR="000F236F" w:rsidRDefault="000F236F" w:rsidP="00DB5405">
            <w:pPr>
              <w:jc w:val="center"/>
              <w:rPr>
                <w:rFonts w:ascii="Garamond" w:eastAsia="Times New Roman" w:hAnsi="Garamond" w:cs="Calibri"/>
                <w:b/>
                <w:bCs/>
                <w:color w:val="000000"/>
                <w:sz w:val="20"/>
                <w:szCs w:val="20"/>
                <w:lang w:val="en-IN" w:eastAsia="en-IN"/>
              </w:rPr>
            </w:pPr>
            <w:r>
              <w:rPr>
                <w:rFonts w:ascii="Garamond" w:eastAsia="Times New Roman" w:hAnsi="Garamond" w:cs="Calibri"/>
                <w:b/>
                <w:bCs/>
                <w:color w:val="000000"/>
                <w:sz w:val="20"/>
                <w:szCs w:val="20"/>
                <w:lang w:val="en-IN" w:eastAsia="en-IN"/>
              </w:rPr>
              <w:t>Exchange</w:t>
            </w:r>
          </w:p>
        </w:tc>
        <w:tc>
          <w:tcPr>
            <w:tcW w:w="6398" w:type="dxa"/>
            <w:gridSpan w:val="6"/>
            <w:tcBorders>
              <w:top w:val="single" w:sz="4" w:space="0" w:color="auto"/>
              <w:left w:val="nil"/>
              <w:bottom w:val="single" w:sz="4" w:space="0" w:color="auto"/>
              <w:right w:val="single" w:sz="4" w:space="0" w:color="auto"/>
            </w:tcBorders>
            <w:shd w:val="clear" w:color="000000" w:fill="B4C6E7"/>
            <w:vAlign w:val="center"/>
            <w:hideMark/>
          </w:tcPr>
          <w:p w:rsidR="000F236F" w:rsidRDefault="000F236F" w:rsidP="00DB5405">
            <w:pPr>
              <w:jc w:val="center"/>
              <w:rPr>
                <w:rFonts w:ascii="Garamond" w:eastAsia="Times New Roman" w:hAnsi="Garamond" w:cs="Calibri"/>
                <w:b/>
                <w:bCs/>
                <w:color w:val="000000"/>
                <w:sz w:val="20"/>
                <w:szCs w:val="20"/>
                <w:lang w:val="en-IN" w:eastAsia="en-IN"/>
              </w:rPr>
            </w:pPr>
            <w:r>
              <w:rPr>
                <w:rFonts w:ascii="Garamond" w:eastAsia="Times New Roman" w:hAnsi="Garamond" w:cs="Calibri"/>
                <w:b/>
                <w:bCs/>
                <w:color w:val="000000"/>
                <w:sz w:val="20"/>
                <w:szCs w:val="20"/>
                <w:lang w:val="en-IN" w:eastAsia="en-IN"/>
              </w:rPr>
              <w:t>Aug-20</w:t>
            </w:r>
          </w:p>
        </w:tc>
      </w:tr>
      <w:tr w:rsidR="000F236F" w:rsidTr="00DB5405">
        <w:trPr>
          <w:trHeight w:val="238"/>
        </w:trPr>
        <w:tc>
          <w:tcPr>
            <w:tcW w:w="3425" w:type="dxa"/>
            <w:vMerge/>
            <w:tcBorders>
              <w:top w:val="single" w:sz="4" w:space="0" w:color="auto"/>
              <w:left w:val="single" w:sz="4" w:space="0" w:color="auto"/>
              <w:bottom w:val="single" w:sz="4" w:space="0" w:color="auto"/>
              <w:right w:val="single" w:sz="4" w:space="0" w:color="auto"/>
            </w:tcBorders>
            <w:vAlign w:val="center"/>
            <w:hideMark/>
          </w:tcPr>
          <w:p w:rsidR="000F236F" w:rsidRDefault="000F236F" w:rsidP="00DB5405">
            <w:pPr>
              <w:rPr>
                <w:rFonts w:ascii="Garamond" w:eastAsia="Times New Roman" w:hAnsi="Garamond" w:cs="Calibri"/>
                <w:b/>
                <w:bCs/>
                <w:color w:val="000000"/>
                <w:sz w:val="20"/>
                <w:szCs w:val="20"/>
                <w:lang w:val="en-IN" w:eastAsia="en-IN"/>
              </w:rPr>
            </w:pPr>
          </w:p>
        </w:tc>
        <w:tc>
          <w:tcPr>
            <w:tcW w:w="3209" w:type="dxa"/>
            <w:gridSpan w:val="3"/>
            <w:tcBorders>
              <w:top w:val="single" w:sz="4" w:space="0" w:color="auto"/>
              <w:left w:val="nil"/>
              <w:bottom w:val="single" w:sz="4" w:space="0" w:color="auto"/>
              <w:right w:val="single" w:sz="4" w:space="0" w:color="auto"/>
            </w:tcBorders>
            <w:shd w:val="clear" w:color="000000" w:fill="B4C6E7"/>
            <w:vAlign w:val="center"/>
            <w:hideMark/>
          </w:tcPr>
          <w:p w:rsidR="000F236F" w:rsidRDefault="000F236F" w:rsidP="00DB5405">
            <w:pPr>
              <w:jc w:val="center"/>
              <w:rPr>
                <w:rFonts w:ascii="Garamond" w:eastAsia="Times New Roman" w:hAnsi="Garamond" w:cs="Calibri"/>
                <w:b/>
                <w:bCs/>
                <w:color w:val="000000"/>
                <w:sz w:val="20"/>
                <w:szCs w:val="20"/>
                <w:lang w:val="en-IN" w:eastAsia="en-IN"/>
              </w:rPr>
            </w:pPr>
            <w:r>
              <w:rPr>
                <w:rFonts w:ascii="Garamond" w:eastAsia="Times New Roman" w:hAnsi="Garamond" w:cs="Calibri"/>
                <w:b/>
                <w:bCs/>
                <w:color w:val="000000"/>
                <w:sz w:val="20"/>
                <w:szCs w:val="20"/>
                <w:lang w:val="en-IN" w:eastAsia="en-IN"/>
              </w:rPr>
              <w:t>Currency Futures</w:t>
            </w:r>
          </w:p>
        </w:tc>
        <w:tc>
          <w:tcPr>
            <w:tcW w:w="3188" w:type="dxa"/>
            <w:gridSpan w:val="3"/>
            <w:tcBorders>
              <w:top w:val="single" w:sz="4" w:space="0" w:color="auto"/>
              <w:left w:val="nil"/>
              <w:bottom w:val="single" w:sz="4" w:space="0" w:color="auto"/>
              <w:right w:val="single" w:sz="4" w:space="0" w:color="auto"/>
            </w:tcBorders>
            <w:shd w:val="clear" w:color="000000" w:fill="B4C6E7"/>
            <w:vAlign w:val="center"/>
            <w:hideMark/>
          </w:tcPr>
          <w:p w:rsidR="000F236F" w:rsidRDefault="000F236F" w:rsidP="00DB5405">
            <w:pPr>
              <w:jc w:val="center"/>
              <w:rPr>
                <w:rFonts w:ascii="Garamond" w:eastAsia="Times New Roman" w:hAnsi="Garamond" w:cs="Calibri"/>
                <w:b/>
                <w:bCs/>
                <w:color w:val="000000"/>
                <w:sz w:val="20"/>
                <w:szCs w:val="20"/>
                <w:lang w:val="en-IN" w:eastAsia="en-IN"/>
              </w:rPr>
            </w:pPr>
            <w:r>
              <w:rPr>
                <w:rFonts w:ascii="Garamond" w:eastAsia="Times New Roman" w:hAnsi="Garamond" w:cs="Calibri"/>
                <w:b/>
                <w:bCs/>
                <w:color w:val="000000"/>
                <w:sz w:val="20"/>
                <w:szCs w:val="20"/>
                <w:lang w:val="en-IN" w:eastAsia="en-IN"/>
              </w:rPr>
              <w:t>Currency Options</w:t>
            </w:r>
          </w:p>
        </w:tc>
      </w:tr>
      <w:tr w:rsidR="000F236F" w:rsidTr="00DB5405">
        <w:trPr>
          <w:trHeight w:val="620"/>
        </w:trPr>
        <w:tc>
          <w:tcPr>
            <w:tcW w:w="3425" w:type="dxa"/>
            <w:vMerge/>
            <w:tcBorders>
              <w:top w:val="single" w:sz="4" w:space="0" w:color="auto"/>
              <w:left w:val="single" w:sz="4" w:space="0" w:color="auto"/>
              <w:bottom w:val="single" w:sz="4" w:space="0" w:color="auto"/>
              <w:right w:val="single" w:sz="4" w:space="0" w:color="auto"/>
            </w:tcBorders>
            <w:vAlign w:val="center"/>
            <w:hideMark/>
          </w:tcPr>
          <w:p w:rsidR="000F236F" w:rsidRDefault="000F236F" w:rsidP="00DB5405">
            <w:pPr>
              <w:rPr>
                <w:rFonts w:ascii="Garamond" w:eastAsia="Times New Roman" w:hAnsi="Garamond" w:cs="Calibri"/>
                <w:b/>
                <w:bCs/>
                <w:color w:val="000000"/>
                <w:sz w:val="20"/>
                <w:szCs w:val="20"/>
                <w:lang w:val="en-IN" w:eastAsia="en-IN"/>
              </w:rPr>
            </w:pPr>
          </w:p>
        </w:tc>
        <w:tc>
          <w:tcPr>
            <w:tcW w:w="1083" w:type="dxa"/>
            <w:tcBorders>
              <w:top w:val="nil"/>
              <w:left w:val="nil"/>
              <w:bottom w:val="single" w:sz="4" w:space="0" w:color="auto"/>
              <w:right w:val="single" w:sz="4" w:space="0" w:color="auto"/>
            </w:tcBorders>
            <w:shd w:val="clear" w:color="000000" w:fill="B4C6E7"/>
            <w:vAlign w:val="center"/>
            <w:hideMark/>
          </w:tcPr>
          <w:p w:rsidR="000F236F" w:rsidRDefault="000F236F" w:rsidP="00DB5405">
            <w:pPr>
              <w:jc w:val="center"/>
              <w:rPr>
                <w:rFonts w:ascii="Garamond" w:eastAsia="Times New Roman" w:hAnsi="Garamond" w:cs="Calibri"/>
                <w:b/>
                <w:bCs/>
                <w:color w:val="000000"/>
                <w:sz w:val="20"/>
                <w:szCs w:val="20"/>
                <w:lang w:val="en-IN" w:eastAsia="en-IN"/>
              </w:rPr>
            </w:pPr>
            <w:r>
              <w:rPr>
                <w:rFonts w:ascii="Garamond" w:eastAsia="Times New Roman" w:hAnsi="Garamond" w:cs="Calibri"/>
                <w:b/>
                <w:bCs/>
                <w:color w:val="000000"/>
                <w:sz w:val="20"/>
                <w:szCs w:val="20"/>
                <w:lang w:val="en-IN" w:eastAsia="en-IN"/>
              </w:rPr>
              <w:t>Number of</w:t>
            </w:r>
            <w:r>
              <w:rPr>
                <w:rFonts w:ascii="Garamond" w:eastAsia="Times New Roman" w:hAnsi="Garamond" w:cs="Calibri"/>
                <w:b/>
                <w:bCs/>
                <w:color w:val="000000"/>
                <w:sz w:val="20"/>
                <w:szCs w:val="20"/>
                <w:lang w:val="en-IN" w:eastAsia="en-IN"/>
              </w:rPr>
              <w:br/>
              <w:t>Contracts Traded</w:t>
            </w:r>
          </w:p>
        </w:tc>
        <w:tc>
          <w:tcPr>
            <w:tcW w:w="1062" w:type="dxa"/>
            <w:tcBorders>
              <w:top w:val="nil"/>
              <w:left w:val="nil"/>
              <w:bottom w:val="single" w:sz="4" w:space="0" w:color="auto"/>
              <w:right w:val="single" w:sz="4" w:space="0" w:color="auto"/>
            </w:tcBorders>
            <w:shd w:val="clear" w:color="000000" w:fill="B4C6E7"/>
            <w:vAlign w:val="center"/>
            <w:hideMark/>
          </w:tcPr>
          <w:p w:rsidR="000F236F" w:rsidRDefault="000F236F" w:rsidP="00DB5405">
            <w:pPr>
              <w:jc w:val="center"/>
              <w:rPr>
                <w:rFonts w:ascii="Garamond" w:eastAsia="Times New Roman" w:hAnsi="Garamond" w:cs="Calibri"/>
                <w:b/>
                <w:bCs/>
                <w:color w:val="000000"/>
                <w:sz w:val="20"/>
                <w:szCs w:val="20"/>
                <w:lang w:val="en-IN" w:eastAsia="en-IN"/>
              </w:rPr>
            </w:pPr>
            <w:r>
              <w:rPr>
                <w:rFonts w:ascii="Garamond" w:eastAsia="Times New Roman" w:hAnsi="Garamond" w:cs="Calibri"/>
                <w:b/>
                <w:bCs/>
                <w:color w:val="000000"/>
                <w:sz w:val="20"/>
                <w:szCs w:val="20"/>
                <w:lang w:val="en-IN" w:eastAsia="en-IN"/>
              </w:rPr>
              <w:t>Notional</w:t>
            </w:r>
            <w:r>
              <w:rPr>
                <w:rFonts w:ascii="Garamond" w:eastAsia="Times New Roman" w:hAnsi="Garamond" w:cs="Calibri"/>
                <w:b/>
                <w:bCs/>
                <w:color w:val="000000"/>
                <w:sz w:val="20"/>
                <w:szCs w:val="20"/>
                <w:lang w:val="en-IN" w:eastAsia="en-IN"/>
              </w:rPr>
              <w:br/>
              <w:t>Turnover</w:t>
            </w:r>
          </w:p>
        </w:tc>
        <w:tc>
          <w:tcPr>
            <w:tcW w:w="1063" w:type="dxa"/>
            <w:tcBorders>
              <w:top w:val="nil"/>
              <w:left w:val="nil"/>
              <w:bottom w:val="single" w:sz="4" w:space="0" w:color="auto"/>
              <w:right w:val="single" w:sz="4" w:space="0" w:color="auto"/>
            </w:tcBorders>
            <w:shd w:val="clear" w:color="000000" w:fill="B4C6E7"/>
            <w:vAlign w:val="center"/>
            <w:hideMark/>
          </w:tcPr>
          <w:p w:rsidR="000F236F" w:rsidRDefault="000F236F" w:rsidP="00DB5405">
            <w:pPr>
              <w:jc w:val="center"/>
              <w:rPr>
                <w:rFonts w:ascii="Garamond" w:eastAsia="Times New Roman" w:hAnsi="Garamond" w:cs="Calibri"/>
                <w:b/>
                <w:bCs/>
                <w:color w:val="000000"/>
                <w:sz w:val="20"/>
                <w:szCs w:val="20"/>
                <w:lang w:val="en-IN" w:eastAsia="en-IN"/>
              </w:rPr>
            </w:pPr>
            <w:r>
              <w:rPr>
                <w:rFonts w:ascii="Garamond" w:eastAsia="Times New Roman" w:hAnsi="Garamond" w:cs="Calibri"/>
                <w:b/>
                <w:bCs/>
                <w:color w:val="000000"/>
                <w:sz w:val="20"/>
                <w:szCs w:val="20"/>
                <w:lang w:val="en-IN" w:eastAsia="en-IN"/>
              </w:rPr>
              <w:t>Open</w:t>
            </w:r>
            <w:r>
              <w:rPr>
                <w:rFonts w:ascii="Garamond" w:eastAsia="Times New Roman" w:hAnsi="Garamond" w:cs="Calibri"/>
                <w:b/>
                <w:bCs/>
                <w:color w:val="000000"/>
                <w:sz w:val="20"/>
                <w:szCs w:val="20"/>
                <w:lang w:val="en-IN" w:eastAsia="en-IN"/>
              </w:rPr>
              <w:br/>
              <w:t>Interest</w:t>
            </w:r>
          </w:p>
        </w:tc>
        <w:tc>
          <w:tcPr>
            <w:tcW w:w="1063" w:type="dxa"/>
            <w:tcBorders>
              <w:top w:val="nil"/>
              <w:left w:val="nil"/>
              <w:bottom w:val="single" w:sz="4" w:space="0" w:color="auto"/>
              <w:right w:val="single" w:sz="4" w:space="0" w:color="auto"/>
            </w:tcBorders>
            <w:shd w:val="clear" w:color="000000" w:fill="B4C6E7"/>
            <w:vAlign w:val="center"/>
            <w:hideMark/>
          </w:tcPr>
          <w:p w:rsidR="000F236F" w:rsidRDefault="000F236F" w:rsidP="00DB5405">
            <w:pPr>
              <w:jc w:val="center"/>
              <w:rPr>
                <w:rFonts w:ascii="Garamond" w:eastAsia="Times New Roman" w:hAnsi="Garamond" w:cs="Calibri"/>
                <w:b/>
                <w:bCs/>
                <w:color w:val="000000"/>
                <w:sz w:val="20"/>
                <w:szCs w:val="20"/>
                <w:lang w:val="en-IN" w:eastAsia="en-IN"/>
              </w:rPr>
            </w:pPr>
            <w:r>
              <w:rPr>
                <w:rFonts w:ascii="Garamond" w:eastAsia="Times New Roman" w:hAnsi="Garamond" w:cs="Calibri"/>
                <w:b/>
                <w:bCs/>
                <w:color w:val="000000"/>
                <w:sz w:val="20"/>
                <w:szCs w:val="20"/>
                <w:lang w:val="en-IN" w:eastAsia="en-IN"/>
              </w:rPr>
              <w:t>Number of</w:t>
            </w:r>
            <w:r>
              <w:rPr>
                <w:rFonts w:ascii="Garamond" w:eastAsia="Times New Roman" w:hAnsi="Garamond" w:cs="Calibri"/>
                <w:b/>
                <w:bCs/>
                <w:color w:val="000000"/>
                <w:sz w:val="20"/>
                <w:szCs w:val="20"/>
                <w:lang w:val="en-IN" w:eastAsia="en-IN"/>
              </w:rPr>
              <w:br/>
              <w:t>Contracts Traded</w:t>
            </w:r>
          </w:p>
        </w:tc>
        <w:tc>
          <w:tcPr>
            <w:tcW w:w="1062" w:type="dxa"/>
            <w:tcBorders>
              <w:top w:val="nil"/>
              <w:left w:val="nil"/>
              <w:bottom w:val="single" w:sz="4" w:space="0" w:color="auto"/>
              <w:right w:val="single" w:sz="4" w:space="0" w:color="auto"/>
            </w:tcBorders>
            <w:shd w:val="clear" w:color="000000" w:fill="B4C6E7"/>
            <w:vAlign w:val="center"/>
            <w:hideMark/>
          </w:tcPr>
          <w:p w:rsidR="000F236F" w:rsidRDefault="000F236F" w:rsidP="00DB5405">
            <w:pPr>
              <w:jc w:val="center"/>
              <w:rPr>
                <w:rFonts w:ascii="Garamond" w:eastAsia="Times New Roman" w:hAnsi="Garamond" w:cs="Calibri"/>
                <w:b/>
                <w:bCs/>
                <w:color w:val="000000"/>
                <w:sz w:val="20"/>
                <w:szCs w:val="20"/>
                <w:lang w:val="en-IN" w:eastAsia="en-IN"/>
              </w:rPr>
            </w:pPr>
            <w:r>
              <w:rPr>
                <w:rFonts w:ascii="Garamond" w:eastAsia="Times New Roman" w:hAnsi="Garamond" w:cs="Calibri"/>
                <w:b/>
                <w:bCs/>
                <w:color w:val="000000"/>
                <w:sz w:val="20"/>
                <w:szCs w:val="20"/>
                <w:lang w:val="en-IN" w:eastAsia="en-IN"/>
              </w:rPr>
              <w:t>Notional</w:t>
            </w:r>
            <w:r>
              <w:rPr>
                <w:rFonts w:ascii="Garamond" w:eastAsia="Times New Roman" w:hAnsi="Garamond" w:cs="Calibri"/>
                <w:b/>
                <w:bCs/>
                <w:color w:val="000000"/>
                <w:sz w:val="20"/>
                <w:szCs w:val="20"/>
                <w:lang w:val="en-IN" w:eastAsia="en-IN"/>
              </w:rPr>
              <w:br/>
              <w:t>Turnover</w:t>
            </w:r>
          </w:p>
        </w:tc>
        <w:tc>
          <w:tcPr>
            <w:tcW w:w="1062" w:type="dxa"/>
            <w:tcBorders>
              <w:top w:val="nil"/>
              <w:left w:val="nil"/>
              <w:bottom w:val="single" w:sz="4" w:space="0" w:color="auto"/>
              <w:right w:val="single" w:sz="4" w:space="0" w:color="auto"/>
            </w:tcBorders>
            <w:shd w:val="clear" w:color="000000" w:fill="B4C6E7"/>
            <w:vAlign w:val="center"/>
            <w:hideMark/>
          </w:tcPr>
          <w:p w:rsidR="000F236F" w:rsidRDefault="000F236F" w:rsidP="00DB5405">
            <w:pPr>
              <w:jc w:val="center"/>
              <w:rPr>
                <w:rFonts w:ascii="Garamond" w:eastAsia="Times New Roman" w:hAnsi="Garamond" w:cs="Calibri"/>
                <w:b/>
                <w:bCs/>
                <w:color w:val="000000"/>
                <w:sz w:val="20"/>
                <w:szCs w:val="20"/>
                <w:lang w:val="en-IN" w:eastAsia="en-IN"/>
              </w:rPr>
            </w:pPr>
            <w:r>
              <w:rPr>
                <w:rFonts w:ascii="Garamond" w:eastAsia="Times New Roman" w:hAnsi="Garamond" w:cs="Calibri"/>
                <w:b/>
                <w:bCs/>
                <w:color w:val="000000"/>
                <w:sz w:val="20"/>
                <w:szCs w:val="20"/>
                <w:lang w:val="en-IN" w:eastAsia="en-IN"/>
              </w:rPr>
              <w:t>Open</w:t>
            </w:r>
            <w:r>
              <w:rPr>
                <w:rFonts w:ascii="Garamond" w:eastAsia="Times New Roman" w:hAnsi="Garamond" w:cs="Calibri"/>
                <w:b/>
                <w:bCs/>
                <w:color w:val="000000"/>
                <w:sz w:val="20"/>
                <w:szCs w:val="20"/>
                <w:lang w:val="en-IN" w:eastAsia="en-IN"/>
              </w:rPr>
              <w:br/>
              <w:t>Interest</w:t>
            </w:r>
          </w:p>
        </w:tc>
      </w:tr>
      <w:tr w:rsidR="000F236F" w:rsidTr="00DB5405">
        <w:trPr>
          <w:trHeight w:val="238"/>
        </w:trPr>
        <w:tc>
          <w:tcPr>
            <w:tcW w:w="3425" w:type="dxa"/>
            <w:tcBorders>
              <w:top w:val="nil"/>
              <w:left w:val="single" w:sz="4" w:space="0" w:color="auto"/>
              <w:bottom w:val="nil"/>
              <w:right w:val="nil"/>
            </w:tcBorders>
            <w:shd w:val="clear" w:color="000000" w:fill="B4C6E7"/>
            <w:vAlign w:val="center"/>
            <w:hideMark/>
          </w:tcPr>
          <w:p w:rsidR="000F236F" w:rsidRDefault="000F236F" w:rsidP="00DB5405">
            <w:pPr>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B3 - Brasil Bolsa Balcão</w:t>
            </w:r>
          </w:p>
        </w:tc>
        <w:tc>
          <w:tcPr>
            <w:tcW w:w="1083" w:type="dxa"/>
            <w:tcBorders>
              <w:top w:val="single" w:sz="8" w:space="0" w:color="auto"/>
              <w:left w:val="single" w:sz="8" w:space="0" w:color="auto"/>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7,45,81,672</w:t>
            </w:r>
          </w:p>
        </w:tc>
        <w:tc>
          <w:tcPr>
            <w:tcW w:w="1062" w:type="dxa"/>
            <w:tcBorders>
              <w:top w:val="single" w:sz="8" w:space="0" w:color="auto"/>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9,76,430</w:t>
            </w:r>
          </w:p>
        </w:tc>
        <w:tc>
          <w:tcPr>
            <w:tcW w:w="1063" w:type="dxa"/>
            <w:tcBorders>
              <w:top w:val="single" w:sz="8" w:space="0" w:color="auto"/>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99,95,560</w:t>
            </w:r>
          </w:p>
        </w:tc>
        <w:tc>
          <w:tcPr>
            <w:tcW w:w="1063" w:type="dxa"/>
            <w:tcBorders>
              <w:top w:val="single" w:sz="8" w:space="0" w:color="auto"/>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4,65,205</w:t>
            </w:r>
          </w:p>
        </w:tc>
        <w:tc>
          <w:tcPr>
            <w:tcW w:w="1062" w:type="dxa"/>
            <w:tcBorders>
              <w:top w:val="single" w:sz="8" w:space="0" w:color="auto"/>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418</w:t>
            </w:r>
          </w:p>
        </w:tc>
        <w:tc>
          <w:tcPr>
            <w:tcW w:w="1062" w:type="dxa"/>
            <w:tcBorders>
              <w:top w:val="single" w:sz="8" w:space="0" w:color="auto"/>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7,67,252</w:t>
            </w:r>
          </w:p>
        </w:tc>
      </w:tr>
      <w:tr w:rsidR="000F236F" w:rsidTr="00DB5405">
        <w:trPr>
          <w:trHeight w:val="238"/>
        </w:trPr>
        <w:tc>
          <w:tcPr>
            <w:tcW w:w="3425" w:type="dxa"/>
            <w:tcBorders>
              <w:top w:val="nil"/>
              <w:left w:val="single" w:sz="4" w:space="0" w:color="auto"/>
              <w:bottom w:val="nil"/>
              <w:right w:val="nil"/>
            </w:tcBorders>
            <w:shd w:val="clear" w:color="000000" w:fill="B4C6E7"/>
            <w:vAlign w:val="center"/>
            <w:hideMark/>
          </w:tcPr>
          <w:p w:rsidR="000F236F" w:rsidRDefault="000F236F" w:rsidP="00DB5405">
            <w:pPr>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Bolsa de Valores de Colombia</w:t>
            </w:r>
          </w:p>
        </w:tc>
        <w:tc>
          <w:tcPr>
            <w:tcW w:w="1083" w:type="dxa"/>
            <w:tcBorders>
              <w:top w:val="nil"/>
              <w:left w:val="single" w:sz="8" w:space="0" w:color="auto"/>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19,034</w:t>
            </w:r>
          </w:p>
        </w:tc>
        <w:tc>
          <w:tcPr>
            <w:tcW w:w="1062"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906</w:t>
            </w:r>
          </w:p>
        </w:tc>
        <w:tc>
          <w:tcPr>
            <w:tcW w:w="1063"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10,794</w:t>
            </w:r>
          </w:p>
        </w:tc>
        <w:tc>
          <w:tcPr>
            <w:tcW w:w="1063"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0</w:t>
            </w:r>
          </w:p>
        </w:tc>
        <w:tc>
          <w:tcPr>
            <w:tcW w:w="1062"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0</w:t>
            </w:r>
          </w:p>
        </w:tc>
        <w:tc>
          <w:tcPr>
            <w:tcW w:w="1062"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23</w:t>
            </w:r>
          </w:p>
        </w:tc>
      </w:tr>
      <w:tr w:rsidR="000F236F" w:rsidTr="00DB5405">
        <w:trPr>
          <w:trHeight w:val="238"/>
        </w:trPr>
        <w:tc>
          <w:tcPr>
            <w:tcW w:w="3425" w:type="dxa"/>
            <w:tcBorders>
              <w:top w:val="nil"/>
              <w:left w:val="single" w:sz="4" w:space="0" w:color="auto"/>
              <w:bottom w:val="nil"/>
              <w:right w:val="nil"/>
            </w:tcBorders>
            <w:shd w:val="clear" w:color="000000" w:fill="B4C6E7"/>
            <w:vAlign w:val="center"/>
            <w:hideMark/>
          </w:tcPr>
          <w:p w:rsidR="000F236F" w:rsidRDefault="000F236F" w:rsidP="00DB5405">
            <w:pPr>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Bolsa Mexicana de Valores</w:t>
            </w:r>
          </w:p>
        </w:tc>
        <w:tc>
          <w:tcPr>
            <w:tcW w:w="1083" w:type="dxa"/>
            <w:tcBorders>
              <w:top w:val="nil"/>
              <w:left w:val="single" w:sz="8" w:space="0" w:color="auto"/>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75,863</w:t>
            </w:r>
          </w:p>
        </w:tc>
        <w:tc>
          <w:tcPr>
            <w:tcW w:w="1062"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776</w:t>
            </w:r>
          </w:p>
        </w:tc>
        <w:tc>
          <w:tcPr>
            <w:tcW w:w="1063"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4,93,242</w:t>
            </w:r>
          </w:p>
        </w:tc>
        <w:tc>
          <w:tcPr>
            <w:tcW w:w="1063"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300</w:t>
            </w:r>
          </w:p>
        </w:tc>
        <w:tc>
          <w:tcPr>
            <w:tcW w:w="1062"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3</w:t>
            </w:r>
          </w:p>
        </w:tc>
        <w:tc>
          <w:tcPr>
            <w:tcW w:w="1062"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8,000</w:t>
            </w:r>
          </w:p>
        </w:tc>
      </w:tr>
      <w:tr w:rsidR="000F236F" w:rsidTr="00DB5405">
        <w:trPr>
          <w:trHeight w:val="238"/>
        </w:trPr>
        <w:tc>
          <w:tcPr>
            <w:tcW w:w="3425" w:type="dxa"/>
            <w:tcBorders>
              <w:top w:val="nil"/>
              <w:left w:val="single" w:sz="4" w:space="0" w:color="auto"/>
              <w:bottom w:val="nil"/>
              <w:right w:val="nil"/>
            </w:tcBorders>
            <w:shd w:val="clear" w:color="000000" w:fill="B4C6E7"/>
            <w:vAlign w:val="center"/>
            <w:hideMark/>
          </w:tcPr>
          <w:p w:rsidR="000F236F" w:rsidRDefault="000F236F" w:rsidP="00DB5405">
            <w:pPr>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Bolsa y Mercados Argentinos</w:t>
            </w:r>
          </w:p>
        </w:tc>
        <w:tc>
          <w:tcPr>
            <w:tcW w:w="1083" w:type="dxa"/>
            <w:tcBorders>
              <w:top w:val="nil"/>
              <w:left w:val="single" w:sz="8" w:space="0" w:color="auto"/>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15,36,568</w:t>
            </w:r>
          </w:p>
        </w:tc>
        <w:tc>
          <w:tcPr>
            <w:tcW w:w="1062"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1,591</w:t>
            </w:r>
          </w:p>
        </w:tc>
        <w:tc>
          <w:tcPr>
            <w:tcW w:w="1063"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1,58,190</w:t>
            </w:r>
          </w:p>
        </w:tc>
        <w:tc>
          <w:tcPr>
            <w:tcW w:w="1063"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0</w:t>
            </w:r>
          </w:p>
        </w:tc>
        <w:tc>
          <w:tcPr>
            <w:tcW w:w="1062"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0</w:t>
            </w:r>
          </w:p>
        </w:tc>
        <w:tc>
          <w:tcPr>
            <w:tcW w:w="1062"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0</w:t>
            </w:r>
          </w:p>
        </w:tc>
      </w:tr>
      <w:tr w:rsidR="000F236F" w:rsidTr="00DB5405">
        <w:trPr>
          <w:trHeight w:val="238"/>
        </w:trPr>
        <w:tc>
          <w:tcPr>
            <w:tcW w:w="3425" w:type="dxa"/>
            <w:tcBorders>
              <w:top w:val="nil"/>
              <w:left w:val="single" w:sz="4" w:space="0" w:color="auto"/>
              <w:bottom w:val="nil"/>
              <w:right w:val="nil"/>
            </w:tcBorders>
            <w:shd w:val="clear" w:color="000000" w:fill="B4C6E7"/>
            <w:vAlign w:val="center"/>
            <w:hideMark/>
          </w:tcPr>
          <w:p w:rsidR="000F236F" w:rsidRDefault="000F236F" w:rsidP="00DB5405">
            <w:pPr>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Matba Rofex</w:t>
            </w:r>
          </w:p>
        </w:tc>
        <w:tc>
          <w:tcPr>
            <w:tcW w:w="1083" w:type="dxa"/>
            <w:tcBorders>
              <w:top w:val="nil"/>
              <w:left w:val="single" w:sz="8" w:space="0" w:color="auto"/>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1,21,05,064</w:t>
            </w:r>
          </w:p>
        </w:tc>
        <w:tc>
          <w:tcPr>
            <w:tcW w:w="1062"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12,770</w:t>
            </w:r>
          </w:p>
        </w:tc>
        <w:tc>
          <w:tcPr>
            <w:tcW w:w="1063"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42,72,578</w:t>
            </w:r>
          </w:p>
        </w:tc>
        <w:tc>
          <w:tcPr>
            <w:tcW w:w="1063"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1,056</w:t>
            </w:r>
          </w:p>
        </w:tc>
        <w:tc>
          <w:tcPr>
            <w:tcW w:w="1062"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0</w:t>
            </w:r>
          </w:p>
        </w:tc>
        <w:tc>
          <w:tcPr>
            <w:tcW w:w="1062"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8</w:t>
            </w:r>
          </w:p>
        </w:tc>
      </w:tr>
      <w:tr w:rsidR="000F236F" w:rsidTr="00DB5405">
        <w:trPr>
          <w:trHeight w:val="238"/>
        </w:trPr>
        <w:tc>
          <w:tcPr>
            <w:tcW w:w="3425" w:type="dxa"/>
            <w:tcBorders>
              <w:top w:val="nil"/>
              <w:left w:val="single" w:sz="4" w:space="0" w:color="auto"/>
              <w:bottom w:val="nil"/>
              <w:right w:val="nil"/>
            </w:tcBorders>
            <w:shd w:val="clear" w:color="000000" w:fill="B4C6E7"/>
            <w:vAlign w:val="center"/>
            <w:hideMark/>
          </w:tcPr>
          <w:p w:rsidR="000F236F" w:rsidRDefault="000F236F" w:rsidP="00DB5405">
            <w:pPr>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CME Group</w:t>
            </w:r>
          </w:p>
        </w:tc>
        <w:tc>
          <w:tcPr>
            <w:tcW w:w="1083" w:type="dxa"/>
            <w:tcBorders>
              <w:top w:val="nil"/>
              <w:left w:val="single" w:sz="8" w:space="0" w:color="auto"/>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1,46,85,468</w:t>
            </w:r>
          </w:p>
        </w:tc>
        <w:tc>
          <w:tcPr>
            <w:tcW w:w="1062"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14,11,499</w:t>
            </w:r>
          </w:p>
        </w:tc>
        <w:tc>
          <w:tcPr>
            <w:tcW w:w="1063"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17,48,307</w:t>
            </w:r>
          </w:p>
        </w:tc>
        <w:tc>
          <w:tcPr>
            <w:tcW w:w="1063"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6,21,527</w:t>
            </w:r>
          </w:p>
        </w:tc>
        <w:tc>
          <w:tcPr>
            <w:tcW w:w="1062"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74,169</w:t>
            </w:r>
          </w:p>
        </w:tc>
        <w:tc>
          <w:tcPr>
            <w:tcW w:w="1062"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6,14,760</w:t>
            </w:r>
          </w:p>
        </w:tc>
      </w:tr>
      <w:tr w:rsidR="000F236F" w:rsidTr="00DB5405">
        <w:trPr>
          <w:trHeight w:val="238"/>
        </w:trPr>
        <w:tc>
          <w:tcPr>
            <w:tcW w:w="3425" w:type="dxa"/>
            <w:tcBorders>
              <w:top w:val="nil"/>
              <w:left w:val="single" w:sz="4" w:space="0" w:color="auto"/>
              <w:bottom w:val="nil"/>
              <w:right w:val="nil"/>
            </w:tcBorders>
            <w:shd w:val="clear" w:color="000000" w:fill="B4C6E7"/>
            <w:vAlign w:val="center"/>
            <w:hideMark/>
          </w:tcPr>
          <w:p w:rsidR="000F236F" w:rsidRDefault="000F236F" w:rsidP="00DB5405">
            <w:pPr>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BSE India Limited</w:t>
            </w:r>
          </w:p>
        </w:tc>
        <w:tc>
          <w:tcPr>
            <w:tcW w:w="1083" w:type="dxa"/>
            <w:tcBorders>
              <w:top w:val="nil"/>
              <w:left w:val="single" w:sz="8" w:space="0" w:color="auto"/>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2,24,89,598</w:t>
            </w:r>
          </w:p>
        </w:tc>
        <w:tc>
          <w:tcPr>
            <w:tcW w:w="1062"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22,948</w:t>
            </w:r>
          </w:p>
        </w:tc>
        <w:tc>
          <w:tcPr>
            <w:tcW w:w="1063"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6,48,211</w:t>
            </w:r>
          </w:p>
        </w:tc>
        <w:tc>
          <w:tcPr>
            <w:tcW w:w="1063"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3,79,15,729</w:t>
            </w:r>
          </w:p>
        </w:tc>
        <w:tc>
          <w:tcPr>
            <w:tcW w:w="1062"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38,724</w:t>
            </w:r>
          </w:p>
        </w:tc>
        <w:tc>
          <w:tcPr>
            <w:tcW w:w="1062"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1,58,287</w:t>
            </w:r>
          </w:p>
        </w:tc>
      </w:tr>
      <w:tr w:rsidR="000F236F" w:rsidTr="00DB5405">
        <w:trPr>
          <w:trHeight w:val="238"/>
        </w:trPr>
        <w:tc>
          <w:tcPr>
            <w:tcW w:w="3425" w:type="dxa"/>
            <w:tcBorders>
              <w:top w:val="nil"/>
              <w:left w:val="single" w:sz="4" w:space="0" w:color="auto"/>
              <w:bottom w:val="nil"/>
              <w:right w:val="nil"/>
            </w:tcBorders>
            <w:shd w:val="clear" w:color="000000" w:fill="B4C6E7"/>
            <w:vAlign w:val="center"/>
            <w:hideMark/>
          </w:tcPr>
          <w:p w:rsidR="000F236F" w:rsidRDefault="000F236F" w:rsidP="00DB5405">
            <w:pPr>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Hong Kong Exchanges and Clearing</w:t>
            </w:r>
          </w:p>
        </w:tc>
        <w:tc>
          <w:tcPr>
            <w:tcW w:w="1083" w:type="dxa"/>
            <w:tcBorders>
              <w:top w:val="nil"/>
              <w:left w:val="single" w:sz="8" w:space="0" w:color="auto"/>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1,59,626</w:t>
            </w:r>
          </w:p>
        </w:tc>
        <w:tc>
          <w:tcPr>
            <w:tcW w:w="1062"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15,110</w:t>
            </w:r>
          </w:p>
        </w:tc>
        <w:tc>
          <w:tcPr>
            <w:tcW w:w="1063"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24,579</w:t>
            </w:r>
          </w:p>
        </w:tc>
        <w:tc>
          <w:tcPr>
            <w:tcW w:w="1063"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687</w:t>
            </w:r>
          </w:p>
        </w:tc>
        <w:tc>
          <w:tcPr>
            <w:tcW w:w="1062"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69</w:t>
            </w:r>
          </w:p>
        </w:tc>
        <w:tc>
          <w:tcPr>
            <w:tcW w:w="1062"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3,726</w:t>
            </w:r>
          </w:p>
        </w:tc>
      </w:tr>
      <w:tr w:rsidR="000F236F" w:rsidTr="00DB5405">
        <w:trPr>
          <w:trHeight w:val="238"/>
        </w:trPr>
        <w:tc>
          <w:tcPr>
            <w:tcW w:w="3425" w:type="dxa"/>
            <w:tcBorders>
              <w:top w:val="nil"/>
              <w:left w:val="single" w:sz="4" w:space="0" w:color="auto"/>
              <w:bottom w:val="nil"/>
              <w:right w:val="nil"/>
            </w:tcBorders>
            <w:shd w:val="clear" w:color="000000" w:fill="B4C6E7"/>
            <w:vAlign w:val="center"/>
            <w:hideMark/>
          </w:tcPr>
          <w:p w:rsidR="000F236F" w:rsidRDefault="000F236F" w:rsidP="00DB5405">
            <w:pPr>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Korea Exchange</w:t>
            </w:r>
          </w:p>
        </w:tc>
        <w:tc>
          <w:tcPr>
            <w:tcW w:w="1083" w:type="dxa"/>
            <w:tcBorders>
              <w:top w:val="nil"/>
              <w:left w:val="single" w:sz="8" w:space="0" w:color="auto"/>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70,63,771</w:t>
            </w:r>
          </w:p>
        </w:tc>
        <w:tc>
          <w:tcPr>
            <w:tcW w:w="1062"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70,625</w:t>
            </w:r>
          </w:p>
        </w:tc>
        <w:tc>
          <w:tcPr>
            <w:tcW w:w="1063"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8,12,868</w:t>
            </w:r>
          </w:p>
        </w:tc>
        <w:tc>
          <w:tcPr>
            <w:tcW w:w="1063"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NA</w:t>
            </w:r>
          </w:p>
        </w:tc>
        <w:tc>
          <w:tcPr>
            <w:tcW w:w="1062"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NA</w:t>
            </w:r>
          </w:p>
        </w:tc>
        <w:tc>
          <w:tcPr>
            <w:tcW w:w="1062"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NA</w:t>
            </w:r>
          </w:p>
        </w:tc>
      </w:tr>
      <w:tr w:rsidR="000F236F" w:rsidTr="00DB5405">
        <w:trPr>
          <w:trHeight w:val="238"/>
        </w:trPr>
        <w:tc>
          <w:tcPr>
            <w:tcW w:w="3425" w:type="dxa"/>
            <w:tcBorders>
              <w:top w:val="nil"/>
              <w:left w:val="single" w:sz="4" w:space="0" w:color="auto"/>
              <w:bottom w:val="nil"/>
              <w:right w:val="nil"/>
            </w:tcBorders>
            <w:shd w:val="clear" w:color="000000" w:fill="B4C6E7"/>
            <w:vAlign w:val="center"/>
            <w:hideMark/>
          </w:tcPr>
          <w:p w:rsidR="000F236F" w:rsidRDefault="000F236F" w:rsidP="00DB5405">
            <w:pPr>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National Stock Exchange of India</w:t>
            </w:r>
          </w:p>
        </w:tc>
        <w:tc>
          <w:tcPr>
            <w:tcW w:w="1083" w:type="dxa"/>
            <w:tcBorders>
              <w:top w:val="nil"/>
              <w:left w:val="single" w:sz="8" w:space="0" w:color="auto"/>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5,70,90,417</w:t>
            </w:r>
          </w:p>
        </w:tc>
        <w:tc>
          <w:tcPr>
            <w:tcW w:w="1062"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61,046</w:t>
            </w:r>
          </w:p>
        </w:tc>
        <w:tc>
          <w:tcPr>
            <w:tcW w:w="1063"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23,06,654</w:t>
            </w:r>
          </w:p>
        </w:tc>
        <w:tc>
          <w:tcPr>
            <w:tcW w:w="1063"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7,08,21,217</w:t>
            </w:r>
          </w:p>
        </w:tc>
        <w:tc>
          <w:tcPr>
            <w:tcW w:w="1062"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72,304</w:t>
            </w:r>
          </w:p>
        </w:tc>
        <w:tc>
          <w:tcPr>
            <w:tcW w:w="1062"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28,77,476</w:t>
            </w:r>
          </w:p>
        </w:tc>
      </w:tr>
      <w:tr w:rsidR="000F236F" w:rsidTr="00DB5405">
        <w:trPr>
          <w:trHeight w:val="238"/>
        </w:trPr>
        <w:tc>
          <w:tcPr>
            <w:tcW w:w="3425" w:type="dxa"/>
            <w:tcBorders>
              <w:top w:val="nil"/>
              <w:left w:val="single" w:sz="4" w:space="0" w:color="auto"/>
              <w:bottom w:val="nil"/>
              <w:right w:val="nil"/>
            </w:tcBorders>
            <w:shd w:val="clear" w:color="000000" w:fill="B4C6E7"/>
            <w:vAlign w:val="center"/>
            <w:hideMark/>
          </w:tcPr>
          <w:p w:rsidR="000F236F" w:rsidRDefault="000F236F" w:rsidP="00DB5405">
            <w:pPr>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Singapore Exchange</w:t>
            </w:r>
          </w:p>
        </w:tc>
        <w:tc>
          <w:tcPr>
            <w:tcW w:w="1083" w:type="dxa"/>
            <w:tcBorders>
              <w:top w:val="nil"/>
              <w:left w:val="single" w:sz="8" w:space="0" w:color="auto"/>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17,85,598</w:t>
            </w:r>
          </w:p>
        </w:tc>
        <w:tc>
          <w:tcPr>
            <w:tcW w:w="1062"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NA</w:t>
            </w:r>
          </w:p>
        </w:tc>
        <w:tc>
          <w:tcPr>
            <w:tcW w:w="1063"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1,27,480</w:t>
            </w:r>
          </w:p>
        </w:tc>
        <w:tc>
          <w:tcPr>
            <w:tcW w:w="1063"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280</w:t>
            </w:r>
          </w:p>
        </w:tc>
        <w:tc>
          <w:tcPr>
            <w:tcW w:w="1062"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NA</w:t>
            </w:r>
          </w:p>
        </w:tc>
        <w:tc>
          <w:tcPr>
            <w:tcW w:w="1062"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350</w:t>
            </w:r>
          </w:p>
        </w:tc>
      </w:tr>
      <w:tr w:rsidR="000F236F" w:rsidTr="00DB5405">
        <w:trPr>
          <w:trHeight w:val="238"/>
        </w:trPr>
        <w:tc>
          <w:tcPr>
            <w:tcW w:w="3425" w:type="dxa"/>
            <w:tcBorders>
              <w:top w:val="nil"/>
              <w:left w:val="single" w:sz="4" w:space="0" w:color="auto"/>
              <w:bottom w:val="nil"/>
              <w:right w:val="nil"/>
            </w:tcBorders>
            <w:shd w:val="clear" w:color="000000" w:fill="B4C6E7"/>
            <w:vAlign w:val="center"/>
            <w:hideMark/>
          </w:tcPr>
          <w:p w:rsidR="000F236F" w:rsidRDefault="000F236F" w:rsidP="00DB5405">
            <w:pPr>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Taiwan Futures Exchange</w:t>
            </w:r>
          </w:p>
        </w:tc>
        <w:tc>
          <w:tcPr>
            <w:tcW w:w="1083" w:type="dxa"/>
            <w:tcBorders>
              <w:top w:val="nil"/>
              <w:left w:val="single" w:sz="8" w:space="0" w:color="auto"/>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31,271</w:t>
            </w:r>
          </w:p>
        </w:tc>
        <w:tc>
          <w:tcPr>
            <w:tcW w:w="1062"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925</w:t>
            </w:r>
          </w:p>
        </w:tc>
        <w:tc>
          <w:tcPr>
            <w:tcW w:w="1063"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3,386</w:t>
            </w:r>
          </w:p>
        </w:tc>
        <w:tc>
          <w:tcPr>
            <w:tcW w:w="1063"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3,163</w:t>
            </w:r>
          </w:p>
        </w:tc>
        <w:tc>
          <w:tcPr>
            <w:tcW w:w="1062"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78</w:t>
            </w:r>
          </w:p>
        </w:tc>
        <w:tc>
          <w:tcPr>
            <w:tcW w:w="1062"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1,056</w:t>
            </w:r>
          </w:p>
        </w:tc>
      </w:tr>
      <w:tr w:rsidR="000F236F" w:rsidTr="00DB5405">
        <w:trPr>
          <w:trHeight w:val="238"/>
        </w:trPr>
        <w:tc>
          <w:tcPr>
            <w:tcW w:w="3425" w:type="dxa"/>
            <w:tcBorders>
              <w:top w:val="nil"/>
              <w:left w:val="single" w:sz="4" w:space="0" w:color="auto"/>
              <w:bottom w:val="nil"/>
              <w:right w:val="nil"/>
            </w:tcBorders>
            <w:shd w:val="clear" w:color="000000" w:fill="B4C6E7"/>
            <w:vAlign w:val="center"/>
            <w:hideMark/>
          </w:tcPr>
          <w:p w:rsidR="000F236F" w:rsidRDefault="000F236F" w:rsidP="00DB5405">
            <w:pPr>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Thailand Futures Exchange</w:t>
            </w:r>
          </w:p>
        </w:tc>
        <w:tc>
          <w:tcPr>
            <w:tcW w:w="1083" w:type="dxa"/>
            <w:tcBorders>
              <w:top w:val="nil"/>
              <w:left w:val="single" w:sz="8" w:space="0" w:color="auto"/>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2,56,168</w:t>
            </w:r>
          </w:p>
        </w:tc>
        <w:tc>
          <w:tcPr>
            <w:tcW w:w="1062"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NA</w:t>
            </w:r>
          </w:p>
        </w:tc>
        <w:tc>
          <w:tcPr>
            <w:tcW w:w="1063"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51,543</w:t>
            </w:r>
          </w:p>
        </w:tc>
        <w:tc>
          <w:tcPr>
            <w:tcW w:w="1063"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NA</w:t>
            </w:r>
          </w:p>
        </w:tc>
        <w:tc>
          <w:tcPr>
            <w:tcW w:w="1062"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NA</w:t>
            </w:r>
          </w:p>
        </w:tc>
        <w:tc>
          <w:tcPr>
            <w:tcW w:w="1062"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NA</w:t>
            </w:r>
          </w:p>
        </w:tc>
      </w:tr>
      <w:tr w:rsidR="000F236F" w:rsidTr="00DB5405">
        <w:trPr>
          <w:trHeight w:val="238"/>
        </w:trPr>
        <w:tc>
          <w:tcPr>
            <w:tcW w:w="3425" w:type="dxa"/>
            <w:tcBorders>
              <w:top w:val="nil"/>
              <w:left w:val="single" w:sz="4" w:space="0" w:color="auto"/>
              <w:bottom w:val="nil"/>
              <w:right w:val="nil"/>
            </w:tcBorders>
            <w:shd w:val="clear" w:color="000000" w:fill="B4C6E7"/>
            <w:vAlign w:val="center"/>
            <w:hideMark/>
          </w:tcPr>
          <w:p w:rsidR="000F236F" w:rsidRDefault="000F236F" w:rsidP="00DB5405">
            <w:pPr>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Borsa Istanbul</w:t>
            </w:r>
          </w:p>
        </w:tc>
        <w:tc>
          <w:tcPr>
            <w:tcW w:w="1083" w:type="dxa"/>
            <w:tcBorders>
              <w:top w:val="nil"/>
              <w:left w:val="single" w:sz="8" w:space="0" w:color="auto"/>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76,77,790</w:t>
            </w:r>
          </w:p>
        </w:tc>
        <w:tc>
          <w:tcPr>
            <w:tcW w:w="1062"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7,880</w:t>
            </w:r>
          </w:p>
        </w:tc>
        <w:tc>
          <w:tcPr>
            <w:tcW w:w="1063"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24,41,837</w:t>
            </w:r>
          </w:p>
        </w:tc>
        <w:tc>
          <w:tcPr>
            <w:tcW w:w="1063"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46,294</w:t>
            </w:r>
          </w:p>
        </w:tc>
        <w:tc>
          <w:tcPr>
            <w:tcW w:w="1062"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45</w:t>
            </w:r>
          </w:p>
        </w:tc>
        <w:tc>
          <w:tcPr>
            <w:tcW w:w="1062"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29,313</w:t>
            </w:r>
          </w:p>
        </w:tc>
      </w:tr>
      <w:tr w:rsidR="000F236F" w:rsidTr="00DB5405">
        <w:trPr>
          <w:trHeight w:val="238"/>
        </w:trPr>
        <w:tc>
          <w:tcPr>
            <w:tcW w:w="3425" w:type="dxa"/>
            <w:tcBorders>
              <w:top w:val="nil"/>
              <w:left w:val="single" w:sz="4" w:space="0" w:color="auto"/>
              <w:bottom w:val="nil"/>
              <w:right w:val="nil"/>
            </w:tcBorders>
            <w:shd w:val="clear" w:color="000000" w:fill="B4C6E7"/>
            <w:vAlign w:val="center"/>
            <w:hideMark/>
          </w:tcPr>
          <w:p w:rsidR="000F236F" w:rsidRDefault="000F236F" w:rsidP="00DB5405">
            <w:pPr>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Budapest Stock Exchange</w:t>
            </w:r>
          </w:p>
        </w:tc>
        <w:tc>
          <w:tcPr>
            <w:tcW w:w="1083" w:type="dxa"/>
            <w:tcBorders>
              <w:top w:val="nil"/>
              <w:left w:val="single" w:sz="8" w:space="0" w:color="auto"/>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4,08,736</w:t>
            </w:r>
          </w:p>
        </w:tc>
        <w:tc>
          <w:tcPr>
            <w:tcW w:w="1062"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453</w:t>
            </w:r>
          </w:p>
        </w:tc>
        <w:tc>
          <w:tcPr>
            <w:tcW w:w="1063"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5,11,447</w:t>
            </w:r>
          </w:p>
        </w:tc>
        <w:tc>
          <w:tcPr>
            <w:tcW w:w="1063"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NA</w:t>
            </w:r>
          </w:p>
        </w:tc>
        <w:tc>
          <w:tcPr>
            <w:tcW w:w="1062"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NA</w:t>
            </w:r>
          </w:p>
        </w:tc>
        <w:tc>
          <w:tcPr>
            <w:tcW w:w="1062"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NA</w:t>
            </w:r>
          </w:p>
        </w:tc>
      </w:tr>
      <w:tr w:rsidR="000F236F" w:rsidTr="00DB5405">
        <w:trPr>
          <w:trHeight w:val="238"/>
        </w:trPr>
        <w:tc>
          <w:tcPr>
            <w:tcW w:w="3425" w:type="dxa"/>
            <w:tcBorders>
              <w:top w:val="nil"/>
              <w:left w:val="single" w:sz="4" w:space="0" w:color="auto"/>
              <w:bottom w:val="nil"/>
              <w:right w:val="nil"/>
            </w:tcBorders>
            <w:shd w:val="clear" w:color="000000" w:fill="B4C6E7"/>
            <w:vAlign w:val="center"/>
            <w:hideMark/>
          </w:tcPr>
          <w:p w:rsidR="000F236F" w:rsidRDefault="000F236F" w:rsidP="00DB5405">
            <w:pPr>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Moscow Exchange</w:t>
            </w:r>
          </w:p>
        </w:tc>
        <w:tc>
          <w:tcPr>
            <w:tcW w:w="1083" w:type="dxa"/>
            <w:tcBorders>
              <w:top w:val="nil"/>
              <w:left w:val="single" w:sz="8" w:space="0" w:color="auto"/>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6,97,36,655</w:t>
            </w:r>
          </w:p>
        </w:tc>
        <w:tc>
          <w:tcPr>
            <w:tcW w:w="1062"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71,632</w:t>
            </w:r>
          </w:p>
        </w:tc>
        <w:tc>
          <w:tcPr>
            <w:tcW w:w="1063"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37,12,510</w:t>
            </w:r>
          </w:p>
        </w:tc>
        <w:tc>
          <w:tcPr>
            <w:tcW w:w="1063"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15,80,980</w:t>
            </w:r>
          </w:p>
        </w:tc>
        <w:tc>
          <w:tcPr>
            <w:tcW w:w="1062"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1,611</w:t>
            </w:r>
          </w:p>
        </w:tc>
        <w:tc>
          <w:tcPr>
            <w:tcW w:w="1062"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13,13,558</w:t>
            </w:r>
          </w:p>
        </w:tc>
      </w:tr>
      <w:tr w:rsidR="000F236F" w:rsidTr="00DB5405">
        <w:trPr>
          <w:trHeight w:val="238"/>
        </w:trPr>
        <w:tc>
          <w:tcPr>
            <w:tcW w:w="3425" w:type="dxa"/>
            <w:tcBorders>
              <w:top w:val="nil"/>
              <w:left w:val="single" w:sz="4" w:space="0" w:color="auto"/>
              <w:bottom w:val="nil"/>
              <w:right w:val="nil"/>
            </w:tcBorders>
            <w:shd w:val="clear" w:color="000000" w:fill="B4C6E7"/>
            <w:vAlign w:val="center"/>
            <w:hideMark/>
          </w:tcPr>
          <w:p w:rsidR="000F236F" w:rsidRDefault="000F236F" w:rsidP="00DB5405">
            <w:pPr>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Tel-Aviv Stock Exchange</w:t>
            </w:r>
          </w:p>
        </w:tc>
        <w:tc>
          <w:tcPr>
            <w:tcW w:w="1083" w:type="dxa"/>
            <w:tcBorders>
              <w:top w:val="nil"/>
              <w:left w:val="single" w:sz="8" w:space="0" w:color="auto"/>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NA</w:t>
            </w:r>
          </w:p>
        </w:tc>
        <w:tc>
          <w:tcPr>
            <w:tcW w:w="1062"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NA</w:t>
            </w:r>
          </w:p>
        </w:tc>
        <w:tc>
          <w:tcPr>
            <w:tcW w:w="1063"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NA</w:t>
            </w:r>
          </w:p>
        </w:tc>
        <w:tc>
          <w:tcPr>
            <w:tcW w:w="1063"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9,76,043</w:t>
            </w:r>
          </w:p>
        </w:tc>
        <w:tc>
          <w:tcPr>
            <w:tcW w:w="1062"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9,910</w:t>
            </w:r>
          </w:p>
        </w:tc>
        <w:tc>
          <w:tcPr>
            <w:tcW w:w="1062"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4,93,417</w:t>
            </w:r>
          </w:p>
        </w:tc>
      </w:tr>
      <w:tr w:rsidR="000F236F" w:rsidTr="00DB5405">
        <w:trPr>
          <w:trHeight w:val="250"/>
        </w:trPr>
        <w:tc>
          <w:tcPr>
            <w:tcW w:w="3425" w:type="dxa"/>
            <w:tcBorders>
              <w:top w:val="nil"/>
              <w:left w:val="single" w:sz="4" w:space="0" w:color="auto"/>
              <w:bottom w:val="nil"/>
              <w:right w:val="nil"/>
            </w:tcBorders>
            <w:shd w:val="clear" w:color="000000" w:fill="B4C6E7"/>
            <w:vAlign w:val="center"/>
            <w:hideMark/>
          </w:tcPr>
          <w:p w:rsidR="000F236F" w:rsidRDefault="000F236F" w:rsidP="00DB5405">
            <w:pPr>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Dubai Gold and Commodities Exchange</w:t>
            </w:r>
          </w:p>
        </w:tc>
        <w:tc>
          <w:tcPr>
            <w:tcW w:w="1083" w:type="dxa"/>
            <w:tcBorders>
              <w:top w:val="nil"/>
              <w:left w:val="single" w:sz="8" w:space="0" w:color="auto"/>
              <w:bottom w:val="single" w:sz="8" w:space="0" w:color="auto"/>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8,30,415</w:t>
            </w:r>
          </w:p>
        </w:tc>
        <w:tc>
          <w:tcPr>
            <w:tcW w:w="1062" w:type="dxa"/>
            <w:tcBorders>
              <w:top w:val="nil"/>
              <w:left w:val="nil"/>
              <w:bottom w:val="single" w:sz="8" w:space="0" w:color="auto"/>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5,399</w:t>
            </w:r>
          </w:p>
        </w:tc>
        <w:tc>
          <w:tcPr>
            <w:tcW w:w="1063" w:type="dxa"/>
            <w:tcBorders>
              <w:top w:val="nil"/>
              <w:left w:val="nil"/>
              <w:bottom w:val="single" w:sz="8" w:space="0" w:color="auto"/>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1,33,004</w:t>
            </w:r>
          </w:p>
        </w:tc>
        <w:tc>
          <w:tcPr>
            <w:tcW w:w="1063" w:type="dxa"/>
            <w:tcBorders>
              <w:top w:val="nil"/>
              <w:left w:val="nil"/>
              <w:bottom w:val="single" w:sz="8" w:space="0" w:color="auto"/>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0</w:t>
            </w:r>
          </w:p>
        </w:tc>
        <w:tc>
          <w:tcPr>
            <w:tcW w:w="1062" w:type="dxa"/>
            <w:tcBorders>
              <w:top w:val="nil"/>
              <w:left w:val="nil"/>
              <w:bottom w:val="single" w:sz="8" w:space="0" w:color="auto"/>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0</w:t>
            </w:r>
          </w:p>
        </w:tc>
        <w:tc>
          <w:tcPr>
            <w:tcW w:w="1062" w:type="dxa"/>
            <w:tcBorders>
              <w:top w:val="nil"/>
              <w:left w:val="nil"/>
              <w:bottom w:val="single" w:sz="8" w:space="0" w:color="auto"/>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0</w:t>
            </w:r>
          </w:p>
        </w:tc>
      </w:tr>
      <w:tr w:rsidR="000F236F" w:rsidTr="00DB5405">
        <w:trPr>
          <w:trHeight w:val="250"/>
        </w:trPr>
        <w:tc>
          <w:tcPr>
            <w:tcW w:w="3425" w:type="dxa"/>
            <w:tcBorders>
              <w:top w:val="single" w:sz="8" w:space="0" w:color="auto"/>
              <w:left w:val="single" w:sz="8" w:space="0" w:color="auto"/>
              <w:bottom w:val="single" w:sz="8" w:space="0" w:color="auto"/>
              <w:right w:val="nil"/>
            </w:tcBorders>
            <w:shd w:val="clear" w:color="000000" w:fill="D9E1F2"/>
            <w:vAlign w:val="center"/>
            <w:hideMark/>
          </w:tcPr>
          <w:p w:rsidR="000F236F" w:rsidRDefault="000F236F" w:rsidP="00DB5405">
            <w:pPr>
              <w:rPr>
                <w:rFonts w:ascii="Garamond" w:eastAsia="Times New Roman" w:hAnsi="Garamond" w:cs="Calibri"/>
                <w:b/>
                <w:bCs/>
                <w:color w:val="000000"/>
                <w:sz w:val="20"/>
                <w:szCs w:val="20"/>
                <w:lang w:val="en-IN" w:eastAsia="en-IN"/>
              </w:rPr>
            </w:pPr>
            <w:r>
              <w:rPr>
                <w:rFonts w:ascii="Garamond" w:eastAsia="Times New Roman" w:hAnsi="Garamond" w:cs="Calibri"/>
                <w:b/>
                <w:bCs/>
                <w:color w:val="000000"/>
                <w:sz w:val="20"/>
                <w:szCs w:val="20"/>
                <w:lang w:val="en-IN" w:eastAsia="en-IN"/>
              </w:rPr>
              <w:t>Grand Total</w:t>
            </w:r>
          </w:p>
        </w:tc>
        <w:tc>
          <w:tcPr>
            <w:tcW w:w="1083" w:type="dxa"/>
            <w:tcBorders>
              <w:top w:val="nil"/>
              <w:left w:val="nil"/>
              <w:bottom w:val="single" w:sz="8" w:space="0" w:color="auto"/>
              <w:right w:val="nil"/>
            </w:tcBorders>
            <w:shd w:val="clear" w:color="000000" w:fill="D9E1F2"/>
            <w:vAlign w:val="center"/>
            <w:hideMark/>
          </w:tcPr>
          <w:p w:rsidR="000F236F" w:rsidRDefault="000F236F" w:rsidP="00DB5405">
            <w:pPr>
              <w:jc w:val="right"/>
              <w:rPr>
                <w:rFonts w:ascii="Garamond" w:eastAsia="Times New Roman" w:hAnsi="Garamond" w:cs="Calibri"/>
                <w:b/>
                <w:bCs/>
                <w:color w:val="000000"/>
                <w:sz w:val="20"/>
                <w:szCs w:val="20"/>
                <w:lang w:val="en-IN" w:eastAsia="en-IN"/>
              </w:rPr>
            </w:pPr>
            <w:r>
              <w:rPr>
                <w:rFonts w:ascii="Garamond" w:eastAsia="Times New Roman" w:hAnsi="Garamond" w:cs="Calibri"/>
                <w:b/>
                <w:bCs/>
                <w:color w:val="000000"/>
                <w:sz w:val="20"/>
                <w:szCs w:val="20"/>
                <w:lang w:val="en-IN" w:eastAsia="en-IN"/>
              </w:rPr>
              <w:t xml:space="preserve">   27,05,33,714 </w:t>
            </w:r>
          </w:p>
        </w:tc>
        <w:tc>
          <w:tcPr>
            <w:tcW w:w="1062" w:type="dxa"/>
            <w:tcBorders>
              <w:top w:val="nil"/>
              <w:left w:val="nil"/>
              <w:bottom w:val="single" w:sz="8" w:space="0" w:color="auto"/>
              <w:right w:val="nil"/>
            </w:tcBorders>
            <w:shd w:val="clear" w:color="000000" w:fill="D9E1F2"/>
            <w:vAlign w:val="center"/>
            <w:hideMark/>
          </w:tcPr>
          <w:p w:rsidR="000F236F" w:rsidRDefault="000F236F" w:rsidP="00DB5405">
            <w:pPr>
              <w:jc w:val="right"/>
              <w:rPr>
                <w:rFonts w:ascii="Garamond" w:eastAsia="Times New Roman" w:hAnsi="Garamond" w:cs="Calibri"/>
                <w:b/>
                <w:bCs/>
                <w:color w:val="000000"/>
                <w:sz w:val="20"/>
                <w:szCs w:val="20"/>
                <w:lang w:val="en-IN" w:eastAsia="en-IN"/>
              </w:rPr>
            </w:pPr>
            <w:r>
              <w:rPr>
                <w:rFonts w:ascii="Garamond" w:eastAsia="Times New Roman" w:hAnsi="Garamond" w:cs="Calibri"/>
                <w:b/>
                <w:bCs/>
                <w:color w:val="000000"/>
                <w:sz w:val="20"/>
                <w:szCs w:val="20"/>
                <w:lang w:val="en-IN" w:eastAsia="en-IN"/>
              </w:rPr>
              <w:t xml:space="preserve">        26,59,991 </w:t>
            </w:r>
          </w:p>
        </w:tc>
        <w:tc>
          <w:tcPr>
            <w:tcW w:w="1063" w:type="dxa"/>
            <w:tcBorders>
              <w:top w:val="nil"/>
              <w:left w:val="nil"/>
              <w:bottom w:val="single" w:sz="8" w:space="0" w:color="auto"/>
              <w:right w:val="nil"/>
            </w:tcBorders>
            <w:shd w:val="clear" w:color="000000" w:fill="D9E1F2"/>
            <w:vAlign w:val="center"/>
            <w:hideMark/>
          </w:tcPr>
          <w:p w:rsidR="000F236F" w:rsidRDefault="000F236F" w:rsidP="00DB5405">
            <w:pPr>
              <w:jc w:val="right"/>
              <w:rPr>
                <w:rFonts w:ascii="Garamond" w:eastAsia="Times New Roman" w:hAnsi="Garamond" w:cs="Calibri"/>
                <w:b/>
                <w:bCs/>
                <w:color w:val="000000"/>
                <w:sz w:val="20"/>
                <w:szCs w:val="20"/>
                <w:lang w:val="en-IN" w:eastAsia="en-IN"/>
              </w:rPr>
            </w:pPr>
            <w:r>
              <w:rPr>
                <w:rFonts w:ascii="Garamond" w:eastAsia="Times New Roman" w:hAnsi="Garamond" w:cs="Calibri"/>
                <w:b/>
                <w:bCs/>
                <w:color w:val="000000"/>
                <w:sz w:val="20"/>
                <w:szCs w:val="20"/>
                <w:lang w:val="en-IN" w:eastAsia="en-IN"/>
              </w:rPr>
              <w:t xml:space="preserve">     2,74,52,190 </w:t>
            </w:r>
          </w:p>
        </w:tc>
        <w:tc>
          <w:tcPr>
            <w:tcW w:w="1063" w:type="dxa"/>
            <w:tcBorders>
              <w:top w:val="nil"/>
              <w:left w:val="nil"/>
              <w:bottom w:val="single" w:sz="8" w:space="0" w:color="auto"/>
              <w:right w:val="nil"/>
            </w:tcBorders>
            <w:shd w:val="clear" w:color="000000" w:fill="D9E1F2"/>
            <w:vAlign w:val="center"/>
            <w:hideMark/>
          </w:tcPr>
          <w:p w:rsidR="000F236F" w:rsidRDefault="000F236F" w:rsidP="00DB5405">
            <w:pPr>
              <w:jc w:val="right"/>
              <w:rPr>
                <w:rFonts w:ascii="Garamond" w:eastAsia="Times New Roman" w:hAnsi="Garamond" w:cs="Calibri"/>
                <w:b/>
                <w:bCs/>
                <w:color w:val="000000"/>
                <w:sz w:val="20"/>
                <w:szCs w:val="20"/>
                <w:lang w:val="en-IN" w:eastAsia="en-IN"/>
              </w:rPr>
            </w:pPr>
            <w:r>
              <w:rPr>
                <w:rFonts w:ascii="Garamond" w:eastAsia="Times New Roman" w:hAnsi="Garamond" w:cs="Calibri"/>
                <w:b/>
                <w:bCs/>
                <w:color w:val="000000"/>
                <w:sz w:val="20"/>
                <w:szCs w:val="20"/>
                <w:lang w:val="en-IN" w:eastAsia="en-IN"/>
              </w:rPr>
              <w:t xml:space="preserve">   11,24,32,481 </w:t>
            </w:r>
          </w:p>
        </w:tc>
        <w:tc>
          <w:tcPr>
            <w:tcW w:w="1062" w:type="dxa"/>
            <w:tcBorders>
              <w:top w:val="nil"/>
              <w:left w:val="nil"/>
              <w:bottom w:val="single" w:sz="8" w:space="0" w:color="auto"/>
              <w:right w:val="nil"/>
            </w:tcBorders>
            <w:shd w:val="clear" w:color="000000" w:fill="D9E1F2"/>
            <w:vAlign w:val="center"/>
            <w:hideMark/>
          </w:tcPr>
          <w:p w:rsidR="000F236F" w:rsidRDefault="000F236F" w:rsidP="00DB5405">
            <w:pPr>
              <w:jc w:val="right"/>
              <w:rPr>
                <w:rFonts w:ascii="Garamond" w:eastAsia="Times New Roman" w:hAnsi="Garamond" w:cs="Calibri"/>
                <w:b/>
                <w:bCs/>
                <w:color w:val="000000"/>
                <w:sz w:val="20"/>
                <w:szCs w:val="20"/>
                <w:lang w:val="en-IN" w:eastAsia="en-IN"/>
              </w:rPr>
            </w:pPr>
            <w:r>
              <w:rPr>
                <w:rFonts w:ascii="Garamond" w:eastAsia="Times New Roman" w:hAnsi="Garamond" w:cs="Calibri"/>
                <w:b/>
                <w:bCs/>
                <w:color w:val="000000"/>
                <w:sz w:val="20"/>
                <w:szCs w:val="20"/>
                <w:lang w:val="en-IN" w:eastAsia="en-IN"/>
              </w:rPr>
              <w:t xml:space="preserve">          1,97,332 </w:t>
            </w:r>
          </w:p>
        </w:tc>
        <w:tc>
          <w:tcPr>
            <w:tcW w:w="1062" w:type="dxa"/>
            <w:tcBorders>
              <w:top w:val="nil"/>
              <w:left w:val="nil"/>
              <w:bottom w:val="single" w:sz="8" w:space="0" w:color="auto"/>
              <w:right w:val="single" w:sz="8" w:space="0" w:color="auto"/>
            </w:tcBorders>
            <w:shd w:val="clear" w:color="000000" w:fill="D9E1F2"/>
            <w:vAlign w:val="center"/>
            <w:hideMark/>
          </w:tcPr>
          <w:p w:rsidR="000F236F" w:rsidRDefault="000F236F" w:rsidP="00DB5405">
            <w:pPr>
              <w:jc w:val="right"/>
              <w:rPr>
                <w:rFonts w:ascii="Garamond" w:eastAsia="Times New Roman" w:hAnsi="Garamond" w:cs="Calibri"/>
                <w:b/>
                <w:bCs/>
                <w:color w:val="000000"/>
                <w:sz w:val="20"/>
                <w:szCs w:val="20"/>
                <w:lang w:val="en-IN" w:eastAsia="en-IN"/>
              </w:rPr>
            </w:pPr>
            <w:r>
              <w:rPr>
                <w:rFonts w:ascii="Garamond" w:eastAsia="Times New Roman" w:hAnsi="Garamond" w:cs="Calibri"/>
                <w:b/>
                <w:bCs/>
                <w:color w:val="000000"/>
                <w:sz w:val="20"/>
                <w:szCs w:val="20"/>
                <w:lang w:val="en-IN" w:eastAsia="en-IN"/>
              </w:rPr>
              <w:t xml:space="preserve">       62,67,226 </w:t>
            </w:r>
          </w:p>
        </w:tc>
      </w:tr>
    </w:tbl>
    <w:p w:rsidR="000F236F" w:rsidRDefault="000F236F" w:rsidP="000F236F">
      <w:pPr>
        <w:tabs>
          <w:tab w:val="left" w:pos="3306"/>
          <w:tab w:val="left" w:pos="4629"/>
          <w:tab w:val="left" w:pos="5685"/>
          <w:tab w:val="left" w:pos="6759"/>
          <w:tab w:val="left" w:pos="7923"/>
          <w:tab w:val="left" w:pos="8994"/>
        </w:tabs>
        <w:spacing w:line="23" w:lineRule="atLeast"/>
        <w:rPr>
          <w:rFonts w:ascii="Garamond" w:eastAsia="Times New Roman" w:hAnsi="Garamond"/>
          <w:bCs/>
          <w:sz w:val="18"/>
          <w:szCs w:val="18"/>
          <w:lang w:val="en-US"/>
        </w:rPr>
      </w:pPr>
      <w:r>
        <w:rPr>
          <w:rFonts w:ascii="Garamond" w:eastAsia="Times New Roman" w:hAnsi="Garamond"/>
          <w:bCs/>
          <w:sz w:val="18"/>
          <w:szCs w:val="18"/>
          <w:lang w:val="en-US"/>
        </w:rPr>
        <w:tab/>
      </w:r>
      <w:r>
        <w:rPr>
          <w:rFonts w:ascii="Garamond" w:eastAsia="Times New Roman" w:hAnsi="Garamond"/>
          <w:bCs/>
          <w:sz w:val="18"/>
          <w:szCs w:val="18"/>
          <w:lang w:val="en-US"/>
        </w:rPr>
        <w:tab/>
      </w:r>
      <w:r>
        <w:rPr>
          <w:rFonts w:ascii="Garamond" w:eastAsia="Times New Roman" w:hAnsi="Garamond"/>
          <w:bCs/>
          <w:sz w:val="18"/>
          <w:szCs w:val="18"/>
          <w:lang w:val="en-US"/>
        </w:rPr>
        <w:tab/>
      </w:r>
      <w:r>
        <w:rPr>
          <w:rFonts w:ascii="Garamond" w:eastAsia="Times New Roman" w:hAnsi="Garamond"/>
          <w:bCs/>
          <w:sz w:val="18"/>
          <w:szCs w:val="18"/>
          <w:lang w:val="en-US"/>
        </w:rPr>
        <w:tab/>
      </w:r>
      <w:r>
        <w:rPr>
          <w:rFonts w:ascii="Garamond" w:eastAsia="Times New Roman" w:hAnsi="Garamond"/>
          <w:bCs/>
          <w:sz w:val="18"/>
          <w:szCs w:val="18"/>
          <w:lang w:val="en-US"/>
        </w:rPr>
        <w:tab/>
      </w:r>
    </w:p>
    <w:p w:rsidR="000F236F" w:rsidRDefault="000F236F" w:rsidP="000F236F">
      <w:pPr>
        <w:spacing w:line="23" w:lineRule="atLeast"/>
        <w:jc w:val="both"/>
        <w:rPr>
          <w:rFonts w:ascii="Garamond" w:hAnsi="Garamond"/>
          <w:bCs/>
          <w:sz w:val="18"/>
          <w:szCs w:val="18"/>
        </w:rPr>
      </w:pPr>
      <w:r>
        <w:rPr>
          <w:rFonts w:ascii="Garamond" w:hAnsi="Garamond"/>
          <w:bCs/>
          <w:sz w:val="18"/>
          <w:szCs w:val="18"/>
        </w:rPr>
        <w:t>NA: Not Available</w:t>
      </w:r>
    </w:p>
    <w:p w:rsidR="000F236F" w:rsidRDefault="000F236F" w:rsidP="000F236F">
      <w:pPr>
        <w:spacing w:line="23" w:lineRule="atLeast"/>
        <w:jc w:val="both"/>
        <w:outlineLvl w:val="0"/>
        <w:rPr>
          <w:rFonts w:ascii="Garamond" w:hAnsi="Garamond"/>
          <w:bCs/>
          <w:sz w:val="18"/>
          <w:szCs w:val="18"/>
        </w:rPr>
      </w:pPr>
      <w:r>
        <w:rPr>
          <w:rFonts w:ascii="Garamond" w:hAnsi="Garamond"/>
          <w:bCs/>
          <w:sz w:val="18"/>
          <w:szCs w:val="18"/>
        </w:rPr>
        <w:t>Source: World Federation of Exchanges</w:t>
      </w:r>
    </w:p>
    <w:p w:rsidR="000F236F" w:rsidRDefault="000F236F" w:rsidP="000F236F">
      <w:pPr>
        <w:spacing w:line="23" w:lineRule="atLeast"/>
        <w:rPr>
          <w:rFonts w:ascii="Garamond" w:hAnsi="Garamond"/>
          <w:bCs/>
          <w:sz w:val="22"/>
          <w:szCs w:val="22"/>
          <w:highlight w:val="lightGray"/>
        </w:rPr>
      </w:pPr>
      <w:r>
        <w:rPr>
          <w:rFonts w:ascii="Garamond" w:eastAsia="Times New Roman" w:hAnsi="Garamond"/>
          <w:bCs/>
          <w:sz w:val="22"/>
          <w:szCs w:val="22"/>
          <w:lang w:val="en-US"/>
        </w:rPr>
        <w:tab/>
      </w:r>
    </w:p>
    <w:p w:rsidR="000F236F" w:rsidRDefault="000F236F" w:rsidP="000F236F">
      <w:pPr>
        <w:spacing w:line="23" w:lineRule="atLeast"/>
        <w:rPr>
          <w:rFonts w:ascii="Garamond" w:hAnsi="Garamond"/>
          <w:bCs/>
          <w:sz w:val="22"/>
          <w:szCs w:val="22"/>
        </w:rPr>
      </w:pPr>
    </w:p>
    <w:p w:rsidR="000F236F" w:rsidRDefault="000F236F" w:rsidP="000F236F">
      <w:pPr>
        <w:rPr>
          <w:rFonts w:ascii="Garamond" w:eastAsia="Times New Roman" w:hAnsi="Garamond"/>
          <w:bCs/>
          <w:strike/>
          <w:sz w:val="22"/>
          <w:szCs w:val="22"/>
          <w:lang w:val="en-US"/>
        </w:rPr>
      </w:pPr>
      <w:r>
        <w:rPr>
          <w:rFonts w:ascii="Garamond" w:eastAsia="Times New Roman" w:hAnsi="Garamond"/>
          <w:bCs/>
          <w:sz w:val="22"/>
          <w:szCs w:val="22"/>
          <w:lang w:val="en-US"/>
        </w:rPr>
        <w:br w:type="page"/>
      </w:r>
    </w:p>
    <w:p w:rsidR="000F236F" w:rsidRDefault="000F236F" w:rsidP="000F236F">
      <w:pPr>
        <w:spacing w:line="23" w:lineRule="atLeast"/>
        <w:rPr>
          <w:rFonts w:ascii="Garamond" w:eastAsia="Times New Roman" w:hAnsi="Garamond"/>
          <w:b/>
          <w:bCs/>
          <w:szCs w:val="22"/>
          <w:lang w:val="en-US"/>
        </w:rPr>
      </w:pPr>
      <w:r>
        <w:rPr>
          <w:rFonts w:ascii="Garamond" w:eastAsia="Times New Roman" w:hAnsi="Garamond"/>
          <w:b/>
          <w:bCs/>
          <w:szCs w:val="22"/>
          <w:lang w:val="en-US"/>
        </w:rPr>
        <w:lastRenderedPageBreak/>
        <w:t>Table A7: Interest Rate Futures and Options Traded in Major Exchanges</w:t>
      </w:r>
    </w:p>
    <w:p w:rsidR="000F236F" w:rsidRDefault="000F236F" w:rsidP="000F236F">
      <w:pPr>
        <w:spacing w:line="23" w:lineRule="atLeast"/>
        <w:jc w:val="right"/>
        <w:rPr>
          <w:rFonts w:ascii="Garamond" w:eastAsia="Times New Roman" w:hAnsi="Garamond"/>
          <w:bCs/>
          <w:sz w:val="22"/>
          <w:szCs w:val="22"/>
          <w:lang w:val="en-US"/>
        </w:rPr>
      </w:pPr>
      <w:r>
        <w:rPr>
          <w:rFonts w:ascii="Garamond" w:hAnsi="Garamond"/>
          <w:bCs/>
          <w:sz w:val="22"/>
          <w:szCs w:val="22"/>
        </w:rPr>
        <w:t>Notional Turnover in (USD million)</w:t>
      </w:r>
    </w:p>
    <w:tbl>
      <w:tblPr>
        <w:tblW w:w="10047" w:type="dxa"/>
        <w:tblLook w:val="04A0" w:firstRow="1" w:lastRow="0" w:firstColumn="1" w:lastColumn="0" w:noHBand="0" w:noVBand="1"/>
      </w:tblPr>
      <w:tblGrid>
        <w:gridCol w:w="3305"/>
        <w:gridCol w:w="1202"/>
        <w:gridCol w:w="1108"/>
        <w:gridCol w:w="1108"/>
        <w:gridCol w:w="1108"/>
        <w:gridCol w:w="1108"/>
        <w:gridCol w:w="1108"/>
      </w:tblGrid>
      <w:tr w:rsidR="000F236F" w:rsidTr="00DB5405">
        <w:trPr>
          <w:trHeight w:val="218"/>
        </w:trPr>
        <w:tc>
          <w:tcPr>
            <w:tcW w:w="3436" w:type="dxa"/>
            <w:vMerge w:val="restart"/>
            <w:tcBorders>
              <w:top w:val="single" w:sz="4" w:space="0" w:color="auto"/>
              <w:left w:val="single" w:sz="4" w:space="0" w:color="auto"/>
              <w:bottom w:val="single" w:sz="4" w:space="0" w:color="auto"/>
              <w:right w:val="single" w:sz="4" w:space="0" w:color="auto"/>
            </w:tcBorders>
            <w:shd w:val="clear" w:color="000000" w:fill="B4C6E7"/>
            <w:vAlign w:val="center"/>
            <w:hideMark/>
          </w:tcPr>
          <w:p w:rsidR="000F236F" w:rsidRDefault="000F236F" w:rsidP="00DB5405">
            <w:pPr>
              <w:jc w:val="center"/>
              <w:rPr>
                <w:rFonts w:ascii="Garamond" w:eastAsia="Times New Roman" w:hAnsi="Garamond" w:cs="Calibri"/>
                <w:b/>
                <w:bCs/>
                <w:color w:val="000000"/>
                <w:sz w:val="20"/>
                <w:szCs w:val="20"/>
                <w:lang w:val="en-IN" w:eastAsia="en-IN"/>
              </w:rPr>
            </w:pPr>
            <w:r>
              <w:rPr>
                <w:rFonts w:ascii="Garamond" w:eastAsia="Times New Roman" w:hAnsi="Garamond" w:cs="Calibri"/>
                <w:b/>
                <w:bCs/>
                <w:color w:val="000000"/>
                <w:sz w:val="20"/>
                <w:szCs w:val="20"/>
                <w:lang w:val="en-IN" w:eastAsia="en-IN"/>
              </w:rPr>
              <w:t>Exchange</w:t>
            </w:r>
          </w:p>
        </w:tc>
        <w:tc>
          <w:tcPr>
            <w:tcW w:w="6611" w:type="dxa"/>
            <w:gridSpan w:val="6"/>
            <w:tcBorders>
              <w:top w:val="single" w:sz="4" w:space="0" w:color="auto"/>
              <w:left w:val="nil"/>
              <w:bottom w:val="single" w:sz="4" w:space="0" w:color="auto"/>
              <w:right w:val="single" w:sz="4" w:space="0" w:color="auto"/>
            </w:tcBorders>
            <w:shd w:val="clear" w:color="000000" w:fill="B4C6E7"/>
            <w:vAlign w:val="center"/>
            <w:hideMark/>
          </w:tcPr>
          <w:p w:rsidR="000F236F" w:rsidRDefault="000F236F" w:rsidP="00DB5405">
            <w:pPr>
              <w:jc w:val="center"/>
              <w:rPr>
                <w:rFonts w:ascii="Garamond" w:eastAsia="Times New Roman" w:hAnsi="Garamond" w:cs="Calibri"/>
                <w:b/>
                <w:bCs/>
                <w:color w:val="000000"/>
                <w:sz w:val="20"/>
                <w:szCs w:val="20"/>
                <w:lang w:val="en-IN" w:eastAsia="en-IN"/>
              </w:rPr>
            </w:pPr>
            <w:r>
              <w:rPr>
                <w:rFonts w:ascii="Garamond" w:eastAsia="Times New Roman" w:hAnsi="Garamond" w:cs="Calibri"/>
                <w:b/>
                <w:bCs/>
                <w:color w:val="000000"/>
                <w:sz w:val="20"/>
                <w:szCs w:val="20"/>
                <w:lang w:val="en-IN" w:eastAsia="en-IN"/>
              </w:rPr>
              <w:t>Aug-20</w:t>
            </w:r>
          </w:p>
        </w:tc>
      </w:tr>
      <w:tr w:rsidR="000F236F" w:rsidTr="00DB5405">
        <w:trPr>
          <w:trHeight w:val="218"/>
        </w:trPr>
        <w:tc>
          <w:tcPr>
            <w:tcW w:w="3436" w:type="dxa"/>
            <w:vMerge/>
            <w:tcBorders>
              <w:top w:val="single" w:sz="4" w:space="0" w:color="auto"/>
              <w:left w:val="single" w:sz="4" w:space="0" w:color="auto"/>
              <w:bottom w:val="single" w:sz="4" w:space="0" w:color="auto"/>
              <w:right w:val="single" w:sz="4" w:space="0" w:color="auto"/>
            </w:tcBorders>
            <w:vAlign w:val="center"/>
            <w:hideMark/>
          </w:tcPr>
          <w:p w:rsidR="000F236F" w:rsidRDefault="000F236F" w:rsidP="00DB5405">
            <w:pPr>
              <w:rPr>
                <w:rFonts w:ascii="Garamond" w:eastAsia="Times New Roman" w:hAnsi="Garamond" w:cs="Calibri"/>
                <w:b/>
                <w:bCs/>
                <w:color w:val="000000"/>
                <w:sz w:val="20"/>
                <w:szCs w:val="20"/>
                <w:lang w:val="en-IN" w:eastAsia="en-IN"/>
              </w:rPr>
            </w:pPr>
          </w:p>
        </w:tc>
        <w:tc>
          <w:tcPr>
            <w:tcW w:w="3351" w:type="dxa"/>
            <w:gridSpan w:val="3"/>
            <w:tcBorders>
              <w:top w:val="single" w:sz="4" w:space="0" w:color="auto"/>
              <w:left w:val="nil"/>
              <w:bottom w:val="single" w:sz="4" w:space="0" w:color="auto"/>
              <w:right w:val="single" w:sz="4" w:space="0" w:color="auto"/>
            </w:tcBorders>
            <w:shd w:val="clear" w:color="000000" w:fill="B4C6E7"/>
            <w:vAlign w:val="center"/>
            <w:hideMark/>
          </w:tcPr>
          <w:p w:rsidR="000F236F" w:rsidRDefault="000F236F" w:rsidP="00DB5405">
            <w:pPr>
              <w:jc w:val="center"/>
              <w:rPr>
                <w:rFonts w:ascii="Garamond" w:eastAsia="Times New Roman" w:hAnsi="Garamond" w:cs="Calibri"/>
                <w:b/>
                <w:bCs/>
                <w:color w:val="000000"/>
                <w:sz w:val="20"/>
                <w:szCs w:val="20"/>
                <w:lang w:val="en-IN" w:eastAsia="en-IN"/>
              </w:rPr>
            </w:pPr>
            <w:r>
              <w:rPr>
                <w:rFonts w:ascii="Garamond" w:eastAsia="Times New Roman" w:hAnsi="Garamond" w:cs="Calibri"/>
                <w:b/>
                <w:bCs/>
                <w:color w:val="000000"/>
                <w:sz w:val="20"/>
                <w:szCs w:val="20"/>
                <w:lang w:val="en-IN" w:eastAsia="en-IN"/>
              </w:rPr>
              <w:t>Interest Rate Futures</w:t>
            </w:r>
          </w:p>
        </w:tc>
        <w:tc>
          <w:tcPr>
            <w:tcW w:w="3260" w:type="dxa"/>
            <w:gridSpan w:val="3"/>
            <w:tcBorders>
              <w:top w:val="single" w:sz="4" w:space="0" w:color="auto"/>
              <w:left w:val="nil"/>
              <w:bottom w:val="single" w:sz="4" w:space="0" w:color="auto"/>
              <w:right w:val="single" w:sz="4" w:space="0" w:color="auto"/>
            </w:tcBorders>
            <w:shd w:val="clear" w:color="000000" w:fill="B4C6E7"/>
            <w:vAlign w:val="center"/>
            <w:hideMark/>
          </w:tcPr>
          <w:p w:rsidR="000F236F" w:rsidRDefault="000F236F" w:rsidP="00DB5405">
            <w:pPr>
              <w:jc w:val="center"/>
              <w:rPr>
                <w:rFonts w:ascii="Garamond" w:eastAsia="Times New Roman" w:hAnsi="Garamond" w:cs="Calibri"/>
                <w:b/>
                <w:bCs/>
                <w:color w:val="000000"/>
                <w:sz w:val="20"/>
                <w:szCs w:val="20"/>
                <w:lang w:val="en-IN" w:eastAsia="en-IN"/>
              </w:rPr>
            </w:pPr>
            <w:r>
              <w:rPr>
                <w:rFonts w:ascii="Garamond" w:eastAsia="Times New Roman" w:hAnsi="Garamond" w:cs="Calibri"/>
                <w:b/>
                <w:bCs/>
                <w:color w:val="000000"/>
                <w:sz w:val="20"/>
                <w:szCs w:val="20"/>
                <w:lang w:val="en-IN" w:eastAsia="en-IN"/>
              </w:rPr>
              <w:t>Interest Rate Options</w:t>
            </w:r>
          </w:p>
        </w:tc>
      </w:tr>
      <w:tr w:rsidR="000F236F" w:rsidTr="00DB5405">
        <w:trPr>
          <w:trHeight w:val="568"/>
        </w:trPr>
        <w:tc>
          <w:tcPr>
            <w:tcW w:w="3436" w:type="dxa"/>
            <w:vMerge/>
            <w:tcBorders>
              <w:top w:val="single" w:sz="4" w:space="0" w:color="auto"/>
              <w:left w:val="single" w:sz="4" w:space="0" w:color="auto"/>
              <w:bottom w:val="single" w:sz="4" w:space="0" w:color="auto"/>
              <w:right w:val="single" w:sz="4" w:space="0" w:color="auto"/>
            </w:tcBorders>
            <w:vAlign w:val="center"/>
            <w:hideMark/>
          </w:tcPr>
          <w:p w:rsidR="000F236F" w:rsidRDefault="000F236F" w:rsidP="00DB5405">
            <w:pPr>
              <w:rPr>
                <w:rFonts w:ascii="Garamond" w:eastAsia="Times New Roman" w:hAnsi="Garamond" w:cs="Calibri"/>
                <w:b/>
                <w:bCs/>
                <w:color w:val="000000"/>
                <w:sz w:val="20"/>
                <w:szCs w:val="20"/>
                <w:lang w:val="en-IN" w:eastAsia="en-IN"/>
              </w:rPr>
            </w:pPr>
          </w:p>
        </w:tc>
        <w:tc>
          <w:tcPr>
            <w:tcW w:w="1177" w:type="dxa"/>
            <w:tcBorders>
              <w:top w:val="nil"/>
              <w:left w:val="nil"/>
              <w:bottom w:val="single" w:sz="4" w:space="0" w:color="auto"/>
              <w:right w:val="single" w:sz="4" w:space="0" w:color="auto"/>
            </w:tcBorders>
            <w:shd w:val="clear" w:color="000000" w:fill="B4C6E7"/>
            <w:vAlign w:val="center"/>
            <w:hideMark/>
          </w:tcPr>
          <w:p w:rsidR="000F236F" w:rsidRDefault="000F236F" w:rsidP="00DB5405">
            <w:pPr>
              <w:jc w:val="center"/>
              <w:rPr>
                <w:rFonts w:ascii="Garamond" w:eastAsia="Times New Roman" w:hAnsi="Garamond" w:cs="Calibri"/>
                <w:b/>
                <w:bCs/>
                <w:color w:val="000000"/>
                <w:sz w:val="20"/>
                <w:szCs w:val="20"/>
                <w:lang w:val="en-IN" w:eastAsia="en-IN"/>
              </w:rPr>
            </w:pPr>
            <w:r>
              <w:rPr>
                <w:rFonts w:ascii="Garamond" w:eastAsia="Times New Roman" w:hAnsi="Garamond" w:cs="Calibri"/>
                <w:b/>
                <w:bCs/>
                <w:color w:val="000000"/>
                <w:sz w:val="20"/>
                <w:szCs w:val="20"/>
                <w:lang w:val="en-IN" w:eastAsia="en-IN"/>
              </w:rPr>
              <w:t>Number of</w:t>
            </w:r>
            <w:r>
              <w:rPr>
                <w:rFonts w:ascii="Garamond" w:eastAsia="Times New Roman" w:hAnsi="Garamond" w:cs="Calibri"/>
                <w:b/>
                <w:bCs/>
                <w:color w:val="000000"/>
                <w:sz w:val="20"/>
                <w:szCs w:val="20"/>
                <w:lang w:val="en-IN" w:eastAsia="en-IN"/>
              </w:rPr>
              <w:br/>
              <w:t>Contracts Traded</w:t>
            </w:r>
          </w:p>
        </w:tc>
        <w:tc>
          <w:tcPr>
            <w:tcW w:w="1086" w:type="dxa"/>
            <w:tcBorders>
              <w:top w:val="nil"/>
              <w:left w:val="nil"/>
              <w:bottom w:val="single" w:sz="4" w:space="0" w:color="auto"/>
              <w:right w:val="single" w:sz="4" w:space="0" w:color="auto"/>
            </w:tcBorders>
            <w:shd w:val="clear" w:color="000000" w:fill="B4C6E7"/>
            <w:vAlign w:val="center"/>
            <w:hideMark/>
          </w:tcPr>
          <w:p w:rsidR="000F236F" w:rsidRDefault="000F236F" w:rsidP="00DB5405">
            <w:pPr>
              <w:jc w:val="center"/>
              <w:rPr>
                <w:rFonts w:ascii="Garamond" w:eastAsia="Times New Roman" w:hAnsi="Garamond" w:cs="Calibri"/>
                <w:b/>
                <w:bCs/>
                <w:color w:val="000000"/>
                <w:sz w:val="20"/>
                <w:szCs w:val="20"/>
                <w:lang w:val="en-IN" w:eastAsia="en-IN"/>
              </w:rPr>
            </w:pPr>
            <w:r>
              <w:rPr>
                <w:rFonts w:ascii="Garamond" w:eastAsia="Times New Roman" w:hAnsi="Garamond" w:cs="Calibri"/>
                <w:b/>
                <w:bCs/>
                <w:color w:val="000000"/>
                <w:sz w:val="20"/>
                <w:szCs w:val="20"/>
                <w:lang w:val="en-IN" w:eastAsia="en-IN"/>
              </w:rPr>
              <w:t>Notional</w:t>
            </w:r>
            <w:r>
              <w:rPr>
                <w:rFonts w:ascii="Garamond" w:eastAsia="Times New Roman" w:hAnsi="Garamond" w:cs="Calibri"/>
                <w:b/>
                <w:bCs/>
                <w:color w:val="000000"/>
                <w:sz w:val="20"/>
                <w:szCs w:val="20"/>
                <w:lang w:val="en-IN" w:eastAsia="en-IN"/>
              </w:rPr>
              <w:br/>
              <w:t>Turnover</w:t>
            </w:r>
          </w:p>
        </w:tc>
        <w:tc>
          <w:tcPr>
            <w:tcW w:w="1086" w:type="dxa"/>
            <w:tcBorders>
              <w:top w:val="nil"/>
              <w:left w:val="nil"/>
              <w:bottom w:val="single" w:sz="4" w:space="0" w:color="auto"/>
              <w:right w:val="single" w:sz="4" w:space="0" w:color="auto"/>
            </w:tcBorders>
            <w:shd w:val="clear" w:color="000000" w:fill="B4C6E7"/>
            <w:vAlign w:val="center"/>
            <w:hideMark/>
          </w:tcPr>
          <w:p w:rsidR="000F236F" w:rsidRDefault="000F236F" w:rsidP="00DB5405">
            <w:pPr>
              <w:jc w:val="center"/>
              <w:rPr>
                <w:rFonts w:ascii="Garamond" w:eastAsia="Times New Roman" w:hAnsi="Garamond" w:cs="Calibri"/>
                <w:b/>
                <w:bCs/>
                <w:color w:val="000000"/>
                <w:sz w:val="20"/>
                <w:szCs w:val="20"/>
                <w:lang w:val="en-IN" w:eastAsia="en-IN"/>
              </w:rPr>
            </w:pPr>
            <w:r>
              <w:rPr>
                <w:rFonts w:ascii="Garamond" w:eastAsia="Times New Roman" w:hAnsi="Garamond" w:cs="Calibri"/>
                <w:b/>
                <w:bCs/>
                <w:color w:val="000000"/>
                <w:sz w:val="20"/>
                <w:szCs w:val="20"/>
                <w:lang w:val="en-IN" w:eastAsia="en-IN"/>
              </w:rPr>
              <w:t>Open</w:t>
            </w:r>
            <w:r>
              <w:rPr>
                <w:rFonts w:ascii="Garamond" w:eastAsia="Times New Roman" w:hAnsi="Garamond" w:cs="Calibri"/>
                <w:b/>
                <w:bCs/>
                <w:color w:val="000000"/>
                <w:sz w:val="20"/>
                <w:szCs w:val="20"/>
                <w:lang w:val="en-IN" w:eastAsia="en-IN"/>
              </w:rPr>
              <w:br/>
              <w:t>Interest</w:t>
            </w:r>
          </w:p>
        </w:tc>
        <w:tc>
          <w:tcPr>
            <w:tcW w:w="1086" w:type="dxa"/>
            <w:tcBorders>
              <w:top w:val="nil"/>
              <w:left w:val="nil"/>
              <w:bottom w:val="single" w:sz="4" w:space="0" w:color="auto"/>
              <w:right w:val="single" w:sz="4" w:space="0" w:color="auto"/>
            </w:tcBorders>
            <w:shd w:val="clear" w:color="000000" w:fill="B4C6E7"/>
            <w:vAlign w:val="center"/>
            <w:hideMark/>
          </w:tcPr>
          <w:p w:rsidR="000F236F" w:rsidRDefault="000F236F" w:rsidP="00DB5405">
            <w:pPr>
              <w:jc w:val="center"/>
              <w:rPr>
                <w:rFonts w:ascii="Garamond" w:eastAsia="Times New Roman" w:hAnsi="Garamond" w:cs="Calibri"/>
                <w:b/>
                <w:bCs/>
                <w:color w:val="000000"/>
                <w:sz w:val="20"/>
                <w:szCs w:val="20"/>
                <w:lang w:val="en-IN" w:eastAsia="en-IN"/>
              </w:rPr>
            </w:pPr>
            <w:r>
              <w:rPr>
                <w:rFonts w:ascii="Garamond" w:eastAsia="Times New Roman" w:hAnsi="Garamond" w:cs="Calibri"/>
                <w:b/>
                <w:bCs/>
                <w:color w:val="000000"/>
                <w:sz w:val="20"/>
                <w:szCs w:val="20"/>
                <w:lang w:val="en-IN" w:eastAsia="en-IN"/>
              </w:rPr>
              <w:t>Number of</w:t>
            </w:r>
            <w:r>
              <w:rPr>
                <w:rFonts w:ascii="Garamond" w:eastAsia="Times New Roman" w:hAnsi="Garamond" w:cs="Calibri"/>
                <w:b/>
                <w:bCs/>
                <w:color w:val="000000"/>
                <w:sz w:val="20"/>
                <w:szCs w:val="20"/>
                <w:lang w:val="en-IN" w:eastAsia="en-IN"/>
              </w:rPr>
              <w:br/>
              <w:t>Contracts Traded</w:t>
            </w:r>
          </w:p>
        </w:tc>
        <w:tc>
          <w:tcPr>
            <w:tcW w:w="1086" w:type="dxa"/>
            <w:tcBorders>
              <w:top w:val="nil"/>
              <w:left w:val="nil"/>
              <w:bottom w:val="single" w:sz="4" w:space="0" w:color="auto"/>
              <w:right w:val="single" w:sz="4" w:space="0" w:color="auto"/>
            </w:tcBorders>
            <w:shd w:val="clear" w:color="000000" w:fill="B4C6E7"/>
            <w:vAlign w:val="center"/>
            <w:hideMark/>
          </w:tcPr>
          <w:p w:rsidR="000F236F" w:rsidRDefault="000F236F" w:rsidP="00DB5405">
            <w:pPr>
              <w:jc w:val="center"/>
              <w:rPr>
                <w:rFonts w:ascii="Garamond" w:eastAsia="Times New Roman" w:hAnsi="Garamond" w:cs="Calibri"/>
                <w:b/>
                <w:bCs/>
                <w:color w:val="000000"/>
                <w:sz w:val="20"/>
                <w:szCs w:val="20"/>
                <w:lang w:val="en-IN" w:eastAsia="en-IN"/>
              </w:rPr>
            </w:pPr>
            <w:r>
              <w:rPr>
                <w:rFonts w:ascii="Garamond" w:eastAsia="Times New Roman" w:hAnsi="Garamond" w:cs="Calibri"/>
                <w:b/>
                <w:bCs/>
                <w:color w:val="000000"/>
                <w:sz w:val="20"/>
                <w:szCs w:val="20"/>
                <w:lang w:val="en-IN" w:eastAsia="en-IN"/>
              </w:rPr>
              <w:t>Notional</w:t>
            </w:r>
            <w:r>
              <w:rPr>
                <w:rFonts w:ascii="Garamond" w:eastAsia="Times New Roman" w:hAnsi="Garamond" w:cs="Calibri"/>
                <w:b/>
                <w:bCs/>
                <w:color w:val="000000"/>
                <w:sz w:val="20"/>
                <w:szCs w:val="20"/>
                <w:lang w:val="en-IN" w:eastAsia="en-IN"/>
              </w:rPr>
              <w:br/>
              <w:t>Turnover</w:t>
            </w:r>
          </w:p>
        </w:tc>
        <w:tc>
          <w:tcPr>
            <w:tcW w:w="1086" w:type="dxa"/>
            <w:tcBorders>
              <w:top w:val="nil"/>
              <w:left w:val="nil"/>
              <w:bottom w:val="single" w:sz="4" w:space="0" w:color="auto"/>
              <w:right w:val="single" w:sz="4" w:space="0" w:color="auto"/>
            </w:tcBorders>
            <w:shd w:val="clear" w:color="000000" w:fill="B4C6E7"/>
            <w:vAlign w:val="center"/>
            <w:hideMark/>
          </w:tcPr>
          <w:p w:rsidR="000F236F" w:rsidRDefault="000F236F" w:rsidP="00DB5405">
            <w:pPr>
              <w:jc w:val="center"/>
              <w:rPr>
                <w:rFonts w:ascii="Garamond" w:eastAsia="Times New Roman" w:hAnsi="Garamond" w:cs="Calibri"/>
                <w:b/>
                <w:bCs/>
                <w:color w:val="000000"/>
                <w:sz w:val="20"/>
                <w:szCs w:val="20"/>
                <w:lang w:val="en-IN" w:eastAsia="en-IN"/>
              </w:rPr>
            </w:pPr>
            <w:r>
              <w:rPr>
                <w:rFonts w:ascii="Garamond" w:eastAsia="Times New Roman" w:hAnsi="Garamond" w:cs="Calibri"/>
                <w:b/>
                <w:bCs/>
                <w:color w:val="000000"/>
                <w:sz w:val="20"/>
                <w:szCs w:val="20"/>
                <w:lang w:val="en-IN" w:eastAsia="en-IN"/>
              </w:rPr>
              <w:t>Open</w:t>
            </w:r>
            <w:r>
              <w:rPr>
                <w:rFonts w:ascii="Garamond" w:eastAsia="Times New Roman" w:hAnsi="Garamond" w:cs="Calibri"/>
                <w:b/>
                <w:bCs/>
                <w:color w:val="000000"/>
                <w:sz w:val="20"/>
                <w:szCs w:val="20"/>
                <w:lang w:val="en-IN" w:eastAsia="en-IN"/>
              </w:rPr>
              <w:br/>
              <w:t>Interest</w:t>
            </w:r>
          </w:p>
        </w:tc>
      </w:tr>
      <w:tr w:rsidR="000F236F" w:rsidTr="00DB5405">
        <w:trPr>
          <w:trHeight w:val="218"/>
        </w:trPr>
        <w:tc>
          <w:tcPr>
            <w:tcW w:w="3436" w:type="dxa"/>
            <w:tcBorders>
              <w:top w:val="nil"/>
              <w:left w:val="single" w:sz="4" w:space="0" w:color="auto"/>
              <w:bottom w:val="nil"/>
              <w:right w:val="nil"/>
            </w:tcBorders>
            <w:shd w:val="clear" w:color="000000" w:fill="B4C6E7"/>
            <w:vAlign w:val="center"/>
            <w:hideMark/>
          </w:tcPr>
          <w:p w:rsidR="000F236F" w:rsidRDefault="000F236F" w:rsidP="00DB5405">
            <w:pPr>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B3 - Brasil Bolsa Balcão</w:t>
            </w:r>
          </w:p>
        </w:tc>
        <w:tc>
          <w:tcPr>
            <w:tcW w:w="1177" w:type="dxa"/>
            <w:tcBorders>
              <w:top w:val="single" w:sz="8" w:space="0" w:color="auto"/>
              <w:left w:val="single" w:sz="8" w:space="0" w:color="auto"/>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4,59,87,974</w:t>
            </w:r>
          </w:p>
        </w:tc>
        <w:tc>
          <w:tcPr>
            <w:tcW w:w="1086" w:type="dxa"/>
            <w:tcBorders>
              <w:top w:val="single" w:sz="8" w:space="0" w:color="auto"/>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9,79,358</w:t>
            </w:r>
          </w:p>
        </w:tc>
        <w:tc>
          <w:tcPr>
            <w:tcW w:w="1086" w:type="dxa"/>
            <w:tcBorders>
              <w:top w:val="single" w:sz="8" w:space="0" w:color="auto"/>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2,68,16,288</w:t>
            </w:r>
          </w:p>
        </w:tc>
        <w:tc>
          <w:tcPr>
            <w:tcW w:w="1086" w:type="dxa"/>
            <w:tcBorders>
              <w:top w:val="single" w:sz="8" w:space="0" w:color="auto"/>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1,06,52,056</w:t>
            </w:r>
          </w:p>
        </w:tc>
        <w:tc>
          <w:tcPr>
            <w:tcW w:w="1086" w:type="dxa"/>
            <w:tcBorders>
              <w:top w:val="single" w:sz="8" w:space="0" w:color="auto"/>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500</w:t>
            </w:r>
          </w:p>
        </w:tc>
        <w:tc>
          <w:tcPr>
            <w:tcW w:w="1086" w:type="dxa"/>
            <w:tcBorders>
              <w:top w:val="single" w:sz="8" w:space="0" w:color="auto"/>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3,36,03,347</w:t>
            </w:r>
          </w:p>
        </w:tc>
      </w:tr>
      <w:tr w:rsidR="000F236F" w:rsidTr="00DB5405">
        <w:trPr>
          <w:trHeight w:val="218"/>
        </w:trPr>
        <w:tc>
          <w:tcPr>
            <w:tcW w:w="3436" w:type="dxa"/>
            <w:tcBorders>
              <w:top w:val="nil"/>
              <w:left w:val="single" w:sz="4" w:space="0" w:color="auto"/>
              <w:bottom w:val="nil"/>
              <w:right w:val="nil"/>
            </w:tcBorders>
            <w:shd w:val="clear" w:color="000000" w:fill="B4C6E7"/>
            <w:vAlign w:val="center"/>
            <w:hideMark/>
          </w:tcPr>
          <w:p w:rsidR="000F236F" w:rsidRDefault="000F236F" w:rsidP="00DB5405">
            <w:pPr>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Bolsa de Valores de Colombia</w:t>
            </w:r>
          </w:p>
        </w:tc>
        <w:tc>
          <w:tcPr>
            <w:tcW w:w="1177" w:type="dxa"/>
            <w:tcBorders>
              <w:top w:val="nil"/>
              <w:left w:val="single" w:sz="8" w:space="0" w:color="auto"/>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NA</w:t>
            </w:r>
          </w:p>
        </w:tc>
        <w:tc>
          <w:tcPr>
            <w:tcW w:w="1086"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NA</w:t>
            </w:r>
          </w:p>
        </w:tc>
        <w:tc>
          <w:tcPr>
            <w:tcW w:w="1086"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NA</w:t>
            </w:r>
          </w:p>
        </w:tc>
        <w:tc>
          <w:tcPr>
            <w:tcW w:w="1086"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NA</w:t>
            </w:r>
          </w:p>
        </w:tc>
        <w:tc>
          <w:tcPr>
            <w:tcW w:w="1086"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NA</w:t>
            </w:r>
          </w:p>
        </w:tc>
        <w:tc>
          <w:tcPr>
            <w:tcW w:w="1086"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NA</w:t>
            </w:r>
          </w:p>
        </w:tc>
      </w:tr>
      <w:tr w:rsidR="000F236F" w:rsidTr="00DB5405">
        <w:trPr>
          <w:trHeight w:val="218"/>
        </w:trPr>
        <w:tc>
          <w:tcPr>
            <w:tcW w:w="3436" w:type="dxa"/>
            <w:tcBorders>
              <w:top w:val="nil"/>
              <w:left w:val="single" w:sz="4" w:space="0" w:color="auto"/>
              <w:bottom w:val="nil"/>
              <w:right w:val="nil"/>
            </w:tcBorders>
            <w:shd w:val="clear" w:color="000000" w:fill="B4C6E7"/>
            <w:vAlign w:val="center"/>
            <w:hideMark/>
          </w:tcPr>
          <w:p w:rsidR="000F236F" w:rsidRDefault="000F236F" w:rsidP="00DB5405">
            <w:pPr>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Bolsa Mexicana de Valores</w:t>
            </w:r>
          </w:p>
        </w:tc>
        <w:tc>
          <w:tcPr>
            <w:tcW w:w="1177" w:type="dxa"/>
            <w:tcBorders>
              <w:top w:val="nil"/>
              <w:left w:val="single" w:sz="8" w:space="0" w:color="auto"/>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2,150</w:t>
            </w:r>
          </w:p>
        </w:tc>
        <w:tc>
          <w:tcPr>
            <w:tcW w:w="1086"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11</w:t>
            </w:r>
          </w:p>
        </w:tc>
        <w:tc>
          <w:tcPr>
            <w:tcW w:w="1086"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6,400</w:t>
            </w:r>
          </w:p>
        </w:tc>
        <w:tc>
          <w:tcPr>
            <w:tcW w:w="1086"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NA</w:t>
            </w:r>
          </w:p>
        </w:tc>
        <w:tc>
          <w:tcPr>
            <w:tcW w:w="1086"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NA</w:t>
            </w:r>
          </w:p>
        </w:tc>
        <w:tc>
          <w:tcPr>
            <w:tcW w:w="1086"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NA</w:t>
            </w:r>
          </w:p>
        </w:tc>
      </w:tr>
      <w:tr w:rsidR="000F236F" w:rsidTr="00DB5405">
        <w:trPr>
          <w:trHeight w:val="218"/>
        </w:trPr>
        <w:tc>
          <w:tcPr>
            <w:tcW w:w="3436" w:type="dxa"/>
            <w:tcBorders>
              <w:top w:val="nil"/>
              <w:left w:val="single" w:sz="4" w:space="0" w:color="auto"/>
              <w:bottom w:val="nil"/>
              <w:right w:val="nil"/>
            </w:tcBorders>
            <w:shd w:val="clear" w:color="000000" w:fill="B4C6E7"/>
            <w:vAlign w:val="center"/>
            <w:hideMark/>
          </w:tcPr>
          <w:p w:rsidR="000F236F" w:rsidRDefault="000F236F" w:rsidP="00DB5405">
            <w:pPr>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CME Group</w:t>
            </w:r>
          </w:p>
        </w:tc>
        <w:tc>
          <w:tcPr>
            <w:tcW w:w="1177" w:type="dxa"/>
            <w:tcBorders>
              <w:top w:val="nil"/>
              <w:left w:val="single" w:sz="8" w:space="0" w:color="auto"/>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13,01,35,014</w:t>
            </w:r>
          </w:p>
        </w:tc>
        <w:tc>
          <w:tcPr>
            <w:tcW w:w="1086"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5,24,01,005</w:t>
            </w:r>
          </w:p>
        </w:tc>
        <w:tc>
          <w:tcPr>
            <w:tcW w:w="1086"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2,42,29,529</w:t>
            </w:r>
          </w:p>
        </w:tc>
        <w:tc>
          <w:tcPr>
            <w:tcW w:w="1086"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2,04,29,004</w:t>
            </w:r>
          </w:p>
        </w:tc>
        <w:tc>
          <w:tcPr>
            <w:tcW w:w="1086"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95,37,642</w:t>
            </w:r>
          </w:p>
        </w:tc>
        <w:tc>
          <w:tcPr>
            <w:tcW w:w="1086"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4,19,39,493</w:t>
            </w:r>
          </w:p>
        </w:tc>
      </w:tr>
      <w:tr w:rsidR="000F236F" w:rsidTr="00DB5405">
        <w:trPr>
          <w:trHeight w:val="218"/>
        </w:trPr>
        <w:tc>
          <w:tcPr>
            <w:tcW w:w="3436" w:type="dxa"/>
            <w:tcBorders>
              <w:top w:val="nil"/>
              <w:left w:val="single" w:sz="4" w:space="0" w:color="auto"/>
              <w:bottom w:val="nil"/>
              <w:right w:val="nil"/>
            </w:tcBorders>
            <w:shd w:val="clear" w:color="000000" w:fill="B4C6E7"/>
            <w:vAlign w:val="center"/>
            <w:hideMark/>
          </w:tcPr>
          <w:p w:rsidR="000F236F" w:rsidRDefault="000F236F" w:rsidP="00DB5405">
            <w:pPr>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ASX Australian Securities Exchange</w:t>
            </w:r>
          </w:p>
        </w:tc>
        <w:tc>
          <w:tcPr>
            <w:tcW w:w="1177" w:type="dxa"/>
            <w:tcBorders>
              <w:top w:val="nil"/>
              <w:left w:val="single" w:sz="8" w:space="0" w:color="auto"/>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89,34,637</w:t>
            </w:r>
          </w:p>
        </w:tc>
        <w:tc>
          <w:tcPr>
            <w:tcW w:w="1086"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12,76,455</w:t>
            </w:r>
          </w:p>
        </w:tc>
        <w:tc>
          <w:tcPr>
            <w:tcW w:w="1086"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39,41,803</w:t>
            </w:r>
          </w:p>
        </w:tc>
        <w:tc>
          <w:tcPr>
            <w:tcW w:w="1086"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17,650</w:t>
            </w:r>
          </w:p>
        </w:tc>
        <w:tc>
          <w:tcPr>
            <w:tcW w:w="1086"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1,302</w:t>
            </w:r>
          </w:p>
        </w:tc>
        <w:tc>
          <w:tcPr>
            <w:tcW w:w="1086"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3,900</w:t>
            </w:r>
          </w:p>
        </w:tc>
      </w:tr>
      <w:tr w:rsidR="000F236F" w:rsidTr="00DB5405">
        <w:trPr>
          <w:trHeight w:val="218"/>
        </w:trPr>
        <w:tc>
          <w:tcPr>
            <w:tcW w:w="3436" w:type="dxa"/>
            <w:tcBorders>
              <w:top w:val="nil"/>
              <w:left w:val="single" w:sz="4" w:space="0" w:color="auto"/>
              <w:bottom w:val="nil"/>
              <w:right w:val="nil"/>
            </w:tcBorders>
            <w:shd w:val="clear" w:color="000000" w:fill="B4C6E7"/>
            <w:vAlign w:val="center"/>
            <w:hideMark/>
          </w:tcPr>
          <w:p w:rsidR="000F236F" w:rsidRDefault="000F236F" w:rsidP="00DB5405">
            <w:pPr>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BSE India Limited</w:t>
            </w:r>
          </w:p>
        </w:tc>
        <w:tc>
          <w:tcPr>
            <w:tcW w:w="1177" w:type="dxa"/>
            <w:tcBorders>
              <w:top w:val="nil"/>
              <w:left w:val="single" w:sz="8" w:space="0" w:color="auto"/>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61,785</w:t>
            </w:r>
          </w:p>
        </w:tc>
        <w:tc>
          <w:tcPr>
            <w:tcW w:w="1086"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172</w:t>
            </w:r>
          </w:p>
        </w:tc>
        <w:tc>
          <w:tcPr>
            <w:tcW w:w="1086"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5,447</w:t>
            </w:r>
          </w:p>
        </w:tc>
        <w:tc>
          <w:tcPr>
            <w:tcW w:w="1086"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NA</w:t>
            </w:r>
          </w:p>
        </w:tc>
        <w:tc>
          <w:tcPr>
            <w:tcW w:w="1086"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NA</w:t>
            </w:r>
          </w:p>
        </w:tc>
        <w:tc>
          <w:tcPr>
            <w:tcW w:w="1086"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NA</w:t>
            </w:r>
          </w:p>
        </w:tc>
      </w:tr>
      <w:tr w:rsidR="000F236F" w:rsidTr="00DB5405">
        <w:trPr>
          <w:trHeight w:val="218"/>
        </w:trPr>
        <w:tc>
          <w:tcPr>
            <w:tcW w:w="3436" w:type="dxa"/>
            <w:tcBorders>
              <w:top w:val="nil"/>
              <w:left w:val="single" w:sz="4" w:space="0" w:color="auto"/>
              <w:bottom w:val="nil"/>
              <w:right w:val="nil"/>
            </w:tcBorders>
            <w:shd w:val="clear" w:color="000000" w:fill="B4C6E7"/>
            <w:vAlign w:val="center"/>
            <w:hideMark/>
          </w:tcPr>
          <w:p w:rsidR="000F236F" w:rsidRDefault="000F236F" w:rsidP="00DB5405">
            <w:pPr>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Japan Exchange Group</w:t>
            </w:r>
          </w:p>
        </w:tc>
        <w:tc>
          <w:tcPr>
            <w:tcW w:w="1177" w:type="dxa"/>
            <w:tcBorders>
              <w:top w:val="nil"/>
              <w:left w:val="single" w:sz="8" w:space="0" w:color="auto"/>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5,23,250</w:t>
            </w:r>
          </w:p>
        </w:tc>
        <w:tc>
          <w:tcPr>
            <w:tcW w:w="1086"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NA</w:t>
            </w:r>
          </w:p>
        </w:tc>
        <w:tc>
          <w:tcPr>
            <w:tcW w:w="1086"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83,361</w:t>
            </w:r>
          </w:p>
        </w:tc>
        <w:tc>
          <w:tcPr>
            <w:tcW w:w="1086"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7,40,815</w:t>
            </w:r>
          </w:p>
        </w:tc>
        <w:tc>
          <w:tcPr>
            <w:tcW w:w="1086"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NA</w:t>
            </w:r>
          </w:p>
        </w:tc>
        <w:tc>
          <w:tcPr>
            <w:tcW w:w="1086"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6,19,167</w:t>
            </w:r>
          </w:p>
        </w:tc>
      </w:tr>
      <w:tr w:rsidR="000F236F" w:rsidTr="00DB5405">
        <w:trPr>
          <w:trHeight w:val="218"/>
        </w:trPr>
        <w:tc>
          <w:tcPr>
            <w:tcW w:w="3436" w:type="dxa"/>
            <w:tcBorders>
              <w:top w:val="nil"/>
              <w:left w:val="single" w:sz="4" w:space="0" w:color="auto"/>
              <w:bottom w:val="nil"/>
              <w:right w:val="nil"/>
            </w:tcBorders>
            <w:shd w:val="clear" w:color="000000" w:fill="B4C6E7"/>
            <w:vAlign w:val="center"/>
            <w:hideMark/>
          </w:tcPr>
          <w:p w:rsidR="000F236F" w:rsidRDefault="000F236F" w:rsidP="00DB5405">
            <w:pPr>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Korea Exchange</w:t>
            </w:r>
          </w:p>
        </w:tc>
        <w:tc>
          <w:tcPr>
            <w:tcW w:w="1177" w:type="dxa"/>
            <w:tcBorders>
              <w:top w:val="nil"/>
              <w:left w:val="single" w:sz="8" w:space="0" w:color="auto"/>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29,94,567</w:t>
            </w:r>
          </w:p>
        </w:tc>
        <w:tc>
          <w:tcPr>
            <w:tcW w:w="1086"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3,05,463</w:t>
            </w:r>
          </w:p>
        </w:tc>
        <w:tc>
          <w:tcPr>
            <w:tcW w:w="1086"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5,89,892</w:t>
            </w:r>
          </w:p>
        </w:tc>
        <w:tc>
          <w:tcPr>
            <w:tcW w:w="1086"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NA</w:t>
            </w:r>
          </w:p>
        </w:tc>
        <w:tc>
          <w:tcPr>
            <w:tcW w:w="1086"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NA</w:t>
            </w:r>
          </w:p>
        </w:tc>
        <w:tc>
          <w:tcPr>
            <w:tcW w:w="1086"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NA</w:t>
            </w:r>
          </w:p>
        </w:tc>
      </w:tr>
      <w:tr w:rsidR="000F236F" w:rsidTr="00DB5405">
        <w:trPr>
          <w:trHeight w:val="218"/>
        </w:trPr>
        <w:tc>
          <w:tcPr>
            <w:tcW w:w="3436" w:type="dxa"/>
            <w:tcBorders>
              <w:top w:val="nil"/>
              <w:left w:val="single" w:sz="4" w:space="0" w:color="auto"/>
              <w:bottom w:val="nil"/>
              <w:right w:val="nil"/>
            </w:tcBorders>
            <w:shd w:val="clear" w:color="000000" w:fill="B4C6E7"/>
            <w:vAlign w:val="center"/>
            <w:hideMark/>
          </w:tcPr>
          <w:p w:rsidR="000F236F" w:rsidRDefault="000F236F" w:rsidP="00DB5405">
            <w:pPr>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National Stock Exchange of India</w:t>
            </w:r>
          </w:p>
        </w:tc>
        <w:tc>
          <w:tcPr>
            <w:tcW w:w="1177" w:type="dxa"/>
            <w:tcBorders>
              <w:top w:val="nil"/>
              <w:left w:val="single" w:sz="8" w:space="0" w:color="auto"/>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4,34,184</w:t>
            </w:r>
          </w:p>
        </w:tc>
        <w:tc>
          <w:tcPr>
            <w:tcW w:w="1086"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1,206</w:t>
            </w:r>
          </w:p>
        </w:tc>
        <w:tc>
          <w:tcPr>
            <w:tcW w:w="1086"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65,722</w:t>
            </w:r>
          </w:p>
        </w:tc>
        <w:tc>
          <w:tcPr>
            <w:tcW w:w="1086"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3</w:t>
            </w:r>
          </w:p>
        </w:tc>
        <w:tc>
          <w:tcPr>
            <w:tcW w:w="1086"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0</w:t>
            </w:r>
          </w:p>
        </w:tc>
        <w:tc>
          <w:tcPr>
            <w:tcW w:w="1086"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0</w:t>
            </w:r>
          </w:p>
        </w:tc>
      </w:tr>
      <w:tr w:rsidR="000F236F" w:rsidTr="00DB5405">
        <w:trPr>
          <w:trHeight w:val="218"/>
        </w:trPr>
        <w:tc>
          <w:tcPr>
            <w:tcW w:w="3436" w:type="dxa"/>
            <w:tcBorders>
              <w:top w:val="nil"/>
              <w:left w:val="single" w:sz="4" w:space="0" w:color="auto"/>
              <w:bottom w:val="nil"/>
              <w:right w:val="nil"/>
            </w:tcBorders>
            <w:shd w:val="clear" w:color="000000" w:fill="B4C6E7"/>
            <w:vAlign w:val="center"/>
            <w:hideMark/>
          </w:tcPr>
          <w:p w:rsidR="000F236F" w:rsidRDefault="000F236F" w:rsidP="00DB5405">
            <w:pPr>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Singapore Exchange</w:t>
            </w:r>
          </w:p>
        </w:tc>
        <w:tc>
          <w:tcPr>
            <w:tcW w:w="1177" w:type="dxa"/>
            <w:tcBorders>
              <w:top w:val="nil"/>
              <w:left w:val="single" w:sz="8" w:space="0" w:color="auto"/>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33,547</w:t>
            </w:r>
          </w:p>
        </w:tc>
        <w:tc>
          <w:tcPr>
            <w:tcW w:w="1086"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NA</w:t>
            </w:r>
          </w:p>
        </w:tc>
        <w:tc>
          <w:tcPr>
            <w:tcW w:w="1086"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12,744</w:t>
            </w:r>
          </w:p>
        </w:tc>
        <w:tc>
          <w:tcPr>
            <w:tcW w:w="1086"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NA</w:t>
            </w:r>
          </w:p>
        </w:tc>
        <w:tc>
          <w:tcPr>
            <w:tcW w:w="1086"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NA</w:t>
            </w:r>
          </w:p>
        </w:tc>
        <w:tc>
          <w:tcPr>
            <w:tcW w:w="1086"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NA</w:t>
            </w:r>
          </w:p>
        </w:tc>
      </w:tr>
      <w:tr w:rsidR="000F236F" w:rsidTr="00DB5405">
        <w:trPr>
          <w:trHeight w:val="218"/>
        </w:trPr>
        <w:tc>
          <w:tcPr>
            <w:tcW w:w="3436" w:type="dxa"/>
            <w:tcBorders>
              <w:top w:val="nil"/>
              <w:left w:val="single" w:sz="4" w:space="0" w:color="auto"/>
              <w:bottom w:val="nil"/>
              <w:right w:val="nil"/>
            </w:tcBorders>
            <w:shd w:val="clear" w:color="000000" w:fill="B4C6E7"/>
            <w:vAlign w:val="center"/>
            <w:hideMark/>
          </w:tcPr>
          <w:p w:rsidR="000F236F" w:rsidRDefault="000F236F" w:rsidP="00DB5405">
            <w:pPr>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China Financial Futures Exchange</w:t>
            </w:r>
          </w:p>
        </w:tc>
        <w:tc>
          <w:tcPr>
            <w:tcW w:w="1177" w:type="dxa"/>
            <w:tcBorders>
              <w:top w:val="nil"/>
              <w:left w:val="single" w:sz="8" w:space="0" w:color="auto"/>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22,03,920</w:t>
            </w:r>
          </w:p>
        </w:tc>
        <w:tc>
          <w:tcPr>
            <w:tcW w:w="1086"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3,44,544</w:t>
            </w:r>
          </w:p>
        </w:tc>
        <w:tc>
          <w:tcPr>
            <w:tcW w:w="1086"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1,45,974</w:t>
            </w:r>
          </w:p>
        </w:tc>
        <w:tc>
          <w:tcPr>
            <w:tcW w:w="1086"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NA</w:t>
            </w:r>
          </w:p>
        </w:tc>
        <w:tc>
          <w:tcPr>
            <w:tcW w:w="1086"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NA</w:t>
            </w:r>
          </w:p>
        </w:tc>
        <w:tc>
          <w:tcPr>
            <w:tcW w:w="1086"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NA</w:t>
            </w:r>
          </w:p>
        </w:tc>
      </w:tr>
      <w:tr w:rsidR="000F236F" w:rsidTr="00DB5405">
        <w:trPr>
          <w:trHeight w:val="218"/>
        </w:trPr>
        <w:tc>
          <w:tcPr>
            <w:tcW w:w="3436" w:type="dxa"/>
            <w:tcBorders>
              <w:top w:val="nil"/>
              <w:left w:val="single" w:sz="4" w:space="0" w:color="auto"/>
              <w:bottom w:val="nil"/>
              <w:right w:val="nil"/>
            </w:tcBorders>
            <w:shd w:val="clear" w:color="000000" w:fill="B4C6E7"/>
            <w:vAlign w:val="center"/>
            <w:hideMark/>
          </w:tcPr>
          <w:p w:rsidR="000F236F" w:rsidRDefault="000F236F" w:rsidP="00DB5405">
            <w:pPr>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Deutsche Boerse AG</w:t>
            </w:r>
          </w:p>
        </w:tc>
        <w:tc>
          <w:tcPr>
            <w:tcW w:w="1177" w:type="dxa"/>
            <w:tcBorders>
              <w:top w:val="nil"/>
              <w:left w:val="single" w:sz="8" w:space="0" w:color="auto"/>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3,37,74,884</w:t>
            </w:r>
          </w:p>
        </w:tc>
        <w:tc>
          <w:tcPr>
            <w:tcW w:w="1086"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61,04,903</w:t>
            </w:r>
          </w:p>
        </w:tc>
        <w:tc>
          <w:tcPr>
            <w:tcW w:w="1086"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50,15,785</w:t>
            </w:r>
          </w:p>
        </w:tc>
        <w:tc>
          <w:tcPr>
            <w:tcW w:w="1086"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23,95,831</w:t>
            </w:r>
          </w:p>
        </w:tc>
        <w:tc>
          <w:tcPr>
            <w:tcW w:w="1086"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4,50,388</w:t>
            </w:r>
          </w:p>
        </w:tc>
        <w:tc>
          <w:tcPr>
            <w:tcW w:w="1086"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7,95,992</w:t>
            </w:r>
          </w:p>
        </w:tc>
      </w:tr>
      <w:tr w:rsidR="000F236F" w:rsidTr="00DB5405">
        <w:trPr>
          <w:trHeight w:val="218"/>
        </w:trPr>
        <w:tc>
          <w:tcPr>
            <w:tcW w:w="3436" w:type="dxa"/>
            <w:tcBorders>
              <w:top w:val="nil"/>
              <w:left w:val="single" w:sz="4" w:space="0" w:color="auto"/>
              <w:bottom w:val="nil"/>
              <w:right w:val="nil"/>
            </w:tcBorders>
            <w:shd w:val="clear" w:color="000000" w:fill="B4C6E7"/>
            <w:vAlign w:val="center"/>
            <w:hideMark/>
          </w:tcPr>
          <w:p w:rsidR="000F236F" w:rsidRDefault="000F236F" w:rsidP="00DB5405">
            <w:pPr>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Moscow Exchange</w:t>
            </w:r>
          </w:p>
        </w:tc>
        <w:tc>
          <w:tcPr>
            <w:tcW w:w="1177" w:type="dxa"/>
            <w:tcBorders>
              <w:top w:val="nil"/>
              <w:left w:val="single" w:sz="8" w:space="0" w:color="auto"/>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9,718</w:t>
            </w:r>
          </w:p>
        </w:tc>
        <w:tc>
          <w:tcPr>
            <w:tcW w:w="1086"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2</w:t>
            </w:r>
          </w:p>
        </w:tc>
        <w:tc>
          <w:tcPr>
            <w:tcW w:w="1086"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31,956</w:t>
            </w:r>
          </w:p>
        </w:tc>
        <w:tc>
          <w:tcPr>
            <w:tcW w:w="1086"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NA</w:t>
            </w:r>
          </w:p>
        </w:tc>
        <w:tc>
          <w:tcPr>
            <w:tcW w:w="1086"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NA</w:t>
            </w:r>
          </w:p>
        </w:tc>
        <w:tc>
          <w:tcPr>
            <w:tcW w:w="1086"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NA</w:t>
            </w:r>
          </w:p>
        </w:tc>
      </w:tr>
      <w:tr w:rsidR="000F236F" w:rsidTr="00DB5405">
        <w:trPr>
          <w:trHeight w:val="229"/>
        </w:trPr>
        <w:tc>
          <w:tcPr>
            <w:tcW w:w="3436" w:type="dxa"/>
            <w:tcBorders>
              <w:top w:val="nil"/>
              <w:left w:val="single" w:sz="4" w:space="0" w:color="auto"/>
              <w:bottom w:val="nil"/>
              <w:right w:val="nil"/>
            </w:tcBorders>
            <w:shd w:val="clear" w:color="000000" w:fill="B4C6E7"/>
            <w:vAlign w:val="center"/>
            <w:hideMark/>
          </w:tcPr>
          <w:p w:rsidR="000F236F" w:rsidRDefault="000F236F" w:rsidP="00DB5405">
            <w:pPr>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Nasdaq Nordic and Baltics</w:t>
            </w:r>
          </w:p>
        </w:tc>
        <w:tc>
          <w:tcPr>
            <w:tcW w:w="1177" w:type="dxa"/>
            <w:tcBorders>
              <w:top w:val="nil"/>
              <w:left w:val="single" w:sz="8" w:space="0" w:color="auto"/>
              <w:bottom w:val="single" w:sz="8" w:space="0" w:color="auto"/>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7,82,941</w:t>
            </w:r>
          </w:p>
        </w:tc>
        <w:tc>
          <w:tcPr>
            <w:tcW w:w="1086" w:type="dxa"/>
            <w:tcBorders>
              <w:top w:val="nil"/>
              <w:left w:val="nil"/>
              <w:bottom w:val="single" w:sz="8" w:space="0" w:color="auto"/>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90,577</w:t>
            </w:r>
          </w:p>
        </w:tc>
        <w:tc>
          <w:tcPr>
            <w:tcW w:w="1086" w:type="dxa"/>
            <w:tcBorders>
              <w:top w:val="nil"/>
              <w:left w:val="nil"/>
              <w:bottom w:val="single" w:sz="8" w:space="0" w:color="auto"/>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10,72,375</w:t>
            </w:r>
          </w:p>
        </w:tc>
        <w:tc>
          <w:tcPr>
            <w:tcW w:w="1086" w:type="dxa"/>
            <w:tcBorders>
              <w:top w:val="nil"/>
              <w:left w:val="nil"/>
              <w:bottom w:val="single" w:sz="8" w:space="0" w:color="auto"/>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2,90,557</w:t>
            </w:r>
          </w:p>
        </w:tc>
        <w:tc>
          <w:tcPr>
            <w:tcW w:w="1086" w:type="dxa"/>
            <w:tcBorders>
              <w:top w:val="nil"/>
              <w:left w:val="nil"/>
              <w:bottom w:val="single" w:sz="8" w:space="0" w:color="auto"/>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33,614</w:t>
            </w:r>
          </w:p>
        </w:tc>
        <w:tc>
          <w:tcPr>
            <w:tcW w:w="1086" w:type="dxa"/>
            <w:tcBorders>
              <w:top w:val="nil"/>
              <w:left w:val="nil"/>
              <w:bottom w:val="single" w:sz="8" w:space="0" w:color="auto"/>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0</w:t>
            </w:r>
          </w:p>
        </w:tc>
      </w:tr>
      <w:tr w:rsidR="000F236F" w:rsidTr="00DB5405">
        <w:trPr>
          <w:trHeight w:val="229"/>
        </w:trPr>
        <w:tc>
          <w:tcPr>
            <w:tcW w:w="3436" w:type="dxa"/>
            <w:tcBorders>
              <w:top w:val="single" w:sz="8" w:space="0" w:color="auto"/>
              <w:left w:val="single" w:sz="8" w:space="0" w:color="auto"/>
              <w:bottom w:val="single" w:sz="8" w:space="0" w:color="auto"/>
              <w:right w:val="nil"/>
            </w:tcBorders>
            <w:shd w:val="clear" w:color="000000" w:fill="D9E1F2"/>
            <w:vAlign w:val="center"/>
            <w:hideMark/>
          </w:tcPr>
          <w:p w:rsidR="000F236F" w:rsidRDefault="000F236F" w:rsidP="00DB5405">
            <w:pPr>
              <w:rPr>
                <w:rFonts w:ascii="Garamond" w:eastAsia="Times New Roman" w:hAnsi="Garamond" w:cs="Calibri"/>
                <w:b/>
                <w:bCs/>
                <w:color w:val="000000"/>
                <w:sz w:val="20"/>
                <w:szCs w:val="20"/>
                <w:lang w:val="en-IN" w:eastAsia="en-IN"/>
              </w:rPr>
            </w:pPr>
            <w:r>
              <w:rPr>
                <w:rFonts w:ascii="Garamond" w:eastAsia="Times New Roman" w:hAnsi="Garamond" w:cs="Calibri"/>
                <w:b/>
                <w:bCs/>
                <w:color w:val="000000"/>
                <w:sz w:val="20"/>
                <w:szCs w:val="20"/>
                <w:lang w:val="en-IN" w:eastAsia="en-IN"/>
              </w:rPr>
              <w:t>Grand Total</w:t>
            </w:r>
          </w:p>
        </w:tc>
        <w:tc>
          <w:tcPr>
            <w:tcW w:w="1177" w:type="dxa"/>
            <w:tcBorders>
              <w:top w:val="nil"/>
              <w:left w:val="nil"/>
              <w:bottom w:val="single" w:sz="8" w:space="0" w:color="auto"/>
              <w:right w:val="nil"/>
            </w:tcBorders>
            <w:shd w:val="clear" w:color="000000" w:fill="D9E1F2"/>
            <w:vAlign w:val="center"/>
            <w:hideMark/>
          </w:tcPr>
          <w:p w:rsidR="000F236F" w:rsidRDefault="000F236F" w:rsidP="00DB5405">
            <w:pPr>
              <w:jc w:val="right"/>
              <w:rPr>
                <w:rFonts w:ascii="Garamond" w:eastAsia="Times New Roman" w:hAnsi="Garamond" w:cs="Calibri"/>
                <w:b/>
                <w:bCs/>
                <w:color w:val="000000"/>
                <w:sz w:val="20"/>
                <w:szCs w:val="20"/>
                <w:lang w:val="en-IN" w:eastAsia="en-IN"/>
              </w:rPr>
            </w:pPr>
            <w:r>
              <w:rPr>
                <w:rFonts w:ascii="Garamond" w:eastAsia="Times New Roman" w:hAnsi="Garamond" w:cs="Calibri"/>
                <w:b/>
                <w:bCs/>
                <w:color w:val="000000"/>
                <w:sz w:val="20"/>
                <w:szCs w:val="20"/>
                <w:lang w:val="en-IN" w:eastAsia="en-IN"/>
              </w:rPr>
              <w:t xml:space="preserve">   22,58,78,571 </w:t>
            </w:r>
          </w:p>
        </w:tc>
        <w:tc>
          <w:tcPr>
            <w:tcW w:w="1086" w:type="dxa"/>
            <w:tcBorders>
              <w:top w:val="nil"/>
              <w:left w:val="nil"/>
              <w:bottom w:val="single" w:sz="8" w:space="0" w:color="auto"/>
              <w:right w:val="nil"/>
            </w:tcBorders>
            <w:shd w:val="clear" w:color="000000" w:fill="D9E1F2"/>
            <w:vAlign w:val="center"/>
            <w:hideMark/>
          </w:tcPr>
          <w:p w:rsidR="000F236F" w:rsidRDefault="000F236F" w:rsidP="00DB5405">
            <w:pPr>
              <w:jc w:val="right"/>
              <w:rPr>
                <w:rFonts w:ascii="Garamond" w:eastAsia="Times New Roman" w:hAnsi="Garamond" w:cs="Calibri"/>
                <w:b/>
                <w:bCs/>
                <w:color w:val="000000"/>
                <w:sz w:val="20"/>
                <w:szCs w:val="20"/>
                <w:lang w:val="en-IN" w:eastAsia="en-IN"/>
              </w:rPr>
            </w:pPr>
            <w:r>
              <w:rPr>
                <w:rFonts w:ascii="Garamond" w:eastAsia="Times New Roman" w:hAnsi="Garamond" w:cs="Calibri"/>
                <w:b/>
                <w:bCs/>
                <w:color w:val="000000"/>
                <w:sz w:val="20"/>
                <w:szCs w:val="20"/>
                <w:lang w:val="en-IN" w:eastAsia="en-IN"/>
              </w:rPr>
              <w:t xml:space="preserve">     6,15,03,696 </w:t>
            </w:r>
          </w:p>
        </w:tc>
        <w:tc>
          <w:tcPr>
            <w:tcW w:w="1086" w:type="dxa"/>
            <w:tcBorders>
              <w:top w:val="nil"/>
              <w:left w:val="nil"/>
              <w:bottom w:val="single" w:sz="8" w:space="0" w:color="auto"/>
              <w:right w:val="nil"/>
            </w:tcBorders>
            <w:shd w:val="clear" w:color="000000" w:fill="D9E1F2"/>
            <w:vAlign w:val="center"/>
            <w:hideMark/>
          </w:tcPr>
          <w:p w:rsidR="000F236F" w:rsidRDefault="000F236F" w:rsidP="00DB5405">
            <w:pPr>
              <w:jc w:val="right"/>
              <w:rPr>
                <w:rFonts w:ascii="Garamond" w:eastAsia="Times New Roman" w:hAnsi="Garamond" w:cs="Calibri"/>
                <w:b/>
                <w:bCs/>
                <w:color w:val="000000"/>
                <w:sz w:val="20"/>
                <w:szCs w:val="20"/>
                <w:lang w:val="en-IN" w:eastAsia="en-IN"/>
              </w:rPr>
            </w:pPr>
            <w:r>
              <w:rPr>
                <w:rFonts w:ascii="Garamond" w:eastAsia="Times New Roman" w:hAnsi="Garamond" w:cs="Calibri"/>
                <w:b/>
                <w:bCs/>
                <w:color w:val="000000"/>
                <w:sz w:val="20"/>
                <w:szCs w:val="20"/>
                <w:lang w:val="en-IN" w:eastAsia="en-IN"/>
              </w:rPr>
              <w:t xml:space="preserve">     6,20,17,276 </w:t>
            </w:r>
          </w:p>
        </w:tc>
        <w:tc>
          <w:tcPr>
            <w:tcW w:w="1086" w:type="dxa"/>
            <w:tcBorders>
              <w:top w:val="nil"/>
              <w:left w:val="nil"/>
              <w:bottom w:val="single" w:sz="8" w:space="0" w:color="auto"/>
              <w:right w:val="nil"/>
            </w:tcBorders>
            <w:shd w:val="clear" w:color="000000" w:fill="D9E1F2"/>
            <w:vAlign w:val="center"/>
            <w:hideMark/>
          </w:tcPr>
          <w:p w:rsidR="000F236F" w:rsidRDefault="000F236F" w:rsidP="00DB5405">
            <w:pPr>
              <w:jc w:val="right"/>
              <w:rPr>
                <w:rFonts w:ascii="Garamond" w:eastAsia="Times New Roman" w:hAnsi="Garamond" w:cs="Calibri"/>
                <w:b/>
                <w:bCs/>
                <w:color w:val="000000"/>
                <w:sz w:val="20"/>
                <w:szCs w:val="20"/>
                <w:lang w:val="en-IN" w:eastAsia="en-IN"/>
              </w:rPr>
            </w:pPr>
            <w:r>
              <w:rPr>
                <w:rFonts w:ascii="Garamond" w:eastAsia="Times New Roman" w:hAnsi="Garamond" w:cs="Calibri"/>
                <w:b/>
                <w:bCs/>
                <w:color w:val="000000"/>
                <w:sz w:val="20"/>
                <w:szCs w:val="20"/>
                <w:lang w:val="en-IN" w:eastAsia="en-IN"/>
              </w:rPr>
              <w:t xml:space="preserve">     3,45,25,916 </w:t>
            </w:r>
          </w:p>
        </w:tc>
        <w:tc>
          <w:tcPr>
            <w:tcW w:w="1086" w:type="dxa"/>
            <w:tcBorders>
              <w:top w:val="nil"/>
              <w:left w:val="nil"/>
              <w:bottom w:val="single" w:sz="8" w:space="0" w:color="auto"/>
              <w:right w:val="nil"/>
            </w:tcBorders>
            <w:shd w:val="clear" w:color="000000" w:fill="D9E1F2"/>
            <w:vAlign w:val="center"/>
            <w:hideMark/>
          </w:tcPr>
          <w:p w:rsidR="000F236F" w:rsidRDefault="000F236F" w:rsidP="00DB5405">
            <w:pPr>
              <w:jc w:val="right"/>
              <w:rPr>
                <w:rFonts w:ascii="Garamond" w:eastAsia="Times New Roman" w:hAnsi="Garamond" w:cs="Calibri"/>
                <w:b/>
                <w:bCs/>
                <w:color w:val="000000"/>
                <w:sz w:val="20"/>
                <w:szCs w:val="20"/>
                <w:lang w:val="en-IN" w:eastAsia="en-IN"/>
              </w:rPr>
            </w:pPr>
            <w:r>
              <w:rPr>
                <w:rFonts w:ascii="Garamond" w:eastAsia="Times New Roman" w:hAnsi="Garamond" w:cs="Calibri"/>
                <w:b/>
                <w:bCs/>
                <w:color w:val="000000"/>
                <w:sz w:val="20"/>
                <w:szCs w:val="20"/>
                <w:lang w:val="en-IN" w:eastAsia="en-IN"/>
              </w:rPr>
              <w:t xml:space="preserve">     1,00,23,446 </w:t>
            </w:r>
          </w:p>
        </w:tc>
        <w:tc>
          <w:tcPr>
            <w:tcW w:w="1086" w:type="dxa"/>
            <w:tcBorders>
              <w:top w:val="nil"/>
              <w:left w:val="nil"/>
              <w:bottom w:val="single" w:sz="8" w:space="0" w:color="auto"/>
              <w:right w:val="single" w:sz="8" w:space="0" w:color="auto"/>
            </w:tcBorders>
            <w:shd w:val="clear" w:color="000000" w:fill="D9E1F2"/>
            <w:vAlign w:val="center"/>
            <w:hideMark/>
          </w:tcPr>
          <w:p w:rsidR="000F236F" w:rsidRDefault="000F236F" w:rsidP="00DB5405">
            <w:pPr>
              <w:jc w:val="right"/>
              <w:rPr>
                <w:rFonts w:ascii="Garamond" w:eastAsia="Times New Roman" w:hAnsi="Garamond" w:cs="Calibri"/>
                <w:b/>
                <w:bCs/>
                <w:color w:val="000000"/>
                <w:sz w:val="20"/>
                <w:szCs w:val="20"/>
                <w:lang w:val="en-IN" w:eastAsia="en-IN"/>
              </w:rPr>
            </w:pPr>
            <w:r>
              <w:rPr>
                <w:rFonts w:ascii="Garamond" w:eastAsia="Times New Roman" w:hAnsi="Garamond" w:cs="Calibri"/>
                <w:b/>
                <w:bCs/>
                <w:color w:val="000000"/>
                <w:sz w:val="20"/>
                <w:szCs w:val="20"/>
                <w:lang w:val="en-IN" w:eastAsia="en-IN"/>
              </w:rPr>
              <w:t xml:space="preserve">     7,69,61,899 </w:t>
            </w:r>
          </w:p>
        </w:tc>
      </w:tr>
    </w:tbl>
    <w:p w:rsidR="000F236F" w:rsidRDefault="000F236F" w:rsidP="000F236F">
      <w:pPr>
        <w:spacing w:line="23" w:lineRule="atLeast"/>
        <w:rPr>
          <w:rFonts w:ascii="Garamond" w:eastAsia="Times New Roman" w:hAnsi="Garamond"/>
          <w:bCs/>
          <w:sz w:val="18"/>
          <w:szCs w:val="18"/>
          <w:lang w:val="en-US"/>
        </w:rPr>
      </w:pPr>
      <w:r>
        <w:rPr>
          <w:rFonts w:ascii="Garamond" w:eastAsia="Times New Roman" w:hAnsi="Garamond"/>
          <w:bCs/>
          <w:sz w:val="18"/>
          <w:szCs w:val="18"/>
          <w:lang w:val="en-US"/>
        </w:rPr>
        <w:tab/>
      </w:r>
    </w:p>
    <w:p w:rsidR="000F236F" w:rsidRDefault="000F236F" w:rsidP="000F236F">
      <w:pPr>
        <w:spacing w:line="23" w:lineRule="atLeast"/>
        <w:jc w:val="both"/>
        <w:rPr>
          <w:rFonts w:ascii="Garamond" w:hAnsi="Garamond"/>
          <w:bCs/>
          <w:sz w:val="18"/>
          <w:szCs w:val="18"/>
        </w:rPr>
      </w:pPr>
      <w:r>
        <w:rPr>
          <w:rFonts w:ascii="Garamond" w:hAnsi="Garamond"/>
          <w:bCs/>
          <w:sz w:val="18"/>
          <w:szCs w:val="18"/>
        </w:rPr>
        <w:t>NA: Not Available</w:t>
      </w:r>
    </w:p>
    <w:p w:rsidR="000F236F" w:rsidRDefault="000F236F" w:rsidP="000F236F">
      <w:pPr>
        <w:spacing w:line="23" w:lineRule="atLeast"/>
        <w:jc w:val="both"/>
        <w:outlineLvl w:val="0"/>
        <w:rPr>
          <w:rFonts w:ascii="Garamond" w:hAnsi="Garamond"/>
          <w:bCs/>
          <w:sz w:val="18"/>
          <w:szCs w:val="18"/>
        </w:rPr>
      </w:pPr>
      <w:r>
        <w:rPr>
          <w:rFonts w:ascii="Garamond" w:hAnsi="Garamond"/>
          <w:bCs/>
          <w:sz w:val="18"/>
          <w:szCs w:val="18"/>
        </w:rPr>
        <w:t>Source: World Federation of Exchanges</w:t>
      </w:r>
    </w:p>
    <w:p w:rsidR="000F236F" w:rsidRDefault="000F236F" w:rsidP="000F236F">
      <w:pPr>
        <w:rPr>
          <w:rFonts w:ascii="Garamond" w:eastAsia="Times New Roman" w:hAnsi="Garamond"/>
          <w:bCs/>
          <w:sz w:val="22"/>
          <w:szCs w:val="22"/>
          <w:lang w:val="en-US"/>
        </w:rPr>
      </w:pPr>
    </w:p>
    <w:p w:rsidR="000F236F" w:rsidRDefault="000F236F" w:rsidP="000F236F">
      <w:pPr>
        <w:rPr>
          <w:rFonts w:ascii="Garamond" w:eastAsia="Times New Roman" w:hAnsi="Garamond"/>
          <w:bCs/>
          <w:sz w:val="22"/>
          <w:szCs w:val="22"/>
          <w:lang w:val="en-US"/>
        </w:rPr>
      </w:pPr>
      <w:r>
        <w:rPr>
          <w:rFonts w:ascii="Garamond" w:eastAsia="Times New Roman" w:hAnsi="Garamond"/>
          <w:bCs/>
          <w:sz w:val="22"/>
          <w:szCs w:val="22"/>
          <w:lang w:val="en-US"/>
        </w:rPr>
        <w:br w:type="page"/>
      </w:r>
    </w:p>
    <w:p w:rsidR="000F236F" w:rsidRDefault="000F236F" w:rsidP="000F236F">
      <w:pPr>
        <w:spacing w:line="23" w:lineRule="atLeast"/>
        <w:rPr>
          <w:rFonts w:ascii="Garamond" w:hAnsi="Garamond"/>
          <w:b/>
          <w:bCs/>
          <w:szCs w:val="22"/>
        </w:rPr>
      </w:pPr>
      <w:r>
        <w:rPr>
          <w:rFonts w:ascii="Garamond" w:eastAsia="Times New Roman" w:hAnsi="Garamond"/>
          <w:b/>
          <w:bCs/>
          <w:szCs w:val="22"/>
          <w:lang w:val="en-US"/>
        </w:rPr>
        <w:lastRenderedPageBreak/>
        <w:t>Table A8: Commodity Futures and Options Traded in Major Exchanges</w:t>
      </w:r>
    </w:p>
    <w:p w:rsidR="000F236F" w:rsidRDefault="000F236F" w:rsidP="000F236F">
      <w:pPr>
        <w:spacing w:line="23" w:lineRule="atLeast"/>
        <w:ind w:right="348"/>
        <w:jc w:val="right"/>
        <w:rPr>
          <w:rFonts w:ascii="Garamond" w:hAnsi="Garamond"/>
          <w:bCs/>
          <w:sz w:val="22"/>
          <w:szCs w:val="22"/>
        </w:rPr>
      </w:pPr>
      <w:r>
        <w:rPr>
          <w:rFonts w:ascii="Garamond" w:hAnsi="Garamond"/>
          <w:bCs/>
          <w:sz w:val="22"/>
          <w:szCs w:val="22"/>
        </w:rPr>
        <w:t>Notional Turnover in (USD million)</w:t>
      </w:r>
    </w:p>
    <w:tbl>
      <w:tblPr>
        <w:tblW w:w="9822" w:type="dxa"/>
        <w:tblLook w:val="04A0" w:firstRow="1" w:lastRow="0" w:firstColumn="1" w:lastColumn="0" w:noHBand="0" w:noVBand="1"/>
      </w:tblPr>
      <w:tblGrid>
        <w:gridCol w:w="3106"/>
        <w:gridCol w:w="1216"/>
        <w:gridCol w:w="1123"/>
        <w:gridCol w:w="1108"/>
        <w:gridCol w:w="1108"/>
        <w:gridCol w:w="1053"/>
        <w:gridCol w:w="1108"/>
      </w:tblGrid>
      <w:tr w:rsidR="000F236F" w:rsidTr="00DB5405">
        <w:trPr>
          <w:trHeight w:val="267"/>
        </w:trPr>
        <w:tc>
          <w:tcPr>
            <w:tcW w:w="3415" w:type="dxa"/>
            <w:vMerge w:val="restart"/>
            <w:tcBorders>
              <w:top w:val="single" w:sz="4" w:space="0" w:color="auto"/>
              <w:left w:val="single" w:sz="4" w:space="0" w:color="auto"/>
              <w:bottom w:val="single" w:sz="4" w:space="0" w:color="auto"/>
              <w:right w:val="single" w:sz="4" w:space="0" w:color="auto"/>
            </w:tcBorders>
            <w:shd w:val="clear" w:color="000000" w:fill="B4C6E7"/>
            <w:vAlign w:val="center"/>
            <w:hideMark/>
          </w:tcPr>
          <w:p w:rsidR="000F236F" w:rsidRDefault="000F236F" w:rsidP="00DB5405">
            <w:pPr>
              <w:jc w:val="center"/>
              <w:rPr>
                <w:rFonts w:ascii="Garamond" w:eastAsia="Times New Roman" w:hAnsi="Garamond" w:cs="Calibri"/>
                <w:b/>
                <w:bCs/>
                <w:color w:val="000000"/>
                <w:sz w:val="20"/>
                <w:szCs w:val="20"/>
                <w:lang w:val="en-IN" w:eastAsia="en-IN"/>
              </w:rPr>
            </w:pPr>
            <w:r>
              <w:rPr>
                <w:rFonts w:ascii="Garamond" w:eastAsia="Times New Roman" w:hAnsi="Garamond" w:cs="Calibri"/>
                <w:b/>
                <w:bCs/>
                <w:color w:val="000000"/>
                <w:sz w:val="20"/>
                <w:szCs w:val="20"/>
                <w:lang w:val="en-IN" w:eastAsia="en-IN"/>
              </w:rPr>
              <w:t>Exchange</w:t>
            </w:r>
          </w:p>
        </w:tc>
        <w:tc>
          <w:tcPr>
            <w:tcW w:w="6407" w:type="dxa"/>
            <w:gridSpan w:val="6"/>
            <w:tcBorders>
              <w:top w:val="single" w:sz="4" w:space="0" w:color="auto"/>
              <w:left w:val="nil"/>
              <w:bottom w:val="single" w:sz="4" w:space="0" w:color="auto"/>
              <w:right w:val="single" w:sz="4" w:space="0" w:color="auto"/>
            </w:tcBorders>
            <w:shd w:val="clear" w:color="000000" w:fill="B4C6E7"/>
            <w:vAlign w:val="center"/>
            <w:hideMark/>
          </w:tcPr>
          <w:p w:rsidR="000F236F" w:rsidRDefault="000F236F" w:rsidP="00DB5405">
            <w:pPr>
              <w:jc w:val="center"/>
              <w:rPr>
                <w:rFonts w:ascii="Garamond" w:eastAsia="Times New Roman" w:hAnsi="Garamond" w:cs="Calibri"/>
                <w:b/>
                <w:bCs/>
                <w:color w:val="000000"/>
                <w:sz w:val="20"/>
                <w:szCs w:val="20"/>
                <w:lang w:val="en-IN" w:eastAsia="en-IN"/>
              </w:rPr>
            </w:pPr>
            <w:r>
              <w:rPr>
                <w:rFonts w:ascii="Garamond" w:eastAsia="Times New Roman" w:hAnsi="Garamond" w:cs="Calibri"/>
                <w:b/>
                <w:bCs/>
                <w:color w:val="000000"/>
                <w:sz w:val="20"/>
                <w:szCs w:val="20"/>
                <w:lang w:val="en-IN" w:eastAsia="en-IN"/>
              </w:rPr>
              <w:t>Aug-20</w:t>
            </w:r>
          </w:p>
        </w:tc>
      </w:tr>
      <w:tr w:rsidR="000F236F" w:rsidTr="00DB5405">
        <w:trPr>
          <w:trHeight w:val="267"/>
        </w:trPr>
        <w:tc>
          <w:tcPr>
            <w:tcW w:w="3415" w:type="dxa"/>
            <w:vMerge/>
            <w:tcBorders>
              <w:top w:val="single" w:sz="4" w:space="0" w:color="auto"/>
              <w:left w:val="single" w:sz="4" w:space="0" w:color="auto"/>
              <w:bottom w:val="single" w:sz="4" w:space="0" w:color="auto"/>
              <w:right w:val="single" w:sz="4" w:space="0" w:color="auto"/>
            </w:tcBorders>
            <w:vAlign w:val="center"/>
            <w:hideMark/>
          </w:tcPr>
          <w:p w:rsidR="000F236F" w:rsidRDefault="000F236F" w:rsidP="00DB5405">
            <w:pPr>
              <w:rPr>
                <w:rFonts w:ascii="Garamond" w:eastAsia="Times New Roman" w:hAnsi="Garamond" w:cs="Calibri"/>
                <w:b/>
                <w:bCs/>
                <w:color w:val="000000"/>
                <w:sz w:val="20"/>
                <w:szCs w:val="20"/>
                <w:lang w:val="en-IN" w:eastAsia="en-IN"/>
              </w:rPr>
            </w:pPr>
          </w:p>
        </w:tc>
        <w:tc>
          <w:tcPr>
            <w:tcW w:w="3221" w:type="dxa"/>
            <w:gridSpan w:val="3"/>
            <w:tcBorders>
              <w:top w:val="single" w:sz="4" w:space="0" w:color="auto"/>
              <w:left w:val="nil"/>
              <w:bottom w:val="single" w:sz="4" w:space="0" w:color="auto"/>
              <w:right w:val="single" w:sz="4" w:space="0" w:color="auto"/>
            </w:tcBorders>
            <w:shd w:val="clear" w:color="000000" w:fill="B4C6E7"/>
            <w:vAlign w:val="center"/>
            <w:hideMark/>
          </w:tcPr>
          <w:p w:rsidR="000F236F" w:rsidRDefault="000F236F" w:rsidP="00DB5405">
            <w:pPr>
              <w:jc w:val="center"/>
              <w:rPr>
                <w:rFonts w:ascii="Garamond" w:eastAsia="Times New Roman" w:hAnsi="Garamond" w:cs="Calibri"/>
                <w:b/>
                <w:bCs/>
                <w:color w:val="000000"/>
                <w:sz w:val="20"/>
                <w:szCs w:val="20"/>
                <w:lang w:val="en-IN" w:eastAsia="en-IN"/>
              </w:rPr>
            </w:pPr>
            <w:r>
              <w:rPr>
                <w:rFonts w:ascii="Garamond" w:eastAsia="Times New Roman" w:hAnsi="Garamond" w:cs="Calibri"/>
                <w:b/>
                <w:bCs/>
                <w:color w:val="000000"/>
                <w:sz w:val="20"/>
                <w:szCs w:val="20"/>
                <w:lang w:val="en-IN" w:eastAsia="en-IN"/>
              </w:rPr>
              <w:t>Commodities Futures</w:t>
            </w:r>
          </w:p>
        </w:tc>
        <w:tc>
          <w:tcPr>
            <w:tcW w:w="3186" w:type="dxa"/>
            <w:gridSpan w:val="3"/>
            <w:tcBorders>
              <w:top w:val="single" w:sz="4" w:space="0" w:color="auto"/>
              <w:left w:val="nil"/>
              <w:bottom w:val="single" w:sz="4" w:space="0" w:color="auto"/>
              <w:right w:val="single" w:sz="4" w:space="0" w:color="auto"/>
            </w:tcBorders>
            <w:shd w:val="clear" w:color="000000" w:fill="B4C6E7"/>
            <w:vAlign w:val="center"/>
            <w:hideMark/>
          </w:tcPr>
          <w:p w:rsidR="000F236F" w:rsidRDefault="000F236F" w:rsidP="00DB5405">
            <w:pPr>
              <w:jc w:val="center"/>
              <w:rPr>
                <w:rFonts w:ascii="Garamond" w:eastAsia="Times New Roman" w:hAnsi="Garamond" w:cs="Calibri"/>
                <w:b/>
                <w:bCs/>
                <w:color w:val="000000"/>
                <w:sz w:val="20"/>
                <w:szCs w:val="20"/>
                <w:lang w:val="en-IN" w:eastAsia="en-IN"/>
              </w:rPr>
            </w:pPr>
            <w:r>
              <w:rPr>
                <w:rFonts w:ascii="Garamond" w:eastAsia="Times New Roman" w:hAnsi="Garamond" w:cs="Calibri"/>
                <w:b/>
                <w:bCs/>
                <w:color w:val="000000"/>
                <w:sz w:val="20"/>
                <w:szCs w:val="20"/>
                <w:lang w:val="en-IN" w:eastAsia="en-IN"/>
              </w:rPr>
              <w:t>Commodities Options</w:t>
            </w:r>
          </w:p>
        </w:tc>
      </w:tr>
      <w:tr w:rsidR="000F236F" w:rsidTr="00DB5405">
        <w:trPr>
          <w:trHeight w:val="696"/>
        </w:trPr>
        <w:tc>
          <w:tcPr>
            <w:tcW w:w="3415" w:type="dxa"/>
            <w:vMerge/>
            <w:tcBorders>
              <w:top w:val="single" w:sz="4" w:space="0" w:color="auto"/>
              <w:left w:val="single" w:sz="4" w:space="0" w:color="auto"/>
              <w:bottom w:val="single" w:sz="4" w:space="0" w:color="auto"/>
              <w:right w:val="single" w:sz="4" w:space="0" w:color="auto"/>
            </w:tcBorders>
            <w:vAlign w:val="center"/>
            <w:hideMark/>
          </w:tcPr>
          <w:p w:rsidR="000F236F" w:rsidRDefault="000F236F" w:rsidP="00DB5405">
            <w:pPr>
              <w:rPr>
                <w:rFonts w:ascii="Garamond" w:eastAsia="Times New Roman" w:hAnsi="Garamond" w:cs="Calibri"/>
                <w:b/>
                <w:bCs/>
                <w:color w:val="000000"/>
                <w:sz w:val="20"/>
                <w:szCs w:val="20"/>
                <w:lang w:val="en-IN" w:eastAsia="en-IN"/>
              </w:rPr>
            </w:pPr>
          </w:p>
        </w:tc>
        <w:tc>
          <w:tcPr>
            <w:tcW w:w="1095" w:type="dxa"/>
            <w:tcBorders>
              <w:top w:val="nil"/>
              <w:left w:val="nil"/>
              <w:bottom w:val="single" w:sz="4" w:space="0" w:color="auto"/>
              <w:right w:val="single" w:sz="4" w:space="0" w:color="auto"/>
            </w:tcBorders>
            <w:shd w:val="clear" w:color="000000" w:fill="B4C6E7"/>
            <w:vAlign w:val="center"/>
            <w:hideMark/>
          </w:tcPr>
          <w:p w:rsidR="000F236F" w:rsidRDefault="000F236F" w:rsidP="00DB5405">
            <w:pPr>
              <w:jc w:val="center"/>
              <w:rPr>
                <w:rFonts w:ascii="Garamond" w:eastAsia="Times New Roman" w:hAnsi="Garamond" w:cs="Calibri"/>
                <w:b/>
                <w:bCs/>
                <w:color w:val="000000"/>
                <w:sz w:val="20"/>
                <w:szCs w:val="20"/>
                <w:lang w:val="en-IN" w:eastAsia="en-IN"/>
              </w:rPr>
            </w:pPr>
            <w:r>
              <w:rPr>
                <w:rFonts w:ascii="Garamond" w:eastAsia="Times New Roman" w:hAnsi="Garamond" w:cs="Calibri"/>
                <w:b/>
                <w:bCs/>
                <w:color w:val="000000"/>
                <w:sz w:val="20"/>
                <w:szCs w:val="20"/>
                <w:lang w:val="en-IN" w:eastAsia="en-IN"/>
              </w:rPr>
              <w:t>Number of</w:t>
            </w:r>
            <w:r>
              <w:rPr>
                <w:rFonts w:ascii="Garamond" w:eastAsia="Times New Roman" w:hAnsi="Garamond" w:cs="Calibri"/>
                <w:b/>
                <w:bCs/>
                <w:color w:val="000000"/>
                <w:sz w:val="20"/>
                <w:szCs w:val="20"/>
                <w:lang w:val="en-IN" w:eastAsia="en-IN"/>
              </w:rPr>
              <w:br/>
              <w:t>Contracts Traded</w:t>
            </w:r>
          </w:p>
        </w:tc>
        <w:tc>
          <w:tcPr>
            <w:tcW w:w="1062" w:type="dxa"/>
            <w:tcBorders>
              <w:top w:val="nil"/>
              <w:left w:val="nil"/>
              <w:bottom w:val="single" w:sz="4" w:space="0" w:color="auto"/>
              <w:right w:val="single" w:sz="4" w:space="0" w:color="auto"/>
            </w:tcBorders>
            <w:shd w:val="clear" w:color="000000" w:fill="B4C6E7"/>
            <w:vAlign w:val="center"/>
            <w:hideMark/>
          </w:tcPr>
          <w:p w:rsidR="000F236F" w:rsidRDefault="000F236F" w:rsidP="00DB5405">
            <w:pPr>
              <w:jc w:val="center"/>
              <w:rPr>
                <w:rFonts w:ascii="Garamond" w:eastAsia="Times New Roman" w:hAnsi="Garamond" w:cs="Calibri"/>
                <w:b/>
                <w:bCs/>
                <w:color w:val="000000"/>
                <w:sz w:val="20"/>
                <w:szCs w:val="20"/>
                <w:lang w:val="en-IN" w:eastAsia="en-IN"/>
              </w:rPr>
            </w:pPr>
            <w:r>
              <w:rPr>
                <w:rFonts w:ascii="Garamond" w:eastAsia="Times New Roman" w:hAnsi="Garamond" w:cs="Calibri"/>
                <w:b/>
                <w:bCs/>
                <w:color w:val="000000"/>
                <w:sz w:val="20"/>
                <w:szCs w:val="20"/>
                <w:lang w:val="en-IN" w:eastAsia="en-IN"/>
              </w:rPr>
              <w:t>Notional</w:t>
            </w:r>
            <w:r>
              <w:rPr>
                <w:rFonts w:ascii="Garamond" w:eastAsia="Times New Roman" w:hAnsi="Garamond" w:cs="Calibri"/>
                <w:b/>
                <w:bCs/>
                <w:color w:val="000000"/>
                <w:sz w:val="20"/>
                <w:szCs w:val="20"/>
                <w:lang w:val="en-IN" w:eastAsia="en-IN"/>
              </w:rPr>
              <w:br/>
              <w:t>Turnover</w:t>
            </w:r>
          </w:p>
        </w:tc>
        <w:tc>
          <w:tcPr>
            <w:tcW w:w="1062" w:type="dxa"/>
            <w:tcBorders>
              <w:top w:val="nil"/>
              <w:left w:val="nil"/>
              <w:bottom w:val="single" w:sz="4" w:space="0" w:color="auto"/>
              <w:right w:val="single" w:sz="4" w:space="0" w:color="auto"/>
            </w:tcBorders>
            <w:shd w:val="clear" w:color="000000" w:fill="B4C6E7"/>
            <w:vAlign w:val="center"/>
            <w:hideMark/>
          </w:tcPr>
          <w:p w:rsidR="000F236F" w:rsidRDefault="000F236F" w:rsidP="00DB5405">
            <w:pPr>
              <w:jc w:val="center"/>
              <w:rPr>
                <w:rFonts w:ascii="Garamond" w:eastAsia="Times New Roman" w:hAnsi="Garamond" w:cs="Calibri"/>
                <w:b/>
                <w:bCs/>
                <w:color w:val="000000"/>
                <w:sz w:val="20"/>
                <w:szCs w:val="20"/>
                <w:lang w:val="en-IN" w:eastAsia="en-IN"/>
              </w:rPr>
            </w:pPr>
            <w:r>
              <w:rPr>
                <w:rFonts w:ascii="Garamond" w:eastAsia="Times New Roman" w:hAnsi="Garamond" w:cs="Calibri"/>
                <w:b/>
                <w:bCs/>
                <w:color w:val="000000"/>
                <w:sz w:val="20"/>
                <w:szCs w:val="20"/>
                <w:lang w:val="en-IN" w:eastAsia="en-IN"/>
              </w:rPr>
              <w:t>Open</w:t>
            </w:r>
            <w:r>
              <w:rPr>
                <w:rFonts w:ascii="Garamond" w:eastAsia="Times New Roman" w:hAnsi="Garamond" w:cs="Calibri"/>
                <w:b/>
                <w:bCs/>
                <w:color w:val="000000"/>
                <w:sz w:val="20"/>
                <w:szCs w:val="20"/>
                <w:lang w:val="en-IN" w:eastAsia="en-IN"/>
              </w:rPr>
              <w:br/>
              <w:t>Interest</w:t>
            </w:r>
          </w:p>
        </w:tc>
        <w:tc>
          <w:tcPr>
            <w:tcW w:w="1062" w:type="dxa"/>
            <w:tcBorders>
              <w:top w:val="nil"/>
              <w:left w:val="nil"/>
              <w:bottom w:val="single" w:sz="4" w:space="0" w:color="auto"/>
              <w:right w:val="single" w:sz="4" w:space="0" w:color="auto"/>
            </w:tcBorders>
            <w:shd w:val="clear" w:color="000000" w:fill="B4C6E7"/>
            <w:vAlign w:val="center"/>
            <w:hideMark/>
          </w:tcPr>
          <w:p w:rsidR="000F236F" w:rsidRDefault="000F236F" w:rsidP="00DB5405">
            <w:pPr>
              <w:jc w:val="center"/>
              <w:rPr>
                <w:rFonts w:ascii="Garamond" w:eastAsia="Times New Roman" w:hAnsi="Garamond" w:cs="Calibri"/>
                <w:b/>
                <w:bCs/>
                <w:color w:val="000000"/>
                <w:sz w:val="20"/>
                <w:szCs w:val="20"/>
                <w:lang w:val="en-IN" w:eastAsia="en-IN"/>
              </w:rPr>
            </w:pPr>
            <w:r>
              <w:rPr>
                <w:rFonts w:ascii="Garamond" w:eastAsia="Times New Roman" w:hAnsi="Garamond" w:cs="Calibri"/>
                <w:b/>
                <w:bCs/>
                <w:color w:val="000000"/>
                <w:sz w:val="20"/>
                <w:szCs w:val="20"/>
                <w:lang w:val="en-IN" w:eastAsia="en-IN"/>
              </w:rPr>
              <w:t>Number of</w:t>
            </w:r>
            <w:r>
              <w:rPr>
                <w:rFonts w:ascii="Garamond" w:eastAsia="Times New Roman" w:hAnsi="Garamond" w:cs="Calibri"/>
                <w:b/>
                <w:bCs/>
                <w:color w:val="000000"/>
                <w:sz w:val="20"/>
                <w:szCs w:val="20"/>
                <w:lang w:val="en-IN" w:eastAsia="en-IN"/>
              </w:rPr>
              <w:br/>
              <w:t>Contracts Traded</w:t>
            </w:r>
          </w:p>
        </w:tc>
        <w:tc>
          <w:tcPr>
            <w:tcW w:w="1061" w:type="dxa"/>
            <w:tcBorders>
              <w:top w:val="nil"/>
              <w:left w:val="nil"/>
              <w:bottom w:val="single" w:sz="4" w:space="0" w:color="auto"/>
              <w:right w:val="single" w:sz="4" w:space="0" w:color="auto"/>
            </w:tcBorders>
            <w:shd w:val="clear" w:color="000000" w:fill="B4C6E7"/>
            <w:vAlign w:val="center"/>
            <w:hideMark/>
          </w:tcPr>
          <w:p w:rsidR="000F236F" w:rsidRDefault="000F236F" w:rsidP="00DB5405">
            <w:pPr>
              <w:jc w:val="center"/>
              <w:rPr>
                <w:rFonts w:ascii="Garamond" w:eastAsia="Times New Roman" w:hAnsi="Garamond" w:cs="Calibri"/>
                <w:b/>
                <w:bCs/>
                <w:color w:val="000000"/>
                <w:sz w:val="20"/>
                <w:szCs w:val="20"/>
                <w:lang w:val="en-IN" w:eastAsia="en-IN"/>
              </w:rPr>
            </w:pPr>
            <w:r>
              <w:rPr>
                <w:rFonts w:ascii="Garamond" w:eastAsia="Times New Roman" w:hAnsi="Garamond" w:cs="Calibri"/>
                <w:b/>
                <w:bCs/>
                <w:color w:val="000000"/>
                <w:sz w:val="20"/>
                <w:szCs w:val="20"/>
                <w:lang w:val="en-IN" w:eastAsia="en-IN"/>
              </w:rPr>
              <w:t>Notional</w:t>
            </w:r>
            <w:r>
              <w:rPr>
                <w:rFonts w:ascii="Garamond" w:eastAsia="Times New Roman" w:hAnsi="Garamond" w:cs="Calibri"/>
                <w:b/>
                <w:bCs/>
                <w:color w:val="000000"/>
                <w:sz w:val="20"/>
                <w:szCs w:val="20"/>
                <w:lang w:val="en-IN" w:eastAsia="en-IN"/>
              </w:rPr>
              <w:br/>
              <w:t>Turnover</w:t>
            </w:r>
          </w:p>
        </w:tc>
        <w:tc>
          <w:tcPr>
            <w:tcW w:w="1062" w:type="dxa"/>
            <w:tcBorders>
              <w:top w:val="nil"/>
              <w:left w:val="nil"/>
              <w:bottom w:val="single" w:sz="4" w:space="0" w:color="auto"/>
              <w:right w:val="single" w:sz="4" w:space="0" w:color="auto"/>
            </w:tcBorders>
            <w:shd w:val="clear" w:color="000000" w:fill="B4C6E7"/>
            <w:vAlign w:val="center"/>
            <w:hideMark/>
          </w:tcPr>
          <w:p w:rsidR="000F236F" w:rsidRDefault="000F236F" w:rsidP="00DB5405">
            <w:pPr>
              <w:jc w:val="center"/>
              <w:rPr>
                <w:rFonts w:ascii="Garamond" w:eastAsia="Times New Roman" w:hAnsi="Garamond" w:cs="Calibri"/>
                <w:b/>
                <w:bCs/>
                <w:color w:val="000000"/>
                <w:sz w:val="20"/>
                <w:szCs w:val="20"/>
                <w:lang w:val="en-IN" w:eastAsia="en-IN"/>
              </w:rPr>
            </w:pPr>
            <w:r>
              <w:rPr>
                <w:rFonts w:ascii="Garamond" w:eastAsia="Times New Roman" w:hAnsi="Garamond" w:cs="Calibri"/>
                <w:b/>
                <w:bCs/>
                <w:color w:val="000000"/>
                <w:sz w:val="20"/>
                <w:szCs w:val="20"/>
                <w:lang w:val="en-IN" w:eastAsia="en-IN"/>
              </w:rPr>
              <w:t>Open</w:t>
            </w:r>
            <w:r>
              <w:rPr>
                <w:rFonts w:ascii="Garamond" w:eastAsia="Times New Roman" w:hAnsi="Garamond" w:cs="Calibri"/>
                <w:b/>
                <w:bCs/>
                <w:color w:val="000000"/>
                <w:sz w:val="20"/>
                <w:szCs w:val="20"/>
                <w:lang w:val="en-IN" w:eastAsia="en-IN"/>
              </w:rPr>
              <w:br/>
              <w:t>Interest</w:t>
            </w:r>
          </w:p>
        </w:tc>
      </w:tr>
      <w:tr w:rsidR="000F236F" w:rsidTr="00DB5405">
        <w:trPr>
          <w:trHeight w:val="267"/>
        </w:trPr>
        <w:tc>
          <w:tcPr>
            <w:tcW w:w="3415" w:type="dxa"/>
            <w:tcBorders>
              <w:top w:val="nil"/>
              <w:left w:val="single" w:sz="4" w:space="0" w:color="auto"/>
              <w:bottom w:val="nil"/>
              <w:right w:val="nil"/>
            </w:tcBorders>
            <w:shd w:val="clear" w:color="000000" w:fill="B4C6E7"/>
            <w:vAlign w:val="center"/>
            <w:hideMark/>
          </w:tcPr>
          <w:p w:rsidR="000F236F" w:rsidRDefault="000F236F" w:rsidP="00DB5405">
            <w:pPr>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B3 - Brasil Bolsa Balcão</w:t>
            </w:r>
          </w:p>
        </w:tc>
        <w:tc>
          <w:tcPr>
            <w:tcW w:w="1095" w:type="dxa"/>
            <w:tcBorders>
              <w:top w:val="single" w:sz="8" w:space="0" w:color="auto"/>
              <w:left w:val="single" w:sz="8" w:space="0" w:color="auto"/>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2,82,987</w:t>
            </w:r>
          </w:p>
        </w:tc>
        <w:tc>
          <w:tcPr>
            <w:tcW w:w="1062" w:type="dxa"/>
            <w:tcBorders>
              <w:top w:val="single" w:sz="8" w:space="0" w:color="auto"/>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2,073</w:t>
            </w:r>
          </w:p>
        </w:tc>
        <w:tc>
          <w:tcPr>
            <w:tcW w:w="1062" w:type="dxa"/>
            <w:tcBorders>
              <w:top w:val="single" w:sz="8" w:space="0" w:color="auto"/>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90,119</w:t>
            </w:r>
          </w:p>
        </w:tc>
        <w:tc>
          <w:tcPr>
            <w:tcW w:w="1062" w:type="dxa"/>
            <w:tcBorders>
              <w:top w:val="single" w:sz="8" w:space="0" w:color="auto"/>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94,572</w:t>
            </w:r>
          </w:p>
        </w:tc>
        <w:tc>
          <w:tcPr>
            <w:tcW w:w="1061" w:type="dxa"/>
            <w:tcBorders>
              <w:top w:val="single" w:sz="8" w:space="0" w:color="auto"/>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17</w:t>
            </w:r>
          </w:p>
        </w:tc>
        <w:tc>
          <w:tcPr>
            <w:tcW w:w="1062" w:type="dxa"/>
            <w:tcBorders>
              <w:top w:val="single" w:sz="8" w:space="0" w:color="auto"/>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1,36,119</w:t>
            </w:r>
          </w:p>
        </w:tc>
      </w:tr>
      <w:tr w:rsidR="000F236F" w:rsidTr="00DB5405">
        <w:trPr>
          <w:trHeight w:val="267"/>
        </w:trPr>
        <w:tc>
          <w:tcPr>
            <w:tcW w:w="3415" w:type="dxa"/>
            <w:tcBorders>
              <w:top w:val="nil"/>
              <w:left w:val="single" w:sz="4" w:space="0" w:color="auto"/>
              <w:bottom w:val="nil"/>
              <w:right w:val="nil"/>
            </w:tcBorders>
            <w:shd w:val="clear" w:color="000000" w:fill="B4C6E7"/>
            <w:vAlign w:val="center"/>
            <w:hideMark/>
          </w:tcPr>
          <w:p w:rsidR="000F236F" w:rsidRDefault="000F236F" w:rsidP="00DB5405">
            <w:pPr>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Matba Rofex</w:t>
            </w:r>
          </w:p>
        </w:tc>
        <w:tc>
          <w:tcPr>
            <w:tcW w:w="1095" w:type="dxa"/>
            <w:tcBorders>
              <w:top w:val="nil"/>
              <w:left w:val="single" w:sz="8" w:space="0" w:color="auto"/>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1,07,000</w:t>
            </w:r>
          </w:p>
        </w:tc>
        <w:tc>
          <w:tcPr>
            <w:tcW w:w="1062"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790</w:t>
            </w:r>
          </w:p>
        </w:tc>
        <w:tc>
          <w:tcPr>
            <w:tcW w:w="1062"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60,297</w:t>
            </w:r>
          </w:p>
        </w:tc>
        <w:tc>
          <w:tcPr>
            <w:tcW w:w="1062"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11,702</w:t>
            </w:r>
          </w:p>
        </w:tc>
        <w:tc>
          <w:tcPr>
            <w:tcW w:w="1061"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5</w:t>
            </w:r>
          </w:p>
        </w:tc>
        <w:tc>
          <w:tcPr>
            <w:tcW w:w="1062"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19,268</w:t>
            </w:r>
          </w:p>
        </w:tc>
      </w:tr>
      <w:tr w:rsidR="000F236F" w:rsidTr="00DB5405">
        <w:trPr>
          <w:trHeight w:val="267"/>
        </w:trPr>
        <w:tc>
          <w:tcPr>
            <w:tcW w:w="3415" w:type="dxa"/>
            <w:tcBorders>
              <w:top w:val="nil"/>
              <w:left w:val="single" w:sz="4" w:space="0" w:color="auto"/>
              <w:bottom w:val="nil"/>
              <w:right w:val="nil"/>
            </w:tcBorders>
            <w:shd w:val="clear" w:color="000000" w:fill="B4C6E7"/>
            <w:vAlign w:val="center"/>
            <w:hideMark/>
          </w:tcPr>
          <w:p w:rsidR="000F236F" w:rsidRDefault="000F236F" w:rsidP="00DB5405">
            <w:pPr>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CME Group</w:t>
            </w:r>
          </w:p>
        </w:tc>
        <w:tc>
          <w:tcPr>
            <w:tcW w:w="1095" w:type="dxa"/>
            <w:tcBorders>
              <w:top w:val="nil"/>
              <w:left w:val="single" w:sz="8" w:space="0" w:color="auto"/>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7,99,68,909</w:t>
            </w:r>
          </w:p>
        </w:tc>
        <w:tc>
          <w:tcPr>
            <w:tcW w:w="1062"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44,96,377</w:t>
            </w:r>
          </w:p>
        </w:tc>
        <w:tc>
          <w:tcPr>
            <w:tcW w:w="1062"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1,37,25,719</w:t>
            </w:r>
          </w:p>
        </w:tc>
        <w:tc>
          <w:tcPr>
            <w:tcW w:w="1062"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1,08,15,383</w:t>
            </w:r>
          </w:p>
        </w:tc>
        <w:tc>
          <w:tcPr>
            <w:tcW w:w="1061"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5,41,737</w:t>
            </w:r>
          </w:p>
        </w:tc>
        <w:tc>
          <w:tcPr>
            <w:tcW w:w="1062"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1,01,26,648</w:t>
            </w:r>
          </w:p>
        </w:tc>
      </w:tr>
      <w:tr w:rsidR="000F236F" w:rsidTr="00DB5405">
        <w:trPr>
          <w:trHeight w:val="267"/>
        </w:trPr>
        <w:tc>
          <w:tcPr>
            <w:tcW w:w="3415" w:type="dxa"/>
            <w:tcBorders>
              <w:top w:val="nil"/>
              <w:left w:val="single" w:sz="4" w:space="0" w:color="auto"/>
              <w:bottom w:val="nil"/>
              <w:right w:val="nil"/>
            </w:tcBorders>
            <w:shd w:val="clear" w:color="000000" w:fill="B4C6E7"/>
            <w:vAlign w:val="center"/>
            <w:hideMark/>
          </w:tcPr>
          <w:p w:rsidR="000F236F" w:rsidRDefault="000F236F" w:rsidP="00DB5405">
            <w:pPr>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ASX Australian Securities Exchange</w:t>
            </w:r>
          </w:p>
        </w:tc>
        <w:tc>
          <w:tcPr>
            <w:tcW w:w="1095" w:type="dxa"/>
            <w:tcBorders>
              <w:top w:val="nil"/>
              <w:left w:val="single" w:sz="8" w:space="0" w:color="auto"/>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57,513</w:t>
            </w:r>
          </w:p>
        </w:tc>
        <w:tc>
          <w:tcPr>
            <w:tcW w:w="1062"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1,393</w:t>
            </w:r>
          </w:p>
        </w:tc>
        <w:tc>
          <w:tcPr>
            <w:tcW w:w="1062"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1,18,795</w:t>
            </w:r>
          </w:p>
        </w:tc>
        <w:tc>
          <w:tcPr>
            <w:tcW w:w="1062"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9,293</w:t>
            </w:r>
          </w:p>
        </w:tc>
        <w:tc>
          <w:tcPr>
            <w:tcW w:w="1061"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1,380</w:t>
            </w:r>
          </w:p>
        </w:tc>
        <w:tc>
          <w:tcPr>
            <w:tcW w:w="1062"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51,532</w:t>
            </w:r>
          </w:p>
        </w:tc>
      </w:tr>
      <w:tr w:rsidR="000F236F" w:rsidTr="00DB5405">
        <w:trPr>
          <w:trHeight w:val="267"/>
        </w:trPr>
        <w:tc>
          <w:tcPr>
            <w:tcW w:w="3415" w:type="dxa"/>
            <w:tcBorders>
              <w:top w:val="nil"/>
              <w:left w:val="single" w:sz="4" w:space="0" w:color="auto"/>
              <w:bottom w:val="nil"/>
              <w:right w:val="nil"/>
            </w:tcBorders>
            <w:shd w:val="clear" w:color="000000" w:fill="B4C6E7"/>
            <w:vAlign w:val="center"/>
            <w:hideMark/>
          </w:tcPr>
          <w:p w:rsidR="000F236F" w:rsidRDefault="000F236F" w:rsidP="00DB5405">
            <w:pPr>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Hong Kong Exchanges and Clearing</w:t>
            </w:r>
          </w:p>
        </w:tc>
        <w:tc>
          <w:tcPr>
            <w:tcW w:w="1095" w:type="dxa"/>
            <w:tcBorders>
              <w:top w:val="nil"/>
              <w:left w:val="single" w:sz="8" w:space="0" w:color="auto"/>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27,588</w:t>
            </w:r>
          </w:p>
        </w:tc>
        <w:tc>
          <w:tcPr>
            <w:tcW w:w="1062"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494</w:t>
            </w:r>
          </w:p>
        </w:tc>
        <w:tc>
          <w:tcPr>
            <w:tcW w:w="1062"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3,194</w:t>
            </w:r>
          </w:p>
        </w:tc>
        <w:tc>
          <w:tcPr>
            <w:tcW w:w="1062"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NA</w:t>
            </w:r>
          </w:p>
        </w:tc>
        <w:tc>
          <w:tcPr>
            <w:tcW w:w="1061"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NA</w:t>
            </w:r>
          </w:p>
        </w:tc>
        <w:tc>
          <w:tcPr>
            <w:tcW w:w="1062"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NA</w:t>
            </w:r>
          </w:p>
        </w:tc>
      </w:tr>
      <w:tr w:rsidR="000F236F" w:rsidTr="00DB5405">
        <w:trPr>
          <w:trHeight w:val="267"/>
        </w:trPr>
        <w:tc>
          <w:tcPr>
            <w:tcW w:w="3415" w:type="dxa"/>
            <w:tcBorders>
              <w:top w:val="nil"/>
              <w:left w:val="single" w:sz="4" w:space="0" w:color="auto"/>
              <w:bottom w:val="nil"/>
              <w:right w:val="nil"/>
            </w:tcBorders>
            <w:shd w:val="clear" w:color="000000" w:fill="B4C6E7"/>
            <w:vAlign w:val="center"/>
            <w:hideMark/>
          </w:tcPr>
          <w:p w:rsidR="000F236F" w:rsidRDefault="000F236F" w:rsidP="00DB5405">
            <w:pPr>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National Stock Exchange of India</w:t>
            </w:r>
          </w:p>
        </w:tc>
        <w:tc>
          <w:tcPr>
            <w:tcW w:w="1095" w:type="dxa"/>
            <w:tcBorders>
              <w:top w:val="nil"/>
              <w:left w:val="single" w:sz="8" w:space="0" w:color="auto"/>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1,748</w:t>
            </w:r>
          </w:p>
        </w:tc>
        <w:tc>
          <w:tcPr>
            <w:tcW w:w="1062"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13</w:t>
            </w:r>
          </w:p>
        </w:tc>
        <w:tc>
          <w:tcPr>
            <w:tcW w:w="1062"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7</w:t>
            </w:r>
          </w:p>
        </w:tc>
        <w:tc>
          <w:tcPr>
            <w:tcW w:w="1062"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44,081</w:t>
            </w:r>
          </w:p>
        </w:tc>
        <w:tc>
          <w:tcPr>
            <w:tcW w:w="1061"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325</w:t>
            </w:r>
          </w:p>
        </w:tc>
        <w:tc>
          <w:tcPr>
            <w:tcW w:w="1062"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547</w:t>
            </w:r>
          </w:p>
        </w:tc>
      </w:tr>
      <w:tr w:rsidR="000F236F" w:rsidTr="00DB5405">
        <w:trPr>
          <w:trHeight w:val="267"/>
        </w:trPr>
        <w:tc>
          <w:tcPr>
            <w:tcW w:w="3415" w:type="dxa"/>
            <w:tcBorders>
              <w:top w:val="nil"/>
              <w:left w:val="single" w:sz="4" w:space="0" w:color="auto"/>
              <w:bottom w:val="nil"/>
              <w:right w:val="nil"/>
            </w:tcBorders>
            <w:shd w:val="clear" w:color="000000" w:fill="B4C6E7"/>
            <w:vAlign w:val="center"/>
            <w:hideMark/>
          </w:tcPr>
          <w:p w:rsidR="000F236F" w:rsidRDefault="000F236F" w:rsidP="00DB5405">
            <w:pPr>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NZX Limited</w:t>
            </w:r>
          </w:p>
        </w:tc>
        <w:tc>
          <w:tcPr>
            <w:tcW w:w="1095" w:type="dxa"/>
            <w:tcBorders>
              <w:top w:val="nil"/>
              <w:left w:val="single" w:sz="8" w:space="0" w:color="auto"/>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20,422</w:t>
            </w:r>
          </w:p>
        </w:tc>
        <w:tc>
          <w:tcPr>
            <w:tcW w:w="1062"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64</w:t>
            </w:r>
          </w:p>
        </w:tc>
        <w:tc>
          <w:tcPr>
            <w:tcW w:w="1062"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62,912</w:t>
            </w:r>
          </w:p>
        </w:tc>
        <w:tc>
          <w:tcPr>
            <w:tcW w:w="1062"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3,680</w:t>
            </w:r>
          </w:p>
        </w:tc>
        <w:tc>
          <w:tcPr>
            <w:tcW w:w="1061"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11</w:t>
            </w:r>
          </w:p>
        </w:tc>
        <w:tc>
          <w:tcPr>
            <w:tcW w:w="1062"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19,607</w:t>
            </w:r>
          </w:p>
        </w:tc>
      </w:tr>
      <w:tr w:rsidR="000F236F" w:rsidTr="00DB5405">
        <w:trPr>
          <w:trHeight w:val="267"/>
        </w:trPr>
        <w:tc>
          <w:tcPr>
            <w:tcW w:w="3415" w:type="dxa"/>
            <w:tcBorders>
              <w:top w:val="nil"/>
              <w:left w:val="single" w:sz="4" w:space="0" w:color="auto"/>
              <w:bottom w:val="nil"/>
              <w:right w:val="nil"/>
            </w:tcBorders>
            <w:shd w:val="clear" w:color="000000" w:fill="B4C6E7"/>
            <w:vAlign w:val="center"/>
            <w:hideMark/>
          </w:tcPr>
          <w:p w:rsidR="000F236F" w:rsidRDefault="000F236F" w:rsidP="00DB5405">
            <w:pPr>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Singapore Exchange</w:t>
            </w:r>
          </w:p>
        </w:tc>
        <w:tc>
          <w:tcPr>
            <w:tcW w:w="1095" w:type="dxa"/>
            <w:tcBorders>
              <w:top w:val="nil"/>
              <w:left w:val="single" w:sz="8" w:space="0" w:color="auto"/>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18,53,656</w:t>
            </w:r>
          </w:p>
        </w:tc>
        <w:tc>
          <w:tcPr>
            <w:tcW w:w="1062"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NA</w:t>
            </w:r>
          </w:p>
        </w:tc>
        <w:tc>
          <w:tcPr>
            <w:tcW w:w="1062"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10,24,413</w:t>
            </w:r>
          </w:p>
        </w:tc>
        <w:tc>
          <w:tcPr>
            <w:tcW w:w="1062"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4,76,523</w:t>
            </w:r>
          </w:p>
        </w:tc>
        <w:tc>
          <w:tcPr>
            <w:tcW w:w="1061"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NA</w:t>
            </w:r>
          </w:p>
        </w:tc>
        <w:tc>
          <w:tcPr>
            <w:tcW w:w="1062"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11,25,758</w:t>
            </w:r>
          </w:p>
        </w:tc>
      </w:tr>
      <w:tr w:rsidR="000F236F" w:rsidTr="00DB5405">
        <w:trPr>
          <w:trHeight w:val="267"/>
        </w:trPr>
        <w:tc>
          <w:tcPr>
            <w:tcW w:w="3415" w:type="dxa"/>
            <w:tcBorders>
              <w:top w:val="nil"/>
              <w:left w:val="single" w:sz="4" w:space="0" w:color="auto"/>
              <w:bottom w:val="nil"/>
              <w:right w:val="nil"/>
            </w:tcBorders>
            <w:shd w:val="clear" w:color="000000" w:fill="B4C6E7"/>
            <w:vAlign w:val="center"/>
            <w:hideMark/>
          </w:tcPr>
          <w:p w:rsidR="000F236F" w:rsidRDefault="000F236F" w:rsidP="00DB5405">
            <w:pPr>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Taiwan Futures Exchange</w:t>
            </w:r>
          </w:p>
        </w:tc>
        <w:tc>
          <w:tcPr>
            <w:tcW w:w="1095" w:type="dxa"/>
            <w:tcBorders>
              <w:top w:val="nil"/>
              <w:left w:val="single" w:sz="8" w:space="0" w:color="auto"/>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27,145</w:t>
            </w:r>
          </w:p>
        </w:tc>
        <w:tc>
          <w:tcPr>
            <w:tcW w:w="1062"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582</w:t>
            </w:r>
          </w:p>
        </w:tc>
        <w:tc>
          <w:tcPr>
            <w:tcW w:w="1062"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1,533</w:t>
            </w:r>
          </w:p>
        </w:tc>
        <w:tc>
          <w:tcPr>
            <w:tcW w:w="1062"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5,513</w:t>
            </w:r>
          </w:p>
        </w:tc>
        <w:tc>
          <w:tcPr>
            <w:tcW w:w="1061"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65</w:t>
            </w:r>
          </w:p>
        </w:tc>
        <w:tc>
          <w:tcPr>
            <w:tcW w:w="1062"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517</w:t>
            </w:r>
          </w:p>
        </w:tc>
      </w:tr>
      <w:tr w:rsidR="000F236F" w:rsidTr="00DB5405">
        <w:trPr>
          <w:trHeight w:val="267"/>
        </w:trPr>
        <w:tc>
          <w:tcPr>
            <w:tcW w:w="3415" w:type="dxa"/>
            <w:tcBorders>
              <w:top w:val="nil"/>
              <w:left w:val="single" w:sz="4" w:space="0" w:color="auto"/>
              <w:bottom w:val="nil"/>
              <w:right w:val="nil"/>
            </w:tcBorders>
            <w:shd w:val="clear" w:color="000000" w:fill="B4C6E7"/>
            <w:vAlign w:val="center"/>
            <w:hideMark/>
          </w:tcPr>
          <w:p w:rsidR="000F236F" w:rsidRDefault="000F236F" w:rsidP="00DB5405">
            <w:pPr>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Thailand Futures Exchange</w:t>
            </w:r>
          </w:p>
        </w:tc>
        <w:tc>
          <w:tcPr>
            <w:tcW w:w="1095" w:type="dxa"/>
            <w:tcBorders>
              <w:top w:val="nil"/>
              <w:left w:val="single" w:sz="8" w:space="0" w:color="auto"/>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14,12,561</w:t>
            </w:r>
          </w:p>
        </w:tc>
        <w:tc>
          <w:tcPr>
            <w:tcW w:w="1062"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NA</w:t>
            </w:r>
          </w:p>
        </w:tc>
        <w:tc>
          <w:tcPr>
            <w:tcW w:w="1062"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37,013</w:t>
            </w:r>
          </w:p>
        </w:tc>
        <w:tc>
          <w:tcPr>
            <w:tcW w:w="1062"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NA</w:t>
            </w:r>
          </w:p>
        </w:tc>
        <w:tc>
          <w:tcPr>
            <w:tcW w:w="1061"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NA</w:t>
            </w:r>
          </w:p>
        </w:tc>
        <w:tc>
          <w:tcPr>
            <w:tcW w:w="1062"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NA</w:t>
            </w:r>
          </w:p>
        </w:tc>
      </w:tr>
      <w:tr w:rsidR="000F236F" w:rsidTr="00DB5405">
        <w:trPr>
          <w:trHeight w:val="267"/>
        </w:trPr>
        <w:tc>
          <w:tcPr>
            <w:tcW w:w="3415" w:type="dxa"/>
            <w:tcBorders>
              <w:top w:val="nil"/>
              <w:left w:val="single" w:sz="4" w:space="0" w:color="auto"/>
              <w:bottom w:val="nil"/>
              <w:right w:val="nil"/>
            </w:tcBorders>
            <w:shd w:val="clear" w:color="000000" w:fill="B4C6E7"/>
            <w:vAlign w:val="center"/>
            <w:hideMark/>
          </w:tcPr>
          <w:p w:rsidR="000F236F" w:rsidRDefault="000F236F" w:rsidP="00DB5405">
            <w:pPr>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Bursa Malaysia Derivatives</w:t>
            </w:r>
          </w:p>
        </w:tc>
        <w:tc>
          <w:tcPr>
            <w:tcW w:w="1095" w:type="dxa"/>
            <w:tcBorders>
              <w:top w:val="nil"/>
              <w:left w:val="single" w:sz="8" w:space="0" w:color="auto"/>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9,95,029</w:t>
            </w:r>
          </w:p>
        </w:tc>
        <w:tc>
          <w:tcPr>
            <w:tcW w:w="1062"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15,946</w:t>
            </w:r>
          </w:p>
        </w:tc>
        <w:tc>
          <w:tcPr>
            <w:tcW w:w="1062"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1,84,790</w:t>
            </w:r>
          </w:p>
        </w:tc>
        <w:tc>
          <w:tcPr>
            <w:tcW w:w="1062"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600</w:t>
            </w:r>
          </w:p>
        </w:tc>
        <w:tc>
          <w:tcPr>
            <w:tcW w:w="1061"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0</w:t>
            </w:r>
          </w:p>
        </w:tc>
        <w:tc>
          <w:tcPr>
            <w:tcW w:w="1062"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19,150</w:t>
            </w:r>
          </w:p>
        </w:tc>
      </w:tr>
      <w:tr w:rsidR="000F236F" w:rsidTr="00DB5405">
        <w:trPr>
          <w:trHeight w:val="267"/>
        </w:trPr>
        <w:tc>
          <w:tcPr>
            <w:tcW w:w="3415" w:type="dxa"/>
            <w:tcBorders>
              <w:top w:val="nil"/>
              <w:left w:val="single" w:sz="4" w:space="0" w:color="auto"/>
              <w:bottom w:val="nil"/>
              <w:right w:val="nil"/>
            </w:tcBorders>
            <w:shd w:val="clear" w:color="000000" w:fill="B4C6E7"/>
            <w:vAlign w:val="center"/>
            <w:hideMark/>
          </w:tcPr>
          <w:p w:rsidR="000F236F" w:rsidRDefault="000F236F" w:rsidP="00DB5405">
            <w:pPr>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Zhengzhou Commodity Exchange</w:t>
            </w:r>
          </w:p>
        </w:tc>
        <w:tc>
          <w:tcPr>
            <w:tcW w:w="1095" w:type="dxa"/>
            <w:tcBorders>
              <w:top w:val="nil"/>
              <w:left w:val="single" w:sz="8" w:space="0" w:color="auto"/>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15,46,03,857</w:t>
            </w:r>
          </w:p>
        </w:tc>
        <w:tc>
          <w:tcPr>
            <w:tcW w:w="1062"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8,82,666</w:t>
            </w:r>
          </w:p>
        </w:tc>
        <w:tc>
          <w:tcPr>
            <w:tcW w:w="1062"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69,82,109</w:t>
            </w:r>
          </w:p>
        </w:tc>
        <w:tc>
          <w:tcPr>
            <w:tcW w:w="1062"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26,95,247</w:t>
            </w:r>
          </w:p>
        </w:tc>
        <w:tc>
          <w:tcPr>
            <w:tcW w:w="1061"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195</w:t>
            </w:r>
          </w:p>
        </w:tc>
        <w:tc>
          <w:tcPr>
            <w:tcW w:w="1062"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5,21,847</w:t>
            </w:r>
          </w:p>
        </w:tc>
      </w:tr>
      <w:tr w:rsidR="000F236F" w:rsidTr="00DB5405">
        <w:trPr>
          <w:trHeight w:val="267"/>
        </w:trPr>
        <w:tc>
          <w:tcPr>
            <w:tcW w:w="3415" w:type="dxa"/>
            <w:tcBorders>
              <w:top w:val="nil"/>
              <w:left w:val="single" w:sz="4" w:space="0" w:color="auto"/>
              <w:bottom w:val="nil"/>
              <w:right w:val="nil"/>
            </w:tcBorders>
            <w:shd w:val="clear" w:color="000000" w:fill="B4C6E7"/>
            <w:vAlign w:val="center"/>
            <w:hideMark/>
          </w:tcPr>
          <w:p w:rsidR="000F236F" w:rsidRDefault="000F236F" w:rsidP="00DB5405">
            <w:pPr>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Dalian Commodity Exchange</w:t>
            </w:r>
          </w:p>
        </w:tc>
        <w:tc>
          <w:tcPr>
            <w:tcW w:w="1095" w:type="dxa"/>
            <w:tcBorders>
              <w:top w:val="nil"/>
              <w:left w:val="single" w:sz="8" w:space="0" w:color="auto"/>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16,55,08,944</w:t>
            </w:r>
          </w:p>
        </w:tc>
        <w:tc>
          <w:tcPr>
            <w:tcW w:w="1062"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12,28,395</w:t>
            </w:r>
          </w:p>
        </w:tc>
        <w:tc>
          <w:tcPr>
            <w:tcW w:w="1062"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84,55,042</w:t>
            </w:r>
          </w:p>
        </w:tc>
        <w:tc>
          <w:tcPr>
            <w:tcW w:w="1062"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38,23,600</w:t>
            </w:r>
          </w:p>
        </w:tc>
        <w:tc>
          <w:tcPr>
            <w:tcW w:w="1061"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492</w:t>
            </w:r>
          </w:p>
        </w:tc>
        <w:tc>
          <w:tcPr>
            <w:tcW w:w="1062"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8,19,331</w:t>
            </w:r>
          </w:p>
        </w:tc>
      </w:tr>
      <w:tr w:rsidR="000F236F" w:rsidTr="00DB5405">
        <w:trPr>
          <w:trHeight w:val="267"/>
        </w:trPr>
        <w:tc>
          <w:tcPr>
            <w:tcW w:w="3415" w:type="dxa"/>
            <w:tcBorders>
              <w:top w:val="nil"/>
              <w:left w:val="single" w:sz="4" w:space="0" w:color="auto"/>
              <w:bottom w:val="nil"/>
              <w:right w:val="nil"/>
            </w:tcBorders>
            <w:shd w:val="clear" w:color="000000" w:fill="B4C6E7"/>
            <w:vAlign w:val="center"/>
            <w:hideMark/>
          </w:tcPr>
          <w:p w:rsidR="000F236F" w:rsidRDefault="000F236F" w:rsidP="00DB5405">
            <w:pPr>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Multi Commodity Exchange of India</w:t>
            </w:r>
          </w:p>
        </w:tc>
        <w:tc>
          <w:tcPr>
            <w:tcW w:w="1095" w:type="dxa"/>
            <w:tcBorders>
              <w:top w:val="nil"/>
              <w:left w:val="single" w:sz="8" w:space="0" w:color="auto"/>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2,11,73,998</w:t>
            </w:r>
          </w:p>
        </w:tc>
        <w:tc>
          <w:tcPr>
            <w:tcW w:w="1062"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1,24,307</w:t>
            </w:r>
          </w:p>
        </w:tc>
        <w:tc>
          <w:tcPr>
            <w:tcW w:w="1062"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1,64,840</w:t>
            </w:r>
          </w:p>
        </w:tc>
        <w:tc>
          <w:tcPr>
            <w:tcW w:w="1062"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1,69,089</w:t>
            </w:r>
          </w:p>
        </w:tc>
        <w:tc>
          <w:tcPr>
            <w:tcW w:w="1061"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3,958</w:t>
            </w:r>
          </w:p>
        </w:tc>
        <w:tc>
          <w:tcPr>
            <w:tcW w:w="1062"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9,062</w:t>
            </w:r>
          </w:p>
        </w:tc>
      </w:tr>
      <w:tr w:rsidR="000F236F" w:rsidTr="00DB5405">
        <w:trPr>
          <w:trHeight w:val="267"/>
        </w:trPr>
        <w:tc>
          <w:tcPr>
            <w:tcW w:w="3415" w:type="dxa"/>
            <w:tcBorders>
              <w:top w:val="nil"/>
              <w:left w:val="single" w:sz="4" w:space="0" w:color="auto"/>
              <w:bottom w:val="nil"/>
              <w:right w:val="nil"/>
            </w:tcBorders>
            <w:shd w:val="clear" w:color="000000" w:fill="B4C6E7"/>
            <w:vAlign w:val="center"/>
            <w:hideMark/>
          </w:tcPr>
          <w:p w:rsidR="000F236F" w:rsidRDefault="000F236F" w:rsidP="00DB5405">
            <w:pPr>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Shanghai Futures Exchange</w:t>
            </w:r>
          </w:p>
        </w:tc>
        <w:tc>
          <w:tcPr>
            <w:tcW w:w="1095" w:type="dxa"/>
            <w:tcBorders>
              <w:top w:val="nil"/>
              <w:left w:val="single" w:sz="8" w:space="0" w:color="auto"/>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21,20,83,407</w:t>
            </w:r>
          </w:p>
        </w:tc>
        <w:tc>
          <w:tcPr>
            <w:tcW w:w="1062"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28,10,275</w:t>
            </w:r>
          </w:p>
        </w:tc>
        <w:tc>
          <w:tcPr>
            <w:tcW w:w="1062"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70,59,332</w:t>
            </w:r>
          </w:p>
        </w:tc>
        <w:tc>
          <w:tcPr>
            <w:tcW w:w="1062"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NA</w:t>
            </w:r>
          </w:p>
        </w:tc>
        <w:tc>
          <w:tcPr>
            <w:tcW w:w="1061"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NA</w:t>
            </w:r>
          </w:p>
        </w:tc>
        <w:tc>
          <w:tcPr>
            <w:tcW w:w="1062"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NA</w:t>
            </w:r>
          </w:p>
        </w:tc>
      </w:tr>
      <w:tr w:rsidR="000F236F" w:rsidTr="00DB5405">
        <w:trPr>
          <w:trHeight w:val="267"/>
        </w:trPr>
        <w:tc>
          <w:tcPr>
            <w:tcW w:w="3415" w:type="dxa"/>
            <w:tcBorders>
              <w:top w:val="nil"/>
              <w:left w:val="single" w:sz="4" w:space="0" w:color="auto"/>
              <w:bottom w:val="nil"/>
              <w:right w:val="nil"/>
            </w:tcBorders>
            <w:shd w:val="clear" w:color="000000" w:fill="B4C6E7"/>
            <w:vAlign w:val="center"/>
            <w:hideMark/>
          </w:tcPr>
          <w:p w:rsidR="000F236F" w:rsidRDefault="000F236F" w:rsidP="00DB5405">
            <w:pPr>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Indian Commodity Exchange</w:t>
            </w:r>
          </w:p>
        </w:tc>
        <w:tc>
          <w:tcPr>
            <w:tcW w:w="1095" w:type="dxa"/>
            <w:tcBorders>
              <w:top w:val="nil"/>
              <w:left w:val="single" w:sz="8" w:space="0" w:color="auto"/>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NA</w:t>
            </w:r>
          </w:p>
        </w:tc>
        <w:tc>
          <w:tcPr>
            <w:tcW w:w="1062"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NA</w:t>
            </w:r>
          </w:p>
        </w:tc>
        <w:tc>
          <w:tcPr>
            <w:tcW w:w="1062"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NA</w:t>
            </w:r>
          </w:p>
        </w:tc>
        <w:tc>
          <w:tcPr>
            <w:tcW w:w="1062"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NA</w:t>
            </w:r>
          </w:p>
        </w:tc>
        <w:tc>
          <w:tcPr>
            <w:tcW w:w="1061"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NA</w:t>
            </w:r>
          </w:p>
        </w:tc>
        <w:tc>
          <w:tcPr>
            <w:tcW w:w="1062"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NA</w:t>
            </w:r>
          </w:p>
        </w:tc>
      </w:tr>
      <w:tr w:rsidR="000F236F" w:rsidTr="00DB5405">
        <w:trPr>
          <w:trHeight w:val="267"/>
        </w:trPr>
        <w:tc>
          <w:tcPr>
            <w:tcW w:w="3415" w:type="dxa"/>
            <w:tcBorders>
              <w:top w:val="nil"/>
              <w:left w:val="single" w:sz="4" w:space="0" w:color="auto"/>
              <w:bottom w:val="nil"/>
              <w:right w:val="nil"/>
            </w:tcBorders>
            <w:shd w:val="clear" w:color="000000" w:fill="B4C6E7"/>
            <w:vAlign w:val="center"/>
            <w:hideMark/>
          </w:tcPr>
          <w:p w:rsidR="000F236F" w:rsidRDefault="000F236F" w:rsidP="00DB5405">
            <w:pPr>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Borsa Istanbul</w:t>
            </w:r>
          </w:p>
        </w:tc>
        <w:tc>
          <w:tcPr>
            <w:tcW w:w="1095" w:type="dxa"/>
            <w:tcBorders>
              <w:top w:val="nil"/>
              <w:left w:val="single" w:sz="8" w:space="0" w:color="auto"/>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2,40,07,824</w:t>
            </w:r>
          </w:p>
        </w:tc>
        <w:tc>
          <w:tcPr>
            <w:tcW w:w="1062"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6,654</w:t>
            </w:r>
          </w:p>
        </w:tc>
        <w:tc>
          <w:tcPr>
            <w:tcW w:w="1062"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21,76,356</w:t>
            </w:r>
          </w:p>
        </w:tc>
        <w:tc>
          <w:tcPr>
            <w:tcW w:w="1062"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NA</w:t>
            </w:r>
          </w:p>
        </w:tc>
        <w:tc>
          <w:tcPr>
            <w:tcW w:w="1061"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NA</w:t>
            </w:r>
          </w:p>
        </w:tc>
        <w:tc>
          <w:tcPr>
            <w:tcW w:w="1062"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NA</w:t>
            </w:r>
          </w:p>
        </w:tc>
      </w:tr>
      <w:tr w:rsidR="000F236F" w:rsidTr="00DB5405">
        <w:trPr>
          <w:trHeight w:val="267"/>
        </w:trPr>
        <w:tc>
          <w:tcPr>
            <w:tcW w:w="3415" w:type="dxa"/>
            <w:tcBorders>
              <w:top w:val="nil"/>
              <w:left w:val="single" w:sz="4" w:space="0" w:color="auto"/>
              <w:bottom w:val="nil"/>
              <w:right w:val="nil"/>
            </w:tcBorders>
            <w:shd w:val="clear" w:color="000000" w:fill="B4C6E7"/>
            <w:vAlign w:val="center"/>
            <w:hideMark/>
          </w:tcPr>
          <w:p w:rsidR="000F236F" w:rsidRDefault="000F236F" w:rsidP="00DB5405">
            <w:pPr>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Deutsche Boerse AG</w:t>
            </w:r>
          </w:p>
        </w:tc>
        <w:tc>
          <w:tcPr>
            <w:tcW w:w="1095" w:type="dxa"/>
            <w:tcBorders>
              <w:top w:val="nil"/>
              <w:left w:val="single" w:sz="8" w:space="0" w:color="auto"/>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3,54,929</w:t>
            </w:r>
          </w:p>
        </w:tc>
        <w:tc>
          <w:tcPr>
            <w:tcW w:w="1062"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13,835</w:t>
            </w:r>
          </w:p>
        </w:tc>
        <w:tc>
          <w:tcPr>
            <w:tcW w:w="1062"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19,92,929</w:t>
            </w:r>
          </w:p>
        </w:tc>
        <w:tc>
          <w:tcPr>
            <w:tcW w:w="1062"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2,87,609</w:t>
            </w:r>
          </w:p>
        </w:tc>
        <w:tc>
          <w:tcPr>
            <w:tcW w:w="1061"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1,371</w:t>
            </w:r>
          </w:p>
        </w:tc>
        <w:tc>
          <w:tcPr>
            <w:tcW w:w="1062"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10,62,207</w:t>
            </w:r>
          </w:p>
        </w:tc>
      </w:tr>
      <w:tr w:rsidR="000F236F" w:rsidTr="00DB5405">
        <w:trPr>
          <w:trHeight w:val="267"/>
        </w:trPr>
        <w:tc>
          <w:tcPr>
            <w:tcW w:w="3415" w:type="dxa"/>
            <w:tcBorders>
              <w:top w:val="nil"/>
              <w:left w:val="single" w:sz="4" w:space="0" w:color="auto"/>
              <w:bottom w:val="nil"/>
              <w:right w:val="nil"/>
            </w:tcBorders>
            <w:shd w:val="clear" w:color="000000" w:fill="B4C6E7"/>
            <w:vAlign w:val="center"/>
            <w:hideMark/>
          </w:tcPr>
          <w:p w:rsidR="000F236F" w:rsidRDefault="000F236F" w:rsidP="00DB5405">
            <w:pPr>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Euronext</w:t>
            </w:r>
          </w:p>
        </w:tc>
        <w:tc>
          <w:tcPr>
            <w:tcW w:w="1095" w:type="dxa"/>
            <w:tcBorders>
              <w:top w:val="nil"/>
              <w:left w:val="single" w:sz="8" w:space="0" w:color="auto"/>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11,43,477</w:t>
            </w:r>
          </w:p>
        </w:tc>
        <w:tc>
          <w:tcPr>
            <w:tcW w:w="1062"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14,086</w:t>
            </w:r>
          </w:p>
        </w:tc>
        <w:tc>
          <w:tcPr>
            <w:tcW w:w="1062"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4,80,715</w:t>
            </w:r>
          </w:p>
        </w:tc>
        <w:tc>
          <w:tcPr>
            <w:tcW w:w="1062"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65,254</w:t>
            </w:r>
          </w:p>
        </w:tc>
        <w:tc>
          <w:tcPr>
            <w:tcW w:w="1061"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797</w:t>
            </w:r>
          </w:p>
        </w:tc>
        <w:tc>
          <w:tcPr>
            <w:tcW w:w="1062"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2,23,454</w:t>
            </w:r>
          </w:p>
        </w:tc>
      </w:tr>
      <w:tr w:rsidR="000F236F" w:rsidTr="00DB5405">
        <w:trPr>
          <w:trHeight w:val="267"/>
        </w:trPr>
        <w:tc>
          <w:tcPr>
            <w:tcW w:w="3415" w:type="dxa"/>
            <w:tcBorders>
              <w:top w:val="nil"/>
              <w:left w:val="single" w:sz="4" w:space="0" w:color="auto"/>
              <w:bottom w:val="nil"/>
              <w:right w:val="nil"/>
            </w:tcBorders>
            <w:shd w:val="clear" w:color="000000" w:fill="B4C6E7"/>
            <w:vAlign w:val="center"/>
            <w:hideMark/>
          </w:tcPr>
          <w:p w:rsidR="000F236F" w:rsidRDefault="000F236F" w:rsidP="00DB5405">
            <w:pPr>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LSE Group</w:t>
            </w:r>
          </w:p>
        </w:tc>
        <w:tc>
          <w:tcPr>
            <w:tcW w:w="1095" w:type="dxa"/>
            <w:tcBorders>
              <w:top w:val="nil"/>
              <w:left w:val="single" w:sz="8" w:space="0" w:color="auto"/>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20</w:t>
            </w:r>
          </w:p>
        </w:tc>
        <w:tc>
          <w:tcPr>
            <w:tcW w:w="1062"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w:t>
            </w:r>
          </w:p>
        </w:tc>
        <w:tc>
          <w:tcPr>
            <w:tcW w:w="1062"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115</w:t>
            </w:r>
          </w:p>
        </w:tc>
        <w:tc>
          <w:tcPr>
            <w:tcW w:w="1062"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NA</w:t>
            </w:r>
          </w:p>
        </w:tc>
        <w:tc>
          <w:tcPr>
            <w:tcW w:w="1061"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NA</w:t>
            </w:r>
          </w:p>
        </w:tc>
        <w:tc>
          <w:tcPr>
            <w:tcW w:w="1062"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NA</w:t>
            </w:r>
          </w:p>
        </w:tc>
      </w:tr>
      <w:tr w:rsidR="000F236F" w:rsidTr="00DB5405">
        <w:trPr>
          <w:trHeight w:val="267"/>
        </w:trPr>
        <w:tc>
          <w:tcPr>
            <w:tcW w:w="3415" w:type="dxa"/>
            <w:tcBorders>
              <w:top w:val="nil"/>
              <w:left w:val="single" w:sz="4" w:space="0" w:color="auto"/>
              <w:bottom w:val="nil"/>
              <w:right w:val="nil"/>
            </w:tcBorders>
            <w:shd w:val="clear" w:color="000000" w:fill="B4C6E7"/>
            <w:vAlign w:val="center"/>
            <w:hideMark/>
          </w:tcPr>
          <w:p w:rsidR="000F236F" w:rsidRDefault="000F236F" w:rsidP="00DB5405">
            <w:pPr>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Moscow Exchange</w:t>
            </w:r>
          </w:p>
        </w:tc>
        <w:tc>
          <w:tcPr>
            <w:tcW w:w="1095" w:type="dxa"/>
            <w:tcBorders>
              <w:top w:val="nil"/>
              <w:left w:val="single" w:sz="8" w:space="0" w:color="auto"/>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4,73,53,069</w:t>
            </w:r>
          </w:p>
        </w:tc>
        <w:tc>
          <w:tcPr>
            <w:tcW w:w="1062"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25,084</w:t>
            </w:r>
          </w:p>
        </w:tc>
        <w:tc>
          <w:tcPr>
            <w:tcW w:w="1062"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10,47,844</w:t>
            </w:r>
          </w:p>
        </w:tc>
        <w:tc>
          <w:tcPr>
            <w:tcW w:w="1062"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5,35,134</w:t>
            </w:r>
          </w:p>
        </w:tc>
        <w:tc>
          <w:tcPr>
            <w:tcW w:w="1061"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244</w:t>
            </w:r>
          </w:p>
        </w:tc>
        <w:tc>
          <w:tcPr>
            <w:tcW w:w="1062"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1,66,880</w:t>
            </w:r>
          </w:p>
        </w:tc>
      </w:tr>
      <w:tr w:rsidR="000F236F" w:rsidTr="00DB5405">
        <w:trPr>
          <w:trHeight w:val="267"/>
        </w:trPr>
        <w:tc>
          <w:tcPr>
            <w:tcW w:w="3415" w:type="dxa"/>
            <w:tcBorders>
              <w:top w:val="nil"/>
              <w:left w:val="single" w:sz="4" w:space="0" w:color="auto"/>
              <w:bottom w:val="nil"/>
              <w:right w:val="nil"/>
            </w:tcBorders>
            <w:shd w:val="clear" w:color="000000" w:fill="B4C6E7"/>
            <w:vAlign w:val="center"/>
            <w:hideMark/>
          </w:tcPr>
          <w:p w:rsidR="000F236F" w:rsidRDefault="000F236F" w:rsidP="00DB5405">
            <w:pPr>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Dubai Gold and Commodities Exchange</w:t>
            </w:r>
          </w:p>
        </w:tc>
        <w:tc>
          <w:tcPr>
            <w:tcW w:w="1095" w:type="dxa"/>
            <w:tcBorders>
              <w:top w:val="nil"/>
              <w:left w:val="single" w:sz="8" w:space="0" w:color="auto"/>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22,809</w:t>
            </w:r>
          </w:p>
        </w:tc>
        <w:tc>
          <w:tcPr>
            <w:tcW w:w="1062"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354</w:t>
            </w:r>
          </w:p>
        </w:tc>
        <w:tc>
          <w:tcPr>
            <w:tcW w:w="1062"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1,436</w:t>
            </w:r>
          </w:p>
        </w:tc>
        <w:tc>
          <w:tcPr>
            <w:tcW w:w="1062"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NA</w:t>
            </w:r>
          </w:p>
        </w:tc>
        <w:tc>
          <w:tcPr>
            <w:tcW w:w="1061"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NA</w:t>
            </w:r>
          </w:p>
        </w:tc>
        <w:tc>
          <w:tcPr>
            <w:tcW w:w="1062"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NA</w:t>
            </w:r>
          </w:p>
        </w:tc>
      </w:tr>
      <w:tr w:rsidR="000F236F" w:rsidTr="00DB5405">
        <w:trPr>
          <w:trHeight w:val="267"/>
        </w:trPr>
        <w:tc>
          <w:tcPr>
            <w:tcW w:w="3415" w:type="dxa"/>
            <w:tcBorders>
              <w:top w:val="nil"/>
              <w:left w:val="single" w:sz="4" w:space="0" w:color="auto"/>
              <w:bottom w:val="nil"/>
              <w:right w:val="nil"/>
            </w:tcBorders>
            <w:shd w:val="clear" w:color="000000" w:fill="B4C6E7"/>
            <w:vAlign w:val="center"/>
            <w:hideMark/>
          </w:tcPr>
          <w:p w:rsidR="000F236F" w:rsidRDefault="000F236F" w:rsidP="00DB5405">
            <w:pPr>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London Metal Exchange</w:t>
            </w:r>
          </w:p>
        </w:tc>
        <w:tc>
          <w:tcPr>
            <w:tcW w:w="1095" w:type="dxa"/>
            <w:tcBorders>
              <w:top w:val="nil"/>
              <w:left w:val="single" w:sz="8" w:space="0" w:color="auto"/>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1,14,25,113</w:t>
            </w:r>
          </w:p>
        </w:tc>
        <w:tc>
          <w:tcPr>
            <w:tcW w:w="1062"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12,41,508</w:t>
            </w:r>
          </w:p>
        </w:tc>
        <w:tc>
          <w:tcPr>
            <w:tcW w:w="1062"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20,96,897</w:t>
            </w:r>
          </w:p>
        </w:tc>
        <w:tc>
          <w:tcPr>
            <w:tcW w:w="1062"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3,57,383</w:t>
            </w:r>
          </w:p>
        </w:tc>
        <w:tc>
          <w:tcPr>
            <w:tcW w:w="1061"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41,214</w:t>
            </w:r>
          </w:p>
        </w:tc>
        <w:tc>
          <w:tcPr>
            <w:tcW w:w="1062"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3,82,919</w:t>
            </w:r>
          </w:p>
        </w:tc>
      </w:tr>
      <w:tr w:rsidR="000F236F" w:rsidTr="00DB5405">
        <w:trPr>
          <w:trHeight w:val="468"/>
        </w:trPr>
        <w:tc>
          <w:tcPr>
            <w:tcW w:w="3415" w:type="dxa"/>
            <w:tcBorders>
              <w:top w:val="nil"/>
              <w:left w:val="single" w:sz="4" w:space="0" w:color="auto"/>
              <w:bottom w:val="nil"/>
              <w:right w:val="nil"/>
            </w:tcBorders>
            <w:shd w:val="clear" w:color="000000" w:fill="B4C6E7"/>
            <w:vAlign w:val="center"/>
            <w:hideMark/>
          </w:tcPr>
          <w:p w:rsidR="000F236F" w:rsidRDefault="000F236F" w:rsidP="00DB5405">
            <w:pPr>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The Saint-Petersburg International Mercantile Exchange</w:t>
            </w:r>
          </w:p>
        </w:tc>
        <w:tc>
          <w:tcPr>
            <w:tcW w:w="1095" w:type="dxa"/>
            <w:tcBorders>
              <w:top w:val="nil"/>
              <w:left w:val="single" w:sz="8" w:space="0" w:color="auto"/>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10,327</w:t>
            </w:r>
          </w:p>
        </w:tc>
        <w:tc>
          <w:tcPr>
            <w:tcW w:w="1062"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1,42,21,027</w:t>
            </w:r>
          </w:p>
        </w:tc>
        <w:tc>
          <w:tcPr>
            <w:tcW w:w="1062"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4,679</w:t>
            </w:r>
          </w:p>
        </w:tc>
        <w:tc>
          <w:tcPr>
            <w:tcW w:w="1062"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NA</w:t>
            </w:r>
          </w:p>
        </w:tc>
        <w:tc>
          <w:tcPr>
            <w:tcW w:w="1061"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NA</w:t>
            </w:r>
          </w:p>
        </w:tc>
        <w:tc>
          <w:tcPr>
            <w:tcW w:w="1062" w:type="dxa"/>
            <w:tcBorders>
              <w:top w:val="nil"/>
              <w:left w:val="nil"/>
              <w:bottom w:val="nil"/>
              <w:right w:val="single" w:sz="8" w:space="0" w:color="auto"/>
            </w:tcBorders>
            <w:shd w:val="clear" w:color="auto" w:fill="auto"/>
            <w:vAlign w:val="center"/>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NA</w:t>
            </w:r>
          </w:p>
        </w:tc>
      </w:tr>
      <w:tr w:rsidR="000F236F" w:rsidTr="00DB5405">
        <w:trPr>
          <w:trHeight w:val="281"/>
        </w:trPr>
        <w:tc>
          <w:tcPr>
            <w:tcW w:w="3415" w:type="dxa"/>
            <w:tcBorders>
              <w:top w:val="single" w:sz="8" w:space="0" w:color="auto"/>
              <w:left w:val="single" w:sz="8" w:space="0" w:color="auto"/>
              <w:bottom w:val="single" w:sz="8" w:space="0" w:color="auto"/>
              <w:right w:val="nil"/>
            </w:tcBorders>
            <w:shd w:val="clear" w:color="000000" w:fill="D9E1F2"/>
            <w:vAlign w:val="center"/>
            <w:hideMark/>
          </w:tcPr>
          <w:p w:rsidR="000F236F" w:rsidRDefault="000F236F" w:rsidP="00DB5405">
            <w:pPr>
              <w:rPr>
                <w:rFonts w:ascii="Garamond" w:eastAsia="Times New Roman" w:hAnsi="Garamond" w:cs="Calibri"/>
                <w:b/>
                <w:bCs/>
                <w:color w:val="000000"/>
                <w:sz w:val="20"/>
                <w:szCs w:val="20"/>
                <w:lang w:val="en-IN" w:eastAsia="en-IN"/>
              </w:rPr>
            </w:pPr>
            <w:r>
              <w:rPr>
                <w:rFonts w:ascii="Garamond" w:eastAsia="Times New Roman" w:hAnsi="Garamond" w:cs="Calibri"/>
                <w:b/>
                <w:bCs/>
                <w:color w:val="000000"/>
                <w:sz w:val="20"/>
                <w:szCs w:val="20"/>
                <w:lang w:val="en-IN" w:eastAsia="en-IN"/>
              </w:rPr>
              <w:t>Grand Total</w:t>
            </w:r>
          </w:p>
        </w:tc>
        <w:tc>
          <w:tcPr>
            <w:tcW w:w="1095" w:type="dxa"/>
            <w:tcBorders>
              <w:top w:val="single" w:sz="8" w:space="0" w:color="auto"/>
              <w:left w:val="nil"/>
              <w:bottom w:val="single" w:sz="8" w:space="0" w:color="auto"/>
              <w:right w:val="nil"/>
            </w:tcBorders>
            <w:shd w:val="clear" w:color="000000" w:fill="D9E1F2"/>
            <w:vAlign w:val="center"/>
            <w:hideMark/>
          </w:tcPr>
          <w:p w:rsidR="000F236F" w:rsidRDefault="000F236F" w:rsidP="00DB5405">
            <w:pPr>
              <w:jc w:val="right"/>
              <w:rPr>
                <w:rFonts w:ascii="Garamond" w:eastAsia="Times New Roman" w:hAnsi="Garamond" w:cs="Calibri"/>
                <w:b/>
                <w:bCs/>
                <w:color w:val="000000"/>
                <w:sz w:val="20"/>
                <w:szCs w:val="20"/>
                <w:lang w:val="en-IN" w:eastAsia="en-IN"/>
              </w:rPr>
            </w:pPr>
            <w:r>
              <w:rPr>
                <w:rFonts w:ascii="Garamond" w:eastAsia="Times New Roman" w:hAnsi="Garamond" w:cs="Calibri"/>
                <w:b/>
                <w:bCs/>
                <w:color w:val="000000"/>
                <w:sz w:val="20"/>
                <w:szCs w:val="20"/>
                <w:lang w:val="en-IN" w:eastAsia="en-IN"/>
              </w:rPr>
              <w:t xml:space="preserve">  72,24,42,332 </w:t>
            </w:r>
          </w:p>
        </w:tc>
        <w:tc>
          <w:tcPr>
            <w:tcW w:w="1062" w:type="dxa"/>
            <w:tcBorders>
              <w:top w:val="single" w:sz="8" w:space="0" w:color="auto"/>
              <w:left w:val="nil"/>
              <w:bottom w:val="single" w:sz="8" w:space="0" w:color="auto"/>
              <w:right w:val="nil"/>
            </w:tcBorders>
            <w:shd w:val="clear" w:color="000000" w:fill="D9E1F2"/>
            <w:vAlign w:val="center"/>
            <w:hideMark/>
          </w:tcPr>
          <w:p w:rsidR="000F236F" w:rsidRDefault="000F236F" w:rsidP="00DB5405">
            <w:pPr>
              <w:jc w:val="right"/>
              <w:rPr>
                <w:rFonts w:ascii="Garamond" w:eastAsia="Times New Roman" w:hAnsi="Garamond" w:cs="Calibri"/>
                <w:b/>
                <w:bCs/>
                <w:color w:val="000000"/>
                <w:sz w:val="20"/>
                <w:szCs w:val="20"/>
                <w:lang w:val="en-IN" w:eastAsia="en-IN"/>
              </w:rPr>
            </w:pPr>
            <w:r>
              <w:rPr>
                <w:rFonts w:ascii="Garamond" w:eastAsia="Times New Roman" w:hAnsi="Garamond" w:cs="Calibri"/>
                <w:b/>
                <w:bCs/>
                <w:color w:val="000000"/>
                <w:sz w:val="20"/>
                <w:szCs w:val="20"/>
                <w:lang w:val="en-IN" w:eastAsia="en-IN"/>
              </w:rPr>
              <w:t xml:space="preserve">    2,50,85,922 </w:t>
            </w:r>
          </w:p>
        </w:tc>
        <w:tc>
          <w:tcPr>
            <w:tcW w:w="1062" w:type="dxa"/>
            <w:tcBorders>
              <w:top w:val="single" w:sz="8" w:space="0" w:color="auto"/>
              <w:left w:val="nil"/>
              <w:bottom w:val="single" w:sz="8" w:space="0" w:color="auto"/>
              <w:right w:val="nil"/>
            </w:tcBorders>
            <w:shd w:val="clear" w:color="000000" w:fill="D9E1F2"/>
            <w:vAlign w:val="center"/>
            <w:hideMark/>
          </w:tcPr>
          <w:p w:rsidR="000F236F" w:rsidRDefault="000F236F" w:rsidP="00DB5405">
            <w:pPr>
              <w:jc w:val="right"/>
              <w:rPr>
                <w:rFonts w:ascii="Garamond" w:eastAsia="Times New Roman" w:hAnsi="Garamond" w:cs="Calibri"/>
                <w:b/>
                <w:bCs/>
                <w:color w:val="000000"/>
                <w:sz w:val="20"/>
                <w:szCs w:val="20"/>
                <w:lang w:val="en-IN" w:eastAsia="en-IN"/>
              </w:rPr>
            </w:pPr>
            <w:r>
              <w:rPr>
                <w:rFonts w:ascii="Garamond" w:eastAsia="Times New Roman" w:hAnsi="Garamond" w:cs="Calibri"/>
                <w:b/>
                <w:bCs/>
                <w:color w:val="000000"/>
                <w:sz w:val="20"/>
                <w:szCs w:val="20"/>
                <w:lang w:val="en-IN" w:eastAsia="en-IN"/>
              </w:rPr>
              <w:t xml:space="preserve">     4,57,71,086 </w:t>
            </w:r>
          </w:p>
        </w:tc>
        <w:tc>
          <w:tcPr>
            <w:tcW w:w="1062" w:type="dxa"/>
            <w:tcBorders>
              <w:top w:val="single" w:sz="8" w:space="0" w:color="auto"/>
              <w:left w:val="nil"/>
              <w:bottom w:val="single" w:sz="8" w:space="0" w:color="auto"/>
              <w:right w:val="nil"/>
            </w:tcBorders>
            <w:shd w:val="clear" w:color="000000" w:fill="D9E1F2"/>
            <w:vAlign w:val="center"/>
            <w:hideMark/>
          </w:tcPr>
          <w:p w:rsidR="000F236F" w:rsidRDefault="000F236F" w:rsidP="00DB5405">
            <w:pPr>
              <w:jc w:val="right"/>
              <w:rPr>
                <w:rFonts w:ascii="Garamond" w:eastAsia="Times New Roman" w:hAnsi="Garamond" w:cs="Calibri"/>
                <w:b/>
                <w:bCs/>
                <w:color w:val="000000"/>
                <w:sz w:val="20"/>
                <w:szCs w:val="20"/>
                <w:lang w:val="en-IN" w:eastAsia="en-IN"/>
              </w:rPr>
            </w:pPr>
            <w:r>
              <w:rPr>
                <w:rFonts w:ascii="Garamond" w:eastAsia="Times New Roman" w:hAnsi="Garamond" w:cs="Calibri"/>
                <w:b/>
                <w:bCs/>
                <w:color w:val="000000"/>
                <w:sz w:val="20"/>
                <w:szCs w:val="20"/>
                <w:lang w:val="en-IN" w:eastAsia="en-IN"/>
              </w:rPr>
              <w:t xml:space="preserve">     1,93,94,663 </w:t>
            </w:r>
          </w:p>
        </w:tc>
        <w:tc>
          <w:tcPr>
            <w:tcW w:w="1061" w:type="dxa"/>
            <w:tcBorders>
              <w:top w:val="single" w:sz="8" w:space="0" w:color="auto"/>
              <w:left w:val="nil"/>
              <w:bottom w:val="single" w:sz="8" w:space="0" w:color="auto"/>
              <w:right w:val="nil"/>
            </w:tcBorders>
            <w:shd w:val="clear" w:color="000000" w:fill="D9E1F2"/>
            <w:vAlign w:val="center"/>
            <w:hideMark/>
          </w:tcPr>
          <w:p w:rsidR="000F236F" w:rsidRDefault="000F236F" w:rsidP="00DB5405">
            <w:pPr>
              <w:jc w:val="right"/>
              <w:rPr>
                <w:rFonts w:ascii="Garamond" w:eastAsia="Times New Roman" w:hAnsi="Garamond" w:cs="Calibri"/>
                <w:b/>
                <w:bCs/>
                <w:color w:val="000000"/>
                <w:sz w:val="20"/>
                <w:szCs w:val="20"/>
                <w:lang w:val="en-IN" w:eastAsia="en-IN"/>
              </w:rPr>
            </w:pPr>
            <w:r>
              <w:rPr>
                <w:rFonts w:ascii="Garamond" w:eastAsia="Times New Roman" w:hAnsi="Garamond" w:cs="Calibri"/>
                <w:b/>
                <w:bCs/>
                <w:color w:val="000000"/>
                <w:sz w:val="20"/>
                <w:szCs w:val="20"/>
                <w:lang w:val="en-IN" w:eastAsia="en-IN"/>
              </w:rPr>
              <w:t xml:space="preserve">          5,91,811 </w:t>
            </w:r>
          </w:p>
        </w:tc>
        <w:tc>
          <w:tcPr>
            <w:tcW w:w="1062" w:type="dxa"/>
            <w:tcBorders>
              <w:top w:val="single" w:sz="8" w:space="0" w:color="auto"/>
              <w:left w:val="nil"/>
              <w:bottom w:val="single" w:sz="8" w:space="0" w:color="auto"/>
              <w:right w:val="single" w:sz="8" w:space="0" w:color="auto"/>
            </w:tcBorders>
            <w:shd w:val="clear" w:color="000000" w:fill="D9E1F2"/>
            <w:vAlign w:val="center"/>
            <w:hideMark/>
          </w:tcPr>
          <w:p w:rsidR="000F236F" w:rsidRDefault="000F236F" w:rsidP="00DB5405">
            <w:pPr>
              <w:jc w:val="right"/>
              <w:rPr>
                <w:rFonts w:ascii="Garamond" w:eastAsia="Times New Roman" w:hAnsi="Garamond" w:cs="Calibri"/>
                <w:b/>
                <w:bCs/>
                <w:color w:val="000000"/>
                <w:sz w:val="20"/>
                <w:szCs w:val="20"/>
                <w:lang w:val="en-IN" w:eastAsia="en-IN"/>
              </w:rPr>
            </w:pPr>
            <w:r>
              <w:rPr>
                <w:rFonts w:ascii="Garamond" w:eastAsia="Times New Roman" w:hAnsi="Garamond" w:cs="Calibri"/>
                <w:b/>
                <w:bCs/>
                <w:color w:val="000000"/>
                <w:sz w:val="20"/>
                <w:szCs w:val="20"/>
                <w:lang w:val="en-IN" w:eastAsia="en-IN"/>
              </w:rPr>
              <w:t xml:space="preserve">     1,46,84,846 </w:t>
            </w:r>
          </w:p>
        </w:tc>
      </w:tr>
    </w:tbl>
    <w:p w:rsidR="000F236F" w:rsidRDefault="000F236F" w:rsidP="000F236F">
      <w:pPr>
        <w:spacing w:line="23" w:lineRule="atLeast"/>
        <w:rPr>
          <w:rFonts w:ascii="Garamond" w:hAnsi="Garamond"/>
          <w:bCs/>
          <w:sz w:val="18"/>
          <w:szCs w:val="18"/>
        </w:rPr>
      </w:pPr>
      <w:r>
        <w:rPr>
          <w:rFonts w:ascii="Garamond" w:hAnsi="Garamond"/>
          <w:bCs/>
          <w:sz w:val="18"/>
          <w:szCs w:val="18"/>
        </w:rPr>
        <w:t xml:space="preserve"> NA: Not Available, data for </w:t>
      </w:r>
      <w:r>
        <w:rPr>
          <w:rFonts w:ascii="Garamond" w:eastAsia="Times New Roman" w:hAnsi="Garamond" w:cs="Calibri"/>
          <w:color w:val="000000"/>
          <w:sz w:val="20"/>
          <w:szCs w:val="20"/>
          <w:lang w:val="en-IN" w:eastAsia="en-IN"/>
        </w:rPr>
        <w:t>Indian Commodity Exchange was not updated till the time of finalization of this report.</w:t>
      </w:r>
    </w:p>
    <w:p w:rsidR="000F236F" w:rsidRDefault="000F236F" w:rsidP="000F236F">
      <w:pPr>
        <w:spacing w:line="23" w:lineRule="atLeast"/>
        <w:jc w:val="both"/>
        <w:outlineLvl w:val="0"/>
        <w:rPr>
          <w:rFonts w:ascii="Garamond" w:hAnsi="Garamond"/>
          <w:bCs/>
          <w:sz w:val="18"/>
          <w:szCs w:val="18"/>
        </w:rPr>
      </w:pPr>
      <w:r>
        <w:rPr>
          <w:rFonts w:ascii="Garamond" w:hAnsi="Garamond"/>
          <w:bCs/>
          <w:sz w:val="18"/>
          <w:szCs w:val="18"/>
        </w:rPr>
        <w:t>Source: World Federation of Exchanges</w:t>
      </w:r>
    </w:p>
    <w:p w:rsidR="000F236F" w:rsidRDefault="000F236F" w:rsidP="000F236F">
      <w:pPr>
        <w:spacing w:line="23" w:lineRule="atLeast"/>
        <w:jc w:val="both"/>
        <w:rPr>
          <w:rFonts w:ascii="Garamond" w:hAnsi="Garamond"/>
          <w:bCs/>
          <w:sz w:val="22"/>
          <w:szCs w:val="22"/>
        </w:rPr>
      </w:pPr>
    </w:p>
    <w:p w:rsidR="000F236F" w:rsidRDefault="000F236F" w:rsidP="000F236F">
      <w:pPr>
        <w:rPr>
          <w:rFonts w:ascii="Garamond" w:hAnsi="Garamond"/>
          <w:bCs/>
          <w:sz w:val="22"/>
          <w:szCs w:val="22"/>
        </w:rPr>
      </w:pPr>
      <w:r>
        <w:rPr>
          <w:rFonts w:ascii="Garamond" w:hAnsi="Garamond"/>
          <w:bCs/>
          <w:sz w:val="22"/>
          <w:szCs w:val="22"/>
        </w:rPr>
        <w:br w:type="page"/>
      </w:r>
    </w:p>
    <w:p w:rsidR="000F236F" w:rsidRDefault="000F236F" w:rsidP="000F236F">
      <w:pPr>
        <w:spacing w:line="23" w:lineRule="atLeast"/>
        <w:jc w:val="both"/>
        <w:rPr>
          <w:rFonts w:ascii="Garamond" w:hAnsi="Garamond"/>
          <w:b/>
          <w:bCs/>
          <w:szCs w:val="22"/>
        </w:rPr>
      </w:pPr>
      <w:r>
        <w:rPr>
          <w:rFonts w:ascii="Garamond" w:hAnsi="Garamond"/>
          <w:b/>
          <w:bCs/>
          <w:szCs w:val="22"/>
        </w:rPr>
        <w:lastRenderedPageBreak/>
        <w:t>Table A9: Major Foreign Holders of US Treasury Securities (USD billion)</w:t>
      </w:r>
    </w:p>
    <w:tbl>
      <w:tblPr>
        <w:tblW w:w="10233" w:type="dxa"/>
        <w:tblLook w:val="04A0" w:firstRow="1" w:lastRow="0" w:firstColumn="1" w:lastColumn="0" w:noHBand="0" w:noVBand="1"/>
      </w:tblPr>
      <w:tblGrid>
        <w:gridCol w:w="1631"/>
        <w:gridCol w:w="782"/>
        <w:gridCol w:w="782"/>
        <w:gridCol w:w="782"/>
        <w:gridCol w:w="782"/>
        <w:gridCol w:w="782"/>
        <w:gridCol w:w="782"/>
        <w:gridCol w:w="782"/>
        <w:gridCol w:w="782"/>
        <w:gridCol w:w="782"/>
        <w:gridCol w:w="782"/>
        <w:gridCol w:w="782"/>
      </w:tblGrid>
      <w:tr w:rsidR="000F236F" w:rsidTr="00DB5405">
        <w:trPr>
          <w:trHeight w:val="275"/>
        </w:trPr>
        <w:tc>
          <w:tcPr>
            <w:tcW w:w="1631" w:type="dxa"/>
            <w:vMerge w:val="restart"/>
            <w:tcBorders>
              <w:top w:val="single" w:sz="8" w:space="0" w:color="auto"/>
              <w:left w:val="single" w:sz="8" w:space="0" w:color="auto"/>
              <w:bottom w:val="nil"/>
              <w:right w:val="single" w:sz="4" w:space="0" w:color="000000"/>
            </w:tcBorders>
            <w:shd w:val="clear" w:color="auto" w:fill="auto"/>
            <w:noWrap/>
            <w:vAlign w:val="center"/>
            <w:hideMark/>
          </w:tcPr>
          <w:p w:rsidR="000F236F" w:rsidRDefault="000F236F" w:rsidP="00DB5405">
            <w:pPr>
              <w:jc w:val="center"/>
              <w:rPr>
                <w:rFonts w:ascii="Garamond" w:eastAsia="Times New Roman" w:hAnsi="Garamond" w:cs="Calibri"/>
                <w:b/>
                <w:bCs/>
                <w:color w:val="000000"/>
                <w:sz w:val="20"/>
                <w:szCs w:val="20"/>
                <w:lang w:val="en-IN" w:eastAsia="en-IN"/>
              </w:rPr>
            </w:pPr>
            <w:r>
              <w:rPr>
                <w:rFonts w:ascii="Garamond" w:eastAsia="Times New Roman" w:hAnsi="Garamond" w:cs="Calibri"/>
                <w:b/>
                <w:bCs/>
                <w:color w:val="000000"/>
                <w:sz w:val="20"/>
                <w:szCs w:val="20"/>
                <w:lang w:val="en-IN" w:eastAsia="en-IN"/>
              </w:rPr>
              <w:t>Country/ Month</w:t>
            </w:r>
          </w:p>
        </w:tc>
        <w:tc>
          <w:tcPr>
            <w:tcW w:w="782" w:type="dxa"/>
            <w:tcBorders>
              <w:top w:val="single" w:sz="8" w:space="0" w:color="auto"/>
              <w:left w:val="single" w:sz="8" w:space="0" w:color="auto"/>
              <w:bottom w:val="single" w:sz="8" w:space="0" w:color="auto"/>
              <w:right w:val="nil"/>
            </w:tcBorders>
            <w:shd w:val="clear" w:color="000000" w:fill="FFFFFF"/>
            <w:noWrap/>
            <w:vAlign w:val="center"/>
            <w:hideMark/>
          </w:tcPr>
          <w:p w:rsidR="000F236F" w:rsidRDefault="000F236F" w:rsidP="00DB5405">
            <w:pPr>
              <w:jc w:val="center"/>
              <w:rPr>
                <w:rFonts w:ascii="Garamond" w:eastAsia="Times New Roman" w:hAnsi="Garamond" w:cs="Calibri"/>
                <w:b/>
                <w:bCs/>
                <w:color w:val="000000"/>
                <w:sz w:val="20"/>
                <w:szCs w:val="20"/>
                <w:lang w:val="en-IN" w:eastAsia="en-IN"/>
              </w:rPr>
            </w:pPr>
            <w:r>
              <w:rPr>
                <w:rFonts w:ascii="Garamond" w:eastAsia="Times New Roman" w:hAnsi="Garamond" w:cs="Calibri"/>
                <w:b/>
                <w:bCs/>
                <w:color w:val="000000"/>
                <w:sz w:val="20"/>
                <w:szCs w:val="20"/>
                <w:lang w:val="en-IN" w:eastAsia="en-IN"/>
              </w:rPr>
              <w:t> </w:t>
            </w:r>
          </w:p>
        </w:tc>
        <w:tc>
          <w:tcPr>
            <w:tcW w:w="782" w:type="dxa"/>
            <w:tcBorders>
              <w:top w:val="single" w:sz="8" w:space="0" w:color="auto"/>
              <w:left w:val="nil"/>
              <w:bottom w:val="single" w:sz="8" w:space="0" w:color="auto"/>
              <w:right w:val="nil"/>
            </w:tcBorders>
            <w:shd w:val="clear" w:color="000000" w:fill="FFFFFF"/>
            <w:noWrap/>
            <w:vAlign w:val="center"/>
            <w:hideMark/>
          </w:tcPr>
          <w:p w:rsidR="000F236F" w:rsidRDefault="000F236F" w:rsidP="00DB5405">
            <w:pPr>
              <w:jc w:val="center"/>
              <w:rPr>
                <w:rFonts w:ascii="Garamond" w:eastAsia="Times New Roman" w:hAnsi="Garamond" w:cs="Calibri"/>
                <w:b/>
                <w:bCs/>
                <w:color w:val="000000"/>
                <w:sz w:val="20"/>
                <w:szCs w:val="20"/>
                <w:lang w:val="en-IN" w:eastAsia="en-IN"/>
              </w:rPr>
            </w:pPr>
            <w:r>
              <w:rPr>
                <w:rFonts w:ascii="Garamond" w:eastAsia="Times New Roman" w:hAnsi="Garamond" w:cs="Calibri"/>
                <w:b/>
                <w:bCs/>
                <w:color w:val="000000"/>
                <w:sz w:val="20"/>
                <w:szCs w:val="20"/>
                <w:lang w:val="en-IN" w:eastAsia="en-IN"/>
              </w:rPr>
              <w:t>2019</w:t>
            </w:r>
          </w:p>
        </w:tc>
        <w:tc>
          <w:tcPr>
            <w:tcW w:w="782" w:type="dxa"/>
            <w:tcBorders>
              <w:top w:val="single" w:sz="8" w:space="0" w:color="auto"/>
              <w:left w:val="nil"/>
              <w:bottom w:val="single" w:sz="8" w:space="0" w:color="auto"/>
              <w:right w:val="single" w:sz="8" w:space="0" w:color="auto"/>
            </w:tcBorders>
            <w:shd w:val="clear" w:color="000000" w:fill="FFFFFF"/>
            <w:noWrap/>
            <w:vAlign w:val="center"/>
            <w:hideMark/>
          </w:tcPr>
          <w:p w:rsidR="000F236F" w:rsidRDefault="000F236F" w:rsidP="00DB5405">
            <w:pPr>
              <w:jc w:val="center"/>
              <w:rPr>
                <w:rFonts w:ascii="Garamond" w:eastAsia="Times New Roman" w:hAnsi="Garamond" w:cs="Calibri"/>
                <w:b/>
                <w:bCs/>
                <w:color w:val="000000"/>
                <w:sz w:val="20"/>
                <w:szCs w:val="20"/>
                <w:lang w:val="en-IN" w:eastAsia="en-IN"/>
              </w:rPr>
            </w:pPr>
            <w:r>
              <w:rPr>
                <w:rFonts w:ascii="Garamond" w:eastAsia="Times New Roman" w:hAnsi="Garamond" w:cs="Calibri"/>
                <w:b/>
                <w:bCs/>
                <w:color w:val="000000"/>
                <w:sz w:val="20"/>
                <w:szCs w:val="20"/>
                <w:lang w:val="en-IN" w:eastAsia="en-IN"/>
              </w:rPr>
              <w:t> </w:t>
            </w:r>
          </w:p>
        </w:tc>
        <w:tc>
          <w:tcPr>
            <w:tcW w:w="782" w:type="dxa"/>
            <w:tcBorders>
              <w:top w:val="single" w:sz="8" w:space="0" w:color="auto"/>
              <w:left w:val="nil"/>
              <w:bottom w:val="single" w:sz="8" w:space="0" w:color="auto"/>
              <w:right w:val="nil"/>
            </w:tcBorders>
            <w:shd w:val="clear" w:color="000000" w:fill="FFFFFF"/>
            <w:noWrap/>
            <w:vAlign w:val="center"/>
            <w:hideMark/>
          </w:tcPr>
          <w:p w:rsidR="000F236F" w:rsidRDefault="000F236F" w:rsidP="00DB5405">
            <w:pPr>
              <w:jc w:val="center"/>
              <w:rPr>
                <w:rFonts w:ascii="Garamond" w:eastAsia="Times New Roman" w:hAnsi="Garamond" w:cs="Calibri"/>
                <w:b/>
                <w:bCs/>
                <w:color w:val="000000"/>
                <w:sz w:val="20"/>
                <w:szCs w:val="20"/>
                <w:lang w:val="en-IN" w:eastAsia="en-IN"/>
              </w:rPr>
            </w:pPr>
            <w:r>
              <w:rPr>
                <w:rFonts w:ascii="Garamond" w:eastAsia="Times New Roman" w:hAnsi="Garamond" w:cs="Calibri"/>
                <w:b/>
                <w:bCs/>
                <w:color w:val="000000"/>
                <w:sz w:val="20"/>
                <w:szCs w:val="20"/>
                <w:lang w:val="en-IN" w:eastAsia="en-IN"/>
              </w:rPr>
              <w:t> </w:t>
            </w:r>
          </w:p>
        </w:tc>
        <w:tc>
          <w:tcPr>
            <w:tcW w:w="782" w:type="dxa"/>
            <w:tcBorders>
              <w:top w:val="single" w:sz="8" w:space="0" w:color="auto"/>
              <w:left w:val="nil"/>
              <w:bottom w:val="single" w:sz="8" w:space="0" w:color="auto"/>
              <w:right w:val="nil"/>
            </w:tcBorders>
            <w:shd w:val="clear" w:color="000000" w:fill="FFFFFF"/>
            <w:noWrap/>
            <w:vAlign w:val="center"/>
            <w:hideMark/>
          </w:tcPr>
          <w:p w:rsidR="000F236F" w:rsidRDefault="000F236F" w:rsidP="00DB5405">
            <w:pPr>
              <w:jc w:val="center"/>
              <w:rPr>
                <w:rFonts w:ascii="Garamond" w:eastAsia="Times New Roman" w:hAnsi="Garamond" w:cs="Calibri"/>
                <w:b/>
                <w:bCs/>
                <w:color w:val="000000"/>
                <w:sz w:val="20"/>
                <w:szCs w:val="20"/>
                <w:lang w:val="en-IN" w:eastAsia="en-IN"/>
              </w:rPr>
            </w:pPr>
            <w:r>
              <w:rPr>
                <w:rFonts w:ascii="Garamond" w:eastAsia="Times New Roman" w:hAnsi="Garamond" w:cs="Calibri"/>
                <w:b/>
                <w:bCs/>
                <w:color w:val="000000"/>
                <w:sz w:val="20"/>
                <w:szCs w:val="20"/>
                <w:lang w:val="en-IN" w:eastAsia="en-IN"/>
              </w:rPr>
              <w:t> </w:t>
            </w:r>
          </w:p>
        </w:tc>
        <w:tc>
          <w:tcPr>
            <w:tcW w:w="782" w:type="dxa"/>
            <w:tcBorders>
              <w:top w:val="single" w:sz="8" w:space="0" w:color="auto"/>
              <w:left w:val="nil"/>
              <w:bottom w:val="single" w:sz="8" w:space="0" w:color="auto"/>
              <w:right w:val="nil"/>
            </w:tcBorders>
            <w:shd w:val="clear" w:color="000000" w:fill="FFFFFF"/>
            <w:noWrap/>
            <w:vAlign w:val="center"/>
            <w:hideMark/>
          </w:tcPr>
          <w:p w:rsidR="000F236F" w:rsidRDefault="000F236F" w:rsidP="00DB5405">
            <w:pPr>
              <w:jc w:val="center"/>
              <w:rPr>
                <w:rFonts w:ascii="Garamond" w:eastAsia="Times New Roman" w:hAnsi="Garamond" w:cs="Calibri"/>
                <w:b/>
                <w:bCs/>
                <w:color w:val="000000"/>
                <w:sz w:val="20"/>
                <w:szCs w:val="20"/>
                <w:lang w:val="en-IN" w:eastAsia="en-IN"/>
              </w:rPr>
            </w:pPr>
            <w:r>
              <w:rPr>
                <w:rFonts w:ascii="Garamond" w:eastAsia="Times New Roman" w:hAnsi="Garamond" w:cs="Calibri"/>
                <w:b/>
                <w:bCs/>
                <w:color w:val="000000"/>
                <w:sz w:val="20"/>
                <w:szCs w:val="20"/>
                <w:lang w:val="en-IN" w:eastAsia="en-IN"/>
              </w:rPr>
              <w:t> </w:t>
            </w:r>
          </w:p>
        </w:tc>
        <w:tc>
          <w:tcPr>
            <w:tcW w:w="782" w:type="dxa"/>
            <w:tcBorders>
              <w:top w:val="single" w:sz="8" w:space="0" w:color="auto"/>
              <w:left w:val="nil"/>
              <w:bottom w:val="single" w:sz="8" w:space="0" w:color="auto"/>
              <w:right w:val="nil"/>
            </w:tcBorders>
            <w:shd w:val="clear" w:color="000000" w:fill="FFFFFF"/>
            <w:noWrap/>
            <w:vAlign w:val="center"/>
            <w:hideMark/>
          </w:tcPr>
          <w:p w:rsidR="000F236F" w:rsidRDefault="000F236F" w:rsidP="00DB5405">
            <w:pPr>
              <w:jc w:val="center"/>
              <w:rPr>
                <w:rFonts w:ascii="Garamond" w:eastAsia="Times New Roman" w:hAnsi="Garamond" w:cs="Calibri"/>
                <w:b/>
                <w:bCs/>
                <w:color w:val="000000"/>
                <w:sz w:val="20"/>
                <w:szCs w:val="20"/>
                <w:lang w:val="en-IN" w:eastAsia="en-IN"/>
              </w:rPr>
            </w:pPr>
            <w:r>
              <w:rPr>
                <w:rFonts w:ascii="Garamond" w:eastAsia="Times New Roman" w:hAnsi="Garamond" w:cs="Calibri"/>
                <w:b/>
                <w:bCs/>
                <w:color w:val="000000"/>
                <w:sz w:val="20"/>
                <w:szCs w:val="20"/>
                <w:lang w:val="en-IN" w:eastAsia="en-IN"/>
              </w:rPr>
              <w:t> </w:t>
            </w:r>
          </w:p>
        </w:tc>
        <w:tc>
          <w:tcPr>
            <w:tcW w:w="782" w:type="dxa"/>
            <w:tcBorders>
              <w:top w:val="single" w:sz="8" w:space="0" w:color="auto"/>
              <w:left w:val="nil"/>
              <w:bottom w:val="single" w:sz="8" w:space="0" w:color="auto"/>
              <w:right w:val="nil"/>
            </w:tcBorders>
            <w:shd w:val="clear" w:color="000000" w:fill="FFFFFF"/>
            <w:noWrap/>
            <w:vAlign w:val="center"/>
            <w:hideMark/>
          </w:tcPr>
          <w:p w:rsidR="000F236F" w:rsidRDefault="000F236F" w:rsidP="00DB5405">
            <w:pPr>
              <w:jc w:val="center"/>
              <w:rPr>
                <w:rFonts w:ascii="Garamond" w:eastAsia="Times New Roman" w:hAnsi="Garamond" w:cs="Calibri"/>
                <w:b/>
                <w:bCs/>
                <w:color w:val="000000"/>
                <w:sz w:val="20"/>
                <w:szCs w:val="20"/>
                <w:lang w:val="en-IN" w:eastAsia="en-IN"/>
              </w:rPr>
            </w:pPr>
            <w:r>
              <w:rPr>
                <w:rFonts w:ascii="Garamond" w:eastAsia="Times New Roman" w:hAnsi="Garamond" w:cs="Calibri"/>
                <w:b/>
                <w:bCs/>
                <w:color w:val="000000"/>
                <w:sz w:val="20"/>
                <w:szCs w:val="20"/>
                <w:lang w:val="en-IN" w:eastAsia="en-IN"/>
              </w:rPr>
              <w:t>2020</w:t>
            </w:r>
          </w:p>
        </w:tc>
        <w:tc>
          <w:tcPr>
            <w:tcW w:w="782" w:type="dxa"/>
            <w:tcBorders>
              <w:top w:val="single" w:sz="8" w:space="0" w:color="auto"/>
              <w:left w:val="nil"/>
              <w:bottom w:val="single" w:sz="8" w:space="0" w:color="auto"/>
              <w:right w:val="nil"/>
            </w:tcBorders>
            <w:shd w:val="clear" w:color="000000" w:fill="FFFFFF"/>
            <w:noWrap/>
            <w:vAlign w:val="center"/>
            <w:hideMark/>
          </w:tcPr>
          <w:p w:rsidR="000F236F" w:rsidRDefault="000F236F" w:rsidP="00DB5405">
            <w:pPr>
              <w:jc w:val="center"/>
              <w:rPr>
                <w:rFonts w:ascii="Garamond" w:eastAsia="Times New Roman" w:hAnsi="Garamond" w:cs="Calibri"/>
                <w:b/>
                <w:bCs/>
                <w:color w:val="000000"/>
                <w:sz w:val="20"/>
                <w:szCs w:val="20"/>
                <w:lang w:val="en-IN" w:eastAsia="en-IN"/>
              </w:rPr>
            </w:pPr>
            <w:r>
              <w:rPr>
                <w:rFonts w:ascii="Garamond" w:eastAsia="Times New Roman" w:hAnsi="Garamond" w:cs="Calibri"/>
                <w:b/>
                <w:bCs/>
                <w:color w:val="000000"/>
                <w:sz w:val="20"/>
                <w:szCs w:val="20"/>
                <w:lang w:val="en-IN" w:eastAsia="en-IN"/>
              </w:rPr>
              <w:t> </w:t>
            </w:r>
          </w:p>
        </w:tc>
        <w:tc>
          <w:tcPr>
            <w:tcW w:w="782" w:type="dxa"/>
            <w:tcBorders>
              <w:top w:val="single" w:sz="8" w:space="0" w:color="auto"/>
              <w:left w:val="nil"/>
              <w:bottom w:val="single" w:sz="8" w:space="0" w:color="auto"/>
              <w:right w:val="nil"/>
            </w:tcBorders>
            <w:shd w:val="clear" w:color="000000" w:fill="FFFFFF"/>
            <w:noWrap/>
            <w:vAlign w:val="center"/>
            <w:hideMark/>
          </w:tcPr>
          <w:p w:rsidR="000F236F" w:rsidRDefault="000F236F" w:rsidP="00DB5405">
            <w:pPr>
              <w:jc w:val="center"/>
              <w:rPr>
                <w:rFonts w:ascii="Garamond" w:eastAsia="Times New Roman" w:hAnsi="Garamond" w:cs="Calibri"/>
                <w:b/>
                <w:bCs/>
                <w:color w:val="000000"/>
                <w:sz w:val="20"/>
                <w:szCs w:val="20"/>
                <w:lang w:val="en-IN" w:eastAsia="en-IN"/>
              </w:rPr>
            </w:pPr>
            <w:r>
              <w:rPr>
                <w:rFonts w:ascii="Garamond" w:eastAsia="Times New Roman" w:hAnsi="Garamond" w:cs="Calibri"/>
                <w:b/>
                <w:bCs/>
                <w:color w:val="000000"/>
                <w:sz w:val="20"/>
                <w:szCs w:val="20"/>
                <w:lang w:val="en-IN" w:eastAsia="en-IN"/>
              </w:rPr>
              <w:t> </w:t>
            </w:r>
          </w:p>
        </w:tc>
        <w:tc>
          <w:tcPr>
            <w:tcW w:w="782" w:type="dxa"/>
            <w:tcBorders>
              <w:top w:val="single" w:sz="8" w:space="0" w:color="auto"/>
              <w:left w:val="nil"/>
              <w:bottom w:val="single" w:sz="8" w:space="0" w:color="auto"/>
              <w:right w:val="single" w:sz="8" w:space="0" w:color="auto"/>
            </w:tcBorders>
            <w:shd w:val="clear" w:color="000000" w:fill="FFFFFF"/>
            <w:noWrap/>
            <w:vAlign w:val="center"/>
            <w:hideMark/>
          </w:tcPr>
          <w:p w:rsidR="000F236F" w:rsidRDefault="000F236F" w:rsidP="00DB5405">
            <w:pPr>
              <w:jc w:val="center"/>
              <w:rPr>
                <w:rFonts w:ascii="Garamond" w:eastAsia="Times New Roman" w:hAnsi="Garamond" w:cs="Calibri"/>
                <w:b/>
                <w:bCs/>
                <w:color w:val="000000"/>
                <w:sz w:val="20"/>
                <w:szCs w:val="20"/>
                <w:lang w:val="en-IN" w:eastAsia="en-IN"/>
              </w:rPr>
            </w:pPr>
            <w:r>
              <w:rPr>
                <w:rFonts w:ascii="Garamond" w:eastAsia="Times New Roman" w:hAnsi="Garamond" w:cs="Calibri"/>
                <w:b/>
                <w:bCs/>
                <w:color w:val="000000"/>
                <w:sz w:val="20"/>
                <w:szCs w:val="20"/>
                <w:lang w:val="en-IN" w:eastAsia="en-IN"/>
              </w:rPr>
              <w:t> </w:t>
            </w:r>
          </w:p>
        </w:tc>
      </w:tr>
      <w:tr w:rsidR="000F236F" w:rsidTr="00DB5405">
        <w:trPr>
          <w:trHeight w:val="275"/>
        </w:trPr>
        <w:tc>
          <w:tcPr>
            <w:tcW w:w="1631" w:type="dxa"/>
            <w:vMerge/>
            <w:tcBorders>
              <w:top w:val="single" w:sz="8" w:space="0" w:color="auto"/>
              <w:left w:val="single" w:sz="8" w:space="0" w:color="auto"/>
              <w:bottom w:val="nil"/>
              <w:right w:val="single" w:sz="4" w:space="0" w:color="000000"/>
            </w:tcBorders>
            <w:vAlign w:val="center"/>
            <w:hideMark/>
          </w:tcPr>
          <w:p w:rsidR="000F236F" w:rsidRDefault="000F236F" w:rsidP="00DB5405">
            <w:pPr>
              <w:rPr>
                <w:rFonts w:ascii="Garamond" w:eastAsia="Times New Roman" w:hAnsi="Garamond" w:cs="Calibri"/>
                <w:b/>
                <w:bCs/>
                <w:color w:val="000000"/>
                <w:sz w:val="20"/>
                <w:szCs w:val="20"/>
                <w:lang w:val="en-IN" w:eastAsia="en-IN"/>
              </w:rPr>
            </w:pPr>
          </w:p>
        </w:tc>
        <w:tc>
          <w:tcPr>
            <w:tcW w:w="782" w:type="dxa"/>
            <w:tcBorders>
              <w:top w:val="nil"/>
              <w:left w:val="single" w:sz="8" w:space="0" w:color="auto"/>
              <w:bottom w:val="nil"/>
              <w:right w:val="single" w:sz="8" w:space="0" w:color="auto"/>
            </w:tcBorders>
            <w:shd w:val="clear" w:color="auto" w:fill="auto"/>
            <w:hideMark/>
          </w:tcPr>
          <w:p w:rsidR="000F236F" w:rsidRDefault="000F236F" w:rsidP="00DB5405">
            <w:pPr>
              <w:jc w:val="center"/>
              <w:rPr>
                <w:rFonts w:ascii="Garamond" w:eastAsia="Times New Roman" w:hAnsi="Garamond" w:cs="Calibri"/>
                <w:b/>
                <w:bCs/>
                <w:color w:val="000000"/>
                <w:sz w:val="20"/>
                <w:szCs w:val="20"/>
                <w:lang w:val="en-IN" w:eastAsia="en-IN"/>
              </w:rPr>
            </w:pPr>
            <w:r>
              <w:rPr>
                <w:rFonts w:ascii="Garamond" w:eastAsia="Times New Roman" w:hAnsi="Garamond" w:cs="Calibri"/>
                <w:b/>
                <w:bCs/>
                <w:color w:val="000000"/>
                <w:sz w:val="20"/>
                <w:szCs w:val="20"/>
                <w:lang w:val="en-IN" w:eastAsia="en-IN"/>
              </w:rPr>
              <w:t>Sep</w:t>
            </w:r>
          </w:p>
        </w:tc>
        <w:tc>
          <w:tcPr>
            <w:tcW w:w="782" w:type="dxa"/>
            <w:tcBorders>
              <w:top w:val="nil"/>
              <w:left w:val="nil"/>
              <w:bottom w:val="nil"/>
              <w:right w:val="single" w:sz="8" w:space="0" w:color="auto"/>
            </w:tcBorders>
            <w:shd w:val="clear" w:color="auto" w:fill="auto"/>
            <w:hideMark/>
          </w:tcPr>
          <w:p w:rsidR="000F236F" w:rsidRDefault="000F236F" w:rsidP="00DB5405">
            <w:pPr>
              <w:jc w:val="center"/>
              <w:rPr>
                <w:rFonts w:ascii="Garamond" w:eastAsia="Times New Roman" w:hAnsi="Garamond" w:cs="Calibri"/>
                <w:b/>
                <w:bCs/>
                <w:color w:val="000000"/>
                <w:sz w:val="20"/>
                <w:szCs w:val="20"/>
                <w:lang w:val="en-IN" w:eastAsia="en-IN"/>
              </w:rPr>
            </w:pPr>
            <w:r>
              <w:rPr>
                <w:rFonts w:ascii="Garamond" w:eastAsia="Times New Roman" w:hAnsi="Garamond" w:cs="Calibri"/>
                <w:b/>
                <w:bCs/>
                <w:color w:val="000000"/>
                <w:sz w:val="20"/>
                <w:szCs w:val="20"/>
                <w:lang w:val="en-IN" w:eastAsia="en-IN"/>
              </w:rPr>
              <w:t>Oct</w:t>
            </w:r>
          </w:p>
        </w:tc>
        <w:tc>
          <w:tcPr>
            <w:tcW w:w="782" w:type="dxa"/>
            <w:tcBorders>
              <w:top w:val="nil"/>
              <w:left w:val="nil"/>
              <w:bottom w:val="nil"/>
              <w:right w:val="single" w:sz="8" w:space="0" w:color="auto"/>
            </w:tcBorders>
            <w:shd w:val="clear" w:color="auto" w:fill="auto"/>
            <w:hideMark/>
          </w:tcPr>
          <w:p w:rsidR="000F236F" w:rsidRDefault="000F236F" w:rsidP="00DB5405">
            <w:pPr>
              <w:jc w:val="center"/>
              <w:rPr>
                <w:rFonts w:ascii="Garamond" w:eastAsia="Times New Roman" w:hAnsi="Garamond" w:cs="Calibri"/>
                <w:b/>
                <w:bCs/>
                <w:color w:val="000000"/>
                <w:sz w:val="20"/>
                <w:szCs w:val="20"/>
                <w:lang w:val="en-IN" w:eastAsia="en-IN"/>
              </w:rPr>
            </w:pPr>
            <w:r>
              <w:rPr>
                <w:rFonts w:ascii="Garamond" w:eastAsia="Times New Roman" w:hAnsi="Garamond" w:cs="Calibri"/>
                <w:b/>
                <w:bCs/>
                <w:color w:val="000000"/>
                <w:sz w:val="20"/>
                <w:szCs w:val="20"/>
                <w:lang w:val="en-IN" w:eastAsia="en-IN"/>
              </w:rPr>
              <w:t>Nov</w:t>
            </w:r>
          </w:p>
        </w:tc>
        <w:tc>
          <w:tcPr>
            <w:tcW w:w="782" w:type="dxa"/>
            <w:tcBorders>
              <w:top w:val="nil"/>
              <w:left w:val="nil"/>
              <w:bottom w:val="nil"/>
              <w:right w:val="single" w:sz="8" w:space="0" w:color="auto"/>
            </w:tcBorders>
            <w:shd w:val="clear" w:color="auto" w:fill="auto"/>
            <w:hideMark/>
          </w:tcPr>
          <w:p w:rsidR="000F236F" w:rsidRDefault="000F236F" w:rsidP="00DB5405">
            <w:pPr>
              <w:jc w:val="center"/>
              <w:rPr>
                <w:rFonts w:ascii="Garamond" w:eastAsia="Times New Roman" w:hAnsi="Garamond" w:cs="Calibri"/>
                <w:b/>
                <w:bCs/>
                <w:color w:val="000000"/>
                <w:sz w:val="20"/>
                <w:szCs w:val="20"/>
                <w:lang w:val="en-IN" w:eastAsia="en-IN"/>
              </w:rPr>
            </w:pPr>
            <w:r>
              <w:rPr>
                <w:rFonts w:ascii="Garamond" w:eastAsia="Times New Roman" w:hAnsi="Garamond" w:cs="Calibri"/>
                <w:b/>
                <w:bCs/>
                <w:color w:val="000000"/>
                <w:sz w:val="20"/>
                <w:szCs w:val="20"/>
                <w:lang w:val="en-IN" w:eastAsia="en-IN"/>
              </w:rPr>
              <w:t>Dec</w:t>
            </w:r>
          </w:p>
        </w:tc>
        <w:tc>
          <w:tcPr>
            <w:tcW w:w="782" w:type="dxa"/>
            <w:tcBorders>
              <w:top w:val="nil"/>
              <w:left w:val="nil"/>
              <w:bottom w:val="nil"/>
              <w:right w:val="single" w:sz="8" w:space="0" w:color="auto"/>
            </w:tcBorders>
            <w:shd w:val="clear" w:color="auto" w:fill="auto"/>
            <w:hideMark/>
          </w:tcPr>
          <w:p w:rsidR="000F236F" w:rsidRDefault="000F236F" w:rsidP="00DB5405">
            <w:pPr>
              <w:jc w:val="center"/>
              <w:rPr>
                <w:rFonts w:ascii="Garamond" w:eastAsia="Times New Roman" w:hAnsi="Garamond" w:cs="Calibri"/>
                <w:b/>
                <w:bCs/>
                <w:color w:val="000000"/>
                <w:sz w:val="20"/>
                <w:szCs w:val="20"/>
                <w:lang w:val="en-IN" w:eastAsia="en-IN"/>
              </w:rPr>
            </w:pPr>
            <w:r>
              <w:rPr>
                <w:rFonts w:ascii="Garamond" w:eastAsia="Times New Roman" w:hAnsi="Garamond" w:cs="Calibri"/>
                <w:b/>
                <w:bCs/>
                <w:color w:val="000000"/>
                <w:sz w:val="20"/>
                <w:szCs w:val="20"/>
                <w:lang w:val="en-IN" w:eastAsia="en-IN"/>
              </w:rPr>
              <w:t>Jan</w:t>
            </w:r>
          </w:p>
        </w:tc>
        <w:tc>
          <w:tcPr>
            <w:tcW w:w="782" w:type="dxa"/>
            <w:tcBorders>
              <w:top w:val="nil"/>
              <w:left w:val="nil"/>
              <w:bottom w:val="nil"/>
              <w:right w:val="single" w:sz="8" w:space="0" w:color="auto"/>
            </w:tcBorders>
            <w:shd w:val="clear" w:color="auto" w:fill="auto"/>
            <w:hideMark/>
          </w:tcPr>
          <w:p w:rsidR="000F236F" w:rsidRDefault="000F236F" w:rsidP="00DB5405">
            <w:pPr>
              <w:jc w:val="center"/>
              <w:rPr>
                <w:rFonts w:ascii="Garamond" w:eastAsia="Times New Roman" w:hAnsi="Garamond" w:cs="Calibri"/>
                <w:b/>
                <w:bCs/>
                <w:color w:val="000000"/>
                <w:sz w:val="20"/>
                <w:szCs w:val="20"/>
                <w:lang w:val="en-IN" w:eastAsia="en-IN"/>
              </w:rPr>
            </w:pPr>
            <w:r>
              <w:rPr>
                <w:rFonts w:ascii="Garamond" w:eastAsia="Times New Roman" w:hAnsi="Garamond" w:cs="Calibri"/>
                <w:b/>
                <w:bCs/>
                <w:color w:val="000000"/>
                <w:sz w:val="20"/>
                <w:szCs w:val="20"/>
                <w:lang w:val="en-IN" w:eastAsia="en-IN"/>
              </w:rPr>
              <w:t>Feb</w:t>
            </w:r>
          </w:p>
        </w:tc>
        <w:tc>
          <w:tcPr>
            <w:tcW w:w="782" w:type="dxa"/>
            <w:tcBorders>
              <w:top w:val="nil"/>
              <w:left w:val="nil"/>
              <w:bottom w:val="nil"/>
              <w:right w:val="single" w:sz="8" w:space="0" w:color="auto"/>
            </w:tcBorders>
            <w:shd w:val="clear" w:color="auto" w:fill="auto"/>
            <w:hideMark/>
          </w:tcPr>
          <w:p w:rsidR="000F236F" w:rsidRDefault="000F236F" w:rsidP="00DB5405">
            <w:pPr>
              <w:jc w:val="center"/>
              <w:rPr>
                <w:rFonts w:ascii="Garamond" w:eastAsia="Times New Roman" w:hAnsi="Garamond" w:cs="Calibri"/>
                <w:b/>
                <w:bCs/>
                <w:color w:val="000000"/>
                <w:sz w:val="20"/>
                <w:szCs w:val="20"/>
                <w:lang w:val="en-IN" w:eastAsia="en-IN"/>
              </w:rPr>
            </w:pPr>
            <w:r>
              <w:rPr>
                <w:rFonts w:ascii="Garamond" w:eastAsia="Times New Roman" w:hAnsi="Garamond" w:cs="Calibri"/>
                <w:b/>
                <w:bCs/>
                <w:color w:val="000000"/>
                <w:sz w:val="20"/>
                <w:szCs w:val="20"/>
                <w:lang w:val="en-IN" w:eastAsia="en-IN"/>
              </w:rPr>
              <w:t>Mar</w:t>
            </w:r>
          </w:p>
        </w:tc>
        <w:tc>
          <w:tcPr>
            <w:tcW w:w="782" w:type="dxa"/>
            <w:tcBorders>
              <w:top w:val="nil"/>
              <w:left w:val="nil"/>
              <w:bottom w:val="nil"/>
              <w:right w:val="single" w:sz="8" w:space="0" w:color="auto"/>
            </w:tcBorders>
            <w:shd w:val="clear" w:color="auto" w:fill="auto"/>
            <w:hideMark/>
          </w:tcPr>
          <w:p w:rsidR="000F236F" w:rsidRDefault="000F236F" w:rsidP="00DB5405">
            <w:pPr>
              <w:jc w:val="center"/>
              <w:rPr>
                <w:rFonts w:ascii="Garamond" w:eastAsia="Times New Roman" w:hAnsi="Garamond" w:cs="Calibri"/>
                <w:b/>
                <w:bCs/>
                <w:color w:val="000000"/>
                <w:sz w:val="20"/>
                <w:szCs w:val="20"/>
                <w:lang w:val="en-IN" w:eastAsia="en-IN"/>
              </w:rPr>
            </w:pPr>
            <w:r>
              <w:rPr>
                <w:rFonts w:ascii="Garamond" w:eastAsia="Times New Roman" w:hAnsi="Garamond" w:cs="Calibri"/>
                <w:b/>
                <w:bCs/>
                <w:color w:val="000000"/>
                <w:sz w:val="20"/>
                <w:szCs w:val="20"/>
                <w:lang w:val="en-IN" w:eastAsia="en-IN"/>
              </w:rPr>
              <w:t>Apr</w:t>
            </w:r>
          </w:p>
        </w:tc>
        <w:tc>
          <w:tcPr>
            <w:tcW w:w="782" w:type="dxa"/>
            <w:tcBorders>
              <w:top w:val="nil"/>
              <w:left w:val="nil"/>
              <w:bottom w:val="nil"/>
              <w:right w:val="single" w:sz="8" w:space="0" w:color="auto"/>
            </w:tcBorders>
            <w:shd w:val="clear" w:color="auto" w:fill="auto"/>
            <w:hideMark/>
          </w:tcPr>
          <w:p w:rsidR="000F236F" w:rsidRDefault="000F236F" w:rsidP="00DB5405">
            <w:pPr>
              <w:jc w:val="center"/>
              <w:rPr>
                <w:rFonts w:ascii="Garamond" w:eastAsia="Times New Roman" w:hAnsi="Garamond" w:cs="Calibri"/>
                <w:b/>
                <w:bCs/>
                <w:color w:val="000000"/>
                <w:sz w:val="20"/>
                <w:szCs w:val="20"/>
                <w:lang w:val="en-IN" w:eastAsia="en-IN"/>
              </w:rPr>
            </w:pPr>
            <w:r>
              <w:rPr>
                <w:rFonts w:ascii="Garamond" w:eastAsia="Times New Roman" w:hAnsi="Garamond" w:cs="Calibri"/>
                <w:b/>
                <w:bCs/>
                <w:color w:val="000000"/>
                <w:sz w:val="20"/>
                <w:szCs w:val="20"/>
                <w:lang w:val="en-IN" w:eastAsia="en-IN"/>
              </w:rPr>
              <w:t>May</w:t>
            </w:r>
          </w:p>
        </w:tc>
        <w:tc>
          <w:tcPr>
            <w:tcW w:w="782" w:type="dxa"/>
            <w:tcBorders>
              <w:top w:val="nil"/>
              <w:left w:val="nil"/>
              <w:bottom w:val="nil"/>
              <w:right w:val="single" w:sz="8" w:space="0" w:color="auto"/>
            </w:tcBorders>
            <w:shd w:val="clear" w:color="auto" w:fill="auto"/>
            <w:hideMark/>
          </w:tcPr>
          <w:p w:rsidR="000F236F" w:rsidRDefault="000F236F" w:rsidP="00DB5405">
            <w:pPr>
              <w:jc w:val="center"/>
              <w:rPr>
                <w:rFonts w:ascii="Garamond" w:eastAsia="Times New Roman" w:hAnsi="Garamond" w:cs="Calibri"/>
                <w:b/>
                <w:bCs/>
                <w:color w:val="000000"/>
                <w:sz w:val="20"/>
                <w:szCs w:val="20"/>
                <w:lang w:val="en-IN" w:eastAsia="en-IN"/>
              </w:rPr>
            </w:pPr>
            <w:r>
              <w:rPr>
                <w:rFonts w:ascii="Garamond" w:eastAsia="Times New Roman" w:hAnsi="Garamond" w:cs="Calibri"/>
                <w:b/>
                <w:bCs/>
                <w:color w:val="000000"/>
                <w:sz w:val="20"/>
                <w:szCs w:val="20"/>
                <w:lang w:val="en-IN" w:eastAsia="en-IN"/>
              </w:rPr>
              <w:t>Jun</w:t>
            </w:r>
          </w:p>
        </w:tc>
        <w:tc>
          <w:tcPr>
            <w:tcW w:w="782" w:type="dxa"/>
            <w:tcBorders>
              <w:top w:val="nil"/>
              <w:left w:val="nil"/>
              <w:bottom w:val="nil"/>
              <w:right w:val="single" w:sz="8" w:space="0" w:color="auto"/>
            </w:tcBorders>
            <w:shd w:val="clear" w:color="auto" w:fill="auto"/>
            <w:hideMark/>
          </w:tcPr>
          <w:p w:rsidR="000F236F" w:rsidRDefault="000F236F" w:rsidP="00DB5405">
            <w:pPr>
              <w:jc w:val="center"/>
              <w:rPr>
                <w:rFonts w:ascii="Garamond" w:eastAsia="Times New Roman" w:hAnsi="Garamond" w:cs="Calibri"/>
                <w:b/>
                <w:bCs/>
                <w:color w:val="000000"/>
                <w:sz w:val="20"/>
                <w:szCs w:val="20"/>
                <w:lang w:val="en-IN" w:eastAsia="en-IN"/>
              </w:rPr>
            </w:pPr>
            <w:r>
              <w:rPr>
                <w:rFonts w:ascii="Garamond" w:eastAsia="Times New Roman" w:hAnsi="Garamond" w:cs="Calibri"/>
                <w:b/>
                <w:bCs/>
                <w:color w:val="000000"/>
                <w:sz w:val="20"/>
                <w:szCs w:val="20"/>
                <w:lang w:val="en-IN" w:eastAsia="en-IN"/>
              </w:rPr>
              <w:t>Jul</w:t>
            </w:r>
          </w:p>
        </w:tc>
      </w:tr>
      <w:tr w:rsidR="000F236F" w:rsidTr="00DB5405">
        <w:trPr>
          <w:trHeight w:val="262"/>
        </w:trPr>
        <w:tc>
          <w:tcPr>
            <w:tcW w:w="1631" w:type="dxa"/>
            <w:tcBorders>
              <w:top w:val="single" w:sz="8" w:space="0" w:color="auto"/>
              <w:left w:val="single" w:sz="8" w:space="0" w:color="auto"/>
              <w:bottom w:val="nil"/>
              <w:right w:val="nil"/>
            </w:tcBorders>
            <w:shd w:val="clear" w:color="auto" w:fill="auto"/>
            <w:noWrap/>
            <w:vAlign w:val="center"/>
            <w:hideMark/>
          </w:tcPr>
          <w:p w:rsidR="000F236F" w:rsidRDefault="000F236F" w:rsidP="00DB5405">
            <w:pPr>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Japan</w:t>
            </w:r>
          </w:p>
        </w:tc>
        <w:tc>
          <w:tcPr>
            <w:tcW w:w="782" w:type="dxa"/>
            <w:tcBorders>
              <w:top w:val="single" w:sz="8" w:space="0" w:color="auto"/>
              <w:left w:val="single" w:sz="8" w:space="0" w:color="auto"/>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1146.2</w:t>
            </w:r>
          </w:p>
        </w:tc>
        <w:tc>
          <w:tcPr>
            <w:tcW w:w="782" w:type="dxa"/>
            <w:tcBorders>
              <w:top w:val="single" w:sz="8" w:space="0" w:color="auto"/>
              <w:left w:val="nil"/>
              <w:bottom w:val="nil"/>
              <w:right w:val="nil"/>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1168.5</w:t>
            </w:r>
          </w:p>
        </w:tc>
        <w:tc>
          <w:tcPr>
            <w:tcW w:w="782" w:type="dxa"/>
            <w:tcBorders>
              <w:top w:val="single" w:sz="8" w:space="0" w:color="auto"/>
              <w:left w:val="single" w:sz="8" w:space="0" w:color="auto"/>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1160.6</w:t>
            </w:r>
          </w:p>
        </w:tc>
        <w:tc>
          <w:tcPr>
            <w:tcW w:w="782" w:type="dxa"/>
            <w:tcBorders>
              <w:top w:val="single" w:sz="8" w:space="0" w:color="auto"/>
              <w:left w:val="nil"/>
              <w:bottom w:val="nil"/>
              <w:right w:val="nil"/>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1155.2</w:t>
            </w:r>
          </w:p>
        </w:tc>
        <w:tc>
          <w:tcPr>
            <w:tcW w:w="782" w:type="dxa"/>
            <w:tcBorders>
              <w:top w:val="single" w:sz="8" w:space="0" w:color="auto"/>
              <w:left w:val="single" w:sz="8" w:space="0" w:color="auto"/>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1211.8</w:t>
            </w:r>
          </w:p>
        </w:tc>
        <w:tc>
          <w:tcPr>
            <w:tcW w:w="782" w:type="dxa"/>
            <w:tcBorders>
              <w:top w:val="single" w:sz="8" w:space="0" w:color="auto"/>
              <w:left w:val="nil"/>
              <w:bottom w:val="nil"/>
              <w:right w:val="nil"/>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1268.6</w:t>
            </w:r>
          </w:p>
        </w:tc>
        <w:tc>
          <w:tcPr>
            <w:tcW w:w="782" w:type="dxa"/>
            <w:tcBorders>
              <w:top w:val="single" w:sz="8" w:space="0" w:color="auto"/>
              <w:left w:val="single" w:sz="8" w:space="0" w:color="auto"/>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1272.6</w:t>
            </w:r>
          </w:p>
        </w:tc>
        <w:tc>
          <w:tcPr>
            <w:tcW w:w="782" w:type="dxa"/>
            <w:tcBorders>
              <w:top w:val="single" w:sz="8" w:space="0" w:color="auto"/>
              <w:left w:val="nil"/>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1266.5</w:t>
            </w:r>
          </w:p>
        </w:tc>
        <w:tc>
          <w:tcPr>
            <w:tcW w:w="782" w:type="dxa"/>
            <w:tcBorders>
              <w:top w:val="single" w:sz="8" w:space="0" w:color="auto"/>
              <w:left w:val="nil"/>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1260.4</w:t>
            </w:r>
          </w:p>
        </w:tc>
        <w:tc>
          <w:tcPr>
            <w:tcW w:w="782" w:type="dxa"/>
            <w:tcBorders>
              <w:top w:val="single" w:sz="8" w:space="0" w:color="auto"/>
              <w:left w:val="nil"/>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1261.5</w:t>
            </w:r>
          </w:p>
        </w:tc>
        <w:tc>
          <w:tcPr>
            <w:tcW w:w="782" w:type="dxa"/>
            <w:tcBorders>
              <w:top w:val="single" w:sz="8" w:space="0" w:color="auto"/>
              <w:left w:val="nil"/>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1293</w:t>
            </w:r>
          </w:p>
        </w:tc>
      </w:tr>
      <w:tr w:rsidR="000F236F" w:rsidTr="00DB5405">
        <w:trPr>
          <w:trHeight w:val="262"/>
        </w:trPr>
        <w:tc>
          <w:tcPr>
            <w:tcW w:w="1631" w:type="dxa"/>
            <w:tcBorders>
              <w:top w:val="nil"/>
              <w:left w:val="single" w:sz="8" w:space="0" w:color="auto"/>
              <w:bottom w:val="nil"/>
              <w:right w:val="nil"/>
            </w:tcBorders>
            <w:shd w:val="clear" w:color="auto" w:fill="auto"/>
            <w:noWrap/>
            <w:vAlign w:val="center"/>
            <w:hideMark/>
          </w:tcPr>
          <w:p w:rsidR="000F236F" w:rsidRDefault="000F236F" w:rsidP="00DB5405">
            <w:pPr>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China, Mainland</w:t>
            </w:r>
          </w:p>
        </w:tc>
        <w:tc>
          <w:tcPr>
            <w:tcW w:w="782" w:type="dxa"/>
            <w:tcBorders>
              <w:top w:val="nil"/>
              <w:left w:val="single" w:sz="8" w:space="0" w:color="auto"/>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1102.4</w:t>
            </w:r>
          </w:p>
        </w:tc>
        <w:tc>
          <w:tcPr>
            <w:tcW w:w="782" w:type="dxa"/>
            <w:tcBorders>
              <w:top w:val="nil"/>
              <w:left w:val="nil"/>
              <w:bottom w:val="nil"/>
              <w:right w:val="nil"/>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1101.5</w:t>
            </w:r>
          </w:p>
        </w:tc>
        <w:tc>
          <w:tcPr>
            <w:tcW w:w="782" w:type="dxa"/>
            <w:tcBorders>
              <w:top w:val="nil"/>
              <w:left w:val="single" w:sz="8" w:space="0" w:color="auto"/>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1089.1</w:t>
            </w:r>
          </w:p>
        </w:tc>
        <w:tc>
          <w:tcPr>
            <w:tcW w:w="782" w:type="dxa"/>
            <w:tcBorders>
              <w:top w:val="nil"/>
              <w:left w:val="nil"/>
              <w:bottom w:val="nil"/>
              <w:right w:val="nil"/>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1069.9</w:t>
            </w:r>
          </w:p>
        </w:tc>
        <w:tc>
          <w:tcPr>
            <w:tcW w:w="782" w:type="dxa"/>
            <w:tcBorders>
              <w:top w:val="nil"/>
              <w:left w:val="single" w:sz="8" w:space="0" w:color="auto"/>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1078.6</w:t>
            </w:r>
          </w:p>
        </w:tc>
        <w:tc>
          <w:tcPr>
            <w:tcW w:w="782" w:type="dxa"/>
            <w:tcBorders>
              <w:top w:val="nil"/>
              <w:left w:val="nil"/>
              <w:bottom w:val="nil"/>
              <w:right w:val="nil"/>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1092.3</w:t>
            </w:r>
          </w:p>
        </w:tc>
        <w:tc>
          <w:tcPr>
            <w:tcW w:w="782" w:type="dxa"/>
            <w:tcBorders>
              <w:top w:val="nil"/>
              <w:left w:val="single" w:sz="8" w:space="0" w:color="auto"/>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1081.6</w:t>
            </w:r>
          </w:p>
        </w:tc>
        <w:tc>
          <w:tcPr>
            <w:tcW w:w="782" w:type="dxa"/>
            <w:tcBorders>
              <w:top w:val="nil"/>
              <w:left w:val="nil"/>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1072.8</w:t>
            </w:r>
          </w:p>
        </w:tc>
        <w:tc>
          <w:tcPr>
            <w:tcW w:w="782" w:type="dxa"/>
            <w:tcBorders>
              <w:top w:val="nil"/>
              <w:left w:val="nil"/>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1083.7</w:t>
            </w:r>
          </w:p>
        </w:tc>
        <w:tc>
          <w:tcPr>
            <w:tcW w:w="782" w:type="dxa"/>
            <w:tcBorders>
              <w:top w:val="nil"/>
              <w:left w:val="nil"/>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1074.4</w:t>
            </w:r>
          </w:p>
        </w:tc>
        <w:tc>
          <w:tcPr>
            <w:tcW w:w="782" w:type="dxa"/>
            <w:tcBorders>
              <w:top w:val="nil"/>
              <w:left w:val="nil"/>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1073.4</w:t>
            </w:r>
          </w:p>
        </w:tc>
      </w:tr>
      <w:tr w:rsidR="000F236F" w:rsidTr="00DB5405">
        <w:trPr>
          <w:trHeight w:val="262"/>
        </w:trPr>
        <w:tc>
          <w:tcPr>
            <w:tcW w:w="1631" w:type="dxa"/>
            <w:tcBorders>
              <w:top w:val="nil"/>
              <w:left w:val="single" w:sz="8" w:space="0" w:color="auto"/>
              <w:bottom w:val="nil"/>
              <w:right w:val="nil"/>
            </w:tcBorders>
            <w:shd w:val="clear" w:color="auto" w:fill="auto"/>
            <w:noWrap/>
            <w:vAlign w:val="center"/>
            <w:hideMark/>
          </w:tcPr>
          <w:p w:rsidR="000F236F" w:rsidRDefault="000F236F" w:rsidP="00DB5405">
            <w:pPr>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United Kingdom</w:t>
            </w:r>
          </w:p>
        </w:tc>
        <w:tc>
          <w:tcPr>
            <w:tcW w:w="782" w:type="dxa"/>
            <w:tcBorders>
              <w:top w:val="nil"/>
              <w:left w:val="single" w:sz="8" w:space="0" w:color="auto"/>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412.7</w:t>
            </w:r>
          </w:p>
        </w:tc>
        <w:tc>
          <w:tcPr>
            <w:tcW w:w="782" w:type="dxa"/>
            <w:tcBorders>
              <w:top w:val="nil"/>
              <w:left w:val="nil"/>
              <w:bottom w:val="nil"/>
              <w:right w:val="nil"/>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412.7</w:t>
            </w:r>
          </w:p>
        </w:tc>
        <w:tc>
          <w:tcPr>
            <w:tcW w:w="782" w:type="dxa"/>
            <w:tcBorders>
              <w:top w:val="nil"/>
              <w:left w:val="single" w:sz="8" w:space="0" w:color="auto"/>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400.5</w:t>
            </w:r>
          </w:p>
        </w:tc>
        <w:tc>
          <w:tcPr>
            <w:tcW w:w="782" w:type="dxa"/>
            <w:tcBorders>
              <w:top w:val="nil"/>
              <w:left w:val="nil"/>
              <w:bottom w:val="nil"/>
              <w:right w:val="nil"/>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392.1</w:t>
            </w:r>
          </w:p>
        </w:tc>
        <w:tc>
          <w:tcPr>
            <w:tcW w:w="782" w:type="dxa"/>
            <w:tcBorders>
              <w:top w:val="nil"/>
              <w:left w:val="single" w:sz="8" w:space="0" w:color="auto"/>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450.3</w:t>
            </w:r>
          </w:p>
        </w:tc>
        <w:tc>
          <w:tcPr>
            <w:tcW w:w="782" w:type="dxa"/>
            <w:tcBorders>
              <w:top w:val="nil"/>
              <w:left w:val="nil"/>
              <w:bottom w:val="nil"/>
              <w:right w:val="nil"/>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477.1</w:t>
            </w:r>
          </w:p>
        </w:tc>
        <w:tc>
          <w:tcPr>
            <w:tcW w:w="782" w:type="dxa"/>
            <w:tcBorders>
              <w:top w:val="nil"/>
              <w:left w:val="single" w:sz="8" w:space="0" w:color="auto"/>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469.7</w:t>
            </w:r>
          </w:p>
        </w:tc>
        <w:tc>
          <w:tcPr>
            <w:tcW w:w="782" w:type="dxa"/>
            <w:tcBorders>
              <w:top w:val="nil"/>
              <w:left w:val="nil"/>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429.2</w:t>
            </w:r>
          </w:p>
        </w:tc>
        <w:tc>
          <w:tcPr>
            <w:tcW w:w="782" w:type="dxa"/>
            <w:tcBorders>
              <w:top w:val="nil"/>
              <w:left w:val="nil"/>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445.8</w:t>
            </w:r>
          </w:p>
        </w:tc>
        <w:tc>
          <w:tcPr>
            <w:tcW w:w="782" w:type="dxa"/>
            <w:tcBorders>
              <w:top w:val="nil"/>
              <w:left w:val="nil"/>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445.6</w:t>
            </w:r>
          </w:p>
        </w:tc>
        <w:tc>
          <w:tcPr>
            <w:tcW w:w="782" w:type="dxa"/>
            <w:tcBorders>
              <w:top w:val="nil"/>
              <w:left w:val="nil"/>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424.6</w:t>
            </w:r>
          </w:p>
        </w:tc>
      </w:tr>
      <w:tr w:rsidR="000F236F" w:rsidTr="00DB5405">
        <w:trPr>
          <w:trHeight w:val="262"/>
        </w:trPr>
        <w:tc>
          <w:tcPr>
            <w:tcW w:w="1631" w:type="dxa"/>
            <w:tcBorders>
              <w:top w:val="nil"/>
              <w:left w:val="single" w:sz="8" w:space="0" w:color="auto"/>
              <w:bottom w:val="nil"/>
              <w:right w:val="nil"/>
            </w:tcBorders>
            <w:shd w:val="clear" w:color="auto" w:fill="auto"/>
            <w:noWrap/>
            <w:vAlign w:val="center"/>
            <w:hideMark/>
          </w:tcPr>
          <w:p w:rsidR="000F236F" w:rsidRDefault="000F236F" w:rsidP="00DB5405">
            <w:pPr>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Ireland</w:t>
            </w:r>
          </w:p>
        </w:tc>
        <w:tc>
          <w:tcPr>
            <w:tcW w:w="782" w:type="dxa"/>
            <w:tcBorders>
              <w:top w:val="nil"/>
              <w:left w:val="single" w:sz="8" w:space="0" w:color="auto"/>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274.1</w:t>
            </w:r>
          </w:p>
        </w:tc>
        <w:tc>
          <w:tcPr>
            <w:tcW w:w="782" w:type="dxa"/>
            <w:tcBorders>
              <w:top w:val="nil"/>
              <w:left w:val="nil"/>
              <w:bottom w:val="nil"/>
              <w:right w:val="nil"/>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285.4</w:t>
            </w:r>
          </w:p>
        </w:tc>
        <w:tc>
          <w:tcPr>
            <w:tcW w:w="782" w:type="dxa"/>
            <w:tcBorders>
              <w:top w:val="nil"/>
              <w:left w:val="single" w:sz="8" w:space="0" w:color="auto"/>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289.7</w:t>
            </w:r>
          </w:p>
        </w:tc>
        <w:tc>
          <w:tcPr>
            <w:tcW w:w="782" w:type="dxa"/>
            <w:tcBorders>
              <w:top w:val="nil"/>
              <w:left w:val="nil"/>
              <w:bottom w:val="nil"/>
              <w:right w:val="nil"/>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281.9</w:t>
            </w:r>
          </w:p>
        </w:tc>
        <w:tc>
          <w:tcPr>
            <w:tcW w:w="782" w:type="dxa"/>
            <w:tcBorders>
              <w:top w:val="nil"/>
              <w:left w:val="single" w:sz="8" w:space="0" w:color="auto"/>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271.7</w:t>
            </w:r>
          </w:p>
        </w:tc>
        <w:tc>
          <w:tcPr>
            <w:tcW w:w="782" w:type="dxa"/>
            <w:tcBorders>
              <w:top w:val="nil"/>
              <w:left w:val="nil"/>
              <w:bottom w:val="nil"/>
              <w:right w:val="nil"/>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282.8</w:t>
            </w:r>
          </w:p>
        </w:tc>
        <w:tc>
          <w:tcPr>
            <w:tcW w:w="782" w:type="dxa"/>
            <w:tcBorders>
              <w:top w:val="nil"/>
              <w:left w:val="single" w:sz="8" w:space="0" w:color="auto"/>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271.6</w:t>
            </w:r>
          </w:p>
        </w:tc>
        <w:tc>
          <w:tcPr>
            <w:tcW w:w="782" w:type="dxa"/>
            <w:tcBorders>
              <w:top w:val="nil"/>
              <w:left w:val="nil"/>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301.3</w:t>
            </w:r>
          </w:p>
        </w:tc>
        <w:tc>
          <w:tcPr>
            <w:tcW w:w="782" w:type="dxa"/>
            <w:tcBorders>
              <w:top w:val="nil"/>
              <w:left w:val="nil"/>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324.2</w:t>
            </w:r>
          </w:p>
        </w:tc>
        <w:tc>
          <w:tcPr>
            <w:tcW w:w="782" w:type="dxa"/>
            <w:tcBorders>
              <w:top w:val="nil"/>
              <w:left w:val="nil"/>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330.4</w:t>
            </w:r>
          </w:p>
        </w:tc>
        <w:tc>
          <w:tcPr>
            <w:tcW w:w="782" w:type="dxa"/>
            <w:tcBorders>
              <w:top w:val="nil"/>
              <w:left w:val="nil"/>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330.8</w:t>
            </w:r>
          </w:p>
        </w:tc>
      </w:tr>
      <w:tr w:rsidR="000F236F" w:rsidTr="00DB5405">
        <w:trPr>
          <w:trHeight w:val="262"/>
        </w:trPr>
        <w:tc>
          <w:tcPr>
            <w:tcW w:w="1631" w:type="dxa"/>
            <w:tcBorders>
              <w:top w:val="nil"/>
              <w:left w:val="single" w:sz="8" w:space="0" w:color="auto"/>
              <w:bottom w:val="nil"/>
              <w:right w:val="nil"/>
            </w:tcBorders>
            <w:shd w:val="clear" w:color="auto" w:fill="auto"/>
            <w:noWrap/>
            <w:vAlign w:val="center"/>
            <w:hideMark/>
          </w:tcPr>
          <w:p w:rsidR="000F236F" w:rsidRDefault="000F236F" w:rsidP="00DB5405">
            <w:pPr>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Hong Kong</w:t>
            </w:r>
          </w:p>
        </w:tc>
        <w:tc>
          <w:tcPr>
            <w:tcW w:w="782" w:type="dxa"/>
            <w:tcBorders>
              <w:top w:val="nil"/>
              <w:left w:val="single" w:sz="8" w:space="0" w:color="auto"/>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242.5</w:t>
            </w:r>
          </w:p>
        </w:tc>
        <w:tc>
          <w:tcPr>
            <w:tcW w:w="782" w:type="dxa"/>
            <w:tcBorders>
              <w:top w:val="nil"/>
              <w:left w:val="nil"/>
              <w:bottom w:val="nil"/>
              <w:right w:val="nil"/>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243.6</w:t>
            </w:r>
          </w:p>
        </w:tc>
        <w:tc>
          <w:tcPr>
            <w:tcW w:w="782" w:type="dxa"/>
            <w:tcBorders>
              <w:top w:val="nil"/>
              <w:left w:val="single" w:sz="8" w:space="0" w:color="auto"/>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249.7</w:t>
            </w:r>
          </w:p>
        </w:tc>
        <w:tc>
          <w:tcPr>
            <w:tcW w:w="782" w:type="dxa"/>
            <w:tcBorders>
              <w:top w:val="nil"/>
              <w:left w:val="nil"/>
              <w:bottom w:val="nil"/>
              <w:right w:val="nil"/>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249.7</w:t>
            </w:r>
          </w:p>
        </w:tc>
        <w:tc>
          <w:tcPr>
            <w:tcW w:w="782" w:type="dxa"/>
            <w:tcBorders>
              <w:top w:val="nil"/>
              <w:left w:val="single" w:sz="8" w:space="0" w:color="auto"/>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253</w:t>
            </w:r>
          </w:p>
        </w:tc>
        <w:tc>
          <w:tcPr>
            <w:tcW w:w="782" w:type="dxa"/>
            <w:tcBorders>
              <w:top w:val="nil"/>
              <w:left w:val="nil"/>
              <w:bottom w:val="nil"/>
              <w:right w:val="nil"/>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268.4</w:t>
            </w:r>
          </w:p>
        </w:tc>
        <w:tc>
          <w:tcPr>
            <w:tcW w:w="782" w:type="dxa"/>
            <w:tcBorders>
              <w:top w:val="nil"/>
              <w:left w:val="single" w:sz="8" w:space="0" w:color="auto"/>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256</w:t>
            </w:r>
          </w:p>
        </w:tc>
        <w:tc>
          <w:tcPr>
            <w:tcW w:w="782" w:type="dxa"/>
            <w:tcBorders>
              <w:top w:val="nil"/>
              <w:left w:val="nil"/>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259.4</w:t>
            </w:r>
          </w:p>
        </w:tc>
        <w:tc>
          <w:tcPr>
            <w:tcW w:w="782" w:type="dxa"/>
            <w:tcBorders>
              <w:top w:val="nil"/>
              <w:left w:val="nil"/>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269</w:t>
            </w:r>
          </w:p>
        </w:tc>
        <w:tc>
          <w:tcPr>
            <w:tcW w:w="782" w:type="dxa"/>
            <w:tcBorders>
              <w:top w:val="nil"/>
              <w:left w:val="nil"/>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266.4</w:t>
            </w:r>
          </w:p>
        </w:tc>
        <w:tc>
          <w:tcPr>
            <w:tcW w:w="782" w:type="dxa"/>
            <w:tcBorders>
              <w:top w:val="nil"/>
              <w:left w:val="nil"/>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267.1</w:t>
            </w:r>
          </w:p>
        </w:tc>
      </w:tr>
      <w:tr w:rsidR="000F236F" w:rsidTr="00DB5405">
        <w:trPr>
          <w:trHeight w:val="262"/>
        </w:trPr>
        <w:tc>
          <w:tcPr>
            <w:tcW w:w="1631" w:type="dxa"/>
            <w:tcBorders>
              <w:top w:val="nil"/>
              <w:left w:val="single" w:sz="8" w:space="0" w:color="auto"/>
              <w:bottom w:val="nil"/>
              <w:right w:val="nil"/>
            </w:tcBorders>
            <w:shd w:val="clear" w:color="auto" w:fill="auto"/>
            <w:noWrap/>
            <w:vAlign w:val="center"/>
            <w:hideMark/>
          </w:tcPr>
          <w:p w:rsidR="000F236F" w:rsidRDefault="000F236F" w:rsidP="00DB5405">
            <w:pPr>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Brazil</w:t>
            </w:r>
          </w:p>
        </w:tc>
        <w:tc>
          <w:tcPr>
            <w:tcW w:w="782" w:type="dxa"/>
            <w:tcBorders>
              <w:top w:val="nil"/>
              <w:left w:val="single" w:sz="8" w:space="0" w:color="auto"/>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303</w:t>
            </w:r>
          </w:p>
        </w:tc>
        <w:tc>
          <w:tcPr>
            <w:tcW w:w="782" w:type="dxa"/>
            <w:tcBorders>
              <w:top w:val="nil"/>
              <w:left w:val="nil"/>
              <w:bottom w:val="nil"/>
              <w:right w:val="nil"/>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298.5</w:t>
            </w:r>
          </w:p>
        </w:tc>
        <w:tc>
          <w:tcPr>
            <w:tcW w:w="782" w:type="dxa"/>
            <w:tcBorders>
              <w:top w:val="nil"/>
              <w:left w:val="single" w:sz="8" w:space="0" w:color="auto"/>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293.3</w:t>
            </w:r>
          </w:p>
        </w:tc>
        <w:tc>
          <w:tcPr>
            <w:tcW w:w="782" w:type="dxa"/>
            <w:tcBorders>
              <w:top w:val="nil"/>
              <w:left w:val="nil"/>
              <w:bottom w:val="nil"/>
              <w:right w:val="nil"/>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281.8</w:t>
            </w:r>
          </w:p>
        </w:tc>
        <w:tc>
          <w:tcPr>
            <w:tcW w:w="782" w:type="dxa"/>
            <w:tcBorders>
              <w:top w:val="nil"/>
              <w:left w:val="single" w:sz="8" w:space="0" w:color="auto"/>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283.3</w:t>
            </w:r>
          </w:p>
        </w:tc>
        <w:tc>
          <w:tcPr>
            <w:tcW w:w="782" w:type="dxa"/>
            <w:tcBorders>
              <w:top w:val="nil"/>
              <w:left w:val="nil"/>
              <w:bottom w:val="nil"/>
              <w:right w:val="nil"/>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285.9</w:t>
            </w:r>
          </w:p>
        </w:tc>
        <w:tc>
          <w:tcPr>
            <w:tcW w:w="782" w:type="dxa"/>
            <w:tcBorders>
              <w:top w:val="nil"/>
              <w:left w:val="single" w:sz="8" w:space="0" w:color="auto"/>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264.4</w:t>
            </w:r>
          </w:p>
        </w:tc>
        <w:tc>
          <w:tcPr>
            <w:tcW w:w="782" w:type="dxa"/>
            <w:tcBorders>
              <w:top w:val="nil"/>
              <w:left w:val="nil"/>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259.5</w:t>
            </w:r>
          </w:p>
        </w:tc>
        <w:tc>
          <w:tcPr>
            <w:tcW w:w="782" w:type="dxa"/>
            <w:tcBorders>
              <w:top w:val="nil"/>
              <w:left w:val="nil"/>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264.4</w:t>
            </w:r>
          </w:p>
        </w:tc>
        <w:tc>
          <w:tcPr>
            <w:tcW w:w="782" w:type="dxa"/>
            <w:tcBorders>
              <w:top w:val="nil"/>
              <w:left w:val="nil"/>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264.1</w:t>
            </w:r>
          </w:p>
        </w:tc>
        <w:tc>
          <w:tcPr>
            <w:tcW w:w="782" w:type="dxa"/>
            <w:tcBorders>
              <w:top w:val="nil"/>
              <w:left w:val="nil"/>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265.7</w:t>
            </w:r>
          </w:p>
        </w:tc>
      </w:tr>
      <w:tr w:rsidR="000F236F" w:rsidTr="00DB5405">
        <w:trPr>
          <w:trHeight w:val="262"/>
        </w:trPr>
        <w:tc>
          <w:tcPr>
            <w:tcW w:w="1631" w:type="dxa"/>
            <w:tcBorders>
              <w:top w:val="nil"/>
              <w:left w:val="single" w:sz="8" w:space="0" w:color="auto"/>
              <w:bottom w:val="nil"/>
              <w:right w:val="nil"/>
            </w:tcBorders>
            <w:shd w:val="clear" w:color="auto" w:fill="auto"/>
            <w:noWrap/>
            <w:vAlign w:val="center"/>
            <w:hideMark/>
          </w:tcPr>
          <w:p w:rsidR="000F236F" w:rsidRDefault="000F236F" w:rsidP="00DB5405">
            <w:pPr>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Luxembourg</w:t>
            </w:r>
          </w:p>
        </w:tc>
        <w:tc>
          <w:tcPr>
            <w:tcW w:w="782" w:type="dxa"/>
            <w:tcBorders>
              <w:top w:val="nil"/>
              <w:left w:val="single" w:sz="8" w:space="0" w:color="auto"/>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252.3</w:t>
            </w:r>
          </w:p>
        </w:tc>
        <w:tc>
          <w:tcPr>
            <w:tcW w:w="782" w:type="dxa"/>
            <w:tcBorders>
              <w:top w:val="nil"/>
              <w:left w:val="nil"/>
              <w:bottom w:val="nil"/>
              <w:right w:val="nil"/>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263</w:t>
            </w:r>
          </w:p>
        </w:tc>
        <w:tc>
          <w:tcPr>
            <w:tcW w:w="782" w:type="dxa"/>
            <w:tcBorders>
              <w:top w:val="nil"/>
              <w:left w:val="single" w:sz="8" w:space="0" w:color="auto"/>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261.9</w:t>
            </w:r>
          </w:p>
        </w:tc>
        <w:tc>
          <w:tcPr>
            <w:tcW w:w="782" w:type="dxa"/>
            <w:tcBorders>
              <w:top w:val="nil"/>
              <w:left w:val="nil"/>
              <w:bottom w:val="nil"/>
              <w:right w:val="nil"/>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254.6</w:t>
            </w:r>
          </w:p>
        </w:tc>
        <w:tc>
          <w:tcPr>
            <w:tcW w:w="782" w:type="dxa"/>
            <w:tcBorders>
              <w:top w:val="nil"/>
              <w:left w:val="single" w:sz="8" w:space="0" w:color="auto"/>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255.2</w:t>
            </w:r>
          </w:p>
        </w:tc>
        <w:tc>
          <w:tcPr>
            <w:tcW w:w="782" w:type="dxa"/>
            <w:tcBorders>
              <w:top w:val="nil"/>
              <w:left w:val="nil"/>
              <w:bottom w:val="nil"/>
              <w:right w:val="nil"/>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260.8</w:t>
            </w:r>
          </w:p>
        </w:tc>
        <w:tc>
          <w:tcPr>
            <w:tcW w:w="782" w:type="dxa"/>
            <w:tcBorders>
              <w:top w:val="nil"/>
              <w:left w:val="single" w:sz="8" w:space="0" w:color="auto"/>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246.1</w:t>
            </w:r>
          </w:p>
        </w:tc>
        <w:tc>
          <w:tcPr>
            <w:tcW w:w="782" w:type="dxa"/>
            <w:tcBorders>
              <w:top w:val="nil"/>
              <w:left w:val="nil"/>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265.5</w:t>
            </w:r>
          </w:p>
        </w:tc>
        <w:tc>
          <w:tcPr>
            <w:tcW w:w="782" w:type="dxa"/>
            <w:tcBorders>
              <w:top w:val="nil"/>
              <w:left w:val="nil"/>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262.7</w:t>
            </w:r>
          </w:p>
        </w:tc>
        <w:tc>
          <w:tcPr>
            <w:tcW w:w="782" w:type="dxa"/>
            <w:tcBorders>
              <w:top w:val="nil"/>
              <w:left w:val="nil"/>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267.6</w:t>
            </w:r>
          </w:p>
        </w:tc>
        <w:tc>
          <w:tcPr>
            <w:tcW w:w="782" w:type="dxa"/>
            <w:tcBorders>
              <w:top w:val="nil"/>
              <w:left w:val="nil"/>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264.7</w:t>
            </w:r>
          </w:p>
        </w:tc>
      </w:tr>
      <w:tr w:rsidR="000F236F" w:rsidTr="00DB5405">
        <w:trPr>
          <w:trHeight w:val="262"/>
        </w:trPr>
        <w:tc>
          <w:tcPr>
            <w:tcW w:w="1631" w:type="dxa"/>
            <w:tcBorders>
              <w:top w:val="nil"/>
              <w:left w:val="single" w:sz="8" w:space="0" w:color="auto"/>
              <w:bottom w:val="nil"/>
              <w:right w:val="nil"/>
            </w:tcBorders>
            <w:shd w:val="clear" w:color="auto" w:fill="auto"/>
            <w:noWrap/>
            <w:vAlign w:val="center"/>
            <w:hideMark/>
          </w:tcPr>
          <w:p w:rsidR="000F236F" w:rsidRDefault="000F236F" w:rsidP="00DB5405">
            <w:pPr>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Switzerland</w:t>
            </w:r>
          </w:p>
        </w:tc>
        <w:tc>
          <w:tcPr>
            <w:tcW w:w="782" w:type="dxa"/>
            <w:tcBorders>
              <w:top w:val="nil"/>
              <w:left w:val="single" w:sz="8" w:space="0" w:color="auto"/>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231.1</w:t>
            </w:r>
          </w:p>
        </w:tc>
        <w:tc>
          <w:tcPr>
            <w:tcW w:w="782" w:type="dxa"/>
            <w:tcBorders>
              <w:top w:val="nil"/>
              <w:left w:val="nil"/>
              <w:bottom w:val="nil"/>
              <w:right w:val="nil"/>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233.2</w:t>
            </w:r>
          </w:p>
        </w:tc>
        <w:tc>
          <w:tcPr>
            <w:tcW w:w="782" w:type="dxa"/>
            <w:tcBorders>
              <w:top w:val="nil"/>
              <w:left w:val="single" w:sz="8" w:space="0" w:color="auto"/>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233.4</w:t>
            </w:r>
          </w:p>
        </w:tc>
        <w:tc>
          <w:tcPr>
            <w:tcW w:w="782" w:type="dxa"/>
            <w:tcBorders>
              <w:top w:val="nil"/>
              <w:left w:val="nil"/>
              <w:bottom w:val="nil"/>
              <w:right w:val="nil"/>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237.5</w:t>
            </w:r>
          </w:p>
        </w:tc>
        <w:tc>
          <w:tcPr>
            <w:tcW w:w="782" w:type="dxa"/>
            <w:tcBorders>
              <w:top w:val="nil"/>
              <w:left w:val="single" w:sz="8" w:space="0" w:color="auto"/>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238.1</w:t>
            </w:r>
          </w:p>
        </w:tc>
        <w:tc>
          <w:tcPr>
            <w:tcW w:w="782" w:type="dxa"/>
            <w:tcBorders>
              <w:top w:val="nil"/>
              <w:left w:val="nil"/>
              <w:bottom w:val="nil"/>
              <w:right w:val="nil"/>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243.7</w:t>
            </w:r>
          </w:p>
        </w:tc>
        <w:tc>
          <w:tcPr>
            <w:tcW w:w="782" w:type="dxa"/>
            <w:tcBorders>
              <w:top w:val="nil"/>
              <w:left w:val="single" w:sz="8" w:space="0" w:color="auto"/>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244.6</w:t>
            </w:r>
          </w:p>
        </w:tc>
        <w:tc>
          <w:tcPr>
            <w:tcW w:w="782" w:type="dxa"/>
            <w:tcBorders>
              <w:top w:val="nil"/>
              <w:left w:val="nil"/>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241.3</w:t>
            </w:r>
          </w:p>
        </w:tc>
        <w:tc>
          <w:tcPr>
            <w:tcW w:w="782" w:type="dxa"/>
            <w:tcBorders>
              <w:top w:val="nil"/>
              <w:left w:val="nil"/>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243.1</w:t>
            </w:r>
          </w:p>
        </w:tc>
        <w:tc>
          <w:tcPr>
            <w:tcW w:w="782" w:type="dxa"/>
            <w:tcBorders>
              <w:top w:val="nil"/>
              <w:left w:val="nil"/>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247.4</w:t>
            </w:r>
          </w:p>
        </w:tc>
        <w:tc>
          <w:tcPr>
            <w:tcW w:w="782" w:type="dxa"/>
            <w:tcBorders>
              <w:top w:val="nil"/>
              <w:left w:val="nil"/>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250.7</w:t>
            </w:r>
          </w:p>
        </w:tc>
      </w:tr>
      <w:tr w:rsidR="000F236F" w:rsidTr="00DB5405">
        <w:trPr>
          <w:trHeight w:val="262"/>
        </w:trPr>
        <w:tc>
          <w:tcPr>
            <w:tcW w:w="1631" w:type="dxa"/>
            <w:tcBorders>
              <w:top w:val="nil"/>
              <w:left w:val="single" w:sz="8" w:space="0" w:color="auto"/>
              <w:bottom w:val="nil"/>
              <w:right w:val="nil"/>
            </w:tcBorders>
            <w:shd w:val="clear" w:color="auto" w:fill="auto"/>
            <w:noWrap/>
            <w:vAlign w:val="center"/>
            <w:hideMark/>
          </w:tcPr>
          <w:p w:rsidR="000F236F" w:rsidRDefault="000F236F" w:rsidP="00DB5405">
            <w:pPr>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Cayman Islands</w:t>
            </w:r>
          </w:p>
        </w:tc>
        <w:tc>
          <w:tcPr>
            <w:tcW w:w="782" w:type="dxa"/>
            <w:tcBorders>
              <w:top w:val="nil"/>
              <w:left w:val="single" w:sz="8" w:space="0" w:color="auto"/>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250.9</w:t>
            </w:r>
          </w:p>
        </w:tc>
        <w:tc>
          <w:tcPr>
            <w:tcW w:w="782" w:type="dxa"/>
            <w:tcBorders>
              <w:top w:val="nil"/>
              <w:left w:val="nil"/>
              <w:bottom w:val="nil"/>
              <w:right w:val="nil"/>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236.8</w:t>
            </w:r>
          </w:p>
        </w:tc>
        <w:tc>
          <w:tcPr>
            <w:tcW w:w="782" w:type="dxa"/>
            <w:tcBorders>
              <w:top w:val="nil"/>
              <w:left w:val="single" w:sz="8" w:space="0" w:color="auto"/>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234.2</w:t>
            </w:r>
          </w:p>
        </w:tc>
        <w:tc>
          <w:tcPr>
            <w:tcW w:w="782" w:type="dxa"/>
            <w:tcBorders>
              <w:top w:val="nil"/>
              <w:left w:val="nil"/>
              <w:bottom w:val="nil"/>
              <w:right w:val="nil"/>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238.2</w:t>
            </w:r>
          </w:p>
        </w:tc>
        <w:tc>
          <w:tcPr>
            <w:tcW w:w="782" w:type="dxa"/>
            <w:tcBorders>
              <w:top w:val="nil"/>
              <w:left w:val="single" w:sz="8" w:space="0" w:color="auto"/>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225.1</w:t>
            </w:r>
          </w:p>
        </w:tc>
        <w:tc>
          <w:tcPr>
            <w:tcW w:w="782" w:type="dxa"/>
            <w:tcBorders>
              <w:top w:val="nil"/>
              <w:left w:val="nil"/>
              <w:bottom w:val="nil"/>
              <w:right w:val="nil"/>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228.2</w:t>
            </w:r>
          </w:p>
        </w:tc>
        <w:tc>
          <w:tcPr>
            <w:tcW w:w="782" w:type="dxa"/>
            <w:tcBorders>
              <w:top w:val="nil"/>
              <w:left w:val="single" w:sz="8" w:space="0" w:color="auto"/>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209.4</w:t>
            </w:r>
          </w:p>
        </w:tc>
        <w:tc>
          <w:tcPr>
            <w:tcW w:w="782" w:type="dxa"/>
            <w:tcBorders>
              <w:top w:val="nil"/>
              <w:left w:val="nil"/>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213.1</w:t>
            </w:r>
          </w:p>
        </w:tc>
        <w:tc>
          <w:tcPr>
            <w:tcW w:w="782" w:type="dxa"/>
            <w:tcBorders>
              <w:top w:val="nil"/>
              <w:left w:val="nil"/>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216.7</w:t>
            </w:r>
          </w:p>
        </w:tc>
        <w:tc>
          <w:tcPr>
            <w:tcW w:w="782" w:type="dxa"/>
            <w:tcBorders>
              <w:top w:val="nil"/>
              <w:left w:val="nil"/>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222</w:t>
            </w:r>
          </w:p>
        </w:tc>
        <w:tc>
          <w:tcPr>
            <w:tcW w:w="782" w:type="dxa"/>
            <w:tcBorders>
              <w:top w:val="nil"/>
              <w:left w:val="nil"/>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212.9</w:t>
            </w:r>
          </w:p>
        </w:tc>
      </w:tr>
      <w:tr w:rsidR="000F236F" w:rsidTr="00DB5405">
        <w:trPr>
          <w:trHeight w:val="262"/>
        </w:trPr>
        <w:tc>
          <w:tcPr>
            <w:tcW w:w="1631" w:type="dxa"/>
            <w:tcBorders>
              <w:top w:val="nil"/>
              <w:left w:val="single" w:sz="8" w:space="0" w:color="auto"/>
              <w:bottom w:val="nil"/>
              <w:right w:val="nil"/>
            </w:tcBorders>
            <w:shd w:val="clear" w:color="auto" w:fill="auto"/>
            <w:noWrap/>
            <w:vAlign w:val="center"/>
            <w:hideMark/>
          </w:tcPr>
          <w:p w:rsidR="000F236F" w:rsidRDefault="000F236F" w:rsidP="00DB5405">
            <w:pPr>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Belgium</w:t>
            </w:r>
          </w:p>
        </w:tc>
        <w:tc>
          <w:tcPr>
            <w:tcW w:w="782" w:type="dxa"/>
            <w:tcBorders>
              <w:top w:val="nil"/>
              <w:left w:val="single" w:sz="8" w:space="0" w:color="auto"/>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215.5</w:t>
            </w:r>
          </w:p>
        </w:tc>
        <w:tc>
          <w:tcPr>
            <w:tcW w:w="782" w:type="dxa"/>
            <w:tcBorders>
              <w:top w:val="nil"/>
              <w:left w:val="nil"/>
              <w:bottom w:val="nil"/>
              <w:right w:val="nil"/>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205.6</w:t>
            </w:r>
          </w:p>
        </w:tc>
        <w:tc>
          <w:tcPr>
            <w:tcW w:w="782" w:type="dxa"/>
            <w:tcBorders>
              <w:top w:val="nil"/>
              <w:left w:val="single" w:sz="8" w:space="0" w:color="auto"/>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202.4</w:t>
            </w:r>
          </w:p>
        </w:tc>
        <w:tc>
          <w:tcPr>
            <w:tcW w:w="782" w:type="dxa"/>
            <w:tcBorders>
              <w:top w:val="nil"/>
              <w:left w:val="nil"/>
              <w:bottom w:val="nil"/>
              <w:right w:val="nil"/>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207.4</w:t>
            </w:r>
          </w:p>
        </w:tc>
        <w:tc>
          <w:tcPr>
            <w:tcW w:w="782" w:type="dxa"/>
            <w:tcBorders>
              <w:top w:val="nil"/>
              <w:left w:val="single" w:sz="8" w:space="0" w:color="auto"/>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206.5</w:t>
            </w:r>
          </w:p>
        </w:tc>
        <w:tc>
          <w:tcPr>
            <w:tcW w:w="782" w:type="dxa"/>
            <w:tcBorders>
              <w:top w:val="nil"/>
              <w:left w:val="nil"/>
              <w:bottom w:val="nil"/>
              <w:right w:val="nil"/>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218</w:t>
            </w:r>
          </w:p>
        </w:tc>
        <w:tc>
          <w:tcPr>
            <w:tcW w:w="782" w:type="dxa"/>
            <w:tcBorders>
              <w:top w:val="nil"/>
              <w:left w:val="single" w:sz="8" w:space="0" w:color="auto"/>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206.1</w:t>
            </w:r>
          </w:p>
        </w:tc>
        <w:tc>
          <w:tcPr>
            <w:tcW w:w="782" w:type="dxa"/>
            <w:tcBorders>
              <w:top w:val="nil"/>
              <w:left w:val="nil"/>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210.2</w:t>
            </w:r>
          </w:p>
        </w:tc>
        <w:tc>
          <w:tcPr>
            <w:tcW w:w="782" w:type="dxa"/>
            <w:tcBorders>
              <w:top w:val="nil"/>
              <w:left w:val="nil"/>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212.1</w:t>
            </w:r>
          </w:p>
        </w:tc>
        <w:tc>
          <w:tcPr>
            <w:tcW w:w="782" w:type="dxa"/>
            <w:tcBorders>
              <w:top w:val="nil"/>
              <w:left w:val="nil"/>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218.7</w:t>
            </w:r>
          </w:p>
        </w:tc>
        <w:tc>
          <w:tcPr>
            <w:tcW w:w="782" w:type="dxa"/>
            <w:tcBorders>
              <w:top w:val="nil"/>
              <w:left w:val="nil"/>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211.9</w:t>
            </w:r>
          </w:p>
        </w:tc>
      </w:tr>
      <w:tr w:rsidR="000F236F" w:rsidTr="00DB5405">
        <w:trPr>
          <w:trHeight w:val="262"/>
        </w:trPr>
        <w:tc>
          <w:tcPr>
            <w:tcW w:w="1631" w:type="dxa"/>
            <w:tcBorders>
              <w:top w:val="nil"/>
              <w:left w:val="single" w:sz="8" w:space="0" w:color="auto"/>
              <w:bottom w:val="nil"/>
              <w:right w:val="nil"/>
            </w:tcBorders>
            <w:shd w:val="clear" w:color="auto" w:fill="auto"/>
            <w:noWrap/>
            <w:vAlign w:val="center"/>
            <w:hideMark/>
          </w:tcPr>
          <w:p w:rsidR="000F236F" w:rsidRDefault="000F236F" w:rsidP="00DB5405">
            <w:pPr>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Taiwan</w:t>
            </w:r>
          </w:p>
        </w:tc>
        <w:tc>
          <w:tcPr>
            <w:tcW w:w="782" w:type="dxa"/>
            <w:tcBorders>
              <w:top w:val="nil"/>
              <w:left w:val="single" w:sz="8" w:space="0" w:color="auto"/>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189</w:t>
            </w:r>
          </w:p>
        </w:tc>
        <w:tc>
          <w:tcPr>
            <w:tcW w:w="782" w:type="dxa"/>
            <w:tcBorders>
              <w:top w:val="nil"/>
              <w:left w:val="nil"/>
              <w:bottom w:val="nil"/>
              <w:right w:val="nil"/>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191.2</w:t>
            </w:r>
          </w:p>
        </w:tc>
        <w:tc>
          <w:tcPr>
            <w:tcW w:w="782" w:type="dxa"/>
            <w:tcBorders>
              <w:top w:val="nil"/>
              <w:left w:val="single" w:sz="8" w:space="0" w:color="auto"/>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188.6</w:t>
            </w:r>
          </w:p>
        </w:tc>
        <w:tc>
          <w:tcPr>
            <w:tcW w:w="782" w:type="dxa"/>
            <w:tcBorders>
              <w:top w:val="nil"/>
              <w:left w:val="nil"/>
              <w:bottom w:val="nil"/>
              <w:right w:val="nil"/>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193.1</w:t>
            </w:r>
          </w:p>
        </w:tc>
        <w:tc>
          <w:tcPr>
            <w:tcW w:w="782" w:type="dxa"/>
            <w:tcBorders>
              <w:top w:val="nil"/>
              <w:left w:val="single" w:sz="8" w:space="0" w:color="auto"/>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199.2</w:t>
            </w:r>
          </w:p>
        </w:tc>
        <w:tc>
          <w:tcPr>
            <w:tcW w:w="782" w:type="dxa"/>
            <w:tcBorders>
              <w:top w:val="nil"/>
              <w:left w:val="nil"/>
              <w:bottom w:val="nil"/>
              <w:right w:val="nil"/>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201.9</w:t>
            </w:r>
          </w:p>
        </w:tc>
        <w:tc>
          <w:tcPr>
            <w:tcW w:w="782" w:type="dxa"/>
            <w:tcBorders>
              <w:top w:val="nil"/>
              <w:left w:val="single" w:sz="8" w:space="0" w:color="auto"/>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205</w:t>
            </w:r>
          </w:p>
        </w:tc>
        <w:tc>
          <w:tcPr>
            <w:tcW w:w="782" w:type="dxa"/>
            <w:tcBorders>
              <w:top w:val="nil"/>
              <w:left w:val="nil"/>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201.7</w:t>
            </w:r>
          </w:p>
        </w:tc>
        <w:tc>
          <w:tcPr>
            <w:tcW w:w="782" w:type="dxa"/>
            <w:tcBorders>
              <w:top w:val="nil"/>
              <w:left w:val="nil"/>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199.2</w:t>
            </w:r>
          </w:p>
        </w:tc>
        <w:tc>
          <w:tcPr>
            <w:tcW w:w="782" w:type="dxa"/>
            <w:tcBorders>
              <w:top w:val="nil"/>
              <w:left w:val="nil"/>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204.6</w:t>
            </w:r>
          </w:p>
        </w:tc>
        <w:tc>
          <w:tcPr>
            <w:tcW w:w="782" w:type="dxa"/>
            <w:tcBorders>
              <w:top w:val="nil"/>
              <w:left w:val="nil"/>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209.7</w:t>
            </w:r>
          </w:p>
        </w:tc>
      </w:tr>
      <w:tr w:rsidR="000F236F" w:rsidTr="00DB5405">
        <w:trPr>
          <w:trHeight w:val="262"/>
        </w:trPr>
        <w:tc>
          <w:tcPr>
            <w:tcW w:w="1631" w:type="dxa"/>
            <w:tcBorders>
              <w:top w:val="nil"/>
              <w:left w:val="single" w:sz="8" w:space="0" w:color="auto"/>
              <w:bottom w:val="nil"/>
              <w:right w:val="nil"/>
            </w:tcBorders>
            <w:shd w:val="clear" w:color="auto" w:fill="auto"/>
            <w:noWrap/>
            <w:vAlign w:val="center"/>
            <w:hideMark/>
          </w:tcPr>
          <w:p w:rsidR="000F236F" w:rsidRDefault="000F236F" w:rsidP="00DB5405">
            <w:pPr>
              <w:rPr>
                <w:rFonts w:ascii="Garamond" w:eastAsia="Times New Roman" w:hAnsi="Garamond" w:cs="Calibri"/>
                <w:b/>
                <w:bCs/>
                <w:color w:val="000000"/>
                <w:sz w:val="20"/>
                <w:szCs w:val="20"/>
                <w:lang w:val="en-IN" w:eastAsia="en-IN"/>
              </w:rPr>
            </w:pPr>
            <w:r>
              <w:rPr>
                <w:rFonts w:ascii="Garamond" w:eastAsia="Times New Roman" w:hAnsi="Garamond" w:cs="Calibri"/>
                <w:b/>
                <w:bCs/>
                <w:color w:val="000000"/>
                <w:sz w:val="20"/>
                <w:szCs w:val="20"/>
                <w:lang w:val="en-IN" w:eastAsia="en-IN"/>
              </w:rPr>
              <w:t>India</w:t>
            </w:r>
          </w:p>
        </w:tc>
        <w:tc>
          <w:tcPr>
            <w:tcW w:w="782" w:type="dxa"/>
            <w:tcBorders>
              <w:top w:val="nil"/>
              <w:left w:val="single" w:sz="8" w:space="0" w:color="auto"/>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b/>
                <w:bCs/>
                <w:color w:val="000000"/>
                <w:sz w:val="20"/>
                <w:szCs w:val="20"/>
                <w:lang w:val="en-IN" w:eastAsia="en-IN"/>
              </w:rPr>
            </w:pPr>
            <w:r>
              <w:rPr>
                <w:rFonts w:ascii="Garamond" w:eastAsia="Times New Roman" w:hAnsi="Garamond" w:cs="Calibri"/>
                <w:b/>
                <w:bCs/>
                <w:color w:val="000000"/>
                <w:sz w:val="20"/>
                <w:szCs w:val="20"/>
                <w:lang w:val="en-IN" w:eastAsia="en-IN"/>
              </w:rPr>
              <w:t>160.7</w:t>
            </w:r>
          </w:p>
        </w:tc>
        <w:tc>
          <w:tcPr>
            <w:tcW w:w="782" w:type="dxa"/>
            <w:tcBorders>
              <w:top w:val="nil"/>
              <w:left w:val="nil"/>
              <w:bottom w:val="nil"/>
              <w:right w:val="nil"/>
            </w:tcBorders>
            <w:shd w:val="clear" w:color="auto" w:fill="auto"/>
            <w:noWrap/>
            <w:vAlign w:val="bottom"/>
            <w:hideMark/>
          </w:tcPr>
          <w:p w:rsidR="000F236F" w:rsidRDefault="000F236F" w:rsidP="00DB5405">
            <w:pPr>
              <w:jc w:val="right"/>
              <w:rPr>
                <w:rFonts w:ascii="Garamond" w:eastAsia="Times New Roman" w:hAnsi="Garamond" w:cs="Calibri"/>
                <w:b/>
                <w:bCs/>
                <w:color w:val="000000"/>
                <w:sz w:val="20"/>
                <w:szCs w:val="20"/>
                <w:lang w:val="en-IN" w:eastAsia="en-IN"/>
              </w:rPr>
            </w:pPr>
            <w:r>
              <w:rPr>
                <w:rFonts w:ascii="Garamond" w:eastAsia="Times New Roman" w:hAnsi="Garamond" w:cs="Calibri"/>
                <w:b/>
                <w:bCs/>
                <w:color w:val="000000"/>
                <w:sz w:val="20"/>
                <w:szCs w:val="20"/>
                <w:lang w:val="en-IN" w:eastAsia="en-IN"/>
              </w:rPr>
              <w:t>161.4</w:t>
            </w:r>
          </w:p>
        </w:tc>
        <w:tc>
          <w:tcPr>
            <w:tcW w:w="782" w:type="dxa"/>
            <w:tcBorders>
              <w:top w:val="nil"/>
              <w:left w:val="single" w:sz="8" w:space="0" w:color="auto"/>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b/>
                <w:bCs/>
                <w:color w:val="000000"/>
                <w:sz w:val="20"/>
                <w:szCs w:val="20"/>
                <w:lang w:val="en-IN" w:eastAsia="en-IN"/>
              </w:rPr>
            </w:pPr>
            <w:r>
              <w:rPr>
                <w:rFonts w:ascii="Garamond" w:eastAsia="Times New Roman" w:hAnsi="Garamond" w:cs="Calibri"/>
                <w:b/>
                <w:bCs/>
                <w:color w:val="000000"/>
                <w:sz w:val="20"/>
                <w:szCs w:val="20"/>
                <w:lang w:val="en-IN" w:eastAsia="en-IN"/>
              </w:rPr>
              <w:t>159.2</w:t>
            </w:r>
          </w:p>
        </w:tc>
        <w:tc>
          <w:tcPr>
            <w:tcW w:w="782" w:type="dxa"/>
            <w:tcBorders>
              <w:top w:val="nil"/>
              <w:left w:val="nil"/>
              <w:bottom w:val="nil"/>
              <w:right w:val="nil"/>
            </w:tcBorders>
            <w:shd w:val="clear" w:color="auto" w:fill="auto"/>
            <w:noWrap/>
            <w:vAlign w:val="bottom"/>
            <w:hideMark/>
          </w:tcPr>
          <w:p w:rsidR="000F236F" w:rsidRDefault="000F236F" w:rsidP="00DB5405">
            <w:pPr>
              <w:jc w:val="right"/>
              <w:rPr>
                <w:rFonts w:ascii="Garamond" w:eastAsia="Times New Roman" w:hAnsi="Garamond" w:cs="Calibri"/>
                <w:b/>
                <w:bCs/>
                <w:color w:val="000000"/>
                <w:sz w:val="20"/>
                <w:szCs w:val="20"/>
                <w:lang w:val="en-IN" w:eastAsia="en-IN"/>
              </w:rPr>
            </w:pPr>
            <w:r>
              <w:rPr>
                <w:rFonts w:ascii="Garamond" w:eastAsia="Times New Roman" w:hAnsi="Garamond" w:cs="Calibri"/>
                <w:b/>
                <w:bCs/>
                <w:color w:val="000000"/>
                <w:sz w:val="20"/>
                <w:szCs w:val="20"/>
                <w:lang w:val="en-IN" w:eastAsia="en-IN"/>
              </w:rPr>
              <w:t>162</w:t>
            </w:r>
          </w:p>
        </w:tc>
        <w:tc>
          <w:tcPr>
            <w:tcW w:w="782" w:type="dxa"/>
            <w:tcBorders>
              <w:top w:val="nil"/>
              <w:left w:val="single" w:sz="8" w:space="0" w:color="auto"/>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b/>
                <w:bCs/>
                <w:color w:val="000000"/>
                <w:sz w:val="20"/>
                <w:szCs w:val="20"/>
                <w:lang w:val="en-IN" w:eastAsia="en-IN"/>
              </w:rPr>
            </w:pPr>
            <w:r>
              <w:rPr>
                <w:rFonts w:ascii="Garamond" w:eastAsia="Times New Roman" w:hAnsi="Garamond" w:cs="Calibri"/>
                <w:b/>
                <w:bCs/>
                <w:color w:val="000000"/>
                <w:sz w:val="20"/>
                <w:szCs w:val="20"/>
                <w:lang w:val="en-IN" w:eastAsia="en-IN"/>
              </w:rPr>
              <w:t>164.3</w:t>
            </w:r>
          </w:p>
        </w:tc>
        <w:tc>
          <w:tcPr>
            <w:tcW w:w="782" w:type="dxa"/>
            <w:tcBorders>
              <w:top w:val="nil"/>
              <w:left w:val="nil"/>
              <w:bottom w:val="nil"/>
              <w:right w:val="nil"/>
            </w:tcBorders>
            <w:shd w:val="clear" w:color="auto" w:fill="auto"/>
            <w:noWrap/>
            <w:vAlign w:val="bottom"/>
            <w:hideMark/>
          </w:tcPr>
          <w:p w:rsidR="000F236F" w:rsidRDefault="000F236F" w:rsidP="00DB5405">
            <w:pPr>
              <w:jc w:val="right"/>
              <w:rPr>
                <w:rFonts w:ascii="Garamond" w:eastAsia="Times New Roman" w:hAnsi="Garamond" w:cs="Calibri"/>
                <w:b/>
                <w:bCs/>
                <w:color w:val="000000"/>
                <w:sz w:val="20"/>
                <w:szCs w:val="20"/>
                <w:lang w:val="en-IN" w:eastAsia="en-IN"/>
              </w:rPr>
            </w:pPr>
            <w:r>
              <w:rPr>
                <w:rFonts w:ascii="Garamond" w:eastAsia="Times New Roman" w:hAnsi="Garamond" w:cs="Calibri"/>
                <w:b/>
                <w:bCs/>
                <w:color w:val="000000"/>
                <w:sz w:val="20"/>
                <w:szCs w:val="20"/>
                <w:lang w:val="en-IN" w:eastAsia="en-IN"/>
              </w:rPr>
              <w:t>177.5</w:t>
            </w:r>
          </w:p>
        </w:tc>
        <w:tc>
          <w:tcPr>
            <w:tcW w:w="782" w:type="dxa"/>
            <w:tcBorders>
              <w:top w:val="nil"/>
              <w:left w:val="single" w:sz="8" w:space="0" w:color="auto"/>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b/>
                <w:bCs/>
                <w:color w:val="000000"/>
                <w:sz w:val="20"/>
                <w:szCs w:val="20"/>
                <w:lang w:val="en-IN" w:eastAsia="en-IN"/>
              </w:rPr>
            </w:pPr>
            <w:r>
              <w:rPr>
                <w:rFonts w:ascii="Garamond" w:eastAsia="Times New Roman" w:hAnsi="Garamond" w:cs="Calibri"/>
                <w:b/>
                <w:bCs/>
                <w:color w:val="000000"/>
                <w:sz w:val="20"/>
                <w:szCs w:val="20"/>
                <w:lang w:val="en-IN" w:eastAsia="en-IN"/>
              </w:rPr>
              <w:t>156.5</w:t>
            </w:r>
          </w:p>
        </w:tc>
        <w:tc>
          <w:tcPr>
            <w:tcW w:w="782" w:type="dxa"/>
            <w:tcBorders>
              <w:top w:val="nil"/>
              <w:left w:val="nil"/>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b/>
                <w:bCs/>
                <w:color w:val="000000"/>
                <w:sz w:val="20"/>
                <w:szCs w:val="20"/>
                <w:lang w:val="en-IN" w:eastAsia="en-IN"/>
              </w:rPr>
            </w:pPr>
            <w:r>
              <w:rPr>
                <w:rFonts w:ascii="Garamond" w:eastAsia="Times New Roman" w:hAnsi="Garamond" w:cs="Calibri"/>
                <w:b/>
                <w:bCs/>
                <w:color w:val="000000"/>
                <w:sz w:val="20"/>
                <w:szCs w:val="20"/>
                <w:lang w:val="en-IN" w:eastAsia="en-IN"/>
              </w:rPr>
              <w:t>157.4</w:t>
            </w:r>
          </w:p>
        </w:tc>
        <w:tc>
          <w:tcPr>
            <w:tcW w:w="782" w:type="dxa"/>
            <w:tcBorders>
              <w:top w:val="nil"/>
              <w:left w:val="nil"/>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b/>
                <w:bCs/>
                <w:color w:val="000000"/>
                <w:sz w:val="20"/>
                <w:szCs w:val="20"/>
                <w:lang w:val="en-IN" w:eastAsia="en-IN"/>
              </w:rPr>
            </w:pPr>
            <w:r>
              <w:rPr>
                <w:rFonts w:ascii="Garamond" w:eastAsia="Times New Roman" w:hAnsi="Garamond" w:cs="Calibri"/>
                <w:b/>
                <w:bCs/>
                <w:color w:val="000000"/>
                <w:sz w:val="20"/>
                <w:szCs w:val="20"/>
                <w:lang w:val="en-IN" w:eastAsia="en-IN"/>
              </w:rPr>
              <w:t>169.9</w:t>
            </w:r>
          </w:p>
        </w:tc>
        <w:tc>
          <w:tcPr>
            <w:tcW w:w="782" w:type="dxa"/>
            <w:tcBorders>
              <w:top w:val="nil"/>
              <w:left w:val="nil"/>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b/>
                <w:bCs/>
                <w:color w:val="000000"/>
                <w:sz w:val="20"/>
                <w:szCs w:val="20"/>
                <w:lang w:val="en-IN" w:eastAsia="en-IN"/>
              </w:rPr>
            </w:pPr>
            <w:r>
              <w:rPr>
                <w:rFonts w:ascii="Garamond" w:eastAsia="Times New Roman" w:hAnsi="Garamond" w:cs="Calibri"/>
                <w:b/>
                <w:bCs/>
                <w:color w:val="000000"/>
                <w:sz w:val="20"/>
                <w:szCs w:val="20"/>
                <w:lang w:val="en-IN" w:eastAsia="en-IN"/>
              </w:rPr>
              <w:t>182.7</w:t>
            </w:r>
          </w:p>
        </w:tc>
        <w:tc>
          <w:tcPr>
            <w:tcW w:w="782" w:type="dxa"/>
            <w:tcBorders>
              <w:top w:val="nil"/>
              <w:left w:val="nil"/>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b/>
                <w:bCs/>
                <w:color w:val="000000"/>
                <w:sz w:val="20"/>
                <w:szCs w:val="20"/>
                <w:lang w:val="en-IN" w:eastAsia="en-IN"/>
              </w:rPr>
            </w:pPr>
            <w:r>
              <w:rPr>
                <w:rFonts w:ascii="Garamond" w:eastAsia="Times New Roman" w:hAnsi="Garamond" w:cs="Calibri"/>
                <w:b/>
                <w:bCs/>
                <w:color w:val="000000"/>
                <w:sz w:val="20"/>
                <w:szCs w:val="20"/>
                <w:lang w:val="en-IN" w:eastAsia="en-IN"/>
              </w:rPr>
              <w:t>194.6</w:t>
            </w:r>
          </w:p>
        </w:tc>
      </w:tr>
      <w:tr w:rsidR="000F236F" w:rsidTr="00DB5405">
        <w:trPr>
          <w:trHeight w:val="262"/>
        </w:trPr>
        <w:tc>
          <w:tcPr>
            <w:tcW w:w="1631" w:type="dxa"/>
            <w:tcBorders>
              <w:top w:val="nil"/>
              <w:left w:val="single" w:sz="8" w:space="0" w:color="auto"/>
              <w:bottom w:val="nil"/>
              <w:right w:val="nil"/>
            </w:tcBorders>
            <w:shd w:val="clear" w:color="auto" w:fill="auto"/>
            <w:noWrap/>
            <w:vAlign w:val="center"/>
            <w:hideMark/>
          </w:tcPr>
          <w:p w:rsidR="000F236F" w:rsidRDefault="000F236F" w:rsidP="00DB5405">
            <w:pPr>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Singapore</w:t>
            </w:r>
          </w:p>
        </w:tc>
        <w:tc>
          <w:tcPr>
            <w:tcW w:w="782" w:type="dxa"/>
            <w:tcBorders>
              <w:top w:val="nil"/>
              <w:left w:val="single" w:sz="8" w:space="0" w:color="auto"/>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141.8</w:t>
            </w:r>
          </w:p>
        </w:tc>
        <w:tc>
          <w:tcPr>
            <w:tcW w:w="782" w:type="dxa"/>
            <w:tcBorders>
              <w:top w:val="nil"/>
              <w:left w:val="nil"/>
              <w:bottom w:val="nil"/>
              <w:right w:val="nil"/>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138.8</w:t>
            </w:r>
          </w:p>
        </w:tc>
        <w:tc>
          <w:tcPr>
            <w:tcW w:w="782" w:type="dxa"/>
            <w:tcBorders>
              <w:top w:val="nil"/>
              <w:left w:val="single" w:sz="8" w:space="0" w:color="auto"/>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150.6</w:t>
            </w:r>
          </w:p>
        </w:tc>
        <w:tc>
          <w:tcPr>
            <w:tcW w:w="782" w:type="dxa"/>
            <w:tcBorders>
              <w:top w:val="nil"/>
              <w:left w:val="nil"/>
              <w:bottom w:val="nil"/>
              <w:right w:val="nil"/>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147.9</w:t>
            </w:r>
          </w:p>
        </w:tc>
        <w:tc>
          <w:tcPr>
            <w:tcW w:w="782" w:type="dxa"/>
            <w:tcBorders>
              <w:top w:val="nil"/>
              <w:left w:val="single" w:sz="8" w:space="0" w:color="auto"/>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160.7</w:t>
            </w:r>
          </w:p>
        </w:tc>
        <w:tc>
          <w:tcPr>
            <w:tcW w:w="782" w:type="dxa"/>
            <w:tcBorders>
              <w:top w:val="nil"/>
              <w:left w:val="nil"/>
              <w:bottom w:val="nil"/>
              <w:right w:val="nil"/>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165.4</w:t>
            </w:r>
          </w:p>
        </w:tc>
        <w:tc>
          <w:tcPr>
            <w:tcW w:w="782" w:type="dxa"/>
            <w:tcBorders>
              <w:top w:val="nil"/>
              <w:left w:val="single" w:sz="8" w:space="0" w:color="auto"/>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151.5</w:t>
            </w:r>
          </w:p>
        </w:tc>
        <w:tc>
          <w:tcPr>
            <w:tcW w:w="782" w:type="dxa"/>
            <w:tcBorders>
              <w:top w:val="nil"/>
              <w:left w:val="nil"/>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146.1</w:t>
            </w:r>
          </w:p>
        </w:tc>
        <w:tc>
          <w:tcPr>
            <w:tcW w:w="782" w:type="dxa"/>
            <w:tcBorders>
              <w:top w:val="nil"/>
              <w:left w:val="nil"/>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142.1</w:t>
            </w:r>
          </w:p>
        </w:tc>
        <w:tc>
          <w:tcPr>
            <w:tcW w:w="782" w:type="dxa"/>
            <w:tcBorders>
              <w:top w:val="nil"/>
              <w:left w:val="nil"/>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150.5</w:t>
            </w:r>
          </w:p>
        </w:tc>
        <w:tc>
          <w:tcPr>
            <w:tcW w:w="782" w:type="dxa"/>
            <w:tcBorders>
              <w:top w:val="nil"/>
              <w:left w:val="nil"/>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158.6</w:t>
            </w:r>
          </w:p>
        </w:tc>
      </w:tr>
      <w:tr w:rsidR="000F236F" w:rsidTr="00DB5405">
        <w:trPr>
          <w:trHeight w:val="262"/>
        </w:trPr>
        <w:tc>
          <w:tcPr>
            <w:tcW w:w="1631" w:type="dxa"/>
            <w:tcBorders>
              <w:top w:val="nil"/>
              <w:left w:val="single" w:sz="8" w:space="0" w:color="auto"/>
              <w:bottom w:val="nil"/>
              <w:right w:val="nil"/>
            </w:tcBorders>
            <w:shd w:val="clear" w:color="auto" w:fill="auto"/>
            <w:noWrap/>
            <w:vAlign w:val="center"/>
            <w:hideMark/>
          </w:tcPr>
          <w:p w:rsidR="000F236F" w:rsidRDefault="000F236F" w:rsidP="00DB5405">
            <w:pPr>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Canada</w:t>
            </w:r>
          </w:p>
        </w:tc>
        <w:tc>
          <w:tcPr>
            <w:tcW w:w="782" w:type="dxa"/>
            <w:tcBorders>
              <w:top w:val="nil"/>
              <w:left w:val="single" w:sz="8" w:space="0" w:color="auto"/>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153.4</w:t>
            </w:r>
          </w:p>
        </w:tc>
        <w:tc>
          <w:tcPr>
            <w:tcW w:w="782" w:type="dxa"/>
            <w:tcBorders>
              <w:top w:val="nil"/>
              <w:left w:val="nil"/>
              <w:bottom w:val="nil"/>
              <w:right w:val="nil"/>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157.1</w:t>
            </w:r>
          </w:p>
        </w:tc>
        <w:tc>
          <w:tcPr>
            <w:tcW w:w="782" w:type="dxa"/>
            <w:tcBorders>
              <w:top w:val="nil"/>
              <w:left w:val="single" w:sz="8" w:space="0" w:color="auto"/>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155.2</w:t>
            </w:r>
          </w:p>
        </w:tc>
        <w:tc>
          <w:tcPr>
            <w:tcW w:w="782" w:type="dxa"/>
            <w:tcBorders>
              <w:top w:val="nil"/>
              <w:left w:val="nil"/>
              <w:bottom w:val="nil"/>
              <w:right w:val="nil"/>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143.3</w:t>
            </w:r>
          </w:p>
        </w:tc>
        <w:tc>
          <w:tcPr>
            <w:tcW w:w="782" w:type="dxa"/>
            <w:tcBorders>
              <w:top w:val="nil"/>
              <w:left w:val="single" w:sz="8" w:space="0" w:color="auto"/>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157.9</w:t>
            </w:r>
          </w:p>
        </w:tc>
        <w:tc>
          <w:tcPr>
            <w:tcW w:w="782" w:type="dxa"/>
            <w:tcBorders>
              <w:top w:val="nil"/>
              <w:left w:val="nil"/>
              <w:bottom w:val="nil"/>
              <w:right w:val="nil"/>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148.3</w:t>
            </w:r>
          </w:p>
        </w:tc>
        <w:tc>
          <w:tcPr>
            <w:tcW w:w="782" w:type="dxa"/>
            <w:tcBorders>
              <w:top w:val="nil"/>
              <w:left w:val="single" w:sz="8" w:space="0" w:color="auto"/>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131.5</w:t>
            </w:r>
          </w:p>
        </w:tc>
        <w:tc>
          <w:tcPr>
            <w:tcW w:w="782" w:type="dxa"/>
            <w:tcBorders>
              <w:top w:val="nil"/>
              <w:left w:val="nil"/>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136.3</w:t>
            </w:r>
          </w:p>
        </w:tc>
        <w:tc>
          <w:tcPr>
            <w:tcW w:w="782" w:type="dxa"/>
            <w:tcBorders>
              <w:top w:val="nil"/>
              <w:left w:val="nil"/>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129.9</w:t>
            </w:r>
          </w:p>
        </w:tc>
        <w:tc>
          <w:tcPr>
            <w:tcW w:w="782" w:type="dxa"/>
            <w:tcBorders>
              <w:top w:val="nil"/>
              <w:left w:val="nil"/>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127.5</w:t>
            </w:r>
          </w:p>
        </w:tc>
        <w:tc>
          <w:tcPr>
            <w:tcW w:w="782" w:type="dxa"/>
            <w:tcBorders>
              <w:top w:val="nil"/>
              <w:left w:val="nil"/>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133.9</w:t>
            </w:r>
          </w:p>
        </w:tc>
      </w:tr>
      <w:tr w:rsidR="000F236F" w:rsidTr="00DB5405">
        <w:trPr>
          <w:trHeight w:val="262"/>
        </w:trPr>
        <w:tc>
          <w:tcPr>
            <w:tcW w:w="1631" w:type="dxa"/>
            <w:tcBorders>
              <w:top w:val="nil"/>
              <w:left w:val="single" w:sz="8" w:space="0" w:color="auto"/>
              <w:bottom w:val="nil"/>
              <w:right w:val="nil"/>
            </w:tcBorders>
            <w:shd w:val="clear" w:color="auto" w:fill="auto"/>
            <w:noWrap/>
            <w:vAlign w:val="center"/>
            <w:hideMark/>
          </w:tcPr>
          <w:p w:rsidR="000F236F" w:rsidRDefault="000F236F" w:rsidP="00DB5405">
            <w:pPr>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France</w:t>
            </w:r>
          </w:p>
        </w:tc>
        <w:tc>
          <w:tcPr>
            <w:tcW w:w="782" w:type="dxa"/>
            <w:tcBorders>
              <w:top w:val="nil"/>
              <w:left w:val="single" w:sz="8" w:space="0" w:color="auto"/>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132.2</w:t>
            </w:r>
          </w:p>
        </w:tc>
        <w:tc>
          <w:tcPr>
            <w:tcW w:w="782" w:type="dxa"/>
            <w:tcBorders>
              <w:top w:val="nil"/>
              <w:left w:val="nil"/>
              <w:bottom w:val="nil"/>
              <w:right w:val="nil"/>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133.4</w:t>
            </w:r>
          </w:p>
        </w:tc>
        <w:tc>
          <w:tcPr>
            <w:tcW w:w="782" w:type="dxa"/>
            <w:tcBorders>
              <w:top w:val="nil"/>
              <w:left w:val="single" w:sz="8" w:space="0" w:color="auto"/>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123</w:t>
            </w:r>
          </w:p>
        </w:tc>
        <w:tc>
          <w:tcPr>
            <w:tcW w:w="782" w:type="dxa"/>
            <w:tcBorders>
              <w:top w:val="nil"/>
              <w:left w:val="nil"/>
              <w:bottom w:val="nil"/>
              <w:right w:val="nil"/>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127.7</w:t>
            </w:r>
          </w:p>
        </w:tc>
        <w:tc>
          <w:tcPr>
            <w:tcW w:w="782" w:type="dxa"/>
            <w:tcBorders>
              <w:top w:val="nil"/>
              <w:left w:val="single" w:sz="8" w:space="0" w:color="auto"/>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134</w:t>
            </w:r>
          </w:p>
        </w:tc>
        <w:tc>
          <w:tcPr>
            <w:tcW w:w="782" w:type="dxa"/>
            <w:tcBorders>
              <w:top w:val="nil"/>
              <w:left w:val="nil"/>
              <w:bottom w:val="nil"/>
              <w:right w:val="nil"/>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147.6</w:t>
            </w:r>
          </w:p>
        </w:tc>
        <w:tc>
          <w:tcPr>
            <w:tcW w:w="782" w:type="dxa"/>
            <w:tcBorders>
              <w:top w:val="nil"/>
              <w:left w:val="single" w:sz="8" w:space="0" w:color="auto"/>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156</w:t>
            </w:r>
          </w:p>
        </w:tc>
        <w:tc>
          <w:tcPr>
            <w:tcW w:w="782" w:type="dxa"/>
            <w:tcBorders>
              <w:top w:val="nil"/>
              <w:left w:val="nil"/>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137.7</w:t>
            </w:r>
          </w:p>
        </w:tc>
        <w:tc>
          <w:tcPr>
            <w:tcW w:w="782" w:type="dxa"/>
            <w:tcBorders>
              <w:top w:val="nil"/>
              <w:left w:val="nil"/>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130.5</w:t>
            </w:r>
          </w:p>
        </w:tc>
        <w:tc>
          <w:tcPr>
            <w:tcW w:w="782" w:type="dxa"/>
            <w:tcBorders>
              <w:top w:val="nil"/>
              <w:left w:val="nil"/>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144.2</w:t>
            </w:r>
          </w:p>
        </w:tc>
        <w:tc>
          <w:tcPr>
            <w:tcW w:w="782" w:type="dxa"/>
            <w:tcBorders>
              <w:top w:val="nil"/>
              <w:left w:val="nil"/>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130.3</w:t>
            </w:r>
          </w:p>
        </w:tc>
      </w:tr>
      <w:tr w:rsidR="000F236F" w:rsidTr="00DB5405">
        <w:trPr>
          <w:trHeight w:val="262"/>
        </w:trPr>
        <w:tc>
          <w:tcPr>
            <w:tcW w:w="1631" w:type="dxa"/>
            <w:tcBorders>
              <w:top w:val="nil"/>
              <w:left w:val="single" w:sz="8" w:space="0" w:color="auto"/>
              <w:bottom w:val="nil"/>
              <w:right w:val="nil"/>
            </w:tcBorders>
            <w:shd w:val="clear" w:color="auto" w:fill="auto"/>
            <w:noWrap/>
            <w:vAlign w:val="center"/>
            <w:hideMark/>
          </w:tcPr>
          <w:p w:rsidR="000F236F" w:rsidRDefault="000F236F" w:rsidP="00DB5405">
            <w:pPr>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Saudi Arabia</w:t>
            </w:r>
          </w:p>
        </w:tc>
        <w:tc>
          <w:tcPr>
            <w:tcW w:w="782" w:type="dxa"/>
            <w:tcBorders>
              <w:top w:val="nil"/>
              <w:left w:val="single" w:sz="8" w:space="0" w:color="auto"/>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181.5</w:t>
            </w:r>
          </w:p>
        </w:tc>
        <w:tc>
          <w:tcPr>
            <w:tcW w:w="782" w:type="dxa"/>
            <w:tcBorders>
              <w:top w:val="nil"/>
              <w:left w:val="nil"/>
              <w:bottom w:val="nil"/>
              <w:right w:val="nil"/>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178.9</w:t>
            </w:r>
          </w:p>
        </w:tc>
        <w:tc>
          <w:tcPr>
            <w:tcW w:w="782" w:type="dxa"/>
            <w:tcBorders>
              <w:top w:val="nil"/>
              <w:left w:val="single" w:sz="8" w:space="0" w:color="auto"/>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179.7</w:t>
            </w:r>
          </w:p>
        </w:tc>
        <w:tc>
          <w:tcPr>
            <w:tcW w:w="782" w:type="dxa"/>
            <w:tcBorders>
              <w:top w:val="nil"/>
              <w:left w:val="nil"/>
              <w:bottom w:val="nil"/>
              <w:right w:val="nil"/>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179.8</w:t>
            </w:r>
          </w:p>
        </w:tc>
        <w:tc>
          <w:tcPr>
            <w:tcW w:w="782" w:type="dxa"/>
            <w:tcBorders>
              <w:top w:val="nil"/>
              <w:left w:val="single" w:sz="8" w:space="0" w:color="auto"/>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182.9</w:t>
            </w:r>
          </w:p>
        </w:tc>
        <w:tc>
          <w:tcPr>
            <w:tcW w:w="782" w:type="dxa"/>
            <w:tcBorders>
              <w:top w:val="nil"/>
              <w:left w:val="nil"/>
              <w:bottom w:val="nil"/>
              <w:right w:val="nil"/>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184.4</w:t>
            </w:r>
          </w:p>
        </w:tc>
        <w:tc>
          <w:tcPr>
            <w:tcW w:w="782" w:type="dxa"/>
            <w:tcBorders>
              <w:top w:val="nil"/>
              <w:left w:val="single" w:sz="8" w:space="0" w:color="auto"/>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159.1</w:t>
            </w:r>
          </w:p>
        </w:tc>
        <w:tc>
          <w:tcPr>
            <w:tcW w:w="782" w:type="dxa"/>
            <w:tcBorders>
              <w:top w:val="nil"/>
              <w:left w:val="nil"/>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125.3</w:t>
            </w:r>
          </w:p>
        </w:tc>
        <w:tc>
          <w:tcPr>
            <w:tcW w:w="782" w:type="dxa"/>
            <w:tcBorders>
              <w:top w:val="nil"/>
              <w:left w:val="nil"/>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123.5</w:t>
            </w:r>
          </w:p>
        </w:tc>
        <w:tc>
          <w:tcPr>
            <w:tcW w:w="782" w:type="dxa"/>
            <w:tcBorders>
              <w:top w:val="nil"/>
              <w:left w:val="nil"/>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124.9</w:t>
            </w:r>
          </w:p>
        </w:tc>
        <w:tc>
          <w:tcPr>
            <w:tcW w:w="782" w:type="dxa"/>
            <w:tcBorders>
              <w:top w:val="nil"/>
              <w:left w:val="nil"/>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124.6</w:t>
            </w:r>
          </w:p>
        </w:tc>
      </w:tr>
      <w:tr w:rsidR="000F236F" w:rsidTr="00DB5405">
        <w:trPr>
          <w:trHeight w:val="262"/>
        </w:trPr>
        <w:tc>
          <w:tcPr>
            <w:tcW w:w="1631" w:type="dxa"/>
            <w:tcBorders>
              <w:top w:val="nil"/>
              <w:left w:val="single" w:sz="8" w:space="0" w:color="auto"/>
              <w:bottom w:val="nil"/>
              <w:right w:val="nil"/>
            </w:tcBorders>
            <w:shd w:val="clear" w:color="auto" w:fill="auto"/>
            <w:noWrap/>
            <w:vAlign w:val="center"/>
            <w:hideMark/>
          </w:tcPr>
          <w:p w:rsidR="000F236F" w:rsidRDefault="000F236F" w:rsidP="00DB5405">
            <w:pPr>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Korea</w:t>
            </w:r>
          </w:p>
        </w:tc>
        <w:tc>
          <w:tcPr>
            <w:tcW w:w="782" w:type="dxa"/>
            <w:tcBorders>
              <w:top w:val="nil"/>
              <w:left w:val="single" w:sz="8" w:space="0" w:color="auto"/>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118.5</w:t>
            </w:r>
          </w:p>
        </w:tc>
        <w:tc>
          <w:tcPr>
            <w:tcW w:w="782" w:type="dxa"/>
            <w:tcBorders>
              <w:top w:val="nil"/>
              <w:left w:val="nil"/>
              <w:bottom w:val="nil"/>
              <w:right w:val="nil"/>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117.1</w:t>
            </w:r>
          </w:p>
        </w:tc>
        <w:tc>
          <w:tcPr>
            <w:tcW w:w="782" w:type="dxa"/>
            <w:tcBorders>
              <w:top w:val="nil"/>
              <w:left w:val="single" w:sz="8" w:space="0" w:color="auto"/>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117.2</w:t>
            </w:r>
          </w:p>
        </w:tc>
        <w:tc>
          <w:tcPr>
            <w:tcW w:w="782" w:type="dxa"/>
            <w:tcBorders>
              <w:top w:val="nil"/>
              <w:left w:val="nil"/>
              <w:bottom w:val="nil"/>
              <w:right w:val="nil"/>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121.9</w:t>
            </w:r>
          </w:p>
        </w:tc>
        <w:tc>
          <w:tcPr>
            <w:tcW w:w="782" w:type="dxa"/>
            <w:tcBorders>
              <w:top w:val="nil"/>
              <w:left w:val="single" w:sz="8" w:space="0" w:color="auto"/>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121.1</w:t>
            </w:r>
          </w:p>
        </w:tc>
        <w:tc>
          <w:tcPr>
            <w:tcW w:w="782" w:type="dxa"/>
            <w:tcBorders>
              <w:top w:val="nil"/>
              <w:left w:val="nil"/>
              <w:bottom w:val="nil"/>
              <w:right w:val="nil"/>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116.1</w:t>
            </w:r>
          </w:p>
        </w:tc>
        <w:tc>
          <w:tcPr>
            <w:tcW w:w="782" w:type="dxa"/>
            <w:tcBorders>
              <w:top w:val="nil"/>
              <w:left w:val="single" w:sz="8" w:space="0" w:color="auto"/>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110.8</w:t>
            </w:r>
          </w:p>
        </w:tc>
        <w:tc>
          <w:tcPr>
            <w:tcW w:w="782" w:type="dxa"/>
            <w:tcBorders>
              <w:top w:val="nil"/>
              <w:left w:val="nil"/>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120</w:t>
            </w:r>
          </w:p>
        </w:tc>
        <w:tc>
          <w:tcPr>
            <w:tcW w:w="782" w:type="dxa"/>
            <w:tcBorders>
              <w:top w:val="nil"/>
              <w:left w:val="nil"/>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117.3</w:t>
            </w:r>
          </w:p>
        </w:tc>
        <w:tc>
          <w:tcPr>
            <w:tcW w:w="782" w:type="dxa"/>
            <w:tcBorders>
              <w:top w:val="nil"/>
              <w:left w:val="nil"/>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122.7</w:t>
            </w:r>
          </w:p>
        </w:tc>
        <w:tc>
          <w:tcPr>
            <w:tcW w:w="782" w:type="dxa"/>
            <w:tcBorders>
              <w:top w:val="nil"/>
              <w:left w:val="nil"/>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123.1</w:t>
            </w:r>
          </w:p>
        </w:tc>
      </w:tr>
      <w:tr w:rsidR="000F236F" w:rsidTr="00DB5405">
        <w:trPr>
          <w:trHeight w:val="262"/>
        </w:trPr>
        <w:tc>
          <w:tcPr>
            <w:tcW w:w="1631" w:type="dxa"/>
            <w:tcBorders>
              <w:top w:val="nil"/>
              <w:left w:val="single" w:sz="8" w:space="0" w:color="auto"/>
              <w:bottom w:val="nil"/>
              <w:right w:val="nil"/>
            </w:tcBorders>
            <w:shd w:val="clear" w:color="auto" w:fill="auto"/>
            <w:noWrap/>
            <w:vAlign w:val="center"/>
            <w:hideMark/>
          </w:tcPr>
          <w:p w:rsidR="000F236F" w:rsidRDefault="000F236F" w:rsidP="00DB5405">
            <w:pPr>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Norway</w:t>
            </w:r>
          </w:p>
        </w:tc>
        <w:tc>
          <w:tcPr>
            <w:tcW w:w="782" w:type="dxa"/>
            <w:tcBorders>
              <w:top w:val="nil"/>
              <w:left w:val="single" w:sz="8" w:space="0" w:color="auto"/>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99.2</w:t>
            </w:r>
          </w:p>
        </w:tc>
        <w:tc>
          <w:tcPr>
            <w:tcW w:w="782" w:type="dxa"/>
            <w:tcBorders>
              <w:top w:val="nil"/>
              <w:left w:val="nil"/>
              <w:bottom w:val="nil"/>
              <w:right w:val="nil"/>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100.3</w:t>
            </w:r>
          </w:p>
        </w:tc>
        <w:tc>
          <w:tcPr>
            <w:tcW w:w="782" w:type="dxa"/>
            <w:tcBorders>
              <w:top w:val="nil"/>
              <w:left w:val="single" w:sz="8" w:space="0" w:color="auto"/>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96</w:t>
            </w:r>
          </w:p>
        </w:tc>
        <w:tc>
          <w:tcPr>
            <w:tcW w:w="782" w:type="dxa"/>
            <w:tcBorders>
              <w:top w:val="nil"/>
              <w:left w:val="nil"/>
              <w:bottom w:val="nil"/>
              <w:right w:val="nil"/>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90.1</w:t>
            </w:r>
          </w:p>
        </w:tc>
        <w:tc>
          <w:tcPr>
            <w:tcW w:w="782" w:type="dxa"/>
            <w:tcBorders>
              <w:top w:val="nil"/>
              <w:left w:val="single" w:sz="8" w:space="0" w:color="auto"/>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97.7</w:t>
            </w:r>
          </w:p>
        </w:tc>
        <w:tc>
          <w:tcPr>
            <w:tcW w:w="782" w:type="dxa"/>
            <w:tcBorders>
              <w:top w:val="nil"/>
              <w:left w:val="nil"/>
              <w:bottom w:val="nil"/>
              <w:right w:val="nil"/>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103.3</w:t>
            </w:r>
          </w:p>
        </w:tc>
        <w:tc>
          <w:tcPr>
            <w:tcW w:w="782" w:type="dxa"/>
            <w:tcBorders>
              <w:top w:val="nil"/>
              <w:left w:val="single" w:sz="8" w:space="0" w:color="auto"/>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98</w:t>
            </w:r>
          </w:p>
        </w:tc>
        <w:tc>
          <w:tcPr>
            <w:tcW w:w="782" w:type="dxa"/>
            <w:tcBorders>
              <w:top w:val="nil"/>
              <w:left w:val="nil"/>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93.2</w:t>
            </w:r>
          </w:p>
        </w:tc>
        <w:tc>
          <w:tcPr>
            <w:tcW w:w="782" w:type="dxa"/>
            <w:tcBorders>
              <w:top w:val="nil"/>
              <w:left w:val="nil"/>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87.6</w:t>
            </w:r>
          </w:p>
        </w:tc>
        <w:tc>
          <w:tcPr>
            <w:tcW w:w="782" w:type="dxa"/>
            <w:tcBorders>
              <w:top w:val="nil"/>
              <w:left w:val="nil"/>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89.5</w:t>
            </w:r>
          </w:p>
        </w:tc>
        <w:tc>
          <w:tcPr>
            <w:tcW w:w="782" w:type="dxa"/>
            <w:tcBorders>
              <w:top w:val="nil"/>
              <w:left w:val="nil"/>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90.6</w:t>
            </w:r>
          </w:p>
        </w:tc>
      </w:tr>
      <w:tr w:rsidR="000F236F" w:rsidTr="00DB5405">
        <w:trPr>
          <w:trHeight w:val="262"/>
        </w:trPr>
        <w:tc>
          <w:tcPr>
            <w:tcW w:w="1631" w:type="dxa"/>
            <w:tcBorders>
              <w:top w:val="nil"/>
              <w:left w:val="single" w:sz="8" w:space="0" w:color="auto"/>
              <w:bottom w:val="nil"/>
              <w:right w:val="nil"/>
            </w:tcBorders>
            <w:shd w:val="clear" w:color="auto" w:fill="auto"/>
            <w:noWrap/>
            <w:vAlign w:val="center"/>
            <w:hideMark/>
          </w:tcPr>
          <w:p w:rsidR="000F236F" w:rsidRDefault="000F236F" w:rsidP="00DB5405">
            <w:pPr>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Thailand</w:t>
            </w:r>
          </w:p>
        </w:tc>
        <w:tc>
          <w:tcPr>
            <w:tcW w:w="782" w:type="dxa"/>
            <w:tcBorders>
              <w:top w:val="nil"/>
              <w:left w:val="single" w:sz="8" w:space="0" w:color="auto"/>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93.5</w:t>
            </w:r>
          </w:p>
        </w:tc>
        <w:tc>
          <w:tcPr>
            <w:tcW w:w="782" w:type="dxa"/>
            <w:tcBorders>
              <w:top w:val="nil"/>
              <w:left w:val="nil"/>
              <w:bottom w:val="nil"/>
              <w:right w:val="nil"/>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95.2</w:t>
            </w:r>
          </w:p>
        </w:tc>
        <w:tc>
          <w:tcPr>
            <w:tcW w:w="782" w:type="dxa"/>
            <w:tcBorders>
              <w:top w:val="nil"/>
              <w:left w:val="single" w:sz="8" w:space="0" w:color="auto"/>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91.2</w:t>
            </w:r>
          </w:p>
        </w:tc>
        <w:tc>
          <w:tcPr>
            <w:tcW w:w="782" w:type="dxa"/>
            <w:tcBorders>
              <w:top w:val="nil"/>
              <w:left w:val="nil"/>
              <w:bottom w:val="nil"/>
              <w:right w:val="nil"/>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90.5</w:t>
            </w:r>
          </w:p>
        </w:tc>
        <w:tc>
          <w:tcPr>
            <w:tcW w:w="782" w:type="dxa"/>
            <w:tcBorders>
              <w:top w:val="nil"/>
              <w:left w:val="single" w:sz="8" w:space="0" w:color="auto"/>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96</w:t>
            </w:r>
          </w:p>
        </w:tc>
        <w:tc>
          <w:tcPr>
            <w:tcW w:w="782" w:type="dxa"/>
            <w:tcBorders>
              <w:top w:val="nil"/>
              <w:left w:val="nil"/>
              <w:bottom w:val="nil"/>
              <w:right w:val="nil"/>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91.3</w:t>
            </w:r>
          </w:p>
        </w:tc>
        <w:tc>
          <w:tcPr>
            <w:tcW w:w="782" w:type="dxa"/>
            <w:tcBorders>
              <w:top w:val="nil"/>
              <w:left w:val="single" w:sz="8" w:space="0" w:color="auto"/>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81.8</w:t>
            </w:r>
          </w:p>
        </w:tc>
        <w:tc>
          <w:tcPr>
            <w:tcW w:w="782" w:type="dxa"/>
            <w:tcBorders>
              <w:top w:val="nil"/>
              <w:left w:val="nil"/>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80.5</w:t>
            </w:r>
          </w:p>
        </w:tc>
        <w:tc>
          <w:tcPr>
            <w:tcW w:w="782" w:type="dxa"/>
            <w:tcBorders>
              <w:top w:val="nil"/>
              <w:left w:val="nil"/>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85.8</w:t>
            </w:r>
          </w:p>
        </w:tc>
        <w:tc>
          <w:tcPr>
            <w:tcW w:w="782" w:type="dxa"/>
            <w:tcBorders>
              <w:top w:val="nil"/>
              <w:left w:val="nil"/>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85.5</w:t>
            </w:r>
          </w:p>
        </w:tc>
        <w:tc>
          <w:tcPr>
            <w:tcW w:w="782" w:type="dxa"/>
            <w:tcBorders>
              <w:top w:val="nil"/>
              <w:left w:val="nil"/>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87.9</w:t>
            </w:r>
          </w:p>
        </w:tc>
      </w:tr>
      <w:tr w:rsidR="000F236F" w:rsidTr="00DB5405">
        <w:trPr>
          <w:trHeight w:val="262"/>
        </w:trPr>
        <w:tc>
          <w:tcPr>
            <w:tcW w:w="1631" w:type="dxa"/>
            <w:tcBorders>
              <w:top w:val="nil"/>
              <w:left w:val="single" w:sz="8" w:space="0" w:color="auto"/>
              <w:bottom w:val="nil"/>
              <w:right w:val="nil"/>
            </w:tcBorders>
            <w:shd w:val="clear" w:color="auto" w:fill="auto"/>
            <w:noWrap/>
            <w:vAlign w:val="center"/>
            <w:hideMark/>
          </w:tcPr>
          <w:p w:rsidR="000F236F" w:rsidRDefault="000F236F" w:rsidP="00DB5405">
            <w:pPr>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Germany</w:t>
            </w:r>
          </w:p>
        </w:tc>
        <w:tc>
          <w:tcPr>
            <w:tcW w:w="782" w:type="dxa"/>
            <w:tcBorders>
              <w:top w:val="nil"/>
              <w:left w:val="single" w:sz="8" w:space="0" w:color="auto"/>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84.9</w:t>
            </w:r>
          </w:p>
        </w:tc>
        <w:tc>
          <w:tcPr>
            <w:tcW w:w="782" w:type="dxa"/>
            <w:tcBorders>
              <w:top w:val="nil"/>
              <w:left w:val="nil"/>
              <w:bottom w:val="nil"/>
              <w:right w:val="nil"/>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84</w:t>
            </w:r>
          </w:p>
        </w:tc>
        <w:tc>
          <w:tcPr>
            <w:tcW w:w="782" w:type="dxa"/>
            <w:tcBorders>
              <w:top w:val="nil"/>
              <w:left w:val="single" w:sz="8" w:space="0" w:color="auto"/>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79.9</w:t>
            </w:r>
          </w:p>
        </w:tc>
        <w:tc>
          <w:tcPr>
            <w:tcW w:w="782" w:type="dxa"/>
            <w:tcBorders>
              <w:top w:val="nil"/>
              <w:left w:val="nil"/>
              <w:bottom w:val="nil"/>
              <w:right w:val="nil"/>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78.3</w:t>
            </w:r>
          </w:p>
        </w:tc>
        <w:tc>
          <w:tcPr>
            <w:tcW w:w="782" w:type="dxa"/>
            <w:tcBorders>
              <w:top w:val="nil"/>
              <w:left w:val="single" w:sz="8" w:space="0" w:color="auto"/>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83.7</w:t>
            </w:r>
          </w:p>
        </w:tc>
        <w:tc>
          <w:tcPr>
            <w:tcW w:w="782" w:type="dxa"/>
            <w:tcBorders>
              <w:top w:val="nil"/>
              <w:left w:val="nil"/>
              <w:bottom w:val="nil"/>
              <w:right w:val="nil"/>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86</w:t>
            </w:r>
          </w:p>
        </w:tc>
        <w:tc>
          <w:tcPr>
            <w:tcW w:w="782" w:type="dxa"/>
            <w:tcBorders>
              <w:top w:val="nil"/>
              <w:left w:val="single" w:sz="8" w:space="0" w:color="auto"/>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77.3</w:t>
            </w:r>
          </w:p>
        </w:tc>
        <w:tc>
          <w:tcPr>
            <w:tcW w:w="782" w:type="dxa"/>
            <w:tcBorders>
              <w:top w:val="nil"/>
              <w:left w:val="nil"/>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77.7</w:t>
            </w:r>
          </w:p>
        </w:tc>
        <w:tc>
          <w:tcPr>
            <w:tcW w:w="782" w:type="dxa"/>
            <w:tcBorders>
              <w:top w:val="nil"/>
              <w:left w:val="nil"/>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80.6</w:t>
            </w:r>
          </w:p>
        </w:tc>
        <w:tc>
          <w:tcPr>
            <w:tcW w:w="782" w:type="dxa"/>
            <w:tcBorders>
              <w:top w:val="nil"/>
              <w:left w:val="nil"/>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79.5</w:t>
            </w:r>
          </w:p>
        </w:tc>
        <w:tc>
          <w:tcPr>
            <w:tcW w:w="782" w:type="dxa"/>
            <w:tcBorders>
              <w:top w:val="nil"/>
              <w:left w:val="nil"/>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78.3</w:t>
            </w:r>
          </w:p>
        </w:tc>
      </w:tr>
      <w:tr w:rsidR="000F236F" w:rsidTr="00DB5405">
        <w:trPr>
          <w:trHeight w:val="262"/>
        </w:trPr>
        <w:tc>
          <w:tcPr>
            <w:tcW w:w="1631" w:type="dxa"/>
            <w:tcBorders>
              <w:top w:val="nil"/>
              <w:left w:val="single" w:sz="8" w:space="0" w:color="auto"/>
              <w:bottom w:val="nil"/>
              <w:right w:val="nil"/>
            </w:tcBorders>
            <w:shd w:val="clear" w:color="auto" w:fill="auto"/>
            <w:noWrap/>
            <w:vAlign w:val="center"/>
            <w:hideMark/>
          </w:tcPr>
          <w:p w:rsidR="000F236F" w:rsidRDefault="000F236F" w:rsidP="00DB5405">
            <w:pPr>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Netherlands</w:t>
            </w:r>
          </w:p>
        </w:tc>
        <w:tc>
          <w:tcPr>
            <w:tcW w:w="782" w:type="dxa"/>
            <w:tcBorders>
              <w:top w:val="nil"/>
              <w:left w:val="single" w:sz="8" w:space="0" w:color="auto"/>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62.1</w:t>
            </w:r>
          </w:p>
        </w:tc>
        <w:tc>
          <w:tcPr>
            <w:tcW w:w="782" w:type="dxa"/>
            <w:tcBorders>
              <w:top w:val="nil"/>
              <w:left w:val="nil"/>
              <w:bottom w:val="nil"/>
              <w:right w:val="nil"/>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61.7</w:t>
            </w:r>
          </w:p>
        </w:tc>
        <w:tc>
          <w:tcPr>
            <w:tcW w:w="782" w:type="dxa"/>
            <w:tcBorders>
              <w:top w:val="nil"/>
              <w:left w:val="single" w:sz="8" w:space="0" w:color="auto"/>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62.2</w:t>
            </w:r>
          </w:p>
        </w:tc>
        <w:tc>
          <w:tcPr>
            <w:tcW w:w="782" w:type="dxa"/>
            <w:tcBorders>
              <w:top w:val="nil"/>
              <w:left w:val="nil"/>
              <w:bottom w:val="nil"/>
              <w:right w:val="nil"/>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65.1</w:t>
            </w:r>
          </w:p>
        </w:tc>
        <w:tc>
          <w:tcPr>
            <w:tcW w:w="782" w:type="dxa"/>
            <w:tcBorders>
              <w:top w:val="nil"/>
              <w:left w:val="single" w:sz="8" w:space="0" w:color="auto"/>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67.7</w:t>
            </w:r>
          </w:p>
        </w:tc>
        <w:tc>
          <w:tcPr>
            <w:tcW w:w="782" w:type="dxa"/>
            <w:tcBorders>
              <w:top w:val="nil"/>
              <w:left w:val="nil"/>
              <w:bottom w:val="nil"/>
              <w:right w:val="nil"/>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70.9</w:t>
            </w:r>
          </w:p>
        </w:tc>
        <w:tc>
          <w:tcPr>
            <w:tcW w:w="782" w:type="dxa"/>
            <w:tcBorders>
              <w:top w:val="nil"/>
              <w:left w:val="single" w:sz="8" w:space="0" w:color="auto"/>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69.1</w:t>
            </w:r>
          </w:p>
        </w:tc>
        <w:tc>
          <w:tcPr>
            <w:tcW w:w="782" w:type="dxa"/>
            <w:tcBorders>
              <w:top w:val="nil"/>
              <w:left w:val="nil"/>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66.2</w:t>
            </w:r>
          </w:p>
        </w:tc>
        <w:tc>
          <w:tcPr>
            <w:tcW w:w="782" w:type="dxa"/>
            <w:tcBorders>
              <w:top w:val="nil"/>
              <w:left w:val="nil"/>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67.9</w:t>
            </w:r>
          </w:p>
        </w:tc>
        <w:tc>
          <w:tcPr>
            <w:tcW w:w="782" w:type="dxa"/>
            <w:tcBorders>
              <w:top w:val="nil"/>
              <w:left w:val="nil"/>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69.4</w:t>
            </w:r>
          </w:p>
        </w:tc>
        <w:tc>
          <w:tcPr>
            <w:tcW w:w="782" w:type="dxa"/>
            <w:tcBorders>
              <w:top w:val="nil"/>
              <w:left w:val="nil"/>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71.2</w:t>
            </w:r>
          </w:p>
        </w:tc>
      </w:tr>
      <w:tr w:rsidR="000F236F" w:rsidTr="00DB5405">
        <w:trPr>
          <w:trHeight w:val="262"/>
        </w:trPr>
        <w:tc>
          <w:tcPr>
            <w:tcW w:w="1631" w:type="dxa"/>
            <w:tcBorders>
              <w:top w:val="nil"/>
              <w:left w:val="single" w:sz="8" w:space="0" w:color="auto"/>
              <w:bottom w:val="nil"/>
              <w:right w:val="nil"/>
            </w:tcBorders>
            <w:shd w:val="clear" w:color="auto" w:fill="auto"/>
            <w:noWrap/>
            <w:vAlign w:val="center"/>
            <w:hideMark/>
          </w:tcPr>
          <w:p w:rsidR="000F236F" w:rsidRDefault="000F236F" w:rsidP="00DB5405">
            <w:pPr>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Bermuda</w:t>
            </w:r>
          </w:p>
        </w:tc>
        <w:tc>
          <w:tcPr>
            <w:tcW w:w="782" w:type="dxa"/>
            <w:tcBorders>
              <w:top w:val="nil"/>
              <w:left w:val="single" w:sz="8" w:space="0" w:color="auto"/>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69.6</w:t>
            </w:r>
          </w:p>
        </w:tc>
        <w:tc>
          <w:tcPr>
            <w:tcW w:w="782" w:type="dxa"/>
            <w:tcBorders>
              <w:top w:val="nil"/>
              <w:left w:val="nil"/>
              <w:bottom w:val="nil"/>
              <w:right w:val="nil"/>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65.4</w:t>
            </w:r>
          </w:p>
        </w:tc>
        <w:tc>
          <w:tcPr>
            <w:tcW w:w="782" w:type="dxa"/>
            <w:tcBorders>
              <w:top w:val="nil"/>
              <w:left w:val="single" w:sz="8" w:space="0" w:color="auto"/>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68.2</w:t>
            </w:r>
          </w:p>
        </w:tc>
        <w:tc>
          <w:tcPr>
            <w:tcW w:w="782" w:type="dxa"/>
            <w:tcBorders>
              <w:top w:val="nil"/>
              <w:left w:val="nil"/>
              <w:bottom w:val="nil"/>
              <w:right w:val="nil"/>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71.3</w:t>
            </w:r>
          </w:p>
        </w:tc>
        <w:tc>
          <w:tcPr>
            <w:tcW w:w="782" w:type="dxa"/>
            <w:tcBorders>
              <w:top w:val="nil"/>
              <w:left w:val="single" w:sz="8" w:space="0" w:color="auto"/>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64.8</w:t>
            </w:r>
          </w:p>
        </w:tc>
        <w:tc>
          <w:tcPr>
            <w:tcW w:w="782" w:type="dxa"/>
            <w:tcBorders>
              <w:top w:val="nil"/>
              <w:left w:val="nil"/>
              <w:bottom w:val="nil"/>
              <w:right w:val="nil"/>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65.9</w:t>
            </w:r>
          </w:p>
        </w:tc>
        <w:tc>
          <w:tcPr>
            <w:tcW w:w="782" w:type="dxa"/>
            <w:tcBorders>
              <w:top w:val="nil"/>
              <w:left w:val="single" w:sz="8" w:space="0" w:color="auto"/>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64.2</w:t>
            </w:r>
          </w:p>
        </w:tc>
        <w:tc>
          <w:tcPr>
            <w:tcW w:w="782" w:type="dxa"/>
            <w:tcBorders>
              <w:top w:val="nil"/>
              <w:left w:val="nil"/>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65.5</w:t>
            </w:r>
          </w:p>
        </w:tc>
        <w:tc>
          <w:tcPr>
            <w:tcW w:w="782" w:type="dxa"/>
            <w:tcBorders>
              <w:top w:val="nil"/>
              <w:left w:val="nil"/>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63.9</w:t>
            </w:r>
          </w:p>
        </w:tc>
        <w:tc>
          <w:tcPr>
            <w:tcW w:w="782" w:type="dxa"/>
            <w:tcBorders>
              <w:top w:val="nil"/>
              <w:left w:val="nil"/>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66.8</w:t>
            </w:r>
          </w:p>
        </w:tc>
        <w:tc>
          <w:tcPr>
            <w:tcW w:w="782" w:type="dxa"/>
            <w:tcBorders>
              <w:top w:val="nil"/>
              <w:left w:val="nil"/>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66.6</w:t>
            </w:r>
          </w:p>
        </w:tc>
      </w:tr>
      <w:tr w:rsidR="000F236F" w:rsidTr="00DB5405">
        <w:trPr>
          <w:trHeight w:val="262"/>
        </w:trPr>
        <w:tc>
          <w:tcPr>
            <w:tcW w:w="1631" w:type="dxa"/>
            <w:tcBorders>
              <w:top w:val="nil"/>
              <w:left w:val="single" w:sz="8" w:space="0" w:color="auto"/>
              <w:bottom w:val="nil"/>
              <w:right w:val="nil"/>
            </w:tcBorders>
            <w:shd w:val="clear" w:color="auto" w:fill="auto"/>
            <w:noWrap/>
            <w:vAlign w:val="center"/>
            <w:hideMark/>
          </w:tcPr>
          <w:p w:rsidR="000F236F" w:rsidRDefault="000F236F" w:rsidP="00DB5405">
            <w:pPr>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Israel</w:t>
            </w:r>
          </w:p>
        </w:tc>
        <w:tc>
          <w:tcPr>
            <w:tcW w:w="782" w:type="dxa"/>
            <w:tcBorders>
              <w:top w:val="nil"/>
              <w:left w:val="single" w:sz="8" w:space="0" w:color="auto"/>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46</w:t>
            </w:r>
          </w:p>
        </w:tc>
        <w:tc>
          <w:tcPr>
            <w:tcW w:w="782" w:type="dxa"/>
            <w:tcBorders>
              <w:top w:val="nil"/>
              <w:left w:val="nil"/>
              <w:bottom w:val="nil"/>
              <w:right w:val="nil"/>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45.4</w:t>
            </w:r>
          </w:p>
        </w:tc>
        <w:tc>
          <w:tcPr>
            <w:tcW w:w="782" w:type="dxa"/>
            <w:tcBorders>
              <w:top w:val="nil"/>
              <w:left w:val="single" w:sz="8" w:space="0" w:color="auto"/>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45.6</w:t>
            </w:r>
          </w:p>
        </w:tc>
        <w:tc>
          <w:tcPr>
            <w:tcW w:w="782" w:type="dxa"/>
            <w:tcBorders>
              <w:top w:val="nil"/>
              <w:left w:val="nil"/>
              <w:bottom w:val="nil"/>
              <w:right w:val="nil"/>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43.1</w:t>
            </w:r>
          </w:p>
        </w:tc>
        <w:tc>
          <w:tcPr>
            <w:tcW w:w="782" w:type="dxa"/>
            <w:tcBorders>
              <w:top w:val="nil"/>
              <w:left w:val="single" w:sz="8" w:space="0" w:color="auto"/>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45.6</w:t>
            </w:r>
          </w:p>
        </w:tc>
        <w:tc>
          <w:tcPr>
            <w:tcW w:w="782" w:type="dxa"/>
            <w:tcBorders>
              <w:top w:val="nil"/>
              <w:left w:val="nil"/>
              <w:bottom w:val="nil"/>
              <w:right w:val="nil"/>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45.1</w:t>
            </w:r>
          </w:p>
        </w:tc>
        <w:tc>
          <w:tcPr>
            <w:tcW w:w="782" w:type="dxa"/>
            <w:tcBorders>
              <w:top w:val="nil"/>
              <w:left w:val="single" w:sz="8" w:space="0" w:color="auto"/>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41.1</w:t>
            </w:r>
          </w:p>
        </w:tc>
        <w:tc>
          <w:tcPr>
            <w:tcW w:w="782" w:type="dxa"/>
            <w:tcBorders>
              <w:top w:val="nil"/>
              <w:left w:val="nil"/>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43.2</w:t>
            </w:r>
          </w:p>
        </w:tc>
        <w:tc>
          <w:tcPr>
            <w:tcW w:w="782" w:type="dxa"/>
            <w:tcBorders>
              <w:top w:val="nil"/>
              <w:left w:val="nil"/>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46.8</w:t>
            </w:r>
          </w:p>
        </w:tc>
        <w:tc>
          <w:tcPr>
            <w:tcW w:w="782" w:type="dxa"/>
            <w:tcBorders>
              <w:top w:val="nil"/>
              <w:left w:val="nil"/>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47.6</w:t>
            </w:r>
          </w:p>
        </w:tc>
        <w:tc>
          <w:tcPr>
            <w:tcW w:w="782" w:type="dxa"/>
            <w:tcBorders>
              <w:top w:val="nil"/>
              <w:left w:val="nil"/>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48.4</w:t>
            </w:r>
          </w:p>
        </w:tc>
      </w:tr>
      <w:tr w:rsidR="000F236F" w:rsidTr="00DB5405">
        <w:trPr>
          <w:trHeight w:val="262"/>
        </w:trPr>
        <w:tc>
          <w:tcPr>
            <w:tcW w:w="1631" w:type="dxa"/>
            <w:tcBorders>
              <w:top w:val="nil"/>
              <w:left w:val="single" w:sz="8" w:space="0" w:color="auto"/>
              <w:bottom w:val="nil"/>
              <w:right w:val="nil"/>
            </w:tcBorders>
            <w:shd w:val="clear" w:color="auto" w:fill="auto"/>
            <w:noWrap/>
            <w:vAlign w:val="center"/>
            <w:hideMark/>
          </w:tcPr>
          <w:p w:rsidR="000F236F" w:rsidRDefault="000F236F" w:rsidP="00DB5405">
            <w:pPr>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Kuwait</w:t>
            </w:r>
          </w:p>
        </w:tc>
        <w:tc>
          <w:tcPr>
            <w:tcW w:w="782" w:type="dxa"/>
            <w:tcBorders>
              <w:top w:val="nil"/>
              <w:left w:val="single" w:sz="8" w:space="0" w:color="auto"/>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44.1</w:t>
            </w:r>
          </w:p>
        </w:tc>
        <w:tc>
          <w:tcPr>
            <w:tcW w:w="782" w:type="dxa"/>
            <w:tcBorders>
              <w:top w:val="nil"/>
              <w:left w:val="nil"/>
              <w:bottom w:val="nil"/>
              <w:right w:val="nil"/>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43.8</w:t>
            </w:r>
          </w:p>
        </w:tc>
        <w:tc>
          <w:tcPr>
            <w:tcW w:w="782" w:type="dxa"/>
            <w:tcBorders>
              <w:top w:val="nil"/>
              <w:left w:val="single" w:sz="8" w:space="0" w:color="auto"/>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43</w:t>
            </w:r>
          </w:p>
        </w:tc>
        <w:tc>
          <w:tcPr>
            <w:tcW w:w="782" w:type="dxa"/>
            <w:tcBorders>
              <w:top w:val="nil"/>
              <w:left w:val="nil"/>
              <w:bottom w:val="nil"/>
              <w:right w:val="nil"/>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43.3</w:t>
            </w:r>
          </w:p>
        </w:tc>
        <w:tc>
          <w:tcPr>
            <w:tcW w:w="782" w:type="dxa"/>
            <w:tcBorders>
              <w:top w:val="nil"/>
              <w:left w:val="single" w:sz="8" w:space="0" w:color="auto"/>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41.9</w:t>
            </w:r>
          </w:p>
        </w:tc>
        <w:tc>
          <w:tcPr>
            <w:tcW w:w="782" w:type="dxa"/>
            <w:tcBorders>
              <w:top w:val="nil"/>
              <w:left w:val="nil"/>
              <w:bottom w:val="nil"/>
              <w:right w:val="nil"/>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43.6</w:t>
            </w:r>
          </w:p>
        </w:tc>
        <w:tc>
          <w:tcPr>
            <w:tcW w:w="782" w:type="dxa"/>
            <w:tcBorders>
              <w:top w:val="nil"/>
              <w:left w:val="single" w:sz="8" w:space="0" w:color="auto"/>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40.1</w:t>
            </w:r>
          </w:p>
        </w:tc>
        <w:tc>
          <w:tcPr>
            <w:tcW w:w="782" w:type="dxa"/>
            <w:tcBorders>
              <w:top w:val="nil"/>
              <w:left w:val="nil"/>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44.5</w:t>
            </w:r>
          </w:p>
        </w:tc>
        <w:tc>
          <w:tcPr>
            <w:tcW w:w="782" w:type="dxa"/>
            <w:tcBorders>
              <w:top w:val="nil"/>
              <w:left w:val="nil"/>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43.6</w:t>
            </w:r>
          </w:p>
        </w:tc>
        <w:tc>
          <w:tcPr>
            <w:tcW w:w="782" w:type="dxa"/>
            <w:tcBorders>
              <w:top w:val="nil"/>
              <w:left w:val="nil"/>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44.9</w:t>
            </w:r>
          </w:p>
        </w:tc>
        <w:tc>
          <w:tcPr>
            <w:tcW w:w="782" w:type="dxa"/>
            <w:tcBorders>
              <w:top w:val="nil"/>
              <w:left w:val="nil"/>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47.9</w:t>
            </w:r>
          </w:p>
        </w:tc>
      </w:tr>
      <w:tr w:rsidR="000F236F" w:rsidTr="00DB5405">
        <w:trPr>
          <w:trHeight w:val="262"/>
        </w:trPr>
        <w:tc>
          <w:tcPr>
            <w:tcW w:w="1631" w:type="dxa"/>
            <w:tcBorders>
              <w:top w:val="nil"/>
              <w:left w:val="single" w:sz="8" w:space="0" w:color="auto"/>
              <w:bottom w:val="nil"/>
              <w:right w:val="nil"/>
            </w:tcBorders>
            <w:shd w:val="clear" w:color="auto" w:fill="auto"/>
            <w:noWrap/>
            <w:vAlign w:val="center"/>
            <w:hideMark/>
          </w:tcPr>
          <w:p w:rsidR="000F236F" w:rsidRDefault="000F236F" w:rsidP="00DB5405">
            <w:pPr>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Mexico</w:t>
            </w:r>
          </w:p>
        </w:tc>
        <w:tc>
          <w:tcPr>
            <w:tcW w:w="782" w:type="dxa"/>
            <w:tcBorders>
              <w:top w:val="nil"/>
              <w:left w:val="single" w:sz="8" w:space="0" w:color="auto"/>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51.5</w:t>
            </w:r>
          </w:p>
        </w:tc>
        <w:tc>
          <w:tcPr>
            <w:tcW w:w="782" w:type="dxa"/>
            <w:tcBorders>
              <w:top w:val="nil"/>
              <w:left w:val="nil"/>
              <w:bottom w:val="nil"/>
              <w:right w:val="nil"/>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49.1</w:t>
            </w:r>
          </w:p>
        </w:tc>
        <w:tc>
          <w:tcPr>
            <w:tcW w:w="782" w:type="dxa"/>
            <w:tcBorders>
              <w:top w:val="nil"/>
              <w:left w:val="single" w:sz="8" w:space="0" w:color="auto"/>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49.1</w:t>
            </w:r>
          </w:p>
        </w:tc>
        <w:tc>
          <w:tcPr>
            <w:tcW w:w="782" w:type="dxa"/>
            <w:tcBorders>
              <w:top w:val="nil"/>
              <w:left w:val="nil"/>
              <w:bottom w:val="nil"/>
              <w:right w:val="nil"/>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45.3</w:t>
            </w:r>
          </w:p>
        </w:tc>
        <w:tc>
          <w:tcPr>
            <w:tcW w:w="782" w:type="dxa"/>
            <w:tcBorders>
              <w:top w:val="nil"/>
              <w:left w:val="single" w:sz="8" w:space="0" w:color="auto"/>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45.8</w:t>
            </w:r>
          </w:p>
        </w:tc>
        <w:tc>
          <w:tcPr>
            <w:tcW w:w="782" w:type="dxa"/>
            <w:tcBorders>
              <w:top w:val="nil"/>
              <w:left w:val="nil"/>
              <w:bottom w:val="nil"/>
              <w:right w:val="nil"/>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47.5</w:t>
            </w:r>
          </w:p>
        </w:tc>
        <w:tc>
          <w:tcPr>
            <w:tcW w:w="782" w:type="dxa"/>
            <w:tcBorders>
              <w:top w:val="nil"/>
              <w:left w:val="single" w:sz="8" w:space="0" w:color="auto"/>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40.9</w:t>
            </w:r>
          </w:p>
        </w:tc>
        <w:tc>
          <w:tcPr>
            <w:tcW w:w="782" w:type="dxa"/>
            <w:tcBorders>
              <w:top w:val="nil"/>
              <w:left w:val="nil"/>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45.4</w:t>
            </w:r>
          </w:p>
        </w:tc>
        <w:tc>
          <w:tcPr>
            <w:tcW w:w="782" w:type="dxa"/>
            <w:tcBorders>
              <w:top w:val="nil"/>
              <w:left w:val="nil"/>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47.4</w:t>
            </w:r>
          </w:p>
        </w:tc>
        <w:tc>
          <w:tcPr>
            <w:tcW w:w="782" w:type="dxa"/>
            <w:tcBorders>
              <w:top w:val="nil"/>
              <w:left w:val="nil"/>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47</w:t>
            </w:r>
          </w:p>
        </w:tc>
        <w:tc>
          <w:tcPr>
            <w:tcW w:w="782" w:type="dxa"/>
            <w:tcBorders>
              <w:top w:val="nil"/>
              <w:left w:val="nil"/>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47.6</w:t>
            </w:r>
          </w:p>
        </w:tc>
      </w:tr>
      <w:tr w:rsidR="000F236F" w:rsidTr="00DB5405">
        <w:trPr>
          <w:trHeight w:val="262"/>
        </w:trPr>
        <w:tc>
          <w:tcPr>
            <w:tcW w:w="1631" w:type="dxa"/>
            <w:tcBorders>
              <w:top w:val="nil"/>
              <w:left w:val="single" w:sz="8" w:space="0" w:color="auto"/>
              <w:bottom w:val="nil"/>
              <w:right w:val="nil"/>
            </w:tcBorders>
            <w:shd w:val="clear" w:color="auto" w:fill="auto"/>
            <w:noWrap/>
            <w:vAlign w:val="center"/>
            <w:hideMark/>
          </w:tcPr>
          <w:p w:rsidR="000F236F" w:rsidRDefault="000F236F" w:rsidP="00DB5405">
            <w:pPr>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Philippines</w:t>
            </w:r>
          </w:p>
        </w:tc>
        <w:tc>
          <w:tcPr>
            <w:tcW w:w="782" w:type="dxa"/>
            <w:tcBorders>
              <w:top w:val="nil"/>
              <w:left w:val="single" w:sz="8" w:space="0" w:color="auto"/>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34</w:t>
            </w:r>
          </w:p>
        </w:tc>
        <w:tc>
          <w:tcPr>
            <w:tcW w:w="782" w:type="dxa"/>
            <w:tcBorders>
              <w:top w:val="nil"/>
              <w:left w:val="nil"/>
              <w:bottom w:val="nil"/>
              <w:right w:val="nil"/>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34.6</w:t>
            </w:r>
          </w:p>
        </w:tc>
        <w:tc>
          <w:tcPr>
            <w:tcW w:w="782" w:type="dxa"/>
            <w:tcBorders>
              <w:top w:val="nil"/>
              <w:left w:val="single" w:sz="8" w:space="0" w:color="auto"/>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37.4</w:t>
            </w:r>
          </w:p>
        </w:tc>
        <w:tc>
          <w:tcPr>
            <w:tcW w:w="782" w:type="dxa"/>
            <w:tcBorders>
              <w:top w:val="nil"/>
              <w:left w:val="nil"/>
              <w:bottom w:val="nil"/>
              <w:right w:val="nil"/>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34.8</w:t>
            </w:r>
          </w:p>
        </w:tc>
        <w:tc>
          <w:tcPr>
            <w:tcW w:w="782" w:type="dxa"/>
            <w:tcBorders>
              <w:top w:val="nil"/>
              <w:left w:val="single" w:sz="8" w:space="0" w:color="auto"/>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40.4</w:t>
            </w:r>
          </w:p>
        </w:tc>
        <w:tc>
          <w:tcPr>
            <w:tcW w:w="782" w:type="dxa"/>
            <w:tcBorders>
              <w:top w:val="nil"/>
              <w:left w:val="nil"/>
              <w:bottom w:val="nil"/>
              <w:right w:val="nil"/>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41.8</w:t>
            </w:r>
          </w:p>
        </w:tc>
        <w:tc>
          <w:tcPr>
            <w:tcW w:w="782" w:type="dxa"/>
            <w:tcBorders>
              <w:top w:val="nil"/>
              <w:left w:val="single" w:sz="8" w:space="0" w:color="auto"/>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43.1</w:t>
            </w:r>
          </w:p>
        </w:tc>
        <w:tc>
          <w:tcPr>
            <w:tcW w:w="782" w:type="dxa"/>
            <w:tcBorders>
              <w:top w:val="nil"/>
              <w:left w:val="nil"/>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42.7</w:t>
            </w:r>
          </w:p>
        </w:tc>
        <w:tc>
          <w:tcPr>
            <w:tcW w:w="782" w:type="dxa"/>
            <w:tcBorders>
              <w:top w:val="nil"/>
              <w:left w:val="nil"/>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42.7</w:t>
            </w:r>
          </w:p>
        </w:tc>
        <w:tc>
          <w:tcPr>
            <w:tcW w:w="782" w:type="dxa"/>
            <w:tcBorders>
              <w:top w:val="nil"/>
              <w:left w:val="nil"/>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44.2</w:t>
            </w:r>
          </w:p>
        </w:tc>
        <w:tc>
          <w:tcPr>
            <w:tcW w:w="782" w:type="dxa"/>
            <w:tcBorders>
              <w:top w:val="nil"/>
              <w:left w:val="nil"/>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43.8</w:t>
            </w:r>
          </w:p>
        </w:tc>
      </w:tr>
      <w:tr w:rsidR="000F236F" w:rsidTr="00DB5405">
        <w:trPr>
          <w:trHeight w:val="262"/>
        </w:trPr>
        <w:tc>
          <w:tcPr>
            <w:tcW w:w="1631" w:type="dxa"/>
            <w:tcBorders>
              <w:top w:val="nil"/>
              <w:left w:val="single" w:sz="8" w:space="0" w:color="auto"/>
              <w:bottom w:val="nil"/>
              <w:right w:val="nil"/>
            </w:tcBorders>
            <w:shd w:val="clear" w:color="auto" w:fill="auto"/>
            <w:noWrap/>
            <w:vAlign w:val="center"/>
            <w:hideMark/>
          </w:tcPr>
          <w:p w:rsidR="000F236F" w:rsidRDefault="000F236F" w:rsidP="00DB5405">
            <w:pPr>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Australia</w:t>
            </w:r>
          </w:p>
        </w:tc>
        <w:tc>
          <w:tcPr>
            <w:tcW w:w="782" w:type="dxa"/>
            <w:tcBorders>
              <w:top w:val="nil"/>
              <w:left w:val="single" w:sz="8" w:space="0" w:color="auto"/>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39.6</w:t>
            </w:r>
          </w:p>
        </w:tc>
        <w:tc>
          <w:tcPr>
            <w:tcW w:w="782" w:type="dxa"/>
            <w:tcBorders>
              <w:top w:val="nil"/>
              <w:left w:val="nil"/>
              <w:bottom w:val="nil"/>
              <w:right w:val="nil"/>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45.4</w:t>
            </w:r>
          </w:p>
        </w:tc>
        <w:tc>
          <w:tcPr>
            <w:tcW w:w="782" w:type="dxa"/>
            <w:tcBorders>
              <w:top w:val="nil"/>
              <w:left w:val="single" w:sz="8" w:space="0" w:color="auto"/>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44.6</w:t>
            </w:r>
          </w:p>
        </w:tc>
        <w:tc>
          <w:tcPr>
            <w:tcW w:w="782" w:type="dxa"/>
            <w:tcBorders>
              <w:top w:val="nil"/>
              <w:left w:val="nil"/>
              <w:bottom w:val="nil"/>
              <w:right w:val="nil"/>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41.8</w:t>
            </w:r>
          </w:p>
        </w:tc>
        <w:tc>
          <w:tcPr>
            <w:tcW w:w="782" w:type="dxa"/>
            <w:tcBorders>
              <w:top w:val="nil"/>
              <w:left w:val="single" w:sz="8" w:space="0" w:color="auto"/>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45.1</w:t>
            </w:r>
          </w:p>
        </w:tc>
        <w:tc>
          <w:tcPr>
            <w:tcW w:w="782" w:type="dxa"/>
            <w:tcBorders>
              <w:top w:val="nil"/>
              <w:left w:val="nil"/>
              <w:bottom w:val="nil"/>
              <w:right w:val="nil"/>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43.7</w:t>
            </w:r>
          </w:p>
        </w:tc>
        <w:tc>
          <w:tcPr>
            <w:tcW w:w="782" w:type="dxa"/>
            <w:tcBorders>
              <w:top w:val="nil"/>
              <w:left w:val="single" w:sz="8" w:space="0" w:color="auto"/>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46.3</w:t>
            </w:r>
          </w:p>
        </w:tc>
        <w:tc>
          <w:tcPr>
            <w:tcW w:w="782" w:type="dxa"/>
            <w:tcBorders>
              <w:top w:val="nil"/>
              <w:left w:val="nil"/>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44.8</w:t>
            </w:r>
          </w:p>
        </w:tc>
        <w:tc>
          <w:tcPr>
            <w:tcW w:w="782" w:type="dxa"/>
            <w:tcBorders>
              <w:top w:val="nil"/>
              <w:left w:val="nil"/>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43.5</w:t>
            </w:r>
          </w:p>
        </w:tc>
        <w:tc>
          <w:tcPr>
            <w:tcW w:w="782" w:type="dxa"/>
            <w:tcBorders>
              <w:top w:val="nil"/>
              <w:left w:val="nil"/>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41.9</w:t>
            </w:r>
          </w:p>
        </w:tc>
        <w:tc>
          <w:tcPr>
            <w:tcW w:w="782" w:type="dxa"/>
            <w:tcBorders>
              <w:top w:val="nil"/>
              <w:left w:val="nil"/>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42.8</w:t>
            </w:r>
          </w:p>
        </w:tc>
      </w:tr>
      <w:tr w:rsidR="000F236F" w:rsidTr="00DB5405">
        <w:trPr>
          <w:trHeight w:val="262"/>
        </w:trPr>
        <w:tc>
          <w:tcPr>
            <w:tcW w:w="1631" w:type="dxa"/>
            <w:tcBorders>
              <w:top w:val="nil"/>
              <w:left w:val="single" w:sz="8" w:space="0" w:color="auto"/>
              <w:bottom w:val="nil"/>
              <w:right w:val="nil"/>
            </w:tcBorders>
            <w:shd w:val="clear" w:color="auto" w:fill="auto"/>
            <w:noWrap/>
            <w:vAlign w:val="center"/>
            <w:hideMark/>
          </w:tcPr>
          <w:p w:rsidR="000F236F" w:rsidRDefault="000F236F" w:rsidP="00DB5405">
            <w:pPr>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Italy</w:t>
            </w:r>
          </w:p>
        </w:tc>
        <w:tc>
          <w:tcPr>
            <w:tcW w:w="782" w:type="dxa"/>
            <w:tcBorders>
              <w:top w:val="nil"/>
              <w:left w:val="single" w:sz="8" w:space="0" w:color="auto"/>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47.2</w:t>
            </w:r>
          </w:p>
        </w:tc>
        <w:tc>
          <w:tcPr>
            <w:tcW w:w="782" w:type="dxa"/>
            <w:tcBorders>
              <w:top w:val="nil"/>
              <w:left w:val="nil"/>
              <w:bottom w:val="nil"/>
              <w:right w:val="nil"/>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47.1</w:t>
            </w:r>
          </w:p>
        </w:tc>
        <w:tc>
          <w:tcPr>
            <w:tcW w:w="782" w:type="dxa"/>
            <w:tcBorders>
              <w:top w:val="nil"/>
              <w:left w:val="single" w:sz="8" w:space="0" w:color="auto"/>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45.7</w:t>
            </w:r>
          </w:p>
        </w:tc>
        <w:tc>
          <w:tcPr>
            <w:tcW w:w="782" w:type="dxa"/>
            <w:tcBorders>
              <w:top w:val="nil"/>
              <w:left w:val="nil"/>
              <w:bottom w:val="nil"/>
              <w:right w:val="nil"/>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45.3</w:t>
            </w:r>
          </w:p>
        </w:tc>
        <w:tc>
          <w:tcPr>
            <w:tcW w:w="782" w:type="dxa"/>
            <w:tcBorders>
              <w:top w:val="nil"/>
              <w:left w:val="single" w:sz="8" w:space="0" w:color="auto"/>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44.6</w:t>
            </w:r>
          </w:p>
        </w:tc>
        <w:tc>
          <w:tcPr>
            <w:tcW w:w="782" w:type="dxa"/>
            <w:tcBorders>
              <w:top w:val="nil"/>
              <w:left w:val="nil"/>
              <w:bottom w:val="nil"/>
              <w:right w:val="nil"/>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46.8</w:t>
            </w:r>
          </w:p>
        </w:tc>
        <w:tc>
          <w:tcPr>
            <w:tcW w:w="782" w:type="dxa"/>
            <w:tcBorders>
              <w:top w:val="nil"/>
              <w:left w:val="single" w:sz="8" w:space="0" w:color="auto"/>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44.8</w:t>
            </w:r>
          </w:p>
        </w:tc>
        <w:tc>
          <w:tcPr>
            <w:tcW w:w="782" w:type="dxa"/>
            <w:tcBorders>
              <w:top w:val="nil"/>
              <w:left w:val="nil"/>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41.5</w:t>
            </w:r>
          </w:p>
        </w:tc>
        <w:tc>
          <w:tcPr>
            <w:tcW w:w="782" w:type="dxa"/>
            <w:tcBorders>
              <w:top w:val="nil"/>
              <w:left w:val="nil"/>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41.4</w:t>
            </w:r>
          </w:p>
        </w:tc>
        <w:tc>
          <w:tcPr>
            <w:tcW w:w="782" w:type="dxa"/>
            <w:tcBorders>
              <w:top w:val="nil"/>
              <w:left w:val="nil"/>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42.4</w:t>
            </w:r>
          </w:p>
        </w:tc>
        <w:tc>
          <w:tcPr>
            <w:tcW w:w="782" w:type="dxa"/>
            <w:tcBorders>
              <w:top w:val="nil"/>
              <w:left w:val="nil"/>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42.6</w:t>
            </w:r>
          </w:p>
        </w:tc>
      </w:tr>
      <w:tr w:rsidR="000F236F" w:rsidTr="00DB5405">
        <w:trPr>
          <w:trHeight w:val="262"/>
        </w:trPr>
        <w:tc>
          <w:tcPr>
            <w:tcW w:w="1631" w:type="dxa"/>
            <w:tcBorders>
              <w:top w:val="nil"/>
              <w:left w:val="single" w:sz="8" w:space="0" w:color="auto"/>
              <w:bottom w:val="nil"/>
              <w:right w:val="nil"/>
            </w:tcBorders>
            <w:shd w:val="clear" w:color="auto" w:fill="auto"/>
            <w:noWrap/>
            <w:vAlign w:val="center"/>
            <w:hideMark/>
          </w:tcPr>
          <w:p w:rsidR="000F236F" w:rsidRDefault="000F236F" w:rsidP="00DB5405">
            <w:pPr>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Poland</w:t>
            </w:r>
          </w:p>
        </w:tc>
        <w:tc>
          <w:tcPr>
            <w:tcW w:w="782" w:type="dxa"/>
            <w:tcBorders>
              <w:top w:val="nil"/>
              <w:left w:val="single" w:sz="8" w:space="0" w:color="auto"/>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36.8</w:t>
            </w:r>
          </w:p>
        </w:tc>
        <w:tc>
          <w:tcPr>
            <w:tcW w:w="782" w:type="dxa"/>
            <w:tcBorders>
              <w:top w:val="nil"/>
              <w:left w:val="nil"/>
              <w:bottom w:val="nil"/>
              <w:right w:val="nil"/>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35.7</w:t>
            </w:r>
          </w:p>
        </w:tc>
        <w:tc>
          <w:tcPr>
            <w:tcW w:w="782" w:type="dxa"/>
            <w:tcBorders>
              <w:top w:val="nil"/>
              <w:left w:val="single" w:sz="8" w:space="0" w:color="auto"/>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38.5</w:t>
            </w:r>
          </w:p>
        </w:tc>
        <w:tc>
          <w:tcPr>
            <w:tcW w:w="782" w:type="dxa"/>
            <w:tcBorders>
              <w:top w:val="nil"/>
              <w:left w:val="nil"/>
              <w:bottom w:val="nil"/>
              <w:right w:val="nil"/>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38.8</w:t>
            </w:r>
          </w:p>
        </w:tc>
        <w:tc>
          <w:tcPr>
            <w:tcW w:w="782" w:type="dxa"/>
            <w:tcBorders>
              <w:top w:val="nil"/>
              <w:left w:val="single" w:sz="8" w:space="0" w:color="auto"/>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37.7</w:t>
            </w:r>
          </w:p>
        </w:tc>
        <w:tc>
          <w:tcPr>
            <w:tcW w:w="782" w:type="dxa"/>
            <w:tcBorders>
              <w:top w:val="nil"/>
              <w:left w:val="nil"/>
              <w:bottom w:val="nil"/>
              <w:right w:val="nil"/>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38.8</w:t>
            </w:r>
          </w:p>
        </w:tc>
        <w:tc>
          <w:tcPr>
            <w:tcW w:w="782" w:type="dxa"/>
            <w:tcBorders>
              <w:top w:val="nil"/>
              <w:left w:val="single" w:sz="8" w:space="0" w:color="auto"/>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35.6</w:t>
            </w:r>
          </w:p>
        </w:tc>
        <w:tc>
          <w:tcPr>
            <w:tcW w:w="782" w:type="dxa"/>
            <w:tcBorders>
              <w:top w:val="nil"/>
              <w:left w:val="nil"/>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34.4</w:t>
            </w:r>
          </w:p>
        </w:tc>
        <w:tc>
          <w:tcPr>
            <w:tcW w:w="782" w:type="dxa"/>
            <w:tcBorders>
              <w:top w:val="nil"/>
              <w:left w:val="nil"/>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38</w:t>
            </w:r>
          </w:p>
        </w:tc>
        <w:tc>
          <w:tcPr>
            <w:tcW w:w="782" w:type="dxa"/>
            <w:tcBorders>
              <w:top w:val="nil"/>
              <w:left w:val="nil"/>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39.7</w:t>
            </w:r>
          </w:p>
        </w:tc>
        <w:tc>
          <w:tcPr>
            <w:tcW w:w="782" w:type="dxa"/>
            <w:tcBorders>
              <w:top w:val="nil"/>
              <w:left w:val="nil"/>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42.5</w:t>
            </w:r>
          </w:p>
        </w:tc>
      </w:tr>
      <w:tr w:rsidR="000F236F" w:rsidTr="00DB5405">
        <w:trPr>
          <w:trHeight w:val="262"/>
        </w:trPr>
        <w:tc>
          <w:tcPr>
            <w:tcW w:w="1631" w:type="dxa"/>
            <w:tcBorders>
              <w:top w:val="nil"/>
              <w:left w:val="single" w:sz="8" w:space="0" w:color="auto"/>
              <w:bottom w:val="nil"/>
              <w:right w:val="nil"/>
            </w:tcBorders>
            <w:shd w:val="clear" w:color="auto" w:fill="auto"/>
            <w:noWrap/>
            <w:vAlign w:val="center"/>
            <w:hideMark/>
          </w:tcPr>
          <w:p w:rsidR="000F236F" w:rsidRDefault="000F236F" w:rsidP="00DB5405">
            <w:pPr>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Spain</w:t>
            </w:r>
          </w:p>
        </w:tc>
        <w:tc>
          <w:tcPr>
            <w:tcW w:w="782" w:type="dxa"/>
            <w:tcBorders>
              <w:top w:val="nil"/>
              <w:left w:val="single" w:sz="8" w:space="0" w:color="auto"/>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43.1</w:t>
            </w:r>
          </w:p>
        </w:tc>
        <w:tc>
          <w:tcPr>
            <w:tcW w:w="782" w:type="dxa"/>
            <w:tcBorders>
              <w:top w:val="nil"/>
              <w:left w:val="nil"/>
              <w:bottom w:val="nil"/>
              <w:right w:val="nil"/>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45.6</w:t>
            </w:r>
          </w:p>
        </w:tc>
        <w:tc>
          <w:tcPr>
            <w:tcW w:w="782" w:type="dxa"/>
            <w:tcBorders>
              <w:top w:val="nil"/>
              <w:left w:val="single" w:sz="8" w:space="0" w:color="auto"/>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44.4</w:t>
            </w:r>
          </w:p>
        </w:tc>
        <w:tc>
          <w:tcPr>
            <w:tcW w:w="782" w:type="dxa"/>
            <w:tcBorders>
              <w:top w:val="nil"/>
              <w:left w:val="nil"/>
              <w:bottom w:val="nil"/>
              <w:right w:val="nil"/>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50.4</w:t>
            </w:r>
          </w:p>
        </w:tc>
        <w:tc>
          <w:tcPr>
            <w:tcW w:w="782" w:type="dxa"/>
            <w:tcBorders>
              <w:top w:val="nil"/>
              <w:left w:val="single" w:sz="8" w:space="0" w:color="auto"/>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43.9</w:t>
            </w:r>
          </w:p>
        </w:tc>
        <w:tc>
          <w:tcPr>
            <w:tcW w:w="782" w:type="dxa"/>
            <w:tcBorders>
              <w:top w:val="nil"/>
              <w:left w:val="nil"/>
              <w:bottom w:val="nil"/>
              <w:right w:val="nil"/>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46.2</w:t>
            </w:r>
          </w:p>
        </w:tc>
        <w:tc>
          <w:tcPr>
            <w:tcW w:w="782" w:type="dxa"/>
            <w:tcBorders>
              <w:top w:val="nil"/>
              <w:left w:val="single" w:sz="8" w:space="0" w:color="auto"/>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43.8</w:t>
            </w:r>
          </w:p>
        </w:tc>
        <w:tc>
          <w:tcPr>
            <w:tcW w:w="782" w:type="dxa"/>
            <w:tcBorders>
              <w:top w:val="nil"/>
              <w:left w:val="nil"/>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44</w:t>
            </w:r>
          </w:p>
        </w:tc>
        <w:tc>
          <w:tcPr>
            <w:tcW w:w="782" w:type="dxa"/>
            <w:tcBorders>
              <w:top w:val="nil"/>
              <w:left w:val="nil"/>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47.3</w:t>
            </w:r>
          </w:p>
        </w:tc>
        <w:tc>
          <w:tcPr>
            <w:tcW w:w="782" w:type="dxa"/>
            <w:tcBorders>
              <w:top w:val="nil"/>
              <w:left w:val="nil"/>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44</w:t>
            </w:r>
          </w:p>
        </w:tc>
        <w:tc>
          <w:tcPr>
            <w:tcW w:w="782" w:type="dxa"/>
            <w:tcBorders>
              <w:top w:val="nil"/>
              <w:left w:val="nil"/>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41.9</w:t>
            </w:r>
          </w:p>
        </w:tc>
      </w:tr>
      <w:tr w:rsidR="000F236F" w:rsidTr="00DB5405">
        <w:trPr>
          <w:trHeight w:val="262"/>
        </w:trPr>
        <w:tc>
          <w:tcPr>
            <w:tcW w:w="1631" w:type="dxa"/>
            <w:tcBorders>
              <w:top w:val="nil"/>
              <w:left w:val="single" w:sz="8" w:space="0" w:color="auto"/>
              <w:bottom w:val="nil"/>
              <w:right w:val="nil"/>
            </w:tcBorders>
            <w:shd w:val="clear" w:color="auto" w:fill="auto"/>
            <w:noWrap/>
            <w:vAlign w:val="center"/>
            <w:hideMark/>
          </w:tcPr>
          <w:p w:rsidR="000F236F" w:rsidRDefault="000F236F" w:rsidP="00DB5405">
            <w:pPr>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Sweden</w:t>
            </w:r>
          </w:p>
        </w:tc>
        <w:tc>
          <w:tcPr>
            <w:tcW w:w="782" w:type="dxa"/>
            <w:tcBorders>
              <w:top w:val="nil"/>
              <w:left w:val="single" w:sz="8" w:space="0" w:color="auto"/>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47.3</w:t>
            </w:r>
          </w:p>
        </w:tc>
        <w:tc>
          <w:tcPr>
            <w:tcW w:w="782" w:type="dxa"/>
            <w:tcBorders>
              <w:top w:val="nil"/>
              <w:left w:val="nil"/>
              <w:bottom w:val="nil"/>
              <w:right w:val="nil"/>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46.9</w:t>
            </w:r>
          </w:p>
        </w:tc>
        <w:tc>
          <w:tcPr>
            <w:tcW w:w="782" w:type="dxa"/>
            <w:tcBorders>
              <w:top w:val="nil"/>
              <w:left w:val="single" w:sz="8" w:space="0" w:color="auto"/>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49.5</w:t>
            </w:r>
          </w:p>
        </w:tc>
        <w:tc>
          <w:tcPr>
            <w:tcW w:w="782" w:type="dxa"/>
            <w:tcBorders>
              <w:top w:val="nil"/>
              <w:left w:val="nil"/>
              <w:bottom w:val="nil"/>
              <w:right w:val="nil"/>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48.7</w:t>
            </w:r>
          </w:p>
        </w:tc>
        <w:tc>
          <w:tcPr>
            <w:tcW w:w="782" w:type="dxa"/>
            <w:tcBorders>
              <w:top w:val="nil"/>
              <w:left w:val="single" w:sz="8" w:space="0" w:color="auto"/>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45</w:t>
            </w:r>
          </w:p>
        </w:tc>
        <w:tc>
          <w:tcPr>
            <w:tcW w:w="782" w:type="dxa"/>
            <w:tcBorders>
              <w:top w:val="nil"/>
              <w:left w:val="nil"/>
              <w:bottom w:val="nil"/>
              <w:right w:val="nil"/>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45.4</w:t>
            </w:r>
          </w:p>
        </w:tc>
        <w:tc>
          <w:tcPr>
            <w:tcW w:w="782" w:type="dxa"/>
            <w:tcBorders>
              <w:top w:val="nil"/>
              <w:left w:val="single" w:sz="8" w:space="0" w:color="auto"/>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39.5</w:t>
            </w:r>
          </w:p>
        </w:tc>
        <w:tc>
          <w:tcPr>
            <w:tcW w:w="782" w:type="dxa"/>
            <w:tcBorders>
              <w:top w:val="nil"/>
              <w:left w:val="nil"/>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36.5</w:t>
            </w:r>
          </w:p>
        </w:tc>
        <w:tc>
          <w:tcPr>
            <w:tcW w:w="782" w:type="dxa"/>
            <w:tcBorders>
              <w:top w:val="nil"/>
              <w:left w:val="nil"/>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37.1</w:t>
            </w:r>
          </w:p>
        </w:tc>
        <w:tc>
          <w:tcPr>
            <w:tcW w:w="782" w:type="dxa"/>
            <w:tcBorders>
              <w:top w:val="nil"/>
              <w:left w:val="nil"/>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39.1</w:t>
            </w:r>
          </w:p>
        </w:tc>
        <w:tc>
          <w:tcPr>
            <w:tcW w:w="782" w:type="dxa"/>
            <w:tcBorders>
              <w:top w:val="nil"/>
              <w:left w:val="nil"/>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40</w:t>
            </w:r>
          </w:p>
        </w:tc>
      </w:tr>
      <w:tr w:rsidR="000F236F" w:rsidTr="00DB5405">
        <w:trPr>
          <w:trHeight w:val="262"/>
        </w:trPr>
        <w:tc>
          <w:tcPr>
            <w:tcW w:w="1631" w:type="dxa"/>
            <w:tcBorders>
              <w:top w:val="nil"/>
              <w:left w:val="single" w:sz="8" w:space="0" w:color="auto"/>
              <w:bottom w:val="nil"/>
              <w:right w:val="nil"/>
            </w:tcBorders>
            <w:shd w:val="clear" w:color="auto" w:fill="auto"/>
            <w:noWrap/>
            <w:vAlign w:val="center"/>
            <w:hideMark/>
          </w:tcPr>
          <w:p w:rsidR="000F236F" w:rsidRDefault="000F236F" w:rsidP="00DB5405">
            <w:pPr>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Chile</w:t>
            </w:r>
          </w:p>
        </w:tc>
        <w:tc>
          <w:tcPr>
            <w:tcW w:w="782" w:type="dxa"/>
            <w:tcBorders>
              <w:top w:val="nil"/>
              <w:left w:val="single" w:sz="8" w:space="0" w:color="auto"/>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30.5</w:t>
            </w:r>
          </w:p>
        </w:tc>
        <w:tc>
          <w:tcPr>
            <w:tcW w:w="782" w:type="dxa"/>
            <w:tcBorders>
              <w:top w:val="nil"/>
              <w:left w:val="nil"/>
              <w:bottom w:val="nil"/>
              <w:right w:val="nil"/>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29.8</w:t>
            </w:r>
          </w:p>
        </w:tc>
        <w:tc>
          <w:tcPr>
            <w:tcW w:w="782" w:type="dxa"/>
            <w:tcBorders>
              <w:top w:val="nil"/>
              <w:left w:val="single" w:sz="8" w:space="0" w:color="auto"/>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29.4</w:t>
            </w:r>
          </w:p>
        </w:tc>
        <w:tc>
          <w:tcPr>
            <w:tcW w:w="782" w:type="dxa"/>
            <w:tcBorders>
              <w:top w:val="nil"/>
              <w:left w:val="nil"/>
              <w:bottom w:val="nil"/>
              <w:right w:val="nil"/>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30.8</w:t>
            </w:r>
          </w:p>
        </w:tc>
        <w:tc>
          <w:tcPr>
            <w:tcW w:w="782" w:type="dxa"/>
            <w:tcBorders>
              <w:top w:val="nil"/>
              <w:left w:val="single" w:sz="8" w:space="0" w:color="auto"/>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32.5</w:t>
            </w:r>
          </w:p>
        </w:tc>
        <w:tc>
          <w:tcPr>
            <w:tcW w:w="782" w:type="dxa"/>
            <w:tcBorders>
              <w:top w:val="nil"/>
              <w:left w:val="nil"/>
              <w:bottom w:val="nil"/>
              <w:right w:val="nil"/>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32</w:t>
            </w:r>
          </w:p>
        </w:tc>
        <w:tc>
          <w:tcPr>
            <w:tcW w:w="782" w:type="dxa"/>
            <w:tcBorders>
              <w:top w:val="nil"/>
              <w:left w:val="single" w:sz="8" w:space="0" w:color="auto"/>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30.1</w:t>
            </w:r>
          </w:p>
        </w:tc>
        <w:tc>
          <w:tcPr>
            <w:tcW w:w="782" w:type="dxa"/>
            <w:tcBorders>
              <w:top w:val="nil"/>
              <w:left w:val="nil"/>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29.8</w:t>
            </w:r>
          </w:p>
        </w:tc>
        <w:tc>
          <w:tcPr>
            <w:tcW w:w="782" w:type="dxa"/>
            <w:tcBorders>
              <w:top w:val="nil"/>
              <w:left w:val="nil"/>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30.1</w:t>
            </w:r>
          </w:p>
        </w:tc>
        <w:tc>
          <w:tcPr>
            <w:tcW w:w="782" w:type="dxa"/>
            <w:tcBorders>
              <w:top w:val="nil"/>
              <w:left w:val="nil"/>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29.8</w:t>
            </w:r>
          </w:p>
        </w:tc>
        <w:tc>
          <w:tcPr>
            <w:tcW w:w="782" w:type="dxa"/>
            <w:tcBorders>
              <w:top w:val="nil"/>
              <w:left w:val="nil"/>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30.1</w:t>
            </w:r>
          </w:p>
        </w:tc>
      </w:tr>
      <w:tr w:rsidR="000F236F" w:rsidTr="00DB5405">
        <w:trPr>
          <w:trHeight w:val="262"/>
        </w:trPr>
        <w:tc>
          <w:tcPr>
            <w:tcW w:w="1631" w:type="dxa"/>
            <w:tcBorders>
              <w:top w:val="nil"/>
              <w:left w:val="single" w:sz="8" w:space="0" w:color="auto"/>
              <w:bottom w:val="nil"/>
              <w:right w:val="nil"/>
            </w:tcBorders>
            <w:shd w:val="clear" w:color="auto" w:fill="auto"/>
            <w:noWrap/>
            <w:vAlign w:val="center"/>
            <w:hideMark/>
          </w:tcPr>
          <w:p w:rsidR="000F236F" w:rsidRDefault="000F236F" w:rsidP="00DB5405">
            <w:pPr>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All Other</w:t>
            </w:r>
          </w:p>
        </w:tc>
        <w:tc>
          <w:tcPr>
            <w:tcW w:w="782" w:type="dxa"/>
            <w:tcBorders>
              <w:top w:val="nil"/>
              <w:left w:val="single" w:sz="8" w:space="0" w:color="auto"/>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586.3</w:t>
            </w:r>
          </w:p>
        </w:tc>
        <w:tc>
          <w:tcPr>
            <w:tcW w:w="782" w:type="dxa"/>
            <w:tcBorders>
              <w:top w:val="nil"/>
              <w:left w:val="nil"/>
              <w:bottom w:val="nil"/>
              <w:right w:val="nil"/>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589.6</w:t>
            </w:r>
          </w:p>
        </w:tc>
        <w:tc>
          <w:tcPr>
            <w:tcW w:w="782" w:type="dxa"/>
            <w:tcBorders>
              <w:top w:val="nil"/>
              <w:left w:val="single" w:sz="8" w:space="0" w:color="auto"/>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589.1</w:t>
            </w:r>
          </w:p>
        </w:tc>
        <w:tc>
          <w:tcPr>
            <w:tcW w:w="782" w:type="dxa"/>
            <w:tcBorders>
              <w:top w:val="nil"/>
              <w:left w:val="nil"/>
              <w:bottom w:val="nil"/>
              <w:right w:val="nil"/>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582.7</w:t>
            </w:r>
          </w:p>
        </w:tc>
        <w:tc>
          <w:tcPr>
            <w:tcW w:w="782" w:type="dxa"/>
            <w:tcBorders>
              <w:top w:val="nil"/>
              <w:left w:val="single" w:sz="8" w:space="0" w:color="auto"/>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601</w:t>
            </w:r>
          </w:p>
        </w:tc>
        <w:tc>
          <w:tcPr>
            <w:tcW w:w="782" w:type="dxa"/>
            <w:tcBorders>
              <w:top w:val="nil"/>
              <w:left w:val="nil"/>
              <w:bottom w:val="nil"/>
              <w:right w:val="nil"/>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611</w:t>
            </w:r>
          </w:p>
        </w:tc>
        <w:tc>
          <w:tcPr>
            <w:tcW w:w="782" w:type="dxa"/>
            <w:tcBorders>
              <w:top w:val="nil"/>
              <w:left w:val="single" w:sz="8" w:space="0" w:color="auto"/>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561</w:t>
            </w:r>
          </w:p>
        </w:tc>
        <w:tc>
          <w:tcPr>
            <w:tcW w:w="782" w:type="dxa"/>
            <w:tcBorders>
              <w:top w:val="nil"/>
              <w:left w:val="nil"/>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570.2</w:t>
            </w:r>
          </w:p>
        </w:tc>
        <w:tc>
          <w:tcPr>
            <w:tcW w:w="782" w:type="dxa"/>
            <w:tcBorders>
              <w:top w:val="nil"/>
              <w:left w:val="nil"/>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580</w:t>
            </w:r>
          </w:p>
        </w:tc>
        <w:tc>
          <w:tcPr>
            <w:tcW w:w="782" w:type="dxa"/>
            <w:tcBorders>
              <w:top w:val="nil"/>
              <w:left w:val="nil"/>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572.5</w:t>
            </w:r>
          </w:p>
        </w:tc>
        <w:tc>
          <w:tcPr>
            <w:tcW w:w="782" w:type="dxa"/>
            <w:tcBorders>
              <w:top w:val="nil"/>
              <w:left w:val="nil"/>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595.2</w:t>
            </w:r>
          </w:p>
        </w:tc>
      </w:tr>
      <w:tr w:rsidR="000F236F" w:rsidTr="00DB5405">
        <w:trPr>
          <w:trHeight w:val="262"/>
        </w:trPr>
        <w:tc>
          <w:tcPr>
            <w:tcW w:w="1631" w:type="dxa"/>
            <w:tcBorders>
              <w:top w:val="nil"/>
              <w:left w:val="single" w:sz="8" w:space="0" w:color="auto"/>
              <w:bottom w:val="nil"/>
              <w:right w:val="nil"/>
            </w:tcBorders>
            <w:shd w:val="clear" w:color="auto" w:fill="auto"/>
            <w:noWrap/>
            <w:vAlign w:val="center"/>
            <w:hideMark/>
          </w:tcPr>
          <w:p w:rsidR="000F236F" w:rsidRDefault="000F236F" w:rsidP="00DB5405">
            <w:pPr>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Grand Total</w:t>
            </w:r>
          </w:p>
        </w:tc>
        <w:tc>
          <w:tcPr>
            <w:tcW w:w="782" w:type="dxa"/>
            <w:tcBorders>
              <w:top w:val="nil"/>
              <w:left w:val="single" w:sz="8" w:space="0" w:color="auto"/>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6923.5</w:t>
            </w:r>
          </w:p>
        </w:tc>
        <w:tc>
          <w:tcPr>
            <w:tcW w:w="782" w:type="dxa"/>
            <w:tcBorders>
              <w:top w:val="nil"/>
              <w:left w:val="nil"/>
              <w:bottom w:val="nil"/>
              <w:right w:val="nil"/>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6946.4</w:t>
            </w:r>
          </w:p>
        </w:tc>
        <w:tc>
          <w:tcPr>
            <w:tcW w:w="782" w:type="dxa"/>
            <w:tcBorders>
              <w:top w:val="nil"/>
              <w:left w:val="single" w:sz="8" w:space="0" w:color="auto"/>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6902.1</w:t>
            </w:r>
          </w:p>
        </w:tc>
        <w:tc>
          <w:tcPr>
            <w:tcW w:w="782" w:type="dxa"/>
            <w:tcBorders>
              <w:top w:val="nil"/>
              <w:left w:val="nil"/>
              <w:bottom w:val="nil"/>
              <w:right w:val="nil"/>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6844.2</w:t>
            </w:r>
          </w:p>
        </w:tc>
        <w:tc>
          <w:tcPr>
            <w:tcW w:w="782" w:type="dxa"/>
            <w:tcBorders>
              <w:top w:val="nil"/>
              <w:left w:val="single" w:sz="8" w:space="0" w:color="auto"/>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7027.3</w:t>
            </w:r>
          </w:p>
        </w:tc>
        <w:tc>
          <w:tcPr>
            <w:tcW w:w="782" w:type="dxa"/>
            <w:tcBorders>
              <w:top w:val="nil"/>
              <w:left w:val="nil"/>
              <w:bottom w:val="nil"/>
              <w:right w:val="nil"/>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7226.2</w:t>
            </w:r>
          </w:p>
        </w:tc>
        <w:tc>
          <w:tcPr>
            <w:tcW w:w="782" w:type="dxa"/>
            <w:tcBorders>
              <w:top w:val="nil"/>
              <w:left w:val="single" w:sz="8" w:space="0" w:color="auto"/>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6949.5</w:t>
            </w:r>
          </w:p>
        </w:tc>
        <w:tc>
          <w:tcPr>
            <w:tcW w:w="782" w:type="dxa"/>
            <w:tcBorders>
              <w:top w:val="nil"/>
              <w:left w:val="nil"/>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6903.4</w:t>
            </w:r>
          </w:p>
        </w:tc>
        <w:tc>
          <w:tcPr>
            <w:tcW w:w="782" w:type="dxa"/>
            <w:tcBorders>
              <w:top w:val="nil"/>
              <w:left w:val="nil"/>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6978</w:t>
            </w:r>
          </w:p>
        </w:tc>
        <w:tc>
          <w:tcPr>
            <w:tcW w:w="782" w:type="dxa"/>
            <w:tcBorders>
              <w:top w:val="nil"/>
              <w:left w:val="nil"/>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7039</w:t>
            </w:r>
          </w:p>
        </w:tc>
        <w:tc>
          <w:tcPr>
            <w:tcW w:w="782" w:type="dxa"/>
            <w:tcBorders>
              <w:top w:val="nil"/>
              <w:left w:val="nil"/>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7087.2</w:t>
            </w:r>
          </w:p>
        </w:tc>
      </w:tr>
      <w:tr w:rsidR="000F236F" w:rsidTr="00DB5405">
        <w:trPr>
          <w:trHeight w:val="262"/>
        </w:trPr>
        <w:tc>
          <w:tcPr>
            <w:tcW w:w="1631" w:type="dxa"/>
            <w:tcBorders>
              <w:top w:val="nil"/>
              <w:left w:val="single" w:sz="8" w:space="0" w:color="auto"/>
              <w:bottom w:val="nil"/>
              <w:right w:val="nil"/>
            </w:tcBorders>
            <w:shd w:val="clear" w:color="auto" w:fill="auto"/>
            <w:noWrap/>
            <w:vAlign w:val="center"/>
            <w:hideMark/>
          </w:tcPr>
          <w:p w:rsidR="000F236F" w:rsidRDefault="000F236F" w:rsidP="00DB5405">
            <w:pPr>
              <w:rPr>
                <w:rFonts w:ascii="Garamond" w:eastAsia="Times New Roman" w:hAnsi="Garamond" w:cs="Calibri"/>
                <w:b/>
                <w:bCs/>
                <w:color w:val="000000"/>
                <w:sz w:val="20"/>
                <w:szCs w:val="20"/>
                <w:lang w:val="en-IN" w:eastAsia="en-IN"/>
              </w:rPr>
            </w:pPr>
            <w:r>
              <w:rPr>
                <w:rFonts w:ascii="Garamond" w:eastAsia="Times New Roman" w:hAnsi="Garamond" w:cs="Calibri"/>
                <w:b/>
                <w:bCs/>
                <w:color w:val="000000"/>
                <w:sz w:val="20"/>
                <w:szCs w:val="20"/>
                <w:lang w:val="en-IN" w:eastAsia="en-IN"/>
              </w:rPr>
              <w:t> </w:t>
            </w:r>
          </w:p>
        </w:tc>
        <w:tc>
          <w:tcPr>
            <w:tcW w:w="782" w:type="dxa"/>
            <w:tcBorders>
              <w:top w:val="nil"/>
              <w:left w:val="single" w:sz="8" w:space="0" w:color="auto"/>
              <w:bottom w:val="nil"/>
              <w:right w:val="single" w:sz="8" w:space="0" w:color="auto"/>
            </w:tcBorders>
            <w:shd w:val="clear" w:color="auto" w:fill="auto"/>
            <w:noWrap/>
            <w:vAlign w:val="bottom"/>
            <w:hideMark/>
          </w:tcPr>
          <w:p w:rsidR="000F236F" w:rsidRDefault="000F236F" w:rsidP="00DB5405">
            <w:pPr>
              <w:rPr>
                <w:rFonts w:ascii="Garamond" w:eastAsia="Times New Roman" w:hAnsi="Garamond" w:cs="Calibri"/>
                <w:b/>
                <w:bCs/>
                <w:color w:val="000000"/>
                <w:sz w:val="20"/>
                <w:szCs w:val="20"/>
                <w:lang w:val="en-IN" w:eastAsia="en-IN"/>
              </w:rPr>
            </w:pPr>
            <w:r>
              <w:rPr>
                <w:rFonts w:ascii="Garamond" w:eastAsia="Times New Roman" w:hAnsi="Garamond" w:cs="Calibri"/>
                <w:b/>
                <w:bCs/>
                <w:color w:val="000000"/>
                <w:sz w:val="20"/>
                <w:szCs w:val="20"/>
                <w:lang w:val="en-IN" w:eastAsia="en-IN"/>
              </w:rPr>
              <w:t> </w:t>
            </w:r>
          </w:p>
        </w:tc>
        <w:tc>
          <w:tcPr>
            <w:tcW w:w="782" w:type="dxa"/>
            <w:tcBorders>
              <w:top w:val="nil"/>
              <w:left w:val="nil"/>
              <w:bottom w:val="nil"/>
              <w:right w:val="nil"/>
            </w:tcBorders>
            <w:shd w:val="clear" w:color="auto" w:fill="auto"/>
            <w:noWrap/>
            <w:vAlign w:val="bottom"/>
            <w:hideMark/>
          </w:tcPr>
          <w:p w:rsidR="000F236F" w:rsidRDefault="000F236F" w:rsidP="00DB5405">
            <w:pPr>
              <w:rPr>
                <w:rFonts w:ascii="Garamond" w:eastAsia="Times New Roman" w:hAnsi="Garamond" w:cs="Calibri"/>
                <w:b/>
                <w:bCs/>
                <w:color w:val="000000"/>
                <w:sz w:val="20"/>
                <w:szCs w:val="20"/>
                <w:lang w:val="en-IN" w:eastAsia="en-IN"/>
              </w:rPr>
            </w:pPr>
          </w:p>
        </w:tc>
        <w:tc>
          <w:tcPr>
            <w:tcW w:w="782" w:type="dxa"/>
            <w:tcBorders>
              <w:top w:val="nil"/>
              <w:left w:val="single" w:sz="8" w:space="0" w:color="auto"/>
              <w:bottom w:val="nil"/>
              <w:right w:val="single" w:sz="8" w:space="0" w:color="auto"/>
            </w:tcBorders>
            <w:shd w:val="clear" w:color="auto" w:fill="auto"/>
            <w:noWrap/>
            <w:vAlign w:val="bottom"/>
            <w:hideMark/>
          </w:tcPr>
          <w:p w:rsidR="000F236F" w:rsidRDefault="000F236F" w:rsidP="00DB5405">
            <w:pPr>
              <w:rPr>
                <w:rFonts w:ascii="Garamond" w:eastAsia="Times New Roman" w:hAnsi="Garamond" w:cs="Calibri"/>
                <w:b/>
                <w:bCs/>
                <w:color w:val="000000"/>
                <w:sz w:val="20"/>
                <w:szCs w:val="20"/>
                <w:lang w:val="en-IN" w:eastAsia="en-IN"/>
              </w:rPr>
            </w:pPr>
            <w:r>
              <w:rPr>
                <w:rFonts w:ascii="Garamond" w:eastAsia="Times New Roman" w:hAnsi="Garamond" w:cs="Calibri"/>
                <w:b/>
                <w:bCs/>
                <w:color w:val="000000"/>
                <w:sz w:val="20"/>
                <w:szCs w:val="20"/>
                <w:lang w:val="en-IN" w:eastAsia="en-IN"/>
              </w:rPr>
              <w:t> </w:t>
            </w:r>
          </w:p>
        </w:tc>
        <w:tc>
          <w:tcPr>
            <w:tcW w:w="782" w:type="dxa"/>
            <w:tcBorders>
              <w:top w:val="nil"/>
              <w:left w:val="nil"/>
              <w:bottom w:val="nil"/>
              <w:right w:val="nil"/>
            </w:tcBorders>
            <w:shd w:val="clear" w:color="auto" w:fill="auto"/>
            <w:noWrap/>
            <w:vAlign w:val="bottom"/>
            <w:hideMark/>
          </w:tcPr>
          <w:p w:rsidR="000F236F" w:rsidRDefault="000F236F" w:rsidP="00DB5405">
            <w:pPr>
              <w:rPr>
                <w:rFonts w:ascii="Garamond" w:eastAsia="Times New Roman" w:hAnsi="Garamond" w:cs="Calibri"/>
                <w:b/>
                <w:bCs/>
                <w:color w:val="000000"/>
                <w:sz w:val="20"/>
                <w:szCs w:val="20"/>
                <w:lang w:val="en-IN" w:eastAsia="en-IN"/>
              </w:rPr>
            </w:pPr>
          </w:p>
        </w:tc>
        <w:tc>
          <w:tcPr>
            <w:tcW w:w="782" w:type="dxa"/>
            <w:tcBorders>
              <w:top w:val="nil"/>
              <w:left w:val="single" w:sz="8" w:space="0" w:color="auto"/>
              <w:bottom w:val="nil"/>
              <w:right w:val="single" w:sz="8" w:space="0" w:color="auto"/>
            </w:tcBorders>
            <w:shd w:val="clear" w:color="auto" w:fill="auto"/>
            <w:noWrap/>
            <w:vAlign w:val="bottom"/>
            <w:hideMark/>
          </w:tcPr>
          <w:p w:rsidR="000F236F" w:rsidRDefault="000F236F" w:rsidP="00DB5405">
            <w:pPr>
              <w:rPr>
                <w:rFonts w:ascii="Garamond" w:eastAsia="Times New Roman" w:hAnsi="Garamond" w:cs="Calibri"/>
                <w:b/>
                <w:bCs/>
                <w:color w:val="000000"/>
                <w:sz w:val="20"/>
                <w:szCs w:val="20"/>
                <w:lang w:val="en-IN" w:eastAsia="en-IN"/>
              </w:rPr>
            </w:pPr>
            <w:r>
              <w:rPr>
                <w:rFonts w:ascii="Garamond" w:eastAsia="Times New Roman" w:hAnsi="Garamond" w:cs="Calibri"/>
                <w:b/>
                <w:bCs/>
                <w:color w:val="000000"/>
                <w:sz w:val="20"/>
                <w:szCs w:val="20"/>
                <w:lang w:val="en-IN" w:eastAsia="en-IN"/>
              </w:rPr>
              <w:t> </w:t>
            </w:r>
          </w:p>
        </w:tc>
        <w:tc>
          <w:tcPr>
            <w:tcW w:w="782" w:type="dxa"/>
            <w:tcBorders>
              <w:top w:val="nil"/>
              <w:left w:val="nil"/>
              <w:bottom w:val="nil"/>
              <w:right w:val="nil"/>
            </w:tcBorders>
            <w:shd w:val="clear" w:color="auto" w:fill="auto"/>
            <w:noWrap/>
            <w:vAlign w:val="bottom"/>
            <w:hideMark/>
          </w:tcPr>
          <w:p w:rsidR="000F236F" w:rsidRDefault="000F236F" w:rsidP="00DB5405">
            <w:pPr>
              <w:rPr>
                <w:rFonts w:ascii="Garamond" w:eastAsia="Times New Roman" w:hAnsi="Garamond" w:cs="Calibri"/>
                <w:b/>
                <w:bCs/>
                <w:color w:val="000000"/>
                <w:sz w:val="20"/>
                <w:szCs w:val="20"/>
                <w:lang w:val="en-IN" w:eastAsia="en-IN"/>
              </w:rPr>
            </w:pPr>
          </w:p>
        </w:tc>
        <w:tc>
          <w:tcPr>
            <w:tcW w:w="782" w:type="dxa"/>
            <w:tcBorders>
              <w:top w:val="nil"/>
              <w:left w:val="single" w:sz="8" w:space="0" w:color="auto"/>
              <w:bottom w:val="nil"/>
              <w:right w:val="single" w:sz="8" w:space="0" w:color="auto"/>
            </w:tcBorders>
            <w:shd w:val="clear" w:color="auto" w:fill="auto"/>
            <w:noWrap/>
            <w:vAlign w:val="bottom"/>
            <w:hideMark/>
          </w:tcPr>
          <w:p w:rsidR="000F236F" w:rsidRDefault="000F236F" w:rsidP="00DB5405">
            <w:pPr>
              <w:rPr>
                <w:rFonts w:ascii="Garamond" w:eastAsia="Times New Roman" w:hAnsi="Garamond" w:cs="Calibri"/>
                <w:b/>
                <w:bCs/>
                <w:color w:val="000000"/>
                <w:sz w:val="20"/>
                <w:szCs w:val="20"/>
                <w:lang w:val="en-IN" w:eastAsia="en-IN"/>
              </w:rPr>
            </w:pPr>
            <w:r>
              <w:rPr>
                <w:rFonts w:ascii="Garamond" w:eastAsia="Times New Roman" w:hAnsi="Garamond" w:cs="Calibri"/>
                <w:b/>
                <w:bCs/>
                <w:color w:val="000000"/>
                <w:sz w:val="20"/>
                <w:szCs w:val="20"/>
                <w:lang w:val="en-IN" w:eastAsia="en-IN"/>
              </w:rPr>
              <w:t> </w:t>
            </w:r>
          </w:p>
        </w:tc>
        <w:tc>
          <w:tcPr>
            <w:tcW w:w="782" w:type="dxa"/>
            <w:tcBorders>
              <w:top w:val="nil"/>
              <w:left w:val="nil"/>
              <w:bottom w:val="nil"/>
              <w:right w:val="single" w:sz="8" w:space="0" w:color="auto"/>
            </w:tcBorders>
            <w:shd w:val="clear" w:color="auto" w:fill="auto"/>
            <w:noWrap/>
            <w:vAlign w:val="bottom"/>
            <w:hideMark/>
          </w:tcPr>
          <w:p w:rsidR="000F236F" w:rsidRDefault="000F236F" w:rsidP="00DB5405">
            <w:pPr>
              <w:rPr>
                <w:rFonts w:ascii="Garamond" w:eastAsia="Times New Roman" w:hAnsi="Garamond" w:cs="Calibri"/>
                <w:b/>
                <w:bCs/>
                <w:color w:val="000000"/>
                <w:sz w:val="20"/>
                <w:szCs w:val="20"/>
                <w:lang w:val="en-IN" w:eastAsia="en-IN"/>
              </w:rPr>
            </w:pPr>
            <w:r>
              <w:rPr>
                <w:rFonts w:ascii="Garamond" w:eastAsia="Times New Roman" w:hAnsi="Garamond" w:cs="Calibri"/>
                <w:b/>
                <w:bCs/>
                <w:color w:val="000000"/>
                <w:sz w:val="20"/>
                <w:szCs w:val="20"/>
                <w:lang w:val="en-IN" w:eastAsia="en-IN"/>
              </w:rPr>
              <w:t> </w:t>
            </w:r>
          </w:p>
        </w:tc>
        <w:tc>
          <w:tcPr>
            <w:tcW w:w="782" w:type="dxa"/>
            <w:tcBorders>
              <w:top w:val="nil"/>
              <w:left w:val="nil"/>
              <w:bottom w:val="nil"/>
              <w:right w:val="single" w:sz="8" w:space="0" w:color="auto"/>
            </w:tcBorders>
            <w:shd w:val="clear" w:color="auto" w:fill="auto"/>
            <w:noWrap/>
            <w:vAlign w:val="bottom"/>
            <w:hideMark/>
          </w:tcPr>
          <w:p w:rsidR="000F236F" w:rsidRDefault="000F236F" w:rsidP="00DB5405">
            <w:pPr>
              <w:rPr>
                <w:rFonts w:ascii="Garamond" w:eastAsia="Times New Roman" w:hAnsi="Garamond" w:cs="Calibri"/>
                <w:b/>
                <w:bCs/>
                <w:color w:val="000000"/>
                <w:sz w:val="20"/>
                <w:szCs w:val="20"/>
                <w:lang w:val="en-IN" w:eastAsia="en-IN"/>
              </w:rPr>
            </w:pPr>
            <w:r>
              <w:rPr>
                <w:rFonts w:ascii="Garamond" w:eastAsia="Times New Roman" w:hAnsi="Garamond" w:cs="Calibri"/>
                <w:b/>
                <w:bCs/>
                <w:color w:val="000000"/>
                <w:sz w:val="20"/>
                <w:szCs w:val="20"/>
                <w:lang w:val="en-IN" w:eastAsia="en-IN"/>
              </w:rPr>
              <w:t> </w:t>
            </w:r>
          </w:p>
        </w:tc>
        <w:tc>
          <w:tcPr>
            <w:tcW w:w="782" w:type="dxa"/>
            <w:tcBorders>
              <w:top w:val="nil"/>
              <w:left w:val="nil"/>
              <w:bottom w:val="nil"/>
              <w:right w:val="single" w:sz="8" w:space="0" w:color="auto"/>
            </w:tcBorders>
            <w:shd w:val="clear" w:color="auto" w:fill="auto"/>
            <w:noWrap/>
            <w:vAlign w:val="bottom"/>
            <w:hideMark/>
          </w:tcPr>
          <w:p w:rsidR="000F236F" w:rsidRDefault="000F236F" w:rsidP="00DB5405">
            <w:pPr>
              <w:rPr>
                <w:rFonts w:ascii="Garamond" w:eastAsia="Times New Roman" w:hAnsi="Garamond" w:cs="Calibri"/>
                <w:b/>
                <w:bCs/>
                <w:color w:val="000000"/>
                <w:sz w:val="20"/>
                <w:szCs w:val="20"/>
                <w:lang w:val="en-IN" w:eastAsia="en-IN"/>
              </w:rPr>
            </w:pPr>
            <w:r>
              <w:rPr>
                <w:rFonts w:ascii="Garamond" w:eastAsia="Times New Roman" w:hAnsi="Garamond" w:cs="Calibri"/>
                <w:b/>
                <w:bCs/>
                <w:color w:val="000000"/>
                <w:sz w:val="20"/>
                <w:szCs w:val="20"/>
                <w:lang w:val="en-IN" w:eastAsia="en-IN"/>
              </w:rPr>
              <w:t> </w:t>
            </w:r>
          </w:p>
        </w:tc>
        <w:tc>
          <w:tcPr>
            <w:tcW w:w="782" w:type="dxa"/>
            <w:tcBorders>
              <w:top w:val="nil"/>
              <w:left w:val="nil"/>
              <w:bottom w:val="nil"/>
              <w:right w:val="single" w:sz="8" w:space="0" w:color="auto"/>
            </w:tcBorders>
            <w:shd w:val="clear" w:color="auto" w:fill="auto"/>
            <w:noWrap/>
            <w:vAlign w:val="bottom"/>
            <w:hideMark/>
          </w:tcPr>
          <w:p w:rsidR="000F236F" w:rsidRDefault="000F236F" w:rsidP="00DB5405">
            <w:pPr>
              <w:rPr>
                <w:rFonts w:ascii="Garamond" w:eastAsia="Times New Roman" w:hAnsi="Garamond" w:cs="Calibri"/>
                <w:b/>
                <w:bCs/>
                <w:color w:val="000000"/>
                <w:sz w:val="20"/>
                <w:szCs w:val="20"/>
                <w:lang w:val="en-IN" w:eastAsia="en-IN"/>
              </w:rPr>
            </w:pPr>
            <w:r>
              <w:rPr>
                <w:rFonts w:ascii="Garamond" w:eastAsia="Times New Roman" w:hAnsi="Garamond" w:cs="Calibri"/>
                <w:b/>
                <w:bCs/>
                <w:color w:val="000000"/>
                <w:sz w:val="20"/>
                <w:szCs w:val="20"/>
                <w:lang w:val="en-IN" w:eastAsia="en-IN"/>
              </w:rPr>
              <w:t> </w:t>
            </w:r>
          </w:p>
        </w:tc>
      </w:tr>
      <w:tr w:rsidR="000F236F" w:rsidTr="00DB5405">
        <w:trPr>
          <w:trHeight w:val="262"/>
        </w:trPr>
        <w:tc>
          <w:tcPr>
            <w:tcW w:w="1631" w:type="dxa"/>
            <w:tcBorders>
              <w:top w:val="nil"/>
              <w:left w:val="single" w:sz="8" w:space="0" w:color="auto"/>
              <w:bottom w:val="nil"/>
              <w:right w:val="nil"/>
            </w:tcBorders>
            <w:shd w:val="clear" w:color="auto" w:fill="auto"/>
            <w:noWrap/>
            <w:vAlign w:val="center"/>
            <w:hideMark/>
          </w:tcPr>
          <w:p w:rsidR="000F236F" w:rsidRDefault="000F236F" w:rsidP="00DB5405">
            <w:pPr>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Of which:</w:t>
            </w:r>
          </w:p>
        </w:tc>
        <w:tc>
          <w:tcPr>
            <w:tcW w:w="782" w:type="dxa"/>
            <w:tcBorders>
              <w:top w:val="nil"/>
              <w:left w:val="single" w:sz="8" w:space="0" w:color="auto"/>
              <w:bottom w:val="nil"/>
              <w:right w:val="single" w:sz="8" w:space="0" w:color="auto"/>
            </w:tcBorders>
            <w:shd w:val="clear" w:color="auto" w:fill="auto"/>
            <w:noWrap/>
            <w:vAlign w:val="bottom"/>
            <w:hideMark/>
          </w:tcPr>
          <w:p w:rsidR="000F236F" w:rsidRDefault="000F236F" w:rsidP="00DB5405">
            <w:pPr>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 </w:t>
            </w:r>
          </w:p>
        </w:tc>
        <w:tc>
          <w:tcPr>
            <w:tcW w:w="782" w:type="dxa"/>
            <w:tcBorders>
              <w:top w:val="nil"/>
              <w:left w:val="nil"/>
              <w:bottom w:val="nil"/>
              <w:right w:val="nil"/>
            </w:tcBorders>
            <w:shd w:val="clear" w:color="auto" w:fill="auto"/>
            <w:noWrap/>
            <w:vAlign w:val="bottom"/>
            <w:hideMark/>
          </w:tcPr>
          <w:p w:rsidR="000F236F" w:rsidRDefault="000F236F" w:rsidP="00DB5405">
            <w:pPr>
              <w:rPr>
                <w:rFonts w:ascii="Garamond" w:eastAsia="Times New Roman" w:hAnsi="Garamond" w:cs="Calibri"/>
                <w:color w:val="000000"/>
                <w:sz w:val="20"/>
                <w:szCs w:val="20"/>
                <w:lang w:val="en-IN" w:eastAsia="en-IN"/>
              </w:rPr>
            </w:pPr>
          </w:p>
        </w:tc>
        <w:tc>
          <w:tcPr>
            <w:tcW w:w="782" w:type="dxa"/>
            <w:tcBorders>
              <w:top w:val="nil"/>
              <w:left w:val="single" w:sz="8" w:space="0" w:color="auto"/>
              <w:bottom w:val="nil"/>
              <w:right w:val="single" w:sz="8" w:space="0" w:color="auto"/>
            </w:tcBorders>
            <w:shd w:val="clear" w:color="auto" w:fill="auto"/>
            <w:noWrap/>
            <w:vAlign w:val="bottom"/>
            <w:hideMark/>
          </w:tcPr>
          <w:p w:rsidR="000F236F" w:rsidRDefault="000F236F" w:rsidP="00DB5405">
            <w:pPr>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 </w:t>
            </w:r>
          </w:p>
        </w:tc>
        <w:tc>
          <w:tcPr>
            <w:tcW w:w="782" w:type="dxa"/>
            <w:tcBorders>
              <w:top w:val="nil"/>
              <w:left w:val="nil"/>
              <w:bottom w:val="nil"/>
              <w:right w:val="nil"/>
            </w:tcBorders>
            <w:shd w:val="clear" w:color="auto" w:fill="auto"/>
            <w:noWrap/>
            <w:vAlign w:val="bottom"/>
            <w:hideMark/>
          </w:tcPr>
          <w:p w:rsidR="000F236F" w:rsidRDefault="000F236F" w:rsidP="00DB5405">
            <w:pPr>
              <w:rPr>
                <w:rFonts w:ascii="Garamond" w:eastAsia="Times New Roman" w:hAnsi="Garamond" w:cs="Calibri"/>
                <w:color w:val="000000"/>
                <w:sz w:val="20"/>
                <w:szCs w:val="20"/>
                <w:lang w:val="en-IN" w:eastAsia="en-IN"/>
              </w:rPr>
            </w:pPr>
          </w:p>
        </w:tc>
        <w:tc>
          <w:tcPr>
            <w:tcW w:w="782" w:type="dxa"/>
            <w:tcBorders>
              <w:top w:val="nil"/>
              <w:left w:val="single" w:sz="8" w:space="0" w:color="auto"/>
              <w:bottom w:val="nil"/>
              <w:right w:val="single" w:sz="8" w:space="0" w:color="auto"/>
            </w:tcBorders>
            <w:shd w:val="clear" w:color="auto" w:fill="auto"/>
            <w:noWrap/>
            <w:vAlign w:val="bottom"/>
            <w:hideMark/>
          </w:tcPr>
          <w:p w:rsidR="000F236F" w:rsidRDefault="000F236F" w:rsidP="00DB5405">
            <w:pPr>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 </w:t>
            </w:r>
          </w:p>
        </w:tc>
        <w:tc>
          <w:tcPr>
            <w:tcW w:w="782" w:type="dxa"/>
            <w:tcBorders>
              <w:top w:val="nil"/>
              <w:left w:val="nil"/>
              <w:bottom w:val="nil"/>
              <w:right w:val="nil"/>
            </w:tcBorders>
            <w:shd w:val="clear" w:color="auto" w:fill="auto"/>
            <w:noWrap/>
            <w:vAlign w:val="bottom"/>
            <w:hideMark/>
          </w:tcPr>
          <w:p w:rsidR="000F236F" w:rsidRDefault="000F236F" w:rsidP="00DB5405">
            <w:pPr>
              <w:rPr>
                <w:rFonts w:ascii="Garamond" w:eastAsia="Times New Roman" w:hAnsi="Garamond" w:cs="Calibri"/>
                <w:color w:val="000000"/>
                <w:sz w:val="20"/>
                <w:szCs w:val="20"/>
                <w:lang w:val="en-IN" w:eastAsia="en-IN"/>
              </w:rPr>
            </w:pPr>
          </w:p>
        </w:tc>
        <w:tc>
          <w:tcPr>
            <w:tcW w:w="782" w:type="dxa"/>
            <w:tcBorders>
              <w:top w:val="nil"/>
              <w:left w:val="single" w:sz="8" w:space="0" w:color="auto"/>
              <w:bottom w:val="nil"/>
              <w:right w:val="single" w:sz="8" w:space="0" w:color="auto"/>
            </w:tcBorders>
            <w:shd w:val="clear" w:color="auto" w:fill="auto"/>
            <w:noWrap/>
            <w:vAlign w:val="bottom"/>
            <w:hideMark/>
          </w:tcPr>
          <w:p w:rsidR="000F236F" w:rsidRDefault="000F236F" w:rsidP="00DB5405">
            <w:pPr>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 </w:t>
            </w:r>
          </w:p>
        </w:tc>
        <w:tc>
          <w:tcPr>
            <w:tcW w:w="782" w:type="dxa"/>
            <w:tcBorders>
              <w:top w:val="nil"/>
              <w:left w:val="nil"/>
              <w:bottom w:val="nil"/>
              <w:right w:val="single" w:sz="8" w:space="0" w:color="auto"/>
            </w:tcBorders>
            <w:shd w:val="clear" w:color="auto" w:fill="auto"/>
            <w:noWrap/>
            <w:vAlign w:val="bottom"/>
            <w:hideMark/>
          </w:tcPr>
          <w:p w:rsidR="000F236F" w:rsidRDefault="000F236F" w:rsidP="00DB5405">
            <w:pPr>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 </w:t>
            </w:r>
          </w:p>
        </w:tc>
        <w:tc>
          <w:tcPr>
            <w:tcW w:w="782" w:type="dxa"/>
            <w:tcBorders>
              <w:top w:val="nil"/>
              <w:left w:val="nil"/>
              <w:bottom w:val="nil"/>
              <w:right w:val="single" w:sz="8" w:space="0" w:color="auto"/>
            </w:tcBorders>
            <w:shd w:val="clear" w:color="auto" w:fill="auto"/>
            <w:noWrap/>
            <w:vAlign w:val="bottom"/>
            <w:hideMark/>
          </w:tcPr>
          <w:p w:rsidR="000F236F" w:rsidRDefault="000F236F" w:rsidP="00DB5405">
            <w:pPr>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 </w:t>
            </w:r>
          </w:p>
        </w:tc>
        <w:tc>
          <w:tcPr>
            <w:tcW w:w="782" w:type="dxa"/>
            <w:tcBorders>
              <w:top w:val="nil"/>
              <w:left w:val="nil"/>
              <w:bottom w:val="nil"/>
              <w:right w:val="single" w:sz="8" w:space="0" w:color="auto"/>
            </w:tcBorders>
            <w:shd w:val="clear" w:color="auto" w:fill="auto"/>
            <w:noWrap/>
            <w:vAlign w:val="bottom"/>
            <w:hideMark/>
          </w:tcPr>
          <w:p w:rsidR="000F236F" w:rsidRDefault="000F236F" w:rsidP="00DB5405">
            <w:pPr>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 </w:t>
            </w:r>
          </w:p>
        </w:tc>
        <w:tc>
          <w:tcPr>
            <w:tcW w:w="782" w:type="dxa"/>
            <w:tcBorders>
              <w:top w:val="nil"/>
              <w:left w:val="nil"/>
              <w:bottom w:val="nil"/>
              <w:right w:val="single" w:sz="8" w:space="0" w:color="auto"/>
            </w:tcBorders>
            <w:shd w:val="clear" w:color="auto" w:fill="auto"/>
            <w:noWrap/>
            <w:vAlign w:val="bottom"/>
            <w:hideMark/>
          </w:tcPr>
          <w:p w:rsidR="000F236F" w:rsidRDefault="000F236F" w:rsidP="00DB5405">
            <w:pPr>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 </w:t>
            </w:r>
          </w:p>
        </w:tc>
      </w:tr>
      <w:tr w:rsidR="000F236F" w:rsidTr="00DB5405">
        <w:trPr>
          <w:trHeight w:val="262"/>
        </w:trPr>
        <w:tc>
          <w:tcPr>
            <w:tcW w:w="1631" w:type="dxa"/>
            <w:tcBorders>
              <w:top w:val="nil"/>
              <w:left w:val="single" w:sz="8" w:space="0" w:color="auto"/>
              <w:bottom w:val="nil"/>
              <w:right w:val="nil"/>
            </w:tcBorders>
            <w:shd w:val="clear" w:color="auto" w:fill="auto"/>
            <w:noWrap/>
            <w:vAlign w:val="center"/>
            <w:hideMark/>
          </w:tcPr>
          <w:p w:rsidR="000F236F" w:rsidRDefault="000F236F" w:rsidP="00DB5405">
            <w:pPr>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For. Official</w:t>
            </w:r>
          </w:p>
        </w:tc>
        <w:tc>
          <w:tcPr>
            <w:tcW w:w="782" w:type="dxa"/>
            <w:tcBorders>
              <w:top w:val="nil"/>
              <w:left w:val="single" w:sz="8" w:space="0" w:color="auto"/>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4150.9</w:t>
            </w:r>
          </w:p>
        </w:tc>
        <w:tc>
          <w:tcPr>
            <w:tcW w:w="782" w:type="dxa"/>
            <w:tcBorders>
              <w:top w:val="nil"/>
              <w:left w:val="nil"/>
              <w:bottom w:val="nil"/>
              <w:right w:val="nil"/>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4122.9</w:t>
            </w:r>
          </w:p>
        </w:tc>
        <w:tc>
          <w:tcPr>
            <w:tcW w:w="782" w:type="dxa"/>
            <w:tcBorders>
              <w:top w:val="nil"/>
              <w:left w:val="single" w:sz="8" w:space="0" w:color="auto"/>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4101.2</w:t>
            </w:r>
          </w:p>
        </w:tc>
        <w:tc>
          <w:tcPr>
            <w:tcW w:w="782" w:type="dxa"/>
            <w:tcBorders>
              <w:top w:val="nil"/>
              <w:left w:val="nil"/>
              <w:bottom w:val="nil"/>
              <w:right w:val="nil"/>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4076.9</w:t>
            </w:r>
          </w:p>
        </w:tc>
        <w:tc>
          <w:tcPr>
            <w:tcW w:w="782" w:type="dxa"/>
            <w:tcBorders>
              <w:top w:val="nil"/>
              <w:left w:val="single" w:sz="8" w:space="0" w:color="auto"/>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4169.9</w:t>
            </w:r>
          </w:p>
        </w:tc>
        <w:tc>
          <w:tcPr>
            <w:tcW w:w="782" w:type="dxa"/>
            <w:tcBorders>
              <w:top w:val="nil"/>
              <w:left w:val="nil"/>
              <w:bottom w:val="nil"/>
              <w:right w:val="nil"/>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4264.9</w:t>
            </w:r>
          </w:p>
        </w:tc>
        <w:tc>
          <w:tcPr>
            <w:tcW w:w="782" w:type="dxa"/>
            <w:tcBorders>
              <w:top w:val="nil"/>
              <w:left w:val="single" w:sz="8" w:space="0" w:color="auto"/>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4117.9</w:t>
            </w:r>
          </w:p>
        </w:tc>
        <w:tc>
          <w:tcPr>
            <w:tcW w:w="782" w:type="dxa"/>
            <w:tcBorders>
              <w:top w:val="nil"/>
              <w:left w:val="nil"/>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4047.4</w:t>
            </w:r>
          </w:p>
        </w:tc>
        <w:tc>
          <w:tcPr>
            <w:tcW w:w="782" w:type="dxa"/>
            <w:tcBorders>
              <w:top w:val="nil"/>
              <w:left w:val="nil"/>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4105.9</w:t>
            </w:r>
          </w:p>
        </w:tc>
        <w:tc>
          <w:tcPr>
            <w:tcW w:w="782" w:type="dxa"/>
            <w:tcBorders>
              <w:top w:val="nil"/>
              <w:left w:val="nil"/>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4142.3</w:t>
            </w:r>
          </w:p>
        </w:tc>
        <w:tc>
          <w:tcPr>
            <w:tcW w:w="782" w:type="dxa"/>
            <w:tcBorders>
              <w:top w:val="nil"/>
              <w:left w:val="nil"/>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4191.9</w:t>
            </w:r>
          </w:p>
        </w:tc>
      </w:tr>
      <w:tr w:rsidR="000F236F" w:rsidTr="00DB5405">
        <w:trPr>
          <w:trHeight w:val="262"/>
        </w:trPr>
        <w:tc>
          <w:tcPr>
            <w:tcW w:w="1631" w:type="dxa"/>
            <w:tcBorders>
              <w:top w:val="nil"/>
              <w:left w:val="single" w:sz="8" w:space="0" w:color="auto"/>
              <w:bottom w:val="nil"/>
              <w:right w:val="nil"/>
            </w:tcBorders>
            <w:shd w:val="clear" w:color="auto" w:fill="auto"/>
            <w:noWrap/>
            <w:vAlign w:val="center"/>
            <w:hideMark/>
          </w:tcPr>
          <w:p w:rsidR="000F236F" w:rsidRDefault="000F236F" w:rsidP="00DB5405">
            <w:pPr>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Treasury Bills</w:t>
            </w:r>
          </w:p>
        </w:tc>
        <w:tc>
          <w:tcPr>
            <w:tcW w:w="782" w:type="dxa"/>
            <w:tcBorders>
              <w:top w:val="nil"/>
              <w:left w:val="single" w:sz="8" w:space="0" w:color="auto"/>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290.8</w:t>
            </w:r>
          </w:p>
        </w:tc>
        <w:tc>
          <w:tcPr>
            <w:tcW w:w="782" w:type="dxa"/>
            <w:tcBorders>
              <w:top w:val="nil"/>
              <w:left w:val="nil"/>
              <w:bottom w:val="nil"/>
              <w:right w:val="nil"/>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288.1</w:t>
            </w:r>
          </w:p>
        </w:tc>
        <w:tc>
          <w:tcPr>
            <w:tcW w:w="782" w:type="dxa"/>
            <w:tcBorders>
              <w:top w:val="nil"/>
              <w:left w:val="single" w:sz="8" w:space="0" w:color="auto"/>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273.6</w:t>
            </w:r>
          </w:p>
        </w:tc>
        <w:tc>
          <w:tcPr>
            <w:tcW w:w="782" w:type="dxa"/>
            <w:tcBorders>
              <w:top w:val="nil"/>
              <w:left w:val="nil"/>
              <w:bottom w:val="nil"/>
              <w:right w:val="nil"/>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268.6</w:t>
            </w:r>
          </w:p>
        </w:tc>
        <w:tc>
          <w:tcPr>
            <w:tcW w:w="782" w:type="dxa"/>
            <w:tcBorders>
              <w:top w:val="nil"/>
              <w:left w:val="single" w:sz="8" w:space="0" w:color="auto"/>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294.8</w:t>
            </w:r>
          </w:p>
        </w:tc>
        <w:tc>
          <w:tcPr>
            <w:tcW w:w="782" w:type="dxa"/>
            <w:tcBorders>
              <w:top w:val="nil"/>
              <w:left w:val="nil"/>
              <w:bottom w:val="nil"/>
              <w:right w:val="nil"/>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306.1</w:t>
            </w:r>
          </w:p>
        </w:tc>
        <w:tc>
          <w:tcPr>
            <w:tcW w:w="782" w:type="dxa"/>
            <w:tcBorders>
              <w:top w:val="nil"/>
              <w:left w:val="single" w:sz="8" w:space="0" w:color="auto"/>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283.2</w:t>
            </w:r>
          </w:p>
        </w:tc>
        <w:tc>
          <w:tcPr>
            <w:tcW w:w="782" w:type="dxa"/>
            <w:tcBorders>
              <w:top w:val="nil"/>
              <w:left w:val="nil"/>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331</w:t>
            </w:r>
          </w:p>
        </w:tc>
        <w:tc>
          <w:tcPr>
            <w:tcW w:w="782" w:type="dxa"/>
            <w:tcBorders>
              <w:top w:val="nil"/>
              <w:left w:val="nil"/>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355.7</w:t>
            </w:r>
          </w:p>
        </w:tc>
        <w:tc>
          <w:tcPr>
            <w:tcW w:w="782" w:type="dxa"/>
            <w:tcBorders>
              <w:top w:val="nil"/>
              <w:left w:val="nil"/>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382.5</w:t>
            </w:r>
          </w:p>
        </w:tc>
        <w:tc>
          <w:tcPr>
            <w:tcW w:w="782" w:type="dxa"/>
            <w:tcBorders>
              <w:top w:val="nil"/>
              <w:left w:val="nil"/>
              <w:bottom w:val="nil"/>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393.6</w:t>
            </w:r>
          </w:p>
        </w:tc>
      </w:tr>
      <w:tr w:rsidR="000F236F" w:rsidTr="00DB5405">
        <w:trPr>
          <w:trHeight w:val="275"/>
        </w:trPr>
        <w:tc>
          <w:tcPr>
            <w:tcW w:w="1631" w:type="dxa"/>
            <w:tcBorders>
              <w:top w:val="nil"/>
              <w:left w:val="single" w:sz="8" w:space="0" w:color="auto"/>
              <w:bottom w:val="single" w:sz="8" w:space="0" w:color="auto"/>
              <w:right w:val="nil"/>
            </w:tcBorders>
            <w:shd w:val="clear" w:color="auto" w:fill="auto"/>
            <w:noWrap/>
            <w:vAlign w:val="center"/>
            <w:hideMark/>
          </w:tcPr>
          <w:p w:rsidR="000F236F" w:rsidRDefault="000F236F" w:rsidP="00DB5405">
            <w:pPr>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T-Bonds &amp; Notes</w:t>
            </w:r>
          </w:p>
        </w:tc>
        <w:tc>
          <w:tcPr>
            <w:tcW w:w="782" w:type="dxa"/>
            <w:tcBorders>
              <w:top w:val="nil"/>
              <w:left w:val="single" w:sz="8" w:space="0" w:color="auto"/>
              <w:bottom w:val="single" w:sz="8" w:space="0" w:color="auto"/>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3860.1</w:t>
            </w:r>
          </w:p>
        </w:tc>
        <w:tc>
          <w:tcPr>
            <w:tcW w:w="782" w:type="dxa"/>
            <w:tcBorders>
              <w:top w:val="nil"/>
              <w:left w:val="nil"/>
              <w:bottom w:val="single" w:sz="8" w:space="0" w:color="auto"/>
              <w:right w:val="nil"/>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3834.8</w:t>
            </w:r>
          </w:p>
        </w:tc>
        <w:tc>
          <w:tcPr>
            <w:tcW w:w="782" w:type="dxa"/>
            <w:tcBorders>
              <w:top w:val="nil"/>
              <w:left w:val="single" w:sz="8" w:space="0" w:color="auto"/>
              <w:bottom w:val="single" w:sz="8" w:space="0" w:color="auto"/>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3827.6</w:t>
            </w:r>
          </w:p>
        </w:tc>
        <w:tc>
          <w:tcPr>
            <w:tcW w:w="782" w:type="dxa"/>
            <w:tcBorders>
              <w:top w:val="nil"/>
              <w:left w:val="nil"/>
              <w:bottom w:val="single" w:sz="8" w:space="0" w:color="auto"/>
              <w:right w:val="nil"/>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3808.3</w:t>
            </w:r>
          </w:p>
        </w:tc>
        <w:tc>
          <w:tcPr>
            <w:tcW w:w="782" w:type="dxa"/>
            <w:tcBorders>
              <w:top w:val="nil"/>
              <w:left w:val="single" w:sz="8" w:space="0" w:color="auto"/>
              <w:bottom w:val="single" w:sz="8" w:space="0" w:color="auto"/>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3875.1</w:t>
            </w:r>
          </w:p>
        </w:tc>
        <w:tc>
          <w:tcPr>
            <w:tcW w:w="782" w:type="dxa"/>
            <w:tcBorders>
              <w:top w:val="nil"/>
              <w:left w:val="nil"/>
              <w:bottom w:val="single" w:sz="8" w:space="0" w:color="auto"/>
              <w:right w:val="nil"/>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3958.8</w:t>
            </w:r>
          </w:p>
        </w:tc>
        <w:tc>
          <w:tcPr>
            <w:tcW w:w="782" w:type="dxa"/>
            <w:tcBorders>
              <w:top w:val="nil"/>
              <w:left w:val="single" w:sz="8" w:space="0" w:color="auto"/>
              <w:bottom w:val="single" w:sz="8" w:space="0" w:color="auto"/>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3834.6</w:t>
            </w:r>
          </w:p>
        </w:tc>
        <w:tc>
          <w:tcPr>
            <w:tcW w:w="782" w:type="dxa"/>
            <w:tcBorders>
              <w:top w:val="nil"/>
              <w:left w:val="nil"/>
              <w:bottom w:val="single" w:sz="8" w:space="0" w:color="auto"/>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3716.4</w:t>
            </w:r>
          </w:p>
        </w:tc>
        <w:tc>
          <w:tcPr>
            <w:tcW w:w="782" w:type="dxa"/>
            <w:tcBorders>
              <w:top w:val="nil"/>
              <w:left w:val="nil"/>
              <w:bottom w:val="single" w:sz="8" w:space="0" w:color="auto"/>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3750.2</w:t>
            </w:r>
          </w:p>
        </w:tc>
        <w:tc>
          <w:tcPr>
            <w:tcW w:w="782" w:type="dxa"/>
            <w:tcBorders>
              <w:top w:val="nil"/>
              <w:left w:val="nil"/>
              <w:bottom w:val="single" w:sz="8" w:space="0" w:color="auto"/>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3759.8</w:t>
            </w:r>
          </w:p>
        </w:tc>
        <w:tc>
          <w:tcPr>
            <w:tcW w:w="782" w:type="dxa"/>
            <w:tcBorders>
              <w:top w:val="nil"/>
              <w:left w:val="nil"/>
              <w:bottom w:val="single" w:sz="8" w:space="0" w:color="auto"/>
              <w:right w:val="single" w:sz="8" w:space="0" w:color="auto"/>
            </w:tcBorders>
            <w:shd w:val="clear" w:color="auto" w:fill="auto"/>
            <w:noWrap/>
            <w:vAlign w:val="bottom"/>
            <w:hideMark/>
          </w:tcPr>
          <w:p w:rsidR="000F236F" w:rsidRDefault="000F236F" w:rsidP="00DB5405">
            <w:pPr>
              <w:jc w:val="right"/>
              <w:rPr>
                <w:rFonts w:ascii="Garamond" w:eastAsia="Times New Roman" w:hAnsi="Garamond" w:cs="Calibri"/>
                <w:color w:val="000000"/>
                <w:sz w:val="20"/>
                <w:szCs w:val="20"/>
                <w:lang w:val="en-IN" w:eastAsia="en-IN"/>
              </w:rPr>
            </w:pPr>
            <w:r>
              <w:rPr>
                <w:rFonts w:ascii="Garamond" w:eastAsia="Times New Roman" w:hAnsi="Garamond" w:cs="Calibri"/>
                <w:color w:val="000000"/>
                <w:sz w:val="20"/>
                <w:szCs w:val="20"/>
                <w:lang w:val="en-IN" w:eastAsia="en-IN"/>
              </w:rPr>
              <w:t>3798.4</w:t>
            </w:r>
          </w:p>
        </w:tc>
      </w:tr>
    </w:tbl>
    <w:p w:rsidR="000F236F" w:rsidRDefault="000F236F" w:rsidP="000F236F">
      <w:pPr>
        <w:spacing w:line="23" w:lineRule="atLeast"/>
        <w:rPr>
          <w:rFonts w:ascii="Garamond" w:hAnsi="Garamond"/>
          <w:bCs/>
          <w:sz w:val="18"/>
          <w:szCs w:val="18"/>
        </w:rPr>
      </w:pPr>
      <w:r>
        <w:rPr>
          <w:rFonts w:ascii="Garamond" w:hAnsi="Garamond"/>
          <w:bCs/>
          <w:sz w:val="18"/>
          <w:szCs w:val="18"/>
        </w:rPr>
        <w:t xml:space="preserve"> Note: </w:t>
      </w:r>
    </w:p>
    <w:p w:rsidR="000F236F" w:rsidRDefault="000F236F" w:rsidP="00B018BC">
      <w:pPr>
        <w:numPr>
          <w:ilvl w:val="0"/>
          <w:numId w:val="16"/>
        </w:numPr>
        <w:spacing w:line="23" w:lineRule="atLeast"/>
        <w:ind w:left="360"/>
        <w:contextualSpacing/>
        <w:jc w:val="both"/>
        <w:rPr>
          <w:rFonts w:ascii="Garamond" w:hAnsi="Garamond"/>
          <w:bCs/>
          <w:sz w:val="18"/>
          <w:szCs w:val="18"/>
          <w:lang w:val="en-US"/>
        </w:rPr>
      </w:pPr>
      <w:r>
        <w:rPr>
          <w:rFonts w:ascii="Garamond" w:eastAsia="Calibri" w:hAnsi="Garamond"/>
          <w:bCs/>
          <w:sz w:val="18"/>
          <w:szCs w:val="18"/>
          <w:lang w:val="en-US"/>
        </w:rPr>
        <w:t>Data available as on 13 October 2020</w:t>
      </w:r>
    </w:p>
    <w:p w:rsidR="000F236F" w:rsidRDefault="000F236F" w:rsidP="00B018BC">
      <w:pPr>
        <w:numPr>
          <w:ilvl w:val="0"/>
          <w:numId w:val="16"/>
        </w:numPr>
        <w:spacing w:line="23" w:lineRule="atLeast"/>
        <w:ind w:left="360"/>
        <w:contextualSpacing/>
        <w:jc w:val="both"/>
        <w:rPr>
          <w:rFonts w:ascii="Garamond" w:hAnsi="Garamond"/>
          <w:bCs/>
          <w:sz w:val="18"/>
          <w:szCs w:val="18"/>
          <w:lang w:val="en-US"/>
        </w:rPr>
      </w:pPr>
      <w:r>
        <w:rPr>
          <w:rFonts w:ascii="Garamond" w:eastAsia="Calibri" w:hAnsi="Garamond"/>
          <w:bCs/>
          <w:sz w:val="18"/>
          <w:szCs w:val="18"/>
          <w:lang w:val="en-US"/>
        </w:rPr>
        <w:t>The data in this table are collected primarily from U.S.-based custodians and broker-dealers. Since U.S. securities held in overseas custody accounts may not be attributed to the actual owners, the data may not provide a precise accounting of individual country ownership of Treasury securities (see TIC FAQ #7 at: http://www.treasury.gov/resource-center/data-chart-center/tic/Pages/ticfaq1.aspx)</w:t>
      </w:r>
    </w:p>
    <w:p w:rsidR="000F236F" w:rsidRDefault="000F236F" w:rsidP="00B018BC">
      <w:pPr>
        <w:numPr>
          <w:ilvl w:val="0"/>
          <w:numId w:val="16"/>
        </w:numPr>
        <w:spacing w:line="23" w:lineRule="atLeast"/>
        <w:ind w:left="360"/>
        <w:contextualSpacing/>
        <w:jc w:val="both"/>
        <w:rPr>
          <w:rFonts w:ascii="Garamond" w:hAnsi="Garamond"/>
          <w:bCs/>
          <w:sz w:val="18"/>
          <w:szCs w:val="18"/>
          <w:lang w:val="en-US"/>
        </w:rPr>
      </w:pPr>
      <w:r>
        <w:rPr>
          <w:rFonts w:ascii="Garamond" w:eastAsia="Calibri" w:hAnsi="Garamond"/>
          <w:bCs/>
          <w:sz w:val="18"/>
          <w:szCs w:val="18"/>
          <w:lang w:val="en-US"/>
        </w:rPr>
        <w:t>Estimated foreign holdings of U.S. Treasury marketable and non-marketable bills, bonds, and notes reported under the Treasury  International Capital (TIC) reporting system are based on monthly data on holdings of Treasury bonds and notes  as reported on TIC Form SLT, Aggregate Holdings of Long-Term Securities by U.S. and Foreign Residents  and on TIC Form BL2, Report of Customers' U.S. Dollar Liabilities to Foreign Residents.</w:t>
      </w:r>
    </w:p>
    <w:p w:rsidR="000F236F" w:rsidRDefault="000F236F" w:rsidP="000F236F">
      <w:pPr>
        <w:spacing w:line="23" w:lineRule="atLeast"/>
        <w:rPr>
          <w:rFonts w:ascii="Times New Roman" w:hAnsi="Times New Roman"/>
          <w:bCs/>
          <w:sz w:val="18"/>
          <w:szCs w:val="18"/>
        </w:rPr>
      </w:pPr>
      <w:r>
        <w:rPr>
          <w:rFonts w:ascii="Garamond" w:hAnsi="Garamond"/>
          <w:bCs/>
          <w:sz w:val="18"/>
          <w:szCs w:val="18"/>
        </w:rPr>
        <w:t>Source: Department of the Treasury/Federal Reserve Board</w:t>
      </w:r>
    </w:p>
    <w:p w:rsidR="000F236F" w:rsidRDefault="000F236F" w:rsidP="000F236F">
      <w:pPr>
        <w:spacing w:line="23" w:lineRule="atLeast"/>
        <w:rPr>
          <w:rFonts w:ascii="Times New Roman" w:hAnsi="Times New Roman"/>
          <w:bCs/>
          <w:sz w:val="18"/>
          <w:szCs w:val="18"/>
        </w:rPr>
      </w:pPr>
    </w:p>
    <w:p w:rsidR="000F236F" w:rsidRDefault="000F236F" w:rsidP="000F236F">
      <w:pPr>
        <w:spacing w:line="23" w:lineRule="atLeast"/>
        <w:jc w:val="both"/>
        <w:rPr>
          <w:rFonts w:ascii="Calibri" w:hAnsi="Calibri" w:cs="Calibri"/>
          <w:bCs/>
          <w:strike/>
          <w:sz w:val="18"/>
          <w:szCs w:val="18"/>
        </w:rPr>
      </w:pPr>
    </w:p>
    <w:p w:rsidR="000F236F" w:rsidRDefault="000F236F" w:rsidP="000F236F">
      <w:pPr>
        <w:tabs>
          <w:tab w:val="left" w:pos="8160"/>
        </w:tabs>
        <w:jc w:val="both"/>
        <w:rPr>
          <w:rFonts w:ascii="Palatino Linotype" w:hAnsi="Palatino Linotype"/>
          <w:b/>
          <w:color w:val="1F3864"/>
          <w:sz w:val="40"/>
          <w:szCs w:val="40"/>
        </w:rPr>
      </w:pPr>
    </w:p>
    <w:p w:rsidR="00DB5405" w:rsidRDefault="00DB5405" w:rsidP="000E125F">
      <w:pPr>
        <w:jc w:val="center"/>
        <w:rPr>
          <w:rFonts w:ascii="Palatino Linotype" w:hAnsi="Palatino Linotype" w:cs="Calibri"/>
          <w:b/>
          <w:sz w:val="28"/>
          <w:szCs w:val="28"/>
        </w:rPr>
      </w:pPr>
    </w:p>
    <w:p w:rsidR="00DB5405" w:rsidRDefault="00DB5405" w:rsidP="000E125F">
      <w:pPr>
        <w:jc w:val="center"/>
        <w:rPr>
          <w:rFonts w:ascii="Palatino Linotype" w:hAnsi="Palatino Linotype" w:cs="Calibri"/>
          <w:b/>
          <w:sz w:val="28"/>
          <w:szCs w:val="28"/>
        </w:rPr>
      </w:pPr>
    </w:p>
    <w:p w:rsidR="000F236F" w:rsidRDefault="000F236F" w:rsidP="000E125F">
      <w:pPr>
        <w:jc w:val="center"/>
        <w:rPr>
          <w:rFonts w:ascii="Palatino Linotype" w:hAnsi="Palatino Linotype" w:cs="Calibri"/>
          <w:b/>
          <w:sz w:val="28"/>
          <w:szCs w:val="28"/>
        </w:rPr>
      </w:pPr>
      <w:r w:rsidRPr="004752BB">
        <w:rPr>
          <w:rFonts w:ascii="Palatino Linotype" w:hAnsi="Palatino Linotype" w:cs="Calibri"/>
          <w:b/>
          <w:sz w:val="28"/>
          <w:szCs w:val="28"/>
        </w:rPr>
        <w:t>HIGHLIGHTS OF DEVELOPMENTS IN</w:t>
      </w:r>
    </w:p>
    <w:p w:rsidR="000F236F" w:rsidRPr="004752BB" w:rsidRDefault="000F236F" w:rsidP="000E125F">
      <w:pPr>
        <w:jc w:val="center"/>
        <w:rPr>
          <w:rFonts w:ascii="Palatino Linotype" w:hAnsi="Palatino Linotype" w:cs="Calibri"/>
          <w:b/>
          <w:sz w:val="28"/>
          <w:szCs w:val="28"/>
        </w:rPr>
      </w:pPr>
      <w:r w:rsidRPr="004752BB">
        <w:rPr>
          <w:rFonts w:ascii="Palatino Linotype" w:hAnsi="Palatino Linotype" w:cs="Calibri"/>
          <w:b/>
          <w:sz w:val="28"/>
          <w:szCs w:val="28"/>
        </w:rPr>
        <w:t>INTERNATIONAL SECURITIES MARKET</w:t>
      </w:r>
    </w:p>
    <w:p w:rsidR="000F236F" w:rsidRDefault="000F236F" w:rsidP="000F236F">
      <w:pPr>
        <w:tabs>
          <w:tab w:val="left" w:pos="8160"/>
        </w:tabs>
        <w:jc w:val="both"/>
        <w:rPr>
          <w:rFonts w:ascii="Palatino Linotype" w:hAnsi="Palatino Linotype"/>
          <w:b/>
          <w:sz w:val="22"/>
          <w:szCs w:val="22"/>
        </w:rPr>
      </w:pPr>
    </w:p>
    <w:p w:rsidR="000F236F" w:rsidRDefault="000F236F" w:rsidP="000F236F">
      <w:pPr>
        <w:pStyle w:val="NormalWeb"/>
        <w:shd w:val="clear" w:color="auto" w:fill="FFFFFF"/>
        <w:spacing w:before="0" w:beforeAutospacing="0" w:after="0" w:afterAutospacing="0"/>
        <w:textAlignment w:val="baseline"/>
        <w:rPr>
          <w:rFonts w:ascii="Palatino Linotype" w:hAnsi="Palatino Linotype" w:cs="Arial"/>
          <w:b/>
          <w:bCs/>
          <w:sz w:val="22"/>
          <w:szCs w:val="22"/>
          <w:bdr w:val="none" w:sz="0" w:space="0" w:color="auto" w:frame="1"/>
        </w:rPr>
      </w:pPr>
    </w:p>
    <w:p w:rsidR="000F236F" w:rsidRDefault="000F236F" w:rsidP="000F236F">
      <w:pPr>
        <w:shd w:val="clear" w:color="auto" w:fill="FFFFFF"/>
        <w:spacing w:line="276" w:lineRule="auto"/>
        <w:jc w:val="both"/>
        <w:textAlignment w:val="baseline"/>
        <w:rPr>
          <w:rFonts w:ascii="Palatino Linotype" w:hAnsi="Palatino Linotype"/>
          <w:b/>
          <w:bCs/>
          <w:sz w:val="22"/>
          <w:szCs w:val="22"/>
          <w:lang w:val="en-US" w:bidi="hi-IN"/>
        </w:rPr>
      </w:pPr>
      <w:r>
        <w:rPr>
          <w:rFonts w:ascii="Palatino Linotype" w:hAnsi="Palatino Linotype"/>
          <w:b/>
          <w:bCs/>
          <w:sz w:val="22"/>
          <w:szCs w:val="22"/>
          <w:lang w:val="en-US" w:bidi="hi-IN"/>
        </w:rPr>
        <w:t>1) SEC adopts Amendments to Enhance Retail Investor Protections and Modernize the Rule Governing Quotations for Over-the-Counter Securities</w:t>
      </w:r>
    </w:p>
    <w:p w:rsidR="000F236F" w:rsidRDefault="000F236F" w:rsidP="000F236F">
      <w:pPr>
        <w:shd w:val="clear" w:color="auto" w:fill="FFFFFF"/>
        <w:spacing w:line="276" w:lineRule="auto"/>
        <w:jc w:val="both"/>
        <w:textAlignment w:val="baseline"/>
        <w:rPr>
          <w:rFonts w:ascii="Palatino Linotype" w:hAnsi="Palatino Linotype"/>
          <w:b/>
          <w:bCs/>
          <w:sz w:val="22"/>
          <w:szCs w:val="22"/>
          <w:lang w:val="en-US" w:bidi="hi-IN"/>
        </w:rPr>
      </w:pPr>
    </w:p>
    <w:p w:rsidR="000F236F" w:rsidRDefault="000F236F" w:rsidP="000F236F">
      <w:pPr>
        <w:shd w:val="clear" w:color="auto" w:fill="FFFFFF"/>
        <w:spacing w:line="276" w:lineRule="auto"/>
        <w:jc w:val="both"/>
        <w:textAlignment w:val="baseline"/>
        <w:rPr>
          <w:rFonts w:ascii="Palatino Linotype" w:hAnsi="Palatino Linotype"/>
          <w:sz w:val="22"/>
          <w:szCs w:val="22"/>
          <w:lang w:val="en-US" w:bidi="hi-IN"/>
        </w:rPr>
      </w:pPr>
      <w:r>
        <w:rPr>
          <w:rFonts w:ascii="Palatino Linotype" w:hAnsi="Palatino Linotype"/>
          <w:sz w:val="22"/>
          <w:szCs w:val="22"/>
          <w:lang w:val="en-US" w:bidi="hi-IN"/>
        </w:rPr>
        <w:t>The Securities and Exchange Commission (SEC) adopted amendments to Exchange Act Rule, an important component of the over-the-counter (OTC) market regulatory structure.  The amendments are designed to modernize the rule, which was last substantively amended nearly thirty years ago, including to recognize advances in communications technologies.  The amended rule enhances disclosure and investor protection in the OTC market by ensuring that broker-dealers, in their role as professional gatekeepers to this market, do not publish quotations for an issuer’s security when current issuer information is not publicly available, subject to certain exceptions.</w:t>
      </w:r>
    </w:p>
    <w:p w:rsidR="000F236F" w:rsidRDefault="000F236F" w:rsidP="000F236F">
      <w:pPr>
        <w:shd w:val="clear" w:color="auto" w:fill="FFFFFF"/>
        <w:spacing w:line="276" w:lineRule="auto"/>
        <w:jc w:val="both"/>
        <w:textAlignment w:val="baseline"/>
        <w:rPr>
          <w:rFonts w:ascii="Palatino Linotype" w:eastAsia="Times New Roman" w:hAnsi="Palatino Linotype"/>
          <w:sz w:val="22"/>
          <w:szCs w:val="22"/>
          <w:bdr w:val="none" w:sz="0" w:space="0" w:color="auto" w:frame="1"/>
          <w:lang w:val="en-US" w:bidi="hi-IN"/>
        </w:rPr>
      </w:pPr>
    </w:p>
    <w:p w:rsidR="000F236F" w:rsidRDefault="000F236F" w:rsidP="000F236F">
      <w:pPr>
        <w:jc w:val="both"/>
        <w:rPr>
          <w:rFonts w:ascii="Palatino Linotype" w:hAnsi="Palatino Linotype" w:cs="Calibri"/>
          <w:bCs/>
        </w:rPr>
      </w:pPr>
      <w:r>
        <w:rPr>
          <w:rFonts w:ascii="Palatino Linotype" w:hAnsi="Palatino Linotype" w:cs="Calibri"/>
          <w:bCs/>
        </w:rPr>
        <w:t>Source:  https://www.sec.gov/news/press-release/2020-212</w:t>
      </w:r>
    </w:p>
    <w:p w:rsidR="000F236F" w:rsidRDefault="000F236F" w:rsidP="000F236F">
      <w:pPr>
        <w:spacing w:line="276" w:lineRule="auto"/>
        <w:jc w:val="both"/>
        <w:rPr>
          <w:rFonts w:ascii="Palatino Linotype" w:hAnsi="Palatino Linotype"/>
          <w:i/>
          <w:iCs/>
          <w:lang w:val="en-US" w:bidi="hi-IN"/>
        </w:rPr>
      </w:pPr>
    </w:p>
    <w:p w:rsidR="000F236F" w:rsidRDefault="000F236F" w:rsidP="000F236F">
      <w:pPr>
        <w:tabs>
          <w:tab w:val="left" w:pos="8160"/>
        </w:tabs>
        <w:jc w:val="both"/>
        <w:rPr>
          <w:rFonts w:ascii="Palatino Linotype" w:hAnsi="Palatino Linotype"/>
          <w:b/>
        </w:rPr>
      </w:pPr>
    </w:p>
    <w:p w:rsidR="000F236F" w:rsidRDefault="000F236F" w:rsidP="000F236F">
      <w:pPr>
        <w:tabs>
          <w:tab w:val="left" w:pos="8160"/>
        </w:tabs>
        <w:jc w:val="both"/>
        <w:rPr>
          <w:rFonts w:ascii="Palatino Linotype" w:hAnsi="Palatino Linotype"/>
          <w:b/>
        </w:rPr>
      </w:pPr>
      <w:r>
        <w:rPr>
          <w:rFonts w:ascii="Palatino Linotype" w:hAnsi="Palatino Linotype"/>
          <w:b/>
        </w:rPr>
        <w:t>2) SEC adopts Amendments to Modernize Shareholder Proposal Rule</w:t>
      </w:r>
    </w:p>
    <w:p w:rsidR="000F236F" w:rsidRDefault="000F236F" w:rsidP="000F236F">
      <w:pPr>
        <w:tabs>
          <w:tab w:val="left" w:pos="8160"/>
        </w:tabs>
        <w:jc w:val="both"/>
        <w:rPr>
          <w:rFonts w:ascii="Palatino Linotype" w:hAnsi="Palatino Linotype"/>
          <w:b/>
        </w:rPr>
      </w:pPr>
    </w:p>
    <w:p w:rsidR="000F236F" w:rsidRDefault="000F236F" w:rsidP="000F236F">
      <w:pPr>
        <w:tabs>
          <w:tab w:val="left" w:pos="8160"/>
        </w:tabs>
        <w:jc w:val="both"/>
        <w:rPr>
          <w:rFonts w:ascii="Palatino Linotype" w:hAnsi="Palatino Linotype"/>
          <w:bCs/>
          <w:sz w:val="22"/>
          <w:szCs w:val="22"/>
        </w:rPr>
      </w:pPr>
      <w:r>
        <w:rPr>
          <w:rFonts w:ascii="Palatino Linotype" w:hAnsi="Palatino Linotype"/>
          <w:bCs/>
          <w:sz w:val="22"/>
          <w:szCs w:val="22"/>
        </w:rPr>
        <w:t xml:space="preserve">SEC voted to adopt amendments to modernize its shareholder proposal rule, which governs the process for a shareholder to have its proposal included in a company’s proxy statement for consideration by all of the company’s shareholders.  The principal requirements for: </w:t>
      </w:r>
    </w:p>
    <w:p w:rsidR="000F236F" w:rsidRDefault="000F236F" w:rsidP="000F236F">
      <w:pPr>
        <w:tabs>
          <w:tab w:val="left" w:pos="8160"/>
        </w:tabs>
        <w:jc w:val="both"/>
        <w:rPr>
          <w:rFonts w:ascii="Palatino Linotype" w:hAnsi="Palatino Linotype"/>
          <w:bCs/>
          <w:sz w:val="22"/>
          <w:szCs w:val="22"/>
        </w:rPr>
      </w:pPr>
      <w:r>
        <w:rPr>
          <w:rFonts w:ascii="Palatino Linotype" w:hAnsi="Palatino Linotype"/>
          <w:bCs/>
          <w:sz w:val="22"/>
          <w:szCs w:val="22"/>
        </w:rPr>
        <w:t xml:space="preserve">(1) initial inclusion in the proxy statement — the amount and length of ownership of the proposing shareholder — and </w:t>
      </w:r>
    </w:p>
    <w:p w:rsidR="000F236F" w:rsidRDefault="000F236F" w:rsidP="000F236F">
      <w:pPr>
        <w:tabs>
          <w:tab w:val="left" w:pos="8160"/>
        </w:tabs>
        <w:jc w:val="both"/>
        <w:rPr>
          <w:rFonts w:ascii="Palatino Linotype" w:hAnsi="Palatino Linotype"/>
          <w:bCs/>
          <w:sz w:val="22"/>
          <w:szCs w:val="22"/>
        </w:rPr>
      </w:pPr>
      <w:r>
        <w:rPr>
          <w:rFonts w:ascii="Palatino Linotype" w:hAnsi="Palatino Linotype"/>
          <w:bCs/>
          <w:sz w:val="22"/>
          <w:szCs w:val="22"/>
        </w:rPr>
        <w:t xml:space="preserve">(2) for subsequent resubmission if the proposal is not approved — the amount of support from other shareholders — have not been substantively amended since 1998 and 1954, respectively.     </w:t>
      </w:r>
    </w:p>
    <w:p w:rsidR="000F236F" w:rsidRDefault="000F236F" w:rsidP="000F236F">
      <w:pPr>
        <w:tabs>
          <w:tab w:val="left" w:pos="8160"/>
        </w:tabs>
        <w:jc w:val="both"/>
        <w:rPr>
          <w:rFonts w:ascii="Palatino Linotype" w:hAnsi="Palatino Linotype"/>
          <w:b/>
        </w:rPr>
      </w:pPr>
    </w:p>
    <w:p w:rsidR="000F236F" w:rsidRDefault="000F236F" w:rsidP="000F236F">
      <w:pPr>
        <w:jc w:val="both"/>
        <w:rPr>
          <w:rFonts w:ascii="Palatino Linotype" w:hAnsi="Palatino Linotype" w:cs="Calibri"/>
          <w:bCs/>
        </w:rPr>
      </w:pPr>
      <w:r>
        <w:rPr>
          <w:rFonts w:ascii="Palatino Linotype" w:hAnsi="Palatino Linotype" w:cs="Calibri"/>
          <w:bCs/>
        </w:rPr>
        <w:t xml:space="preserve">Source: </w:t>
      </w:r>
      <w:hyperlink r:id="rId39" w:history="1">
        <w:r>
          <w:rPr>
            <w:rStyle w:val="Hyperlink"/>
            <w:rFonts w:ascii="Palatino Linotype" w:hAnsi="Palatino Linotype" w:cs="Calibri"/>
            <w:bCs/>
            <w:color w:val="auto"/>
            <w:u w:val="none"/>
          </w:rPr>
          <w:t>https://www.sec.gov/news/press-release/2020-220</w:t>
        </w:r>
      </w:hyperlink>
    </w:p>
    <w:p w:rsidR="000F236F" w:rsidRDefault="000F236F" w:rsidP="000F236F">
      <w:pPr>
        <w:jc w:val="both"/>
        <w:rPr>
          <w:rFonts w:ascii="Palatino Linotype" w:hAnsi="Palatino Linotype" w:cs="Calibri"/>
          <w:b/>
        </w:rPr>
      </w:pPr>
    </w:p>
    <w:p w:rsidR="000F236F" w:rsidRDefault="000F236F" w:rsidP="000F236F">
      <w:pPr>
        <w:rPr>
          <w:rFonts w:ascii="Palatino Linotype" w:hAnsi="Palatino Linotype"/>
          <w:b/>
          <w:sz w:val="22"/>
          <w:szCs w:val="22"/>
        </w:rPr>
      </w:pPr>
    </w:p>
    <w:p w:rsidR="000F236F" w:rsidRDefault="000F236F" w:rsidP="000F236F">
      <w:pPr>
        <w:rPr>
          <w:rFonts w:ascii="Palatino Linotype" w:hAnsi="Palatino Linotype"/>
          <w:b/>
          <w:sz w:val="22"/>
          <w:szCs w:val="22"/>
        </w:rPr>
      </w:pPr>
      <w:r>
        <w:rPr>
          <w:rFonts w:ascii="Palatino Linotype" w:hAnsi="Palatino Linotype"/>
          <w:b/>
          <w:sz w:val="22"/>
          <w:szCs w:val="22"/>
        </w:rPr>
        <w:t>3) SEC Proposes Rules to Extend Regulations ATS and SCI to Treasuries and other Government Securities Markets</w:t>
      </w:r>
    </w:p>
    <w:p w:rsidR="000F236F" w:rsidRDefault="000F236F" w:rsidP="000F236F">
      <w:pPr>
        <w:rPr>
          <w:rFonts w:ascii="Palatino Linotype" w:hAnsi="Palatino Linotype"/>
          <w:b/>
          <w:sz w:val="22"/>
          <w:szCs w:val="22"/>
        </w:rPr>
      </w:pPr>
    </w:p>
    <w:p w:rsidR="000F236F" w:rsidRDefault="000F236F" w:rsidP="000F236F">
      <w:pPr>
        <w:jc w:val="both"/>
        <w:rPr>
          <w:rFonts w:ascii="Palatino Linotype" w:hAnsi="Palatino Linotype"/>
          <w:bCs/>
          <w:sz w:val="22"/>
          <w:szCs w:val="22"/>
        </w:rPr>
      </w:pPr>
      <w:r>
        <w:rPr>
          <w:rFonts w:ascii="Palatino Linotype" w:hAnsi="Palatino Linotype"/>
          <w:bCs/>
          <w:sz w:val="22"/>
          <w:szCs w:val="22"/>
        </w:rPr>
        <w:t>SEC announced a proposal to enhance the operational transparency, system integrity, and regulatory oversight for alternative trading systems (ATSs) that trade government securities as well as repurchase and reverse repurchase agreements on government securities (Government Securities ATSs) and issued a concept release soliciting public comment on the regulatory framework for electronic platforms that trade corporate debt and municipal securities.</w:t>
      </w:r>
    </w:p>
    <w:p w:rsidR="000F236F" w:rsidRDefault="000F236F" w:rsidP="000F236F">
      <w:pPr>
        <w:rPr>
          <w:rFonts w:ascii="Palatino Linotype" w:hAnsi="Palatino Linotype"/>
          <w:b/>
          <w:sz w:val="22"/>
          <w:szCs w:val="22"/>
        </w:rPr>
      </w:pPr>
    </w:p>
    <w:p w:rsidR="000F236F" w:rsidRDefault="000F236F" w:rsidP="000F236F">
      <w:pPr>
        <w:rPr>
          <w:rFonts w:ascii="Palatino Linotype" w:hAnsi="Palatino Linotype"/>
          <w:b/>
          <w:sz w:val="22"/>
          <w:szCs w:val="22"/>
        </w:rPr>
      </w:pPr>
      <w:r>
        <w:rPr>
          <w:rFonts w:ascii="Palatino Linotype" w:hAnsi="Palatino Linotype"/>
          <w:bCs/>
          <w:sz w:val="22"/>
          <w:szCs w:val="22"/>
        </w:rPr>
        <w:t>Source:</w:t>
      </w:r>
      <w:r>
        <w:rPr>
          <w:rFonts w:ascii="Palatino Linotype" w:hAnsi="Palatino Linotype"/>
          <w:b/>
          <w:sz w:val="22"/>
          <w:szCs w:val="22"/>
        </w:rPr>
        <w:t xml:space="preserve">  </w:t>
      </w:r>
      <w:hyperlink r:id="rId40" w:history="1">
        <w:r>
          <w:rPr>
            <w:rStyle w:val="Hyperlink"/>
            <w:rFonts w:ascii="Palatino Linotype" w:hAnsi="Palatino Linotype"/>
            <w:bCs/>
            <w:color w:val="auto"/>
            <w:sz w:val="22"/>
            <w:szCs w:val="22"/>
            <w:u w:val="none"/>
          </w:rPr>
          <w:t>https://www.sec.gov/news/press-release/2020-2</w:t>
        </w:r>
      </w:hyperlink>
      <w:r>
        <w:rPr>
          <w:rFonts w:ascii="Palatino Linotype" w:hAnsi="Palatino Linotype"/>
          <w:bCs/>
          <w:sz w:val="22"/>
          <w:szCs w:val="22"/>
        </w:rPr>
        <w:t>27</w:t>
      </w:r>
    </w:p>
    <w:p w:rsidR="000F236F" w:rsidRDefault="000F236F" w:rsidP="000F236F">
      <w:pPr>
        <w:rPr>
          <w:rFonts w:ascii="Palatino Linotype" w:hAnsi="Palatino Linotype"/>
          <w:b/>
          <w:sz w:val="22"/>
          <w:szCs w:val="22"/>
        </w:rPr>
      </w:pPr>
    </w:p>
    <w:p w:rsidR="000F236F" w:rsidRDefault="000F236F" w:rsidP="000F236F">
      <w:pPr>
        <w:tabs>
          <w:tab w:val="left" w:pos="8160"/>
        </w:tabs>
        <w:jc w:val="both"/>
        <w:rPr>
          <w:rFonts w:ascii="Palatino Linotype" w:hAnsi="Palatino Linotype"/>
          <w:b/>
        </w:rPr>
      </w:pPr>
      <w:r>
        <w:rPr>
          <w:rFonts w:ascii="Palatino Linotype" w:hAnsi="Palatino Linotype"/>
          <w:b/>
        </w:rPr>
        <w:t>4) IOSCO issues measures to reduce conflict of interests in debt capital raising</w:t>
      </w:r>
    </w:p>
    <w:p w:rsidR="000F236F" w:rsidRDefault="000F236F" w:rsidP="000F236F">
      <w:pPr>
        <w:tabs>
          <w:tab w:val="left" w:pos="8160"/>
        </w:tabs>
        <w:jc w:val="both"/>
        <w:rPr>
          <w:rFonts w:ascii="Palatino Linotype" w:hAnsi="Palatino Linotype"/>
          <w:b/>
        </w:rPr>
      </w:pPr>
    </w:p>
    <w:p w:rsidR="000F236F" w:rsidRDefault="000F236F" w:rsidP="000F236F">
      <w:pPr>
        <w:jc w:val="both"/>
        <w:rPr>
          <w:rFonts w:ascii="Palatino Linotype" w:hAnsi="Palatino Linotype"/>
          <w:bCs/>
          <w:sz w:val="22"/>
          <w:szCs w:val="22"/>
        </w:rPr>
      </w:pPr>
      <w:r>
        <w:rPr>
          <w:rFonts w:ascii="Palatino Linotype" w:hAnsi="Palatino Linotype"/>
          <w:bCs/>
          <w:sz w:val="22"/>
          <w:szCs w:val="22"/>
        </w:rPr>
        <w:lastRenderedPageBreak/>
        <w:t>The Board of the International Organization of Securities Commissions (IOSCO) published final guidance to help its members address potential conflicts of interest and associated conduct risks market intermediaries may face during the debt capital raising process. The guidance also seeks to address some specific concerns observed by certain regulators during the COVID-19 crisis that may affect the integrity of the capital raising process.</w:t>
      </w:r>
    </w:p>
    <w:p w:rsidR="000F236F" w:rsidRDefault="000F236F" w:rsidP="000F236F">
      <w:pPr>
        <w:jc w:val="both"/>
        <w:rPr>
          <w:rFonts w:ascii="Palatino Linotype" w:hAnsi="Palatino Linotype"/>
          <w:bCs/>
          <w:sz w:val="22"/>
          <w:szCs w:val="22"/>
        </w:rPr>
      </w:pPr>
    </w:p>
    <w:p w:rsidR="000F236F" w:rsidRDefault="000F236F" w:rsidP="000F236F">
      <w:pPr>
        <w:jc w:val="both"/>
        <w:rPr>
          <w:rFonts w:ascii="Palatino Linotype" w:hAnsi="Palatino Linotype" w:cs="Calibri"/>
          <w:b/>
        </w:rPr>
      </w:pPr>
      <w:r>
        <w:rPr>
          <w:rFonts w:ascii="Palatino Linotype" w:hAnsi="Palatino Linotype" w:cs="Calibri"/>
          <w:b/>
        </w:rPr>
        <w:t xml:space="preserve">Source: </w:t>
      </w:r>
      <w:hyperlink r:id="rId41" w:history="1">
        <w:r>
          <w:rPr>
            <w:rStyle w:val="Hyperlink"/>
            <w:rFonts w:ascii="Palatino Linotype" w:hAnsi="Palatino Linotype" w:cs="Calibri"/>
            <w:b/>
            <w:color w:val="auto"/>
            <w:u w:val="none"/>
          </w:rPr>
          <w:t>https://www.iosco.org/news/pdf/IOSCONEWS576.pdf</w:t>
        </w:r>
      </w:hyperlink>
    </w:p>
    <w:p w:rsidR="000F236F" w:rsidRDefault="000F236F" w:rsidP="000F236F">
      <w:pPr>
        <w:rPr>
          <w:rFonts w:ascii="Palatino Linotype" w:hAnsi="Palatino Linotype"/>
          <w:b/>
          <w:sz w:val="22"/>
          <w:szCs w:val="22"/>
        </w:rPr>
      </w:pPr>
    </w:p>
    <w:p w:rsidR="000F236F" w:rsidRDefault="000F236F" w:rsidP="000F236F">
      <w:pPr>
        <w:rPr>
          <w:rFonts w:ascii="Palatino Linotype" w:hAnsi="Palatino Linotype"/>
          <w:b/>
          <w:sz w:val="22"/>
          <w:szCs w:val="22"/>
        </w:rPr>
      </w:pPr>
    </w:p>
    <w:p w:rsidR="000F236F" w:rsidRDefault="000F236F" w:rsidP="000F236F">
      <w:pPr>
        <w:rPr>
          <w:rFonts w:ascii="Palatino Linotype" w:hAnsi="Palatino Linotype"/>
          <w:b/>
          <w:sz w:val="22"/>
          <w:szCs w:val="22"/>
        </w:rPr>
      </w:pPr>
    </w:p>
    <w:p w:rsidR="000F236F" w:rsidRPr="004752BB" w:rsidRDefault="000F236F" w:rsidP="000F236F">
      <w:pPr>
        <w:jc w:val="center"/>
        <w:rPr>
          <w:rFonts w:ascii="Palatino Linotype" w:hAnsi="Palatino Linotype" w:cs="Calibri"/>
          <w:b/>
          <w:sz w:val="28"/>
          <w:szCs w:val="28"/>
        </w:rPr>
      </w:pPr>
      <w:r w:rsidRPr="004752BB">
        <w:rPr>
          <w:rFonts w:ascii="Palatino Linotype" w:hAnsi="Palatino Linotype" w:cs="Calibri"/>
          <w:b/>
          <w:sz w:val="28"/>
          <w:szCs w:val="28"/>
        </w:rPr>
        <w:t>POLICY DEVELOPMENTS AT SEBI</w:t>
      </w:r>
    </w:p>
    <w:p w:rsidR="000F236F" w:rsidRDefault="000F236F" w:rsidP="000F236F">
      <w:pPr>
        <w:rPr>
          <w:rFonts w:ascii="Palatino Linotype" w:hAnsi="Palatino Linotype"/>
          <w:b/>
          <w:sz w:val="22"/>
          <w:szCs w:val="22"/>
        </w:rPr>
      </w:pPr>
    </w:p>
    <w:p w:rsidR="000F236F" w:rsidRDefault="000F236F" w:rsidP="000F236F">
      <w:pPr>
        <w:spacing w:line="276" w:lineRule="auto"/>
        <w:jc w:val="both"/>
        <w:rPr>
          <w:rFonts w:ascii="Palatino Linotype" w:hAnsi="Palatino Linotype"/>
          <w:b/>
          <w:color w:val="000000"/>
        </w:rPr>
      </w:pPr>
      <w:r>
        <w:rPr>
          <w:rFonts w:ascii="Palatino Linotype" w:hAnsi="Palatino Linotype"/>
          <w:b/>
          <w:color w:val="000000"/>
        </w:rPr>
        <w:t>1.</w:t>
      </w:r>
      <w:r>
        <w:rPr>
          <w:rFonts w:ascii="Palatino Linotype" w:hAnsi="Palatino Linotype"/>
          <w:b/>
          <w:color w:val="000000"/>
        </w:rPr>
        <w:tab/>
        <w:t>Review of Debt and Money Market Securities Transactions Disclosure</w:t>
      </w:r>
    </w:p>
    <w:p w:rsidR="000F236F" w:rsidRDefault="000F236F" w:rsidP="000F236F">
      <w:pPr>
        <w:shd w:val="clear" w:color="auto" w:fill="FFFFFF"/>
        <w:spacing w:line="276" w:lineRule="auto"/>
        <w:jc w:val="both"/>
        <w:rPr>
          <w:rFonts w:ascii="Palatino Linotype" w:hAnsi="Palatino Linotype"/>
          <w:color w:val="000000"/>
        </w:rPr>
      </w:pPr>
    </w:p>
    <w:p w:rsidR="000F236F" w:rsidRDefault="000F236F" w:rsidP="000F236F">
      <w:pPr>
        <w:shd w:val="clear" w:color="auto" w:fill="FFFFFF"/>
        <w:spacing w:line="276" w:lineRule="auto"/>
        <w:jc w:val="both"/>
        <w:rPr>
          <w:rFonts w:ascii="Palatino Linotype" w:hAnsi="Palatino Linotype"/>
          <w:color w:val="000000"/>
        </w:rPr>
      </w:pPr>
      <w:r>
        <w:rPr>
          <w:rFonts w:ascii="Palatino Linotype" w:hAnsi="Palatino Linotype"/>
          <w:color w:val="000000"/>
        </w:rPr>
        <w:t xml:space="preserve">A format was prescribed to Mutual Funds to disclose all details of debt and money market securities transacted (including inter scheme transfers) in its schemes portfolio on daily basis with a time lag of 30 days The new framework will come into effect from October 01, 2020.    </w:t>
      </w:r>
    </w:p>
    <w:p w:rsidR="000F236F" w:rsidRDefault="000F236F" w:rsidP="000F236F">
      <w:pPr>
        <w:shd w:val="clear" w:color="auto" w:fill="FFFFFF"/>
        <w:spacing w:line="276" w:lineRule="auto"/>
        <w:jc w:val="both"/>
        <w:rPr>
          <w:rFonts w:ascii="Palatino Linotype" w:hAnsi="Palatino Linotype"/>
          <w:color w:val="000000"/>
        </w:rPr>
      </w:pPr>
    </w:p>
    <w:p w:rsidR="000F236F" w:rsidRDefault="000F236F" w:rsidP="000F236F">
      <w:pPr>
        <w:shd w:val="clear" w:color="auto" w:fill="FFFFFF"/>
        <w:spacing w:line="276" w:lineRule="auto"/>
        <w:jc w:val="both"/>
        <w:rPr>
          <w:rFonts w:ascii="Palatino Linotype" w:hAnsi="Palatino Linotype"/>
          <w:b/>
          <w:color w:val="000000"/>
        </w:rPr>
      </w:pPr>
      <w:r>
        <w:rPr>
          <w:rFonts w:ascii="Palatino Linotype" w:hAnsi="Palatino Linotype"/>
          <w:b/>
          <w:color w:val="000000"/>
        </w:rPr>
        <w:t>Source: SEBI/HO/IMD/DF4/CIR/P/2020/163 dated September 01, 2020</w:t>
      </w:r>
    </w:p>
    <w:p w:rsidR="000F236F" w:rsidRDefault="000F236F" w:rsidP="000F236F">
      <w:pPr>
        <w:shd w:val="clear" w:color="auto" w:fill="FFFFFF"/>
        <w:spacing w:line="276" w:lineRule="auto"/>
        <w:jc w:val="both"/>
        <w:rPr>
          <w:rFonts w:ascii="Palatino Linotype" w:hAnsi="Palatino Linotype"/>
          <w:color w:val="000000"/>
        </w:rPr>
      </w:pPr>
    </w:p>
    <w:p w:rsidR="000F236F" w:rsidRDefault="000F236F" w:rsidP="000F236F">
      <w:pPr>
        <w:spacing w:line="276" w:lineRule="auto"/>
        <w:jc w:val="both"/>
        <w:rPr>
          <w:rFonts w:ascii="Palatino Linotype" w:hAnsi="Palatino Linotype"/>
          <w:b/>
          <w:color w:val="000000"/>
        </w:rPr>
      </w:pPr>
      <w:r>
        <w:rPr>
          <w:rFonts w:ascii="Palatino Linotype" w:hAnsi="Palatino Linotype"/>
          <w:b/>
          <w:color w:val="000000"/>
        </w:rPr>
        <w:t>2.</w:t>
      </w:r>
      <w:r>
        <w:rPr>
          <w:rFonts w:ascii="Palatino Linotype" w:hAnsi="Palatino Linotype"/>
          <w:b/>
          <w:color w:val="000000"/>
        </w:rPr>
        <w:tab/>
        <w:t>Disclosures on Margin obligations given by way of Pledge Re-pledge in the Depository System</w:t>
      </w:r>
    </w:p>
    <w:p w:rsidR="000F236F" w:rsidRDefault="000F236F" w:rsidP="000F236F">
      <w:pPr>
        <w:shd w:val="clear" w:color="auto" w:fill="FFFFFF"/>
        <w:spacing w:line="276" w:lineRule="auto"/>
        <w:jc w:val="both"/>
        <w:rPr>
          <w:rFonts w:ascii="Palatino Linotype" w:hAnsi="Palatino Linotype"/>
          <w:color w:val="000000"/>
        </w:rPr>
      </w:pPr>
    </w:p>
    <w:p w:rsidR="000F236F" w:rsidRDefault="000F236F" w:rsidP="000F236F">
      <w:pPr>
        <w:shd w:val="clear" w:color="auto" w:fill="FFFFFF"/>
        <w:spacing w:line="276" w:lineRule="auto"/>
        <w:jc w:val="both"/>
        <w:rPr>
          <w:rFonts w:ascii="Palatino Linotype" w:hAnsi="Palatino Linotype"/>
          <w:color w:val="000000"/>
        </w:rPr>
      </w:pPr>
      <w:r>
        <w:rPr>
          <w:rFonts w:ascii="Palatino Linotype" w:hAnsi="Palatino Linotype"/>
          <w:color w:val="000000"/>
        </w:rPr>
        <w:t xml:space="preserve"> Disclosures specified under Regulation 29(4) of SEBI  (Substantial  Acquisition  of  Shares  and  Takeover) Regulations, 2011 (‘Takeover Regulations’), in relation to shares encumbered with TM/CM as a collateral from clients for margin obligation in the ordinary course of stock broking business are dispensed with </w:t>
      </w:r>
    </w:p>
    <w:p w:rsidR="000F236F" w:rsidRDefault="000F236F" w:rsidP="000F236F">
      <w:pPr>
        <w:shd w:val="clear" w:color="auto" w:fill="FFFFFF"/>
        <w:spacing w:line="276" w:lineRule="auto"/>
        <w:jc w:val="both"/>
        <w:rPr>
          <w:rFonts w:ascii="Palatino Linotype" w:hAnsi="Palatino Linotype"/>
          <w:color w:val="000000"/>
        </w:rPr>
      </w:pPr>
    </w:p>
    <w:p w:rsidR="000F236F" w:rsidRDefault="000F236F" w:rsidP="000F236F">
      <w:pPr>
        <w:shd w:val="clear" w:color="auto" w:fill="FFFFFF"/>
        <w:spacing w:line="276" w:lineRule="auto"/>
        <w:jc w:val="both"/>
        <w:rPr>
          <w:rFonts w:ascii="Palatino Linotype" w:hAnsi="Palatino Linotype"/>
          <w:b/>
          <w:color w:val="000000"/>
        </w:rPr>
      </w:pPr>
      <w:r>
        <w:rPr>
          <w:rFonts w:ascii="Palatino Linotype" w:hAnsi="Palatino Linotype"/>
          <w:b/>
          <w:color w:val="000000"/>
        </w:rPr>
        <w:t>Source: SEBI/HO/CFD/DCR-2/CIR/P/2020/164 dated September 02, 2020</w:t>
      </w:r>
    </w:p>
    <w:p w:rsidR="000F236F" w:rsidRDefault="000F236F" w:rsidP="000F236F">
      <w:pPr>
        <w:spacing w:line="276" w:lineRule="auto"/>
        <w:jc w:val="both"/>
        <w:rPr>
          <w:rFonts w:ascii="Palatino Linotype" w:hAnsi="Palatino Linotype"/>
          <w:color w:val="000000"/>
        </w:rPr>
      </w:pPr>
    </w:p>
    <w:p w:rsidR="000F236F" w:rsidRDefault="000F236F" w:rsidP="000F236F">
      <w:pPr>
        <w:spacing w:line="276" w:lineRule="auto"/>
        <w:jc w:val="both"/>
        <w:rPr>
          <w:rFonts w:ascii="Palatino Linotype" w:hAnsi="Palatino Linotype"/>
          <w:b/>
          <w:color w:val="000000"/>
        </w:rPr>
      </w:pPr>
      <w:r>
        <w:rPr>
          <w:rFonts w:ascii="Palatino Linotype" w:hAnsi="Palatino Linotype"/>
          <w:b/>
          <w:color w:val="000000"/>
        </w:rPr>
        <w:t>3.</w:t>
      </w:r>
      <w:r>
        <w:rPr>
          <w:rFonts w:ascii="Palatino Linotype" w:hAnsi="Palatino Linotype"/>
          <w:b/>
          <w:color w:val="000000"/>
        </w:rPr>
        <w:tab/>
        <w:t>Review of Provision Regarding Segregation of Portfolio due to the COVID19 Pandemic</w:t>
      </w:r>
    </w:p>
    <w:p w:rsidR="000F236F" w:rsidRDefault="000F236F" w:rsidP="000F236F">
      <w:pPr>
        <w:shd w:val="clear" w:color="auto" w:fill="FFFFFF"/>
        <w:spacing w:line="276" w:lineRule="auto"/>
        <w:jc w:val="both"/>
        <w:rPr>
          <w:rFonts w:ascii="Palatino Linotype" w:hAnsi="Palatino Linotype"/>
          <w:color w:val="000000"/>
        </w:rPr>
      </w:pPr>
    </w:p>
    <w:p w:rsidR="000F236F" w:rsidRDefault="000F236F" w:rsidP="000F236F">
      <w:pPr>
        <w:shd w:val="clear" w:color="auto" w:fill="FFFFFF"/>
        <w:spacing w:line="276" w:lineRule="auto"/>
        <w:jc w:val="both"/>
        <w:rPr>
          <w:rFonts w:ascii="Palatino Linotype" w:hAnsi="Palatino Linotype"/>
          <w:color w:val="000000"/>
        </w:rPr>
      </w:pPr>
      <w:r>
        <w:rPr>
          <w:rFonts w:ascii="Palatino Linotype" w:hAnsi="Palatino Linotype"/>
          <w:color w:val="000000"/>
        </w:rPr>
        <w:t>The date of proposal for restructuring of debt received by asset management companies is decided to be treated as the trigger date for segregated portfolio.</w:t>
      </w:r>
    </w:p>
    <w:p w:rsidR="000F236F" w:rsidRDefault="000F236F" w:rsidP="000F236F">
      <w:pPr>
        <w:shd w:val="clear" w:color="auto" w:fill="FFFFFF"/>
        <w:spacing w:line="276" w:lineRule="auto"/>
        <w:jc w:val="both"/>
        <w:rPr>
          <w:rFonts w:ascii="Palatino Linotype" w:hAnsi="Palatino Linotype"/>
          <w:color w:val="000000"/>
        </w:rPr>
      </w:pPr>
    </w:p>
    <w:p w:rsidR="000F236F" w:rsidRDefault="000F236F" w:rsidP="000F236F">
      <w:pPr>
        <w:shd w:val="clear" w:color="auto" w:fill="FFFFFF"/>
        <w:spacing w:line="276" w:lineRule="auto"/>
        <w:jc w:val="both"/>
        <w:rPr>
          <w:rFonts w:ascii="Palatino Linotype" w:hAnsi="Palatino Linotype"/>
          <w:b/>
          <w:color w:val="000000"/>
        </w:rPr>
      </w:pPr>
      <w:r>
        <w:rPr>
          <w:rFonts w:ascii="Palatino Linotype" w:hAnsi="Palatino Linotype"/>
          <w:b/>
          <w:color w:val="000000"/>
        </w:rPr>
        <w:t>Source: SEBI/HO/IMD/DF4/CIR/P/2020/165 dated September 02, 2020</w:t>
      </w:r>
    </w:p>
    <w:p w:rsidR="000F236F" w:rsidRDefault="000F236F" w:rsidP="000F236F">
      <w:pPr>
        <w:rPr>
          <w:rFonts w:ascii="Palatino Linotype" w:hAnsi="Palatino Linotype"/>
          <w:b/>
          <w:sz w:val="22"/>
          <w:szCs w:val="22"/>
        </w:rPr>
      </w:pPr>
    </w:p>
    <w:p w:rsidR="000F236F" w:rsidRDefault="000F236F" w:rsidP="000F236F">
      <w:pPr>
        <w:rPr>
          <w:rFonts w:ascii="Palatino Linotype" w:hAnsi="Palatino Linotype"/>
          <w:b/>
          <w:sz w:val="22"/>
          <w:szCs w:val="22"/>
        </w:rPr>
      </w:pPr>
    </w:p>
    <w:p w:rsidR="000F236F" w:rsidRDefault="000F236F" w:rsidP="000F236F">
      <w:pPr>
        <w:rPr>
          <w:rFonts w:ascii="Palatino Linotype" w:hAnsi="Palatino Linotype"/>
          <w:b/>
          <w:sz w:val="22"/>
          <w:szCs w:val="22"/>
        </w:rPr>
      </w:pPr>
    </w:p>
    <w:p w:rsidR="000F236F" w:rsidRDefault="000F236F" w:rsidP="000F236F">
      <w:pPr>
        <w:rPr>
          <w:rFonts w:ascii="Palatino Linotype" w:hAnsi="Palatino Linotype"/>
          <w:b/>
          <w:sz w:val="22"/>
          <w:szCs w:val="22"/>
        </w:rPr>
      </w:pPr>
    </w:p>
    <w:p w:rsidR="000F236F" w:rsidRDefault="000F236F" w:rsidP="000F236F">
      <w:pPr>
        <w:rPr>
          <w:rFonts w:ascii="Palatino Linotype" w:hAnsi="Palatino Linotype"/>
          <w:b/>
          <w:sz w:val="22"/>
          <w:szCs w:val="22"/>
        </w:rPr>
      </w:pPr>
    </w:p>
    <w:p w:rsidR="000F236F" w:rsidRDefault="000F236F" w:rsidP="000F236F">
      <w:pPr>
        <w:shd w:val="clear" w:color="auto" w:fill="FFFFFF"/>
        <w:spacing w:line="276" w:lineRule="auto"/>
        <w:jc w:val="both"/>
        <w:rPr>
          <w:rFonts w:ascii="Palatino Linotype" w:hAnsi="Palatino Linotype"/>
          <w:b/>
          <w:color w:val="000000"/>
        </w:rPr>
      </w:pPr>
      <w:r>
        <w:rPr>
          <w:rFonts w:ascii="Palatino Linotype" w:hAnsi="Palatino Linotype"/>
          <w:b/>
          <w:color w:val="000000"/>
        </w:rPr>
        <w:lastRenderedPageBreak/>
        <w:t>4. Re-lodgement of Transfer Requests Shares</w:t>
      </w:r>
    </w:p>
    <w:p w:rsidR="000F236F" w:rsidRDefault="000F236F" w:rsidP="000F236F">
      <w:pPr>
        <w:shd w:val="clear" w:color="auto" w:fill="FFFFFF"/>
        <w:spacing w:line="276" w:lineRule="auto"/>
        <w:jc w:val="both"/>
        <w:rPr>
          <w:rFonts w:ascii="Palatino Linotype" w:hAnsi="Palatino Linotype"/>
          <w:color w:val="000000"/>
        </w:rPr>
      </w:pPr>
    </w:p>
    <w:p w:rsidR="000F236F" w:rsidRDefault="000F236F" w:rsidP="000F236F">
      <w:pPr>
        <w:shd w:val="clear" w:color="auto" w:fill="FFFFFF"/>
        <w:spacing w:line="276" w:lineRule="auto"/>
        <w:jc w:val="both"/>
        <w:rPr>
          <w:rFonts w:ascii="Palatino Linotype" w:hAnsi="Palatino Linotype"/>
          <w:color w:val="000000"/>
        </w:rPr>
      </w:pPr>
      <w:r>
        <w:rPr>
          <w:rFonts w:ascii="Palatino Linotype" w:hAnsi="Palatino Linotype"/>
          <w:color w:val="000000"/>
        </w:rPr>
        <w:t>For re-lodgement of share transfer requests, the cut-off date has been fixed as March 31, 2021.  Further, the   shares   that   are   re-lodged   for   transfer (including those  request  that  are  pending  with  the  listed  company  /  RTA,  as on date) shall henceforth be issued only in demat mode.</w:t>
      </w:r>
    </w:p>
    <w:p w:rsidR="000F236F" w:rsidRDefault="000F236F" w:rsidP="000F236F">
      <w:pPr>
        <w:shd w:val="clear" w:color="auto" w:fill="FFFFFF"/>
        <w:spacing w:line="276" w:lineRule="auto"/>
        <w:jc w:val="both"/>
        <w:rPr>
          <w:rFonts w:ascii="Palatino Linotype" w:hAnsi="Palatino Linotype"/>
          <w:color w:val="000000"/>
        </w:rPr>
      </w:pPr>
    </w:p>
    <w:p w:rsidR="000F236F" w:rsidRDefault="000F236F" w:rsidP="000F236F">
      <w:pPr>
        <w:shd w:val="clear" w:color="auto" w:fill="FFFFFF"/>
        <w:spacing w:line="276" w:lineRule="auto"/>
        <w:jc w:val="both"/>
        <w:rPr>
          <w:rFonts w:ascii="Palatino Linotype" w:hAnsi="Palatino Linotype"/>
          <w:b/>
          <w:color w:val="000000"/>
        </w:rPr>
      </w:pPr>
      <w:r>
        <w:rPr>
          <w:rFonts w:ascii="Palatino Linotype" w:hAnsi="Palatino Linotype"/>
          <w:b/>
          <w:color w:val="000000"/>
        </w:rPr>
        <w:t>Source: SEBI/HO/MIRSD/RTAMB/CIR/P/2020/166 dated September 07, 2020</w:t>
      </w:r>
    </w:p>
    <w:p w:rsidR="000F236F" w:rsidRDefault="000F236F" w:rsidP="000F236F">
      <w:pPr>
        <w:shd w:val="clear" w:color="auto" w:fill="FFFFFF"/>
        <w:spacing w:line="276" w:lineRule="auto"/>
        <w:jc w:val="both"/>
        <w:rPr>
          <w:rFonts w:ascii="Palatino Linotype" w:hAnsi="Palatino Linotype"/>
          <w:color w:val="333333"/>
          <w:sz w:val="18"/>
          <w:szCs w:val="18"/>
        </w:rPr>
      </w:pPr>
    </w:p>
    <w:p w:rsidR="000F236F" w:rsidRDefault="000F236F" w:rsidP="000F236F">
      <w:pPr>
        <w:spacing w:line="276" w:lineRule="auto"/>
        <w:jc w:val="both"/>
        <w:rPr>
          <w:rFonts w:ascii="Palatino Linotype" w:hAnsi="Palatino Linotype"/>
          <w:b/>
          <w:color w:val="000000"/>
        </w:rPr>
      </w:pPr>
      <w:r>
        <w:rPr>
          <w:rFonts w:ascii="Palatino Linotype" w:hAnsi="Palatino Linotype"/>
          <w:b/>
          <w:color w:val="000000"/>
        </w:rPr>
        <w:t>5.</w:t>
      </w:r>
      <w:r>
        <w:rPr>
          <w:rFonts w:ascii="Palatino Linotype" w:hAnsi="Palatino Linotype"/>
          <w:b/>
          <w:color w:val="000000"/>
        </w:rPr>
        <w:tab/>
        <w:t>Entities permitted to undertake e-KYC Aadhaar Authentication Service of UIDAI in Securities Market – Addition of NSE to the list</w:t>
      </w:r>
    </w:p>
    <w:p w:rsidR="000F236F" w:rsidRDefault="000F236F" w:rsidP="000F236F">
      <w:pPr>
        <w:shd w:val="clear" w:color="auto" w:fill="FFFFFF"/>
        <w:spacing w:line="276" w:lineRule="auto"/>
        <w:jc w:val="both"/>
        <w:rPr>
          <w:rFonts w:ascii="Palatino Linotype" w:hAnsi="Palatino Linotype"/>
          <w:color w:val="000000"/>
        </w:rPr>
      </w:pPr>
    </w:p>
    <w:p w:rsidR="000F236F" w:rsidRDefault="000F236F" w:rsidP="000F236F">
      <w:pPr>
        <w:shd w:val="clear" w:color="auto" w:fill="FFFFFF"/>
        <w:spacing w:line="276" w:lineRule="auto"/>
        <w:jc w:val="both"/>
        <w:rPr>
          <w:rFonts w:ascii="Palatino Linotype" w:hAnsi="Palatino Linotype"/>
          <w:color w:val="000000"/>
        </w:rPr>
      </w:pPr>
      <w:r>
        <w:rPr>
          <w:rFonts w:ascii="Palatino Linotype" w:hAnsi="Palatino Linotype"/>
          <w:color w:val="000000"/>
        </w:rPr>
        <w:t xml:space="preserve">Pursuant to Gazatte Notification by Government of India dated August 20, 2020, National Stock Exchange of India Ltd. was included to the list of entities that can undertake e-KYC Aadhaar authentication subject to compliance of the conditions as laid down in this regard.  In May, 2020, SEBI had come out with a list of eight entities permitted to use e-KYC (Electronic-Know Your Customer) Aadhaar authentication.  </w:t>
      </w:r>
    </w:p>
    <w:p w:rsidR="000F236F" w:rsidRDefault="000F236F" w:rsidP="000F236F">
      <w:pPr>
        <w:shd w:val="clear" w:color="auto" w:fill="FFFFFF"/>
        <w:spacing w:line="276" w:lineRule="auto"/>
        <w:jc w:val="both"/>
        <w:rPr>
          <w:rFonts w:ascii="Palatino Linotype" w:hAnsi="Palatino Linotype"/>
          <w:color w:val="000000"/>
        </w:rPr>
      </w:pPr>
    </w:p>
    <w:p w:rsidR="000F236F" w:rsidRDefault="000F236F" w:rsidP="000F236F">
      <w:pPr>
        <w:shd w:val="clear" w:color="auto" w:fill="FFFFFF"/>
        <w:spacing w:line="276" w:lineRule="auto"/>
        <w:jc w:val="both"/>
        <w:rPr>
          <w:rFonts w:ascii="Palatino Linotype" w:hAnsi="Palatino Linotype"/>
          <w:b/>
          <w:color w:val="000000"/>
        </w:rPr>
      </w:pPr>
      <w:r>
        <w:rPr>
          <w:rFonts w:ascii="Palatino Linotype" w:hAnsi="Palatino Linotype"/>
          <w:b/>
          <w:color w:val="000000"/>
        </w:rPr>
        <w:t>Source: SEBI/HO/MIRSD/DOP/CIR/P/2020 dated September 08, 2020</w:t>
      </w:r>
    </w:p>
    <w:p w:rsidR="000F236F" w:rsidRDefault="000F236F" w:rsidP="000F236F">
      <w:pPr>
        <w:shd w:val="clear" w:color="auto" w:fill="FFFFFF"/>
        <w:spacing w:line="276" w:lineRule="auto"/>
        <w:jc w:val="both"/>
        <w:rPr>
          <w:rFonts w:ascii="Palatino Linotype" w:hAnsi="Palatino Linotype"/>
          <w:color w:val="000000"/>
        </w:rPr>
      </w:pPr>
    </w:p>
    <w:p w:rsidR="000F236F" w:rsidRDefault="000F236F" w:rsidP="000F236F">
      <w:pPr>
        <w:spacing w:line="276" w:lineRule="auto"/>
        <w:jc w:val="both"/>
        <w:rPr>
          <w:rFonts w:ascii="Palatino Linotype" w:hAnsi="Palatino Linotype"/>
          <w:b/>
          <w:color w:val="000000"/>
        </w:rPr>
      </w:pPr>
      <w:r>
        <w:rPr>
          <w:rFonts w:ascii="Palatino Linotype" w:hAnsi="Palatino Linotype"/>
          <w:b/>
          <w:color w:val="000000"/>
        </w:rPr>
        <w:t>6.</w:t>
      </w:r>
      <w:r>
        <w:rPr>
          <w:rFonts w:ascii="Palatino Linotype" w:hAnsi="Palatino Linotype"/>
          <w:b/>
          <w:color w:val="000000"/>
        </w:rPr>
        <w:tab/>
        <w:t>Operating Guidelines for Portfolio Managers in International Financial Services Centre</w:t>
      </w:r>
    </w:p>
    <w:p w:rsidR="000F236F" w:rsidRDefault="000F236F" w:rsidP="000F236F">
      <w:pPr>
        <w:shd w:val="clear" w:color="auto" w:fill="FFFFFF"/>
        <w:spacing w:line="276" w:lineRule="auto"/>
        <w:jc w:val="both"/>
        <w:rPr>
          <w:rFonts w:ascii="Palatino Linotype" w:hAnsi="Palatino Linotype"/>
          <w:color w:val="000000"/>
        </w:rPr>
      </w:pPr>
    </w:p>
    <w:p w:rsidR="000F236F" w:rsidRDefault="000F236F" w:rsidP="000F236F">
      <w:pPr>
        <w:shd w:val="clear" w:color="auto" w:fill="FFFFFF"/>
        <w:spacing w:line="276" w:lineRule="auto"/>
        <w:jc w:val="both"/>
        <w:rPr>
          <w:rFonts w:ascii="Palatino Linotype" w:hAnsi="Palatino Linotype"/>
          <w:color w:val="000000"/>
        </w:rPr>
      </w:pPr>
      <w:r>
        <w:rPr>
          <w:rFonts w:ascii="Palatino Linotype" w:hAnsi="Palatino Linotype"/>
          <w:color w:val="000000"/>
        </w:rPr>
        <w:t>Operating guidelines issued to provide portfolio management services at the International Financial Services Centre</w:t>
      </w:r>
    </w:p>
    <w:p w:rsidR="000F236F" w:rsidRDefault="000F236F" w:rsidP="000F236F">
      <w:pPr>
        <w:shd w:val="clear" w:color="auto" w:fill="FFFFFF"/>
        <w:spacing w:line="276" w:lineRule="auto"/>
        <w:jc w:val="both"/>
        <w:rPr>
          <w:rFonts w:ascii="Palatino Linotype" w:hAnsi="Palatino Linotype"/>
          <w:color w:val="000000"/>
        </w:rPr>
      </w:pPr>
    </w:p>
    <w:p w:rsidR="000F236F" w:rsidRDefault="000F236F" w:rsidP="000F236F">
      <w:pPr>
        <w:shd w:val="clear" w:color="auto" w:fill="FFFFFF"/>
        <w:spacing w:line="276" w:lineRule="auto"/>
        <w:jc w:val="both"/>
        <w:rPr>
          <w:rFonts w:ascii="Palatino Linotype" w:hAnsi="Palatino Linotype"/>
          <w:b/>
          <w:color w:val="000000"/>
        </w:rPr>
      </w:pPr>
      <w:r>
        <w:rPr>
          <w:rFonts w:ascii="Palatino Linotype" w:hAnsi="Palatino Linotype"/>
          <w:b/>
          <w:color w:val="000000"/>
        </w:rPr>
        <w:t>Source: SEBI/HO/IMD/DF1/CIR/P/2020/169 dated September 09, 2020</w:t>
      </w:r>
    </w:p>
    <w:p w:rsidR="000F236F" w:rsidRDefault="000F236F" w:rsidP="000F236F">
      <w:pPr>
        <w:shd w:val="clear" w:color="auto" w:fill="FFFFFF"/>
        <w:spacing w:line="276" w:lineRule="auto"/>
        <w:jc w:val="both"/>
        <w:rPr>
          <w:rFonts w:ascii="Palatino Linotype" w:hAnsi="Palatino Linotype"/>
          <w:color w:val="000000"/>
        </w:rPr>
      </w:pPr>
    </w:p>
    <w:p w:rsidR="000F236F" w:rsidRDefault="000F236F" w:rsidP="000F236F">
      <w:pPr>
        <w:spacing w:line="276" w:lineRule="auto"/>
        <w:jc w:val="both"/>
        <w:rPr>
          <w:rFonts w:ascii="Palatino Linotype" w:hAnsi="Palatino Linotype"/>
          <w:b/>
          <w:color w:val="000000"/>
        </w:rPr>
      </w:pPr>
      <w:r>
        <w:rPr>
          <w:rFonts w:ascii="Palatino Linotype" w:hAnsi="Palatino Linotype"/>
          <w:b/>
          <w:color w:val="000000"/>
        </w:rPr>
        <w:t>7.</w:t>
      </w:r>
      <w:r>
        <w:rPr>
          <w:rFonts w:ascii="Palatino Linotype" w:hAnsi="Palatino Linotype"/>
          <w:b/>
          <w:color w:val="000000"/>
        </w:rPr>
        <w:tab/>
        <w:t>Automation of Continual Disclosures under Regulation 7(2) of SEBI (Prohibition of Insider Trading) Regulations, 2015 - System driven disclosures</w:t>
      </w:r>
    </w:p>
    <w:p w:rsidR="000F236F" w:rsidRDefault="000F236F" w:rsidP="000F236F">
      <w:pPr>
        <w:shd w:val="clear" w:color="auto" w:fill="FFFFFF"/>
        <w:spacing w:line="276" w:lineRule="auto"/>
        <w:jc w:val="both"/>
        <w:rPr>
          <w:rFonts w:ascii="Palatino Linotype" w:hAnsi="Palatino Linotype"/>
          <w:color w:val="000000"/>
        </w:rPr>
      </w:pPr>
    </w:p>
    <w:p w:rsidR="000F236F" w:rsidRDefault="000F236F" w:rsidP="000F236F">
      <w:pPr>
        <w:shd w:val="clear" w:color="auto" w:fill="FFFFFF"/>
        <w:spacing w:line="276" w:lineRule="auto"/>
        <w:jc w:val="both"/>
        <w:rPr>
          <w:rFonts w:ascii="Palatino Linotype" w:hAnsi="Palatino Linotype"/>
          <w:color w:val="000000"/>
        </w:rPr>
      </w:pPr>
      <w:r>
        <w:rPr>
          <w:rFonts w:ascii="Palatino Linotype" w:hAnsi="Palatino Linotype"/>
          <w:color w:val="000000"/>
        </w:rPr>
        <w:t xml:space="preserve">Pursuant to the amendments dated July 17, 2020 in the SEBI (Prohibition of Insider Trading) Regulations, 2015 and discussion held with stock exchanges and depositories, the system driven disclosures are implemented for  member(s) of promoter group and designated persons of a listed company in addition to the promoter(s) and director(s) of the company under Regulation 7(2) of the PIT Regulations.  To begin with, disclosures will pertain to trading in equity shares and equity derivative instruments i.e. futures and options of the listed company by these entities.   </w:t>
      </w:r>
    </w:p>
    <w:p w:rsidR="000F236F" w:rsidRDefault="000F236F" w:rsidP="000F236F">
      <w:pPr>
        <w:shd w:val="clear" w:color="auto" w:fill="FFFFFF"/>
        <w:spacing w:line="276" w:lineRule="auto"/>
        <w:jc w:val="both"/>
        <w:rPr>
          <w:rFonts w:ascii="Palatino Linotype" w:hAnsi="Palatino Linotype"/>
          <w:color w:val="000000"/>
        </w:rPr>
      </w:pPr>
    </w:p>
    <w:p w:rsidR="000F236F" w:rsidRDefault="000F236F" w:rsidP="000F236F">
      <w:pPr>
        <w:shd w:val="clear" w:color="auto" w:fill="FFFFFF"/>
        <w:spacing w:line="276" w:lineRule="auto"/>
        <w:jc w:val="both"/>
        <w:rPr>
          <w:rFonts w:ascii="Palatino Linotype" w:hAnsi="Palatino Linotype"/>
          <w:b/>
          <w:color w:val="000000"/>
        </w:rPr>
      </w:pPr>
      <w:r>
        <w:rPr>
          <w:rFonts w:ascii="Palatino Linotype" w:hAnsi="Palatino Linotype"/>
          <w:b/>
          <w:color w:val="000000"/>
        </w:rPr>
        <w:lastRenderedPageBreak/>
        <w:t>Source: SEBI/HO/ISD/ISD/CIR/P/202 dated September 09, 2020</w:t>
      </w:r>
    </w:p>
    <w:p w:rsidR="000F236F" w:rsidRDefault="000F236F" w:rsidP="000F236F">
      <w:pPr>
        <w:spacing w:line="276" w:lineRule="auto"/>
        <w:jc w:val="both"/>
        <w:rPr>
          <w:rFonts w:ascii="Palatino Linotype" w:hAnsi="Palatino Linotype"/>
          <w:color w:val="000000"/>
        </w:rPr>
      </w:pPr>
    </w:p>
    <w:p w:rsidR="000F236F" w:rsidRDefault="000F236F" w:rsidP="000F236F">
      <w:pPr>
        <w:spacing w:line="276" w:lineRule="auto"/>
        <w:jc w:val="both"/>
        <w:rPr>
          <w:rFonts w:ascii="Palatino Linotype" w:hAnsi="Palatino Linotype"/>
          <w:b/>
          <w:color w:val="000000"/>
        </w:rPr>
      </w:pPr>
      <w:r>
        <w:rPr>
          <w:rFonts w:ascii="Palatino Linotype" w:hAnsi="Palatino Linotype"/>
          <w:b/>
          <w:color w:val="000000"/>
        </w:rPr>
        <w:t>8.</w:t>
      </w:r>
      <w:r>
        <w:rPr>
          <w:rFonts w:ascii="Palatino Linotype" w:hAnsi="Palatino Linotype"/>
          <w:b/>
          <w:color w:val="000000"/>
        </w:rPr>
        <w:tab/>
        <w:t>Asset Allocation of Multi Cap Funds</w:t>
      </w:r>
    </w:p>
    <w:p w:rsidR="000F236F" w:rsidRDefault="000F236F" w:rsidP="000F236F">
      <w:pPr>
        <w:shd w:val="clear" w:color="auto" w:fill="FFFFFF"/>
        <w:spacing w:line="276" w:lineRule="auto"/>
        <w:jc w:val="both"/>
        <w:rPr>
          <w:rFonts w:ascii="Palatino Linotype" w:hAnsi="Palatino Linotype"/>
          <w:color w:val="000000"/>
        </w:rPr>
      </w:pPr>
    </w:p>
    <w:p w:rsidR="000F236F" w:rsidRDefault="000F236F" w:rsidP="000F236F">
      <w:pPr>
        <w:shd w:val="clear" w:color="auto" w:fill="FFFFFF"/>
        <w:spacing w:line="276" w:lineRule="auto"/>
        <w:jc w:val="both"/>
        <w:rPr>
          <w:rFonts w:ascii="Palatino Linotype" w:hAnsi="Palatino Linotype"/>
          <w:color w:val="000000"/>
        </w:rPr>
      </w:pPr>
      <w:r>
        <w:rPr>
          <w:rFonts w:ascii="Palatino Linotype" w:hAnsi="Palatino Linotype"/>
          <w:color w:val="000000"/>
        </w:rPr>
        <w:t>In order to diversify the underlying investments of multi-cap funds across  the large, mid and small cap companies and be true to label, the scheme characteristics of Multi Cap Funds were partially modified asking such funds to have a minimum corpus of 75 per cent invested in equity and equity related instruments in the prescribed manner.  All existing multi-cap funds are required to ensure the compliance with these provisions within one month from the date of publishing the next list of stocks by AMFI i.e. January 2021.</w:t>
      </w:r>
    </w:p>
    <w:p w:rsidR="000F236F" w:rsidRDefault="000F236F" w:rsidP="000F236F">
      <w:pPr>
        <w:shd w:val="clear" w:color="auto" w:fill="FFFFFF"/>
        <w:spacing w:line="276" w:lineRule="auto"/>
        <w:jc w:val="both"/>
        <w:rPr>
          <w:rFonts w:ascii="Palatino Linotype" w:hAnsi="Palatino Linotype"/>
          <w:color w:val="000000"/>
        </w:rPr>
      </w:pPr>
    </w:p>
    <w:p w:rsidR="000F236F" w:rsidRDefault="000F236F" w:rsidP="000F236F">
      <w:pPr>
        <w:shd w:val="clear" w:color="auto" w:fill="FFFFFF"/>
        <w:spacing w:line="276" w:lineRule="auto"/>
        <w:jc w:val="both"/>
        <w:rPr>
          <w:rFonts w:ascii="Palatino Linotype" w:hAnsi="Palatino Linotype"/>
          <w:b/>
          <w:color w:val="000000"/>
        </w:rPr>
      </w:pPr>
      <w:r>
        <w:rPr>
          <w:rFonts w:ascii="Palatino Linotype" w:hAnsi="Palatino Linotype"/>
          <w:b/>
          <w:color w:val="000000"/>
        </w:rPr>
        <w:t>Source: SEBI/HO/IMD/DF3/CIR/P/2020/172 dated September 11, 2020</w:t>
      </w:r>
    </w:p>
    <w:p w:rsidR="000F236F" w:rsidRDefault="000F236F" w:rsidP="000F236F">
      <w:pPr>
        <w:rPr>
          <w:rFonts w:ascii="Palatino Linotype" w:hAnsi="Palatino Linotype"/>
          <w:b/>
          <w:sz w:val="22"/>
          <w:szCs w:val="22"/>
        </w:rPr>
      </w:pPr>
    </w:p>
    <w:p w:rsidR="000F236F" w:rsidRDefault="000F236F" w:rsidP="000F236F">
      <w:pPr>
        <w:shd w:val="clear" w:color="auto" w:fill="FFFFFF"/>
        <w:spacing w:line="276" w:lineRule="auto"/>
        <w:jc w:val="both"/>
        <w:rPr>
          <w:rFonts w:ascii="Palatino Linotype" w:hAnsi="Palatino Linotype"/>
          <w:b/>
          <w:color w:val="000000"/>
        </w:rPr>
      </w:pPr>
      <w:r>
        <w:rPr>
          <w:rFonts w:ascii="Palatino Linotype" w:hAnsi="Palatino Linotype"/>
          <w:b/>
          <w:color w:val="000000"/>
        </w:rPr>
        <w:t>9. Collection and Reporting of Margins by Trading Member (TM) / Clearing Member (CM) in Cash Segment - Clarification</w:t>
      </w:r>
    </w:p>
    <w:p w:rsidR="000F236F" w:rsidRDefault="000F236F" w:rsidP="000F236F">
      <w:pPr>
        <w:shd w:val="clear" w:color="auto" w:fill="FFFFFF"/>
        <w:spacing w:line="276" w:lineRule="auto"/>
        <w:jc w:val="both"/>
        <w:rPr>
          <w:rFonts w:ascii="Palatino Linotype" w:hAnsi="Palatino Linotype"/>
          <w:color w:val="000000"/>
        </w:rPr>
      </w:pPr>
    </w:p>
    <w:p w:rsidR="000F236F" w:rsidRDefault="000F236F" w:rsidP="000F236F">
      <w:pPr>
        <w:shd w:val="clear" w:color="auto" w:fill="FFFFFF"/>
        <w:spacing w:line="276" w:lineRule="auto"/>
        <w:jc w:val="both"/>
        <w:rPr>
          <w:rFonts w:ascii="Palatino Linotype" w:hAnsi="Palatino Linotype"/>
          <w:color w:val="000000"/>
        </w:rPr>
      </w:pPr>
      <w:r>
        <w:rPr>
          <w:rFonts w:ascii="Palatino Linotype" w:hAnsi="Palatino Linotype"/>
          <w:color w:val="000000"/>
        </w:rPr>
        <w:t xml:space="preserve">Clarification were issued with regard to levy of penalty for non-collection of ‘other margining’ on or before T+2 days from clients.    </w:t>
      </w:r>
    </w:p>
    <w:p w:rsidR="000F236F" w:rsidRDefault="000F236F" w:rsidP="000F236F">
      <w:pPr>
        <w:shd w:val="clear" w:color="auto" w:fill="FFFFFF"/>
        <w:spacing w:line="276" w:lineRule="auto"/>
        <w:jc w:val="both"/>
        <w:rPr>
          <w:rFonts w:ascii="Palatino Linotype" w:hAnsi="Palatino Linotype"/>
          <w:b/>
          <w:color w:val="000000"/>
        </w:rPr>
      </w:pPr>
      <w:r>
        <w:rPr>
          <w:rFonts w:ascii="Palatino Linotype" w:hAnsi="Palatino Linotype"/>
          <w:b/>
          <w:color w:val="000000"/>
        </w:rPr>
        <w:t>Source: SEBI/HO/MIRSD/DOP/CIR/P/2020/173 dated September 15, 2020</w:t>
      </w:r>
    </w:p>
    <w:p w:rsidR="000F236F" w:rsidRDefault="000F236F" w:rsidP="000F236F">
      <w:pPr>
        <w:shd w:val="clear" w:color="auto" w:fill="FFFFFF"/>
        <w:spacing w:line="276" w:lineRule="auto"/>
        <w:jc w:val="both"/>
        <w:rPr>
          <w:rFonts w:ascii="Palatino Linotype" w:hAnsi="Palatino Linotype"/>
          <w:color w:val="333333"/>
          <w:sz w:val="18"/>
          <w:szCs w:val="18"/>
        </w:rPr>
      </w:pPr>
    </w:p>
    <w:p w:rsidR="000F236F" w:rsidRDefault="000F236F" w:rsidP="000F236F">
      <w:pPr>
        <w:spacing w:line="276" w:lineRule="auto"/>
        <w:jc w:val="both"/>
        <w:rPr>
          <w:rFonts w:ascii="Palatino Linotype" w:hAnsi="Palatino Linotype"/>
          <w:b/>
          <w:color w:val="000000"/>
        </w:rPr>
      </w:pPr>
      <w:r>
        <w:rPr>
          <w:rFonts w:ascii="Palatino Linotype" w:hAnsi="Palatino Linotype"/>
          <w:b/>
          <w:color w:val="000000"/>
        </w:rPr>
        <w:t>10.</w:t>
      </w:r>
      <w:r>
        <w:rPr>
          <w:rFonts w:ascii="Palatino Linotype" w:hAnsi="Palatino Linotype"/>
          <w:b/>
          <w:color w:val="000000"/>
        </w:rPr>
        <w:tab/>
        <w:t xml:space="preserve">Listing and Trading of Units of Infrastructure Investment Trusts (InvITs) and Real Estate Investment Trusts (REITs) on Recognized Stock Exchanges in International Financial Services Centres </w:t>
      </w:r>
    </w:p>
    <w:p w:rsidR="000F236F" w:rsidRDefault="000F236F" w:rsidP="000F236F">
      <w:pPr>
        <w:shd w:val="clear" w:color="auto" w:fill="FFFFFF"/>
        <w:spacing w:line="276" w:lineRule="auto"/>
        <w:jc w:val="both"/>
        <w:rPr>
          <w:rFonts w:ascii="Palatino Linotype" w:hAnsi="Palatino Linotype"/>
          <w:color w:val="000000"/>
        </w:rPr>
      </w:pPr>
    </w:p>
    <w:p w:rsidR="000F236F" w:rsidRDefault="000F236F" w:rsidP="000F236F">
      <w:pPr>
        <w:shd w:val="clear" w:color="auto" w:fill="FFFFFF"/>
        <w:spacing w:line="276" w:lineRule="auto"/>
        <w:jc w:val="both"/>
        <w:rPr>
          <w:rFonts w:ascii="Palatino Linotype" w:hAnsi="Palatino Linotype"/>
          <w:color w:val="000000"/>
        </w:rPr>
      </w:pPr>
      <w:r>
        <w:rPr>
          <w:rFonts w:ascii="Palatino Linotype" w:hAnsi="Palatino Linotype"/>
          <w:color w:val="000000"/>
        </w:rPr>
        <w:t xml:space="preserve">REITs and InvITs by whatever name called in the Permissible Jurisdictions meeting the prescribed conditions were permitted to list on stock exchanges operating in the International Financial Services Centre (IFSC).  Besides, stock exchanges in IFSC were directed to evolve a detailed framework prescribing the initial and continuous listing requirements for REITs and InvITs whose units are proposed to be listed on stock exchanges in IFSC. </w:t>
      </w:r>
    </w:p>
    <w:p w:rsidR="000F236F" w:rsidRDefault="000F236F" w:rsidP="000F236F">
      <w:pPr>
        <w:shd w:val="clear" w:color="auto" w:fill="FFFFFF"/>
        <w:spacing w:line="276" w:lineRule="auto"/>
        <w:jc w:val="both"/>
        <w:rPr>
          <w:rFonts w:ascii="Palatino Linotype" w:hAnsi="Palatino Linotype"/>
          <w:color w:val="000000"/>
        </w:rPr>
      </w:pPr>
    </w:p>
    <w:p w:rsidR="000F236F" w:rsidRDefault="000F236F" w:rsidP="000F236F">
      <w:pPr>
        <w:shd w:val="clear" w:color="auto" w:fill="FFFFFF"/>
        <w:spacing w:line="276" w:lineRule="auto"/>
        <w:jc w:val="both"/>
        <w:rPr>
          <w:rFonts w:ascii="Palatino Linotype" w:hAnsi="Palatino Linotype"/>
          <w:b/>
          <w:color w:val="000000"/>
        </w:rPr>
      </w:pPr>
      <w:r>
        <w:rPr>
          <w:rFonts w:ascii="Palatino Linotype" w:hAnsi="Palatino Linotype"/>
          <w:b/>
          <w:color w:val="000000"/>
        </w:rPr>
        <w:t>Source: SEBI/HO/DDHS/DDHS/CIR/P/2020/174 dated September 16, 2020</w:t>
      </w:r>
    </w:p>
    <w:p w:rsidR="000F236F" w:rsidRDefault="000F236F" w:rsidP="000F236F">
      <w:pPr>
        <w:shd w:val="clear" w:color="auto" w:fill="FFFFFF"/>
        <w:spacing w:line="276" w:lineRule="auto"/>
        <w:jc w:val="both"/>
        <w:rPr>
          <w:rFonts w:ascii="Palatino Linotype" w:hAnsi="Palatino Linotype"/>
          <w:color w:val="000000"/>
        </w:rPr>
      </w:pPr>
    </w:p>
    <w:p w:rsidR="000F236F" w:rsidRDefault="000F236F" w:rsidP="000F236F">
      <w:pPr>
        <w:spacing w:line="276" w:lineRule="auto"/>
        <w:jc w:val="both"/>
        <w:rPr>
          <w:rFonts w:ascii="Palatino Linotype" w:hAnsi="Palatino Linotype"/>
          <w:b/>
          <w:color w:val="000000"/>
        </w:rPr>
      </w:pPr>
      <w:r>
        <w:rPr>
          <w:rFonts w:ascii="Palatino Linotype" w:hAnsi="Palatino Linotype"/>
          <w:b/>
          <w:color w:val="000000"/>
        </w:rPr>
        <w:t>11.</w:t>
      </w:r>
      <w:r>
        <w:rPr>
          <w:rFonts w:ascii="Palatino Linotype" w:hAnsi="Palatino Linotype"/>
          <w:b/>
          <w:color w:val="000000"/>
        </w:rPr>
        <w:tab/>
        <w:t>Circular on Mutual Funds</w:t>
      </w:r>
    </w:p>
    <w:p w:rsidR="000F236F" w:rsidRDefault="000F236F" w:rsidP="000F236F">
      <w:pPr>
        <w:shd w:val="clear" w:color="auto" w:fill="FFFFFF"/>
        <w:spacing w:line="276" w:lineRule="auto"/>
        <w:jc w:val="both"/>
        <w:rPr>
          <w:rFonts w:ascii="Palatino Linotype" w:hAnsi="Palatino Linotype"/>
          <w:color w:val="000000"/>
        </w:rPr>
      </w:pPr>
    </w:p>
    <w:p w:rsidR="000F236F" w:rsidRDefault="000F236F" w:rsidP="000F236F">
      <w:pPr>
        <w:shd w:val="clear" w:color="auto" w:fill="FFFFFF"/>
        <w:spacing w:line="276" w:lineRule="auto"/>
        <w:jc w:val="both"/>
        <w:rPr>
          <w:rFonts w:ascii="Palatino Linotype" w:hAnsi="Palatino Linotype"/>
          <w:color w:val="000000"/>
        </w:rPr>
      </w:pPr>
      <w:r>
        <w:rPr>
          <w:rFonts w:ascii="Palatino Linotype" w:hAnsi="Palatino Linotype"/>
          <w:color w:val="000000"/>
        </w:rPr>
        <w:t xml:space="preserve">In partial modifications to the earlier directions, it was decided that in respect of purchase of units of mutual fund schemes (except liquid and overnight schemes), closing NAV of the day shall be applicable on which the funds are available for utilization irrespective of the size and time of receipt of such application. AMCs are required to put in place a written down policy which inter-alia detail the specific activities, role and responsibilities of various teams engages </w:t>
      </w:r>
      <w:r>
        <w:rPr>
          <w:rFonts w:ascii="Palatino Linotype" w:hAnsi="Palatino Linotype"/>
          <w:color w:val="000000"/>
        </w:rPr>
        <w:lastRenderedPageBreak/>
        <w:t xml:space="preserve">in fund management, dealing, compliance etc. with regard to order placement, execution and trade allocation amongst various schemes and other related matters. </w:t>
      </w:r>
    </w:p>
    <w:p w:rsidR="000F236F" w:rsidRDefault="000F236F" w:rsidP="000F236F">
      <w:pPr>
        <w:shd w:val="clear" w:color="auto" w:fill="FFFFFF"/>
        <w:spacing w:line="276" w:lineRule="auto"/>
        <w:jc w:val="both"/>
        <w:rPr>
          <w:rFonts w:ascii="Palatino Linotype" w:hAnsi="Palatino Linotype"/>
          <w:color w:val="000000"/>
        </w:rPr>
      </w:pPr>
    </w:p>
    <w:p w:rsidR="000F236F" w:rsidRDefault="000F236F" w:rsidP="000F236F">
      <w:pPr>
        <w:shd w:val="clear" w:color="auto" w:fill="FFFFFF"/>
        <w:spacing w:line="276" w:lineRule="auto"/>
        <w:jc w:val="both"/>
        <w:rPr>
          <w:rFonts w:ascii="Palatino Linotype" w:hAnsi="Palatino Linotype"/>
          <w:color w:val="000000"/>
        </w:rPr>
      </w:pPr>
      <w:r>
        <w:rPr>
          <w:rFonts w:ascii="Palatino Linotype" w:hAnsi="Palatino Linotype"/>
          <w:color w:val="000000"/>
        </w:rPr>
        <w:t xml:space="preserve">For orders pertaining to equity and equity related instruments, AMCs are required to use an automated order management system. Requirements with respect to investments in all instruments are also specified along with directions regarding monitoring of compliance. The circular will be applicable with effect from January 01, 2021.  </w:t>
      </w:r>
    </w:p>
    <w:p w:rsidR="000F236F" w:rsidRDefault="000F236F" w:rsidP="000F236F">
      <w:pPr>
        <w:shd w:val="clear" w:color="auto" w:fill="FFFFFF"/>
        <w:spacing w:line="276" w:lineRule="auto"/>
        <w:jc w:val="both"/>
        <w:rPr>
          <w:rFonts w:ascii="Palatino Linotype" w:hAnsi="Palatino Linotype"/>
          <w:color w:val="000000"/>
        </w:rPr>
      </w:pPr>
    </w:p>
    <w:p w:rsidR="000F236F" w:rsidRDefault="000F236F" w:rsidP="000F236F">
      <w:pPr>
        <w:shd w:val="clear" w:color="auto" w:fill="FFFFFF"/>
        <w:spacing w:line="276" w:lineRule="auto"/>
        <w:jc w:val="both"/>
        <w:rPr>
          <w:rFonts w:ascii="Palatino Linotype" w:hAnsi="Palatino Linotype"/>
          <w:b/>
          <w:color w:val="000000"/>
        </w:rPr>
      </w:pPr>
      <w:r>
        <w:rPr>
          <w:rFonts w:ascii="Palatino Linotype" w:hAnsi="Palatino Linotype"/>
          <w:b/>
          <w:color w:val="000000"/>
        </w:rPr>
        <w:t>Source: SEBI/HO/IMD/DF2/CIR/P/2020/175 dated September 17, 2020</w:t>
      </w:r>
    </w:p>
    <w:p w:rsidR="000F236F" w:rsidRDefault="000F236F" w:rsidP="000F236F">
      <w:pPr>
        <w:rPr>
          <w:rFonts w:ascii="Palatino Linotype" w:hAnsi="Palatino Linotype"/>
          <w:b/>
          <w:sz w:val="22"/>
          <w:szCs w:val="22"/>
        </w:rPr>
      </w:pPr>
    </w:p>
    <w:p w:rsidR="000F236F" w:rsidRDefault="000F236F" w:rsidP="000F236F">
      <w:pPr>
        <w:shd w:val="clear" w:color="auto" w:fill="FFFFFF"/>
        <w:spacing w:line="276" w:lineRule="auto"/>
        <w:jc w:val="both"/>
        <w:rPr>
          <w:rFonts w:ascii="Palatino Linotype" w:hAnsi="Palatino Linotype"/>
          <w:b/>
          <w:color w:val="000000"/>
        </w:rPr>
      </w:pPr>
      <w:r>
        <w:rPr>
          <w:rFonts w:ascii="Palatino Linotype" w:hAnsi="Palatino Linotype"/>
          <w:b/>
          <w:color w:val="000000"/>
        </w:rPr>
        <w:t>12. Alternate Risk Management Framework Applicable in case of Near Zero and Negative Prices</w:t>
      </w:r>
    </w:p>
    <w:p w:rsidR="000F236F" w:rsidRDefault="000F236F" w:rsidP="000F236F">
      <w:pPr>
        <w:shd w:val="clear" w:color="auto" w:fill="FFFFFF"/>
        <w:spacing w:line="276" w:lineRule="auto"/>
        <w:jc w:val="both"/>
        <w:rPr>
          <w:rFonts w:ascii="Palatino Linotype" w:hAnsi="Palatino Linotype"/>
          <w:color w:val="000000"/>
        </w:rPr>
      </w:pPr>
    </w:p>
    <w:p w:rsidR="000F236F" w:rsidRDefault="000F236F" w:rsidP="000F236F">
      <w:pPr>
        <w:shd w:val="clear" w:color="auto" w:fill="FFFFFF"/>
        <w:spacing w:line="276" w:lineRule="auto"/>
        <w:jc w:val="both"/>
        <w:rPr>
          <w:rFonts w:ascii="Palatino Linotype" w:hAnsi="Palatino Linotype"/>
          <w:color w:val="000000"/>
        </w:rPr>
      </w:pPr>
      <w:r>
        <w:rPr>
          <w:rFonts w:ascii="Palatino Linotype" w:hAnsi="Palatino Linotype"/>
          <w:color w:val="000000"/>
        </w:rPr>
        <w:t>On the basis of recommendations of  Task Force of Clearing Corporations (CCs) and market participants to review the risk management framework in a scenario of ’near zero’ and negative prices. certain modifications in Alternate Risk Management Framework for commodity derivatives segment.</w:t>
      </w:r>
    </w:p>
    <w:p w:rsidR="000F236F" w:rsidRDefault="000F236F" w:rsidP="000F236F">
      <w:pPr>
        <w:shd w:val="clear" w:color="auto" w:fill="FFFFFF"/>
        <w:spacing w:line="276" w:lineRule="auto"/>
        <w:jc w:val="both"/>
        <w:rPr>
          <w:rFonts w:ascii="Palatino Linotype" w:hAnsi="Palatino Linotype"/>
          <w:color w:val="000000"/>
        </w:rPr>
      </w:pPr>
    </w:p>
    <w:p w:rsidR="000F236F" w:rsidRDefault="000F236F" w:rsidP="000F236F">
      <w:pPr>
        <w:shd w:val="clear" w:color="auto" w:fill="FFFFFF"/>
        <w:spacing w:line="276" w:lineRule="auto"/>
        <w:jc w:val="both"/>
        <w:rPr>
          <w:rFonts w:ascii="Palatino Linotype" w:hAnsi="Palatino Linotype"/>
          <w:b/>
          <w:color w:val="000000"/>
        </w:rPr>
      </w:pPr>
      <w:r>
        <w:rPr>
          <w:rFonts w:ascii="Palatino Linotype" w:hAnsi="Palatino Linotype"/>
          <w:b/>
          <w:color w:val="000000"/>
        </w:rPr>
        <w:t>Source: SEBI/HO/CDMRD/DRMP/CIR/P/2020/176 dated 21 September 2020</w:t>
      </w:r>
    </w:p>
    <w:p w:rsidR="000F236F" w:rsidRDefault="000F236F" w:rsidP="000F236F">
      <w:pPr>
        <w:shd w:val="clear" w:color="auto" w:fill="FFFFFF"/>
        <w:spacing w:line="276" w:lineRule="auto"/>
        <w:jc w:val="both"/>
        <w:rPr>
          <w:rFonts w:ascii="Palatino Linotype" w:hAnsi="Palatino Linotype"/>
          <w:color w:val="333333"/>
        </w:rPr>
      </w:pPr>
    </w:p>
    <w:p w:rsidR="000F236F" w:rsidRDefault="000F236F" w:rsidP="000F236F">
      <w:pPr>
        <w:spacing w:line="276" w:lineRule="auto"/>
        <w:jc w:val="both"/>
        <w:rPr>
          <w:rFonts w:ascii="Palatino Linotype" w:hAnsi="Palatino Linotype"/>
          <w:b/>
          <w:color w:val="000000"/>
        </w:rPr>
      </w:pPr>
      <w:r>
        <w:rPr>
          <w:rFonts w:ascii="Palatino Linotype" w:hAnsi="Palatino Linotype"/>
          <w:b/>
          <w:color w:val="000000"/>
        </w:rPr>
        <w:t>13.</w:t>
      </w:r>
      <w:r>
        <w:rPr>
          <w:rFonts w:ascii="Palatino Linotype" w:hAnsi="Palatino Linotype"/>
          <w:b/>
          <w:color w:val="000000"/>
        </w:rPr>
        <w:tab/>
        <w:t>Write-off of Shares held by FPIs</w:t>
      </w:r>
    </w:p>
    <w:p w:rsidR="000F236F" w:rsidRDefault="000F236F" w:rsidP="000F236F">
      <w:pPr>
        <w:shd w:val="clear" w:color="auto" w:fill="FFFFFF"/>
        <w:spacing w:line="276" w:lineRule="auto"/>
        <w:jc w:val="both"/>
        <w:rPr>
          <w:rFonts w:ascii="Palatino Linotype" w:hAnsi="Palatino Linotype"/>
          <w:color w:val="000000"/>
        </w:rPr>
      </w:pPr>
    </w:p>
    <w:p w:rsidR="000F236F" w:rsidRDefault="000F236F" w:rsidP="000F236F">
      <w:pPr>
        <w:shd w:val="clear" w:color="auto" w:fill="FFFFFF"/>
        <w:spacing w:line="276" w:lineRule="auto"/>
        <w:jc w:val="both"/>
        <w:rPr>
          <w:rFonts w:ascii="Palatino Linotype" w:hAnsi="Palatino Linotype"/>
          <w:color w:val="000000"/>
        </w:rPr>
      </w:pPr>
      <w:r>
        <w:rPr>
          <w:rFonts w:ascii="Palatino Linotype" w:hAnsi="Palatino Linotype"/>
          <w:color w:val="000000"/>
        </w:rPr>
        <w:t>Foreign Portfolio Investors (FPIs) are permitted to write-off shares of all companies which they are unable to sell.  Under the existing norms, write-off securities held by FPIs who wish to surrender their registration have been permitted only in respect of shares of companies that are unlisted or illiquid or suspended or delisted.</w:t>
      </w:r>
    </w:p>
    <w:p w:rsidR="000F236F" w:rsidRDefault="000F236F" w:rsidP="000F236F">
      <w:pPr>
        <w:shd w:val="clear" w:color="auto" w:fill="FFFFFF"/>
        <w:spacing w:line="276" w:lineRule="auto"/>
        <w:jc w:val="both"/>
        <w:rPr>
          <w:rFonts w:ascii="Palatino Linotype" w:hAnsi="Palatino Linotype"/>
          <w:color w:val="000000"/>
        </w:rPr>
      </w:pPr>
    </w:p>
    <w:p w:rsidR="000F236F" w:rsidRDefault="000F236F" w:rsidP="000F236F">
      <w:pPr>
        <w:shd w:val="clear" w:color="auto" w:fill="FFFFFF"/>
        <w:spacing w:line="276" w:lineRule="auto"/>
        <w:jc w:val="both"/>
        <w:rPr>
          <w:rFonts w:ascii="Palatino Linotype" w:hAnsi="Palatino Linotype"/>
          <w:b/>
          <w:color w:val="000000"/>
        </w:rPr>
      </w:pPr>
      <w:r>
        <w:rPr>
          <w:rFonts w:ascii="Palatino Linotype" w:hAnsi="Palatino Linotype"/>
          <w:b/>
          <w:color w:val="000000"/>
        </w:rPr>
        <w:t>Source: SEBI/HO/IMD/FPI&amp;C/CIR/P/2020/177 dated 21 September 2020</w:t>
      </w:r>
    </w:p>
    <w:p w:rsidR="000F236F" w:rsidRDefault="000F236F" w:rsidP="000F236F">
      <w:pPr>
        <w:shd w:val="clear" w:color="auto" w:fill="FFFFFF"/>
        <w:spacing w:line="276" w:lineRule="auto"/>
        <w:jc w:val="both"/>
        <w:rPr>
          <w:rFonts w:ascii="Palatino Linotype" w:hAnsi="Palatino Linotype"/>
          <w:color w:val="000000"/>
        </w:rPr>
      </w:pPr>
    </w:p>
    <w:p w:rsidR="000F236F" w:rsidRDefault="000F236F" w:rsidP="000F236F">
      <w:pPr>
        <w:spacing w:line="276" w:lineRule="auto"/>
        <w:jc w:val="both"/>
        <w:rPr>
          <w:rFonts w:ascii="Palatino Linotype" w:hAnsi="Palatino Linotype"/>
          <w:b/>
          <w:color w:val="000000"/>
        </w:rPr>
      </w:pPr>
      <w:r>
        <w:rPr>
          <w:rFonts w:ascii="Palatino Linotype" w:hAnsi="Palatino Linotype"/>
          <w:b/>
          <w:color w:val="000000"/>
        </w:rPr>
        <w:t>14.</w:t>
      </w:r>
      <w:r>
        <w:rPr>
          <w:rFonts w:ascii="Palatino Linotype" w:hAnsi="Palatino Linotype"/>
          <w:b/>
          <w:color w:val="000000"/>
        </w:rPr>
        <w:tab/>
        <w:t>Resources for Trustees of Mutual Funds</w:t>
      </w:r>
    </w:p>
    <w:p w:rsidR="000F236F" w:rsidRDefault="000F236F" w:rsidP="000F236F">
      <w:pPr>
        <w:shd w:val="clear" w:color="auto" w:fill="FFFFFF"/>
        <w:spacing w:line="276" w:lineRule="auto"/>
        <w:jc w:val="both"/>
        <w:rPr>
          <w:rFonts w:ascii="Palatino Linotype" w:hAnsi="Palatino Linotype"/>
          <w:color w:val="000000"/>
        </w:rPr>
      </w:pPr>
    </w:p>
    <w:p w:rsidR="000F236F" w:rsidRDefault="000F236F" w:rsidP="000F236F">
      <w:pPr>
        <w:shd w:val="clear" w:color="auto" w:fill="FFFFFF"/>
        <w:spacing w:line="276" w:lineRule="auto"/>
        <w:jc w:val="both"/>
        <w:rPr>
          <w:rFonts w:ascii="Palatino Linotype" w:hAnsi="Palatino Linotype"/>
          <w:color w:val="000000"/>
        </w:rPr>
      </w:pPr>
      <w:r>
        <w:rPr>
          <w:rFonts w:ascii="Palatino Linotype" w:hAnsi="Palatino Linotype"/>
          <w:color w:val="000000"/>
        </w:rPr>
        <w:t xml:space="preserve">Time extended till January 1, 2021 for mutual funds for compliance with directions pertaining to resources for trustees of asset management companies.  Earlier, trustees were required to appoint a dedicated officer by October 1, 2020 to assist them. </w:t>
      </w:r>
    </w:p>
    <w:p w:rsidR="000F236F" w:rsidRDefault="000F236F" w:rsidP="000F236F">
      <w:pPr>
        <w:shd w:val="clear" w:color="auto" w:fill="FFFFFF"/>
        <w:spacing w:line="276" w:lineRule="auto"/>
        <w:jc w:val="both"/>
        <w:rPr>
          <w:rFonts w:ascii="Palatino Linotype" w:hAnsi="Palatino Linotype"/>
          <w:color w:val="000000"/>
        </w:rPr>
      </w:pPr>
    </w:p>
    <w:p w:rsidR="000F236F" w:rsidRDefault="000F236F" w:rsidP="000F236F">
      <w:pPr>
        <w:shd w:val="clear" w:color="auto" w:fill="FFFFFF"/>
        <w:spacing w:line="276" w:lineRule="auto"/>
        <w:jc w:val="both"/>
        <w:rPr>
          <w:rFonts w:ascii="Palatino Linotype" w:hAnsi="Palatino Linotype"/>
          <w:b/>
          <w:color w:val="000000"/>
        </w:rPr>
      </w:pPr>
      <w:r>
        <w:rPr>
          <w:rFonts w:ascii="Palatino Linotype" w:hAnsi="Palatino Linotype"/>
          <w:b/>
          <w:color w:val="000000"/>
        </w:rPr>
        <w:t>Source: SEBI/HO/IMD/DF4/CIR/P/2020/178 dated 23 September 2020</w:t>
      </w:r>
    </w:p>
    <w:p w:rsidR="000F236F" w:rsidRDefault="000F236F" w:rsidP="000F236F">
      <w:pPr>
        <w:shd w:val="clear" w:color="auto" w:fill="FFFFFF"/>
        <w:spacing w:line="276" w:lineRule="auto"/>
        <w:jc w:val="both"/>
        <w:rPr>
          <w:rFonts w:ascii="Palatino Linotype" w:hAnsi="Palatino Linotype"/>
          <w:b/>
          <w:color w:val="000000"/>
        </w:rPr>
      </w:pPr>
    </w:p>
    <w:p w:rsidR="000F236F" w:rsidRDefault="000F236F" w:rsidP="000F236F">
      <w:pPr>
        <w:spacing w:line="276" w:lineRule="auto"/>
        <w:jc w:val="both"/>
        <w:rPr>
          <w:rFonts w:ascii="Palatino Linotype" w:hAnsi="Palatino Linotype"/>
          <w:b/>
          <w:color w:val="000000"/>
        </w:rPr>
      </w:pPr>
      <w:r>
        <w:rPr>
          <w:rFonts w:ascii="Palatino Linotype" w:hAnsi="Palatino Linotype"/>
          <w:b/>
          <w:color w:val="000000"/>
        </w:rPr>
        <w:t>15.</w:t>
      </w:r>
      <w:r>
        <w:rPr>
          <w:rFonts w:ascii="Palatino Linotype" w:hAnsi="Palatino Linotype"/>
          <w:b/>
          <w:color w:val="000000"/>
        </w:rPr>
        <w:tab/>
        <w:t>System-Driven Disclosures (SDD) under SEBI (SAST) Regulations, 2011</w:t>
      </w:r>
    </w:p>
    <w:p w:rsidR="000F236F" w:rsidRDefault="000F236F" w:rsidP="000F236F">
      <w:pPr>
        <w:shd w:val="clear" w:color="auto" w:fill="FFFFFF"/>
        <w:spacing w:line="276" w:lineRule="auto"/>
        <w:jc w:val="both"/>
        <w:rPr>
          <w:rFonts w:ascii="Palatino Linotype" w:hAnsi="Palatino Linotype"/>
          <w:color w:val="000000"/>
        </w:rPr>
      </w:pPr>
    </w:p>
    <w:p w:rsidR="000F236F" w:rsidRDefault="000F236F" w:rsidP="000F236F">
      <w:pPr>
        <w:shd w:val="clear" w:color="auto" w:fill="FFFFFF"/>
        <w:spacing w:line="276" w:lineRule="auto"/>
        <w:jc w:val="both"/>
        <w:rPr>
          <w:rFonts w:ascii="Palatino Linotype" w:hAnsi="Palatino Linotype"/>
          <w:color w:val="000000"/>
        </w:rPr>
      </w:pPr>
      <w:r>
        <w:rPr>
          <w:rFonts w:ascii="Palatino Linotype" w:hAnsi="Palatino Linotype"/>
          <w:color w:val="000000"/>
        </w:rPr>
        <w:lastRenderedPageBreak/>
        <w:t>In order to align the practices, depositories and exchanges were asked to use the new procedure of capturing the PAN of the promoters from listed companies for disclosures under the takeover norms also</w:t>
      </w:r>
    </w:p>
    <w:p w:rsidR="000F236F" w:rsidRDefault="000F236F" w:rsidP="000F236F">
      <w:pPr>
        <w:shd w:val="clear" w:color="auto" w:fill="FFFFFF"/>
        <w:spacing w:line="276" w:lineRule="auto"/>
        <w:jc w:val="both"/>
        <w:rPr>
          <w:rFonts w:ascii="Palatino Linotype" w:hAnsi="Palatino Linotype"/>
          <w:b/>
          <w:color w:val="000000"/>
        </w:rPr>
      </w:pPr>
      <w:r>
        <w:rPr>
          <w:rFonts w:ascii="Palatino Linotype" w:hAnsi="Palatino Linotype"/>
          <w:b/>
          <w:color w:val="000000"/>
        </w:rPr>
        <w:t>Source: SEBI/CIR/CFD/DCR1/CIR/P/2020/181 dated 23 September 2020</w:t>
      </w:r>
    </w:p>
    <w:p w:rsidR="000F236F" w:rsidRDefault="000F236F" w:rsidP="000F236F">
      <w:pPr>
        <w:shd w:val="clear" w:color="auto" w:fill="FFFFFF"/>
        <w:spacing w:line="276" w:lineRule="auto"/>
        <w:jc w:val="both"/>
        <w:rPr>
          <w:rFonts w:ascii="Palatino Linotype" w:hAnsi="Palatino Linotype"/>
          <w:b/>
          <w:color w:val="000000"/>
        </w:rPr>
      </w:pPr>
    </w:p>
    <w:p w:rsidR="000F236F" w:rsidRDefault="000F236F" w:rsidP="000F236F">
      <w:pPr>
        <w:spacing w:line="276" w:lineRule="auto"/>
        <w:jc w:val="both"/>
        <w:rPr>
          <w:rFonts w:ascii="Palatino Linotype" w:hAnsi="Palatino Linotype"/>
          <w:b/>
          <w:color w:val="000000"/>
        </w:rPr>
      </w:pPr>
      <w:r>
        <w:rPr>
          <w:rFonts w:ascii="Palatino Linotype" w:hAnsi="Palatino Linotype"/>
          <w:b/>
          <w:color w:val="000000"/>
        </w:rPr>
        <w:t>16.</w:t>
      </w:r>
      <w:r>
        <w:rPr>
          <w:rFonts w:ascii="Palatino Linotype" w:hAnsi="Palatino Linotype"/>
          <w:b/>
          <w:color w:val="000000"/>
        </w:rPr>
        <w:tab/>
        <w:t>Guidelines for Investment Advisers</w:t>
      </w:r>
    </w:p>
    <w:p w:rsidR="000F236F" w:rsidRDefault="000F236F" w:rsidP="000F236F">
      <w:pPr>
        <w:shd w:val="clear" w:color="auto" w:fill="FFFFFF"/>
        <w:spacing w:line="276" w:lineRule="auto"/>
        <w:jc w:val="both"/>
        <w:rPr>
          <w:rFonts w:ascii="Palatino Linotype" w:hAnsi="Palatino Linotype"/>
          <w:color w:val="000000"/>
        </w:rPr>
      </w:pPr>
    </w:p>
    <w:p w:rsidR="000F236F" w:rsidRDefault="000F236F" w:rsidP="000F236F">
      <w:pPr>
        <w:shd w:val="clear" w:color="auto" w:fill="FFFFFF"/>
        <w:spacing w:line="276" w:lineRule="auto"/>
        <w:jc w:val="both"/>
        <w:rPr>
          <w:rFonts w:ascii="Palatino Linotype" w:hAnsi="Palatino Linotype"/>
          <w:color w:val="000000"/>
        </w:rPr>
      </w:pPr>
      <w:r>
        <w:rPr>
          <w:rFonts w:ascii="Palatino Linotype" w:hAnsi="Palatino Linotype"/>
          <w:color w:val="000000"/>
        </w:rPr>
        <w:t>Operating guideline for Investment Advisers in IFSC were amended.  The said amendments pertain to client level segregation of advisory and distribution activities, agreement between investment advisor and the client, fees etc.</w:t>
      </w:r>
    </w:p>
    <w:p w:rsidR="000F236F" w:rsidRDefault="000F236F" w:rsidP="000F236F">
      <w:pPr>
        <w:shd w:val="clear" w:color="auto" w:fill="FFFFFF"/>
        <w:spacing w:line="276" w:lineRule="auto"/>
        <w:jc w:val="both"/>
        <w:rPr>
          <w:rFonts w:ascii="Palatino Linotype" w:hAnsi="Palatino Linotype"/>
          <w:color w:val="000000"/>
        </w:rPr>
      </w:pPr>
      <w:r>
        <w:rPr>
          <w:rFonts w:ascii="Palatino Linotype" w:hAnsi="Palatino Linotype"/>
          <w:color w:val="000000"/>
        </w:rPr>
        <w:t>These amendments shall come into force on September 30, 2020.</w:t>
      </w:r>
    </w:p>
    <w:p w:rsidR="000F236F" w:rsidRDefault="000F236F" w:rsidP="000F236F">
      <w:pPr>
        <w:shd w:val="clear" w:color="auto" w:fill="FFFFFF"/>
        <w:spacing w:line="276" w:lineRule="auto"/>
        <w:jc w:val="both"/>
        <w:rPr>
          <w:rFonts w:ascii="Palatino Linotype" w:hAnsi="Palatino Linotype"/>
          <w:color w:val="000000"/>
        </w:rPr>
      </w:pPr>
    </w:p>
    <w:p w:rsidR="000F236F" w:rsidRDefault="000F236F" w:rsidP="000F236F">
      <w:pPr>
        <w:shd w:val="clear" w:color="auto" w:fill="FFFFFF"/>
        <w:spacing w:line="276" w:lineRule="auto"/>
        <w:jc w:val="both"/>
        <w:rPr>
          <w:rFonts w:ascii="Palatino Linotype" w:hAnsi="Palatino Linotype"/>
          <w:b/>
          <w:color w:val="000000"/>
        </w:rPr>
      </w:pPr>
      <w:r>
        <w:rPr>
          <w:rFonts w:ascii="Palatino Linotype" w:hAnsi="Palatino Linotype"/>
          <w:b/>
          <w:color w:val="000000"/>
        </w:rPr>
        <w:t>Source: SEBI/HO/IMD/DF1/CIR/P/2020/182 dated 23 September 2020</w:t>
      </w:r>
    </w:p>
    <w:p w:rsidR="000F236F" w:rsidRDefault="000F236F" w:rsidP="000F236F">
      <w:pPr>
        <w:rPr>
          <w:rFonts w:ascii="Palatino Linotype" w:hAnsi="Palatino Linotype"/>
          <w:b/>
          <w:sz w:val="22"/>
          <w:szCs w:val="22"/>
        </w:rPr>
      </w:pPr>
    </w:p>
    <w:p w:rsidR="000F236F" w:rsidRDefault="000F236F" w:rsidP="000F236F">
      <w:pPr>
        <w:rPr>
          <w:rFonts w:ascii="Palatino Linotype" w:hAnsi="Palatino Linotype"/>
          <w:b/>
          <w:sz w:val="22"/>
          <w:szCs w:val="22"/>
        </w:rPr>
      </w:pPr>
    </w:p>
    <w:p w:rsidR="000F236F" w:rsidRDefault="000F236F" w:rsidP="000F236F">
      <w:pPr>
        <w:shd w:val="clear" w:color="auto" w:fill="FFFFFF"/>
        <w:spacing w:line="276" w:lineRule="auto"/>
        <w:jc w:val="both"/>
        <w:rPr>
          <w:rFonts w:ascii="Palatino Linotype" w:hAnsi="Palatino Linotype"/>
          <w:b/>
          <w:color w:val="000000"/>
        </w:rPr>
      </w:pPr>
      <w:r>
        <w:rPr>
          <w:rFonts w:ascii="Palatino Linotype" w:hAnsi="Palatino Linotype"/>
          <w:b/>
          <w:color w:val="000000"/>
        </w:rPr>
        <w:t>17. Operating Guidelines for Investment Advisers in International Financial Services Centre (IFSC) – Amendments</w:t>
      </w:r>
    </w:p>
    <w:p w:rsidR="000F236F" w:rsidRDefault="000F236F" w:rsidP="000F236F">
      <w:pPr>
        <w:shd w:val="clear" w:color="auto" w:fill="FFFFFF"/>
        <w:spacing w:line="276" w:lineRule="auto"/>
        <w:jc w:val="both"/>
        <w:rPr>
          <w:rFonts w:ascii="Palatino Linotype" w:hAnsi="Palatino Linotype"/>
          <w:color w:val="000000"/>
        </w:rPr>
      </w:pPr>
    </w:p>
    <w:p w:rsidR="000F236F" w:rsidRDefault="000F236F" w:rsidP="000F236F">
      <w:pPr>
        <w:shd w:val="clear" w:color="auto" w:fill="FFFFFF"/>
        <w:spacing w:line="276" w:lineRule="auto"/>
        <w:jc w:val="both"/>
        <w:rPr>
          <w:rFonts w:ascii="Palatino Linotype" w:hAnsi="Palatino Linotype"/>
          <w:color w:val="000000"/>
        </w:rPr>
      </w:pPr>
      <w:r>
        <w:rPr>
          <w:rFonts w:ascii="Palatino Linotype" w:hAnsi="Palatino Linotype"/>
          <w:color w:val="000000"/>
        </w:rPr>
        <w:t xml:space="preserve">Operating guideline for Investment Advisers in IFSC were amended.  </w:t>
      </w:r>
    </w:p>
    <w:p w:rsidR="000F236F" w:rsidRDefault="000F236F" w:rsidP="000F236F">
      <w:pPr>
        <w:shd w:val="clear" w:color="auto" w:fill="FFFFFF"/>
        <w:spacing w:line="276" w:lineRule="auto"/>
        <w:jc w:val="both"/>
        <w:rPr>
          <w:rFonts w:ascii="Palatino Linotype" w:hAnsi="Palatino Linotype"/>
          <w:color w:val="000000"/>
        </w:rPr>
      </w:pPr>
    </w:p>
    <w:p w:rsidR="000F236F" w:rsidRDefault="000F236F" w:rsidP="000F236F">
      <w:pPr>
        <w:shd w:val="clear" w:color="auto" w:fill="FFFFFF"/>
        <w:spacing w:line="276" w:lineRule="auto"/>
        <w:jc w:val="both"/>
        <w:rPr>
          <w:rFonts w:ascii="Palatino Linotype" w:hAnsi="Palatino Linotype"/>
          <w:b/>
          <w:color w:val="000000"/>
        </w:rPr>
      </w:pPr>
      <w:r>
        <w:rPr>
          <w:rFonts w:ascii="Palatino Linotype" w:hAnsi="Palatino Linotype"/>
          <w:b/>
          <w:color w:val="000000"/>
        </w:rPr>
        <w:t>Source: SEBI/HO/IMD/DF1/CIR/P/2020/185 dated September 28, 2020</w:t>
      </w:r>
    </w:p>
    <w:p w:rsidR="000F236F" w:rsidRDefault="000F236F" w:rsidP="000F236F">
      <w:pPr>
        <w:shd w:val="clear" w:color="auto" w:fill="FFFFFF"/>
        <w:spacing w:line="276" w:lineRule="auto"/>
        <w:jc w:val="both"/>
        <w:rPr>
          <w:rFonts w:ascii="Palatino Linotype" w:hAnsi="Palatino Linotype"/>
          <w:color w:val="333333"/>
        </w:rPr>
      </w:pPr>
    </w:p>
    <w:p w:rsidR="000F236F" w:rsidRDefault="000F236F" w:rsidP="000F236F">
      <w:pPr>
        <w:spacing w:line="276" w:lineRule="auto"/>
        <w:jc w:val="both"/>
        <w:rPr>
          <w:rFonts w:ascii="Palatino Linotype" w:hAnsi="Palatino Linotype"/>
          <w:b/>
          <w:color w:val="000000"/>
        </w:rPr>
      </w:pPr>
      <w:r>
        <w:rPr>
          <w:rFonts w:ascii="Palatino Linotype" w:hAnsi="Palatino Linotype"/>
          <w:b/>
          <w:color w:val="000000"/>
        </w:rPr>
        <w:t>18.</w:t>
      </w:r>
      <w:r>
        <w:rPr>
          <w:rFonts w:ascii="Palatino Linotype" w:hAnsi="Palatino Linotype"/>
          <w:b/>
          <w:color w:val="000000"/>
        </w:rPr>
        <w:tab/>
        <w:t>Recovery of Assets of Defaulter Member and Recovery of Funds from Debit Balance Clients of Defaulter Member for Meeting the Obligations of Clients / Stock Exchange / Clearing Corporation</w:t>
      </w:r>
    </w:p>
    <w:p w:rsidR="000F236F" w:rsidRDefault="000F236F" w:rsidP="000F236F">
      <w:pPr>
        <w:spacing w:line="276" w:lineRule="auto"/>
        <w:jc w:val="both"/>
        <w:rPr>
          <w:rFonts w:ascii="Palatino Linotype" w:hAnsi="Palatino Linotype"/>
          <w:color w:val="000000"/>
        </w:rPr>
      </w:pPr>
    </w:p>
    <w:p w:rsidR="000F236F" w:rsidRDefault="000F236F" w:rsidP="000F236F">
      <w:pPr>
        <w:shd w:val="clear" w:color="auto" w:fill="FFFFFF"/>
        <w:spacing w:line="276" w:lineRule="auto"/>
        <w:jc w:val="both"/>
        <w:rPr>
          <w:rFonts w:ascii="Palatino Linotype" w:hAnsi="Palatino Linotype"/>
          <w:color w:val="000000"/>
        </w:rPr>
      </w:pPr>
      <w:r>
        <w:rPr>
          <w:rFonts w:ascii="Palatino Linotype" w:hAnsi="Palatino Linotype"/>
          <w:color w:val="000000"/>
        </w:rPr>
        <w:t>Exchanges and clearing corporations were advised to initiate measures for liquidating assets of defaulter members including that of liquidating the assets (movable and immovable) of defaulter members including that of debit clients (to the extent of debit balance) within six months of declaring the entities concerned as defaulters. This is for the recovery of the assets not in possession of the stock exchange and clearing corporations, before the appropriate court of law. The recovery of assets would help in meeting the obligations of clients, stock exchanges and clearing corporations.</w:t>
      </w:r>
    </w:p>
    <w:p w:rsidR="000F236F" w:rsidRDefault="000F236F" w:rsidP="000F236F">
      <w:pPr>
        <w:shd w:val="clear" w:color="auto" w:fill="FFFFFF"/>
        <w:spacing w:line="276" w:lineRule="auto"/>
        <w:jc w:val="both"/>
        <w:rPr>
          <w:rFonts w:ascii="Palatino Linotype" w:hAnsi="Palatino Linotype"/>
          <w:color w:val="000000"/>
        </w:rPr>
      </w:pPr>
    </w:p>
    <w:p w:rsidR="000F236F" w:rsidRDefault="000F236F" w:rsidP="000F236F">
      <w:pPr>
        <w:shd w:val="clear" w:color="auto" w:fill="FFFFFF"/>
        <w:spacing w:line="276" w:lineRule="auto"/>
        <w:jc w:val="both"/>
        <w:rPr>
          <w:rFonts w:ascii="Palatino Linotype" w:hAnsi="Palatino Linotype"/>
          <w:b/>
          <w:color w:val="000000"/>
        </w:rPr>
      </w:pPr>
      <w:r>
        <w:rPr>
          <w:rFonts w:ascii="Palatino Linotype" w:hAnsi="Palatino Linotype"/>
          <w:b/>
          <w:color w:val="000000"/>
        </w:rPr>
        <w:t>Source: SEBI/HO/MIRSD/DPIEA/CIR/P/2020/186 dated September 28, 2020</w:t>
      </w:r>
    </w:p>
    <w:p w:rsidR="000F236F" w:rsidRDefault="000F236F" w:rsidP="000F236F">
      <w:pPr>
        <w:shd w:val="clear" w:color="auto" w:fill="FFFFFF"/>
        <w:spacing w:line="276" w:lineRule="auto"/>
        <w:jc w:val="both"/>
        <w:rPr>
          <w:rFonts w:ascii="Palatino Linotype" w:hAnsi="Palatino Linotype"/>
          <w:color w:val="000000"/>
        </w:rPr>
      </w:pPr>
    </w:p>
    <w:p w:rsidR="000F236F" w:rsidRDefault="000F236F" w:rsidP="000F236F">
      <w:pPr>
        <w:spacing w:line="276" w:lineRule="auto"/>
        <w:jc w:val="both"/>
        <w:rPr>
          <w:rFonts w:ascii="Palatino Linotype" w:hAnsi="Palatino Linotype"/>
          <w:b/>
          <w:color w:val="000000"/>
        </w:rPr>
      </w:pPr>
      <w:r>
        <w:rPr>
          <w:rFonts w:ascii="Palatino Linotype" w:hAnsi="Palatino Linotype"/>
          <w:b/>
          <w:color w:val="000000"/>
        </w:rPr>
        <w:t>19.</w:t>
      </w:r>
      <w:r>
        <w:rPr>
          <w:rFonts w:ascii="Palatino Linotype" w:hAnsi="Palatino Linotype"/>
          <w:b/>
          <w:color w:val="000000"/>
        </w:rPr>
        <w:tab/>
        <w:t>Amendments to Guidelines for Preferential Issue and Institutional Placement of Units by a Listed REIT</w:t>
      </w:r>
    </w:p>
    <w:p w:rsidR="000F236F" w:rsidRDefault="000F236F" w:rsidP="000F236F">
      <w:pPr>
        <w:shd w:val="clear" w:color="auto" w:fill="FFFFFF"/>
        <w:spacing w:line="276" w:lineRule="auto"/>
        <w:jc w:val="both"/>
        <w:rPr>
          <w:rFonts w:ascii="Palatino Linotype" w:hAnsi="Palatino Linotype"/>
          <w:color w:val="000000"/>
        </w:rPr>
      </w:pPr>
    </w:p>
    <w:p w:rsidR="000F236F" w:rsidRDefault="000F236F" w:rsidP="000F236F">
      <w:pPr>
        <w:shd w:val="clear" w:color="auto" w:fill="FFFFFF"/>
        <w:spacing w:line="276" w:lineRule="auto"/>
        <w:jc w:val="both"/>
        <w:rPr>
          <w:rFonts w:ascii="Palatino Linotype" w:hAnsi="Palatino Linotype"/>
          <w:color w:val="000000"/>
        </w:rPr>
      </w:pPr>
      <w:r>
        <w:rPr>
          <w:rFonts w:ascii="Palatino Linotype" w:hAnsi="Palatino Linotype"/>
          <w:color w:val="000000"/>
        </w:rPr>
        <w:lastRenderedPageBreak/>
        <w:t xml:space="preserve">SEBI has provided certain relaxations to listed REITs for preferential and institutional placement of their units. </w:t>
      </w:r>
    </w:p>
    <w:p w:rsidR="000F236F" w:rsidRDefault="000F236F" w:rsidP="000F236F">
      <w:pPr>
        <w:shd w:val="clear" w:color="auto" w:fill="FFFFFF"/>
        <w:spacing w:line="276" w:lineRule="auto"/>
        <w:jc w:val="both"/>
        <w:rPr>
          <w:rFonts w:ascii="Palatino Linotype" w:hAnsi="Palatino Linotype"/>
          <w:color w:val="000000"/>
        </w:rPr>
      </w:pPr>
    </w:p>
    <w:p w:rsidR="000F236F" w:rsidRDefault="000F236F" w:rsidP="000F236F">
      <w:pPr>
        <w:shd w:val="clear" w:color="auto" w:fill="FFFFFF"/>
        <w:spacing w:line="276" w:lineRule="auto"/>
        <w:jc w:val="both"/>
        <w:rPr>
          <w:rFonts w:ascii="Palatino Linotype" w:hAnsi="Palatino Linotype"/>
          <w:b/>
          <w:color w:val="000000"/>
        </w:rPr>
      </w:pPr>
      <w:r>
        <w:rPr>
          <w:rFonts w:ascii="Palatino Linotype" w:hAnsi="Palatino Linotype"/>
          <w:b/>
          <w:color w:val="000000"/>
        </w:rPr>
        <w:t>Source: SEBI/HO/DDHS/DDHS/CIR/P/2020/184 dated September 28, 2020</w:t>
      </w:r>
    </w:p>
    <w:p w:rsidR="000F236F" w:rsidRDefault="000F236F" w:rsidP="000F236F">
      <w:pPr>
        <w:shd w:val="clear" w:color="auto" w:fill="FFFFFF"/>
        <w:spacing w:line="276" w:lineRule="auto"/>
        <w:jc w:val="both"/>
        <w:rPr>
          <w:rFonts w:ascii="Palatino Linotype" w:hAnsi="Palatino Linotype"/>
          <w:b/>
          <w:color w:val="000000"/>
        </w:rPr>
      </w:pPr>
    </w:p>
    <w:p w:rsidR="000F236F" w:rsidRDefault="000F236F" w:rsidP="000F236F">
      <w:pPr>
        <w:spacing w:line="276" w:lineRule="auto"/>
        <w:jc w:val="both"/>
        <w:rPr>
          <w:rFonts w:ascii="Palatino Linotype" w:hAnsi="Palatino Linotype"/>
          <w:b/>
          <w:color w:val="000000"/>
        </w:rPr>
      </w:pPr>
      <w:r>
        <w:rPr>
          <w:rFonts w:ascii="Palatino Linotype" w:hAnsi="Palatino Linotype"/>
          <w:b/>
          <w:color w:val="000000"/>
        </w:rPr>
        <w:t>20.</w:t>
      </w:r>
      <w:r>
        <w:rPr>
          <w:rFonts w:ascii="Palatino Linotype" w:hAnsi="Palatino Linotype"/>
          <w:b/>
          <w:color w:val="000000"/>
        </w:rPr>
        <w:tab/>
        <w:t>Amendments to Guidelines for Preferential Issue and Institutional Placement of Units by a Listed InvIT</w:t>
      </w:r>
    </w:p>
    <w:p w:rsidR="000F236F" w:rsidRDefault="000F236F" w:rsidP="000F236F">
      <w:pPr>
        <w:shd w:val="clear" w:color="auto" w:fill="FFFFFF"/>
        <w:spacing w:line="276" w:lineRule="auto"/>
        <w:jc w:val="both"/>
        <w:rPr>
          <w:rFonts w:ascii="Palatino Linotype" w:hAnsi="Palatino Linotype"/>
          <w:color w:val="000000"/>
        </w:rPr>
      </w:pPr>
    </w:p>
    <w:p w:rsidR="000F236F" w:rsidRDefault="000F236F" w:rsidP="000F236F">
      <w:pPr>
        <w:shd w:val="clear" w:color="auto" w:fill="FFFFFF"/>
        <w:spacing w:line="276" w:lineRule="auto"/>
        <w:jc w:val="both"/>
        <w:rPr>
          <w:rFonts w:ascii="Palatino Linotype" w:hAnsi="Palatino Linotype"/>
          <w:color w:val="000000"/>
        </w:rPr>
      </w:pPr>
      <w:r>
        <w:rPr>
          <w:rFonts w:ascii="Palatino Linotype" w:hAnsi="Palatino Linotype"/>
          <w:color w:val="000000"/>
        </w:rPr>
        <w:t>SEBI has provided certain relaxations to listed InvITs for preferential and institutional placement of their respective units.</w:t>
      </w:r>
    </w:p>
    <w:p w:rsidR="000F236F" w:rsidRDefault="000F236F" w:rsidP="000F236F">
      <w:pPr>
        <w:shd w:val="clear" w:color="auto" w:fill="FFFFFF"/>
        <w:spacing w:line="276" w:lineRule="auto"/>
        <w:jc w:val="both"/>
        <w:rPr>
          <w:rFonts w:ascii="Palatino Linotype" w:hAnsi="Palatino Linotype"/>
          <w:b/>
          <w:color w:val="000000"/>
        </w:rPr>
      </w:pPr>
    </w:p>
    <w:p w:rsidR="000F236F" w:rsidRDefault="000F236F" w:rsidP="000F236F">
      <w:pPr>
        <w:shd w:val="clear" w:color="auto" w:fill="FFFFFF"/>
        <w:spacing w:line="276" w:lineRule="auto"/>
        <w:jc w:val="both"/>
        <w:rPr>
          <w:rFonts w:ascii="Palatino Linotype" w:hAnsi="Palatino Linotype"/>
          <w:b/>
          <w:color w:val="000000"/>
        </w:rPr>
      </w:pPr>
      <w:r>
        <w:rPr>
          <w:rFonts w:ascii="Palatino Linotype" w:hAnsi="Palatino Linotype"/>
          <w:b/>
          <w:color w:val="000000"/>
        </w:rPr>
        <w:t>Source: SEBI/HO/DDHS/DDHS/CIR/P/2020/183 dated September 28, 2020</w:t>
      </w:r>
    </w:p>
    <w:p w:rsidR="000F236F" w:rsidRDefault="000F236F" w:rsidP="000F236F">
      <w:pPr>
        <w:shd w:val="clear" w:color="auto" w:fill="FFFFFF"/>
        <w:spacing w:line="276" w:lineRule="auto"/>
        <w:jc w:val="both"/>
        <w:rPr>
          <w:rFonts w:ascii="Palatino Linotype" w:hAnsi="Palatino Linotype"/>
          <w:b/>
          <w:color w:val="000000"/>
        </w:rPr>
      </w:pPr>
    </w:p>
    <w:p w:rsidR="000F236F" w:rsidRDefault="000F236F" w:rsidP="000F236F">
      <w:pPr>
        <w:spacing w:line="276" w:lineRule="auto"/>
        <w:jc w:val="both"/>
        <w:rPr>
          <w:rFonts w:ascii="Palatino Linotype" w:hAnsi="Palatino Linotype"/>
          <w:b/>
          <w:color w:val="000000"/>
        </w:rPr>
      </w:pPr>
      <w:r>
        <w:rPr>
          <w:rFonts w:ascii="Palatino Linotype" w:hAnsi="Palatino Linotype"/>
          <w:b/>
          <w:color w:val="000000"/>
        </w:rPr>
        <w:t>21.</w:t>
      </w:r>
      <w:r>
        <w:rPr>
          <w:rFonts w:ascii="Palatino Linotype" w:hAnsi="Palatino Linotype"/>
          <w:b/>
          <w:color w:val="000000"/>
        </w:rPr>
        <w:tab/>
        <w:t>Relaxation with respect to Validity of SEBI Observations and Revision in Issue Size</w:t>
      </w:r>
    </w:p>
    <w:p w:rsidR="000F236F" w:rsidRDefault="000F236F" w:rsidP="000F236F">
      <w:pPr>
        <w:shd w:val="clear" w:color="auto" w:fill="FFFFFF"/>
        <w:spacing w:line="276" w:lineRule="auto"/>
        <w:jc w:val="both"/>
        <w:rPr>
          <w:rFonts w:ascii="Palatino Linotype" w:hAnsi="Palatino Linotype"/>
          <w:color w:val="000000"/>
        </w:rPr>
      </w:pPr>
    </w:p>
    <w:p w:rsidR="000F236F" w:rsidRDefault="000F236F" w:rsidP="000F236F">
      <w:pPr>
        <w:shd w:val="clear" w:color="auto" w:fill="FFFFFF"/>
        <w:spacing w:line="276" w:lineRule="auto"/>
        <w:jc w:val="both"/>
        <w:rPr>
          <w:rFonts w:ascii="Palatino Linotype" w:hAnsi="Palatino Linotype"/>
          <w:color w:val="000000"/>
        </w:rPr>
      </w:pPr>
      <w:r>
        <w:rPr>
          <w:rFonts w:ascii="Palatino Linotype" w:hAnsi="Palatino Linotype"/>
          <w:color w:val="000000"/>
        </w:rPr>
        <w:t xml:space="preserve">The special dispensations given to companies wanting to go public were further extended.   It was also informed that the validity of SEBI observations for IPOs expiring between October 1, 2020 and March 31, 2021 will be extended till March 31, 2021 subject to undertaking from the lead manager to the issue confirming compliance with schedule XVI of the SEBI (ICDR) reg. </w:t>
      </w:r>
    </w:p>
    <w:p w:rsidR="000F236F" w:rsidRDefault="000F236F" w:rsidP="000F236F">
      <w:pPr>
        <w:shd w:val="clear" w:color="auto" w:fill="FFFFFF"/>
        <w:spacing w:line="276" w:lineRule="auto"/>
        <w:jc w:val="both"/>
        <w:rPr>
          <w:rFonts w:ascii="Palatino Linotype" w:hAnsi="Palatino Linotype"/>
          <w:color w:val="000000"/>
        </w:rPr>
      </w:pPr>
    </w:p>
    <w:p w:rsidR="000F236F" w:rsidRDefault="000F236F" w:rsidP="000F236F">
      <w:pPr>
        <w:shd w:val="clear" w:color="auto" w:fill="FFFFFF"/>
        <w:spacing w:line="276" w:lineRule="auto"/>
        <w:jc w:val="both"/>
        <w:rPr>
          <w:rFonts w:ascii="Palatino Linotype" w:hAnsi="Palatino Linotype"/>
          <w:b/>
          <w:color w:val="000000"/>
        </w:rPr>
      </w:pPr>
      <w:r>
        <w:rPr>
          <w:rFonts w:ascii="Palatino Linotype" w:hAnsi="Palatino Linotype"/>
          <w:b/>
          <w:color w:val="000000"/>
        </w:rPr>
        <w:t>Source: SEBI/HO/CFD/DIL1/CIR/P/2020/188 dated September 29, 2020</w:t>
      </w:r>
    </w:p>
    <w:p w:rsidR="000F236F" w:rsidRDefault="000F236F" w:rsidP="000F236F">
      <w:pPr>
        <w:spacing w:line="276" w:lineRule="auto"/>
        <w:jc w:val="both"/>
        <w:rPr>
          <w:rFonts w:ascii="Palatino Linotype" w:hAnsi="Palatino Linotype"/>
          <w:b/>
          <w:color w:val="000000"/>
        </w:rPr>
      </w:pPr>
    </w:p>
    <w:p w:rsidR="000F236F" w:rsidRDefault="000F236F" w:rsidP="000F236F">
      <w:pPr>
        <w:spacing w:line="276" w:lineRule="auto"/>
        <w:jc w:val="both"/>
        <w:rPr>
          <w:rFonts w:ascii="Palatino Linotype" w:hAnsi="Palatino Linotype"/>
          <w:b/>
          <w:color w:val="000000"/>
        </w:rPr>
      </w:pPr>
    </w:p>
    <w:p w:rsidR="000F236F" w:rsidRDefault="000F236F" w:rsidP="000F236F">
      <w:pPr>
        <w:jc w:val="both"/>
        <w:rPr>
          <w:rFonts w:ascii="Palatino Linotype" w:hAnsi="Palatino Linotype"/>
          <w:b/>
          <w:bCs/>
        </w:rPr>
      </w:pPr>
    </w:p>
    <w:p w:rsidR="000F236F" w:rsidRDefault="000F236F" w:rsidP="000F236F">
      <w:pPr>
        <w:jc w:val="both"/>
        <w:rPr>
          <w:rFonts w:ascii="Palatino Linotype" w:hAnsi="Palatino Linotype"/>
          <w:b/>
          <w:bCs/>
        </w:rPr>
      </w:pPr>
    </w:p>
    <w:p w:rsidR="000F236F" w:rsidRPr="004752BB" w:rsidRDefault="000F236F" w:rsidP="000F236F">
      <w:pPr>
        <w:tabs>
          <w:tab w:val="left" w:pos="8160"/>
        </w:tabs>
        <w:jc w:val="center"/>
        <w:rPr>
          <w:rFonts w:ascii="Palatino Linotype" w:hAnsi="Palatino Linotype"/>
          <w:b/>
          <w:sz w:val="28"/>
          <w:szCs w:val="28"/>
        </w:rPr>
      </w:pPr>
      <w:r w:rsidRPr="004752BB">
        <w:rPr>
          <w:rFonts w:ascii="Palatino Linotype" w:hAnsi="Palatino Linotype"/>
          <w:b/>
          <w:sz w:val="28"/>
          <w:szCs w:val="28"/>
        </w:rPr>
        <w:t>REGULATORY ACTIONS TAKEN BY SEBI</w:t>
      </w:r>
    </w:p>
    <w:p w:rsidR="000F236F" w:rsidRDefault="000F236F" w:rsidP="000F236F">
      <w:pPr>
        <w:rPr>
          <w:rFonts w:ascii="Palatino Linotype" w:hAnsi="Palatino Linotype"/>
          <w:b/>
          <w:sz w:val="40"/>
          <w:szCs w:val="40"/>
        </w:rPr>
      </w:pPr>
    </w:p>
    <w:p w:rsidR="009E191B" w:rsidRPr="009E191B" w:rsidRDefault="009E191B" w:rsidP="000F236F">
      <w:pPr>
        <w:rPr>
          <w:rFonts w:ascii="Palatino Linotype" w:hAnsi="Palatino Linotype"/>
          <w:b/>
        </w:rPr>
      </w:pPr>
      <w:r w:rsidRPr="009E191B">
        <w:rPr>
          <w:rFonts w:ascii="Palatino Linotype" w:hAnsi="Palatino Linotype"/>
          <w:b/>
        </w:rPr>
        <w:t xml:space="preserve">Orders passed by </w:t>
      </w:r>
      <w:r>
        <w:rPr>
          <w:rFonts w:ascii="Palatino Linotype" w:hAnsi="Palatino Linotype"/>
          <w:b/>
        </w:rPr>
        <w:t xml:space="preserve">Whole Time </w:t>
      </w:r>
      <w:r w:rsidRPr="009E191B">
        <w:rPr>
          <w:rFonts w:ascii="Palatino Linotype" w:hAnsi="Palatino Linotype"/>
          <w:b/>
        </w:rPr>
        <w:t>Member</w:t>
      </w:r>
      <w:r>
        <w:rPr>
          <w:rFonts w:ascii="Palatino Linotype" w:hAnsi="Palatino Linotype"/>
          <w:b/>
        </w:rPr>
        <w:t>s:</w:t>
      </w:r>
    </w:p>
    <w:p w:rsidR="009E191B" w:rsidRDefault="009E191B" w:rsidP="000F236F">
      <w:pPr>
        <w:rPr>
          <w:rFonts w:ascii="Palatino Linotype" w:hAnsi="Palatino Linotype"/>
          <w:b/>
          <w:sz w:val="40"/>
          <w:szCs w:val="40"/>
        </w:rPr>
      </w:pPr>
    </w:p>
    <w:p w:rsidR="000F236F" w:rsidRDefault="000F236F" w:rsidP="00B018BC">
      <w:pPr>
        <w:numPr>
          <w:ilvl w:val="0"/>
          <w:numId w:val="19"/>
        </w:numPr>
        <w:spacing w:line="276" w:lineRule="auto"/>
        <w:contextualSpacing/>
        <w:jc w:val="both"/>
        <w:rPr>
          <w:rFonts w:ascii="Palatino Linotype" w:hAnsi="Palatino Linotype"/>
          <w:lang w:val="en-US"/>
        </w:rPr>
      </w:pPr>
      <w:r w:rsidRPr="004752BB">
        <w:rPr>
          <w:rFonts w:ascii="Palatino Linotype" w:eastAsia="Calibri" w:hAnsi="Palatino Linotype"/>
          <w:lang w:val="en-US"/>
        </w:rPr>
        <w:t>Vide order dated September 02, 2020, Accurate Securities and Registry Private Limited was directed to be careful and cautious as regards the conduct of its business and to adhere to and comply with all the applicable statutory provisions while carrying out its activities in the securities market. Any future lapse on its part in complying with the legal provisions shall invite stringent action, in the matter of Accurate Securities and Registry Pvt. Ltd.</w:t>
      </w:r>
      <w:r w:rsidRPr="004752BB">
        <w:rPr>
          <w:rFonts w:ascii="Palatino Linotype" w:hAnsi="Palatino Linotype"/>
          <w:lang w:val="en-US"/>
        </w:rPr>
        <w:t xml:space="preserve"> </w:t>
      </w:r>
    </w:p>
    <w:p w:rsidR="000F236F" w:rsidRPr="004752BB" w:rsidRDefault="000F236F" w:rsidP="000F236F">
      <w:pPr>
        <w:spacing w:line="276" w:lineRule="auto"/>
        <w:ind w:left="720"/>
        <w:contextualSpacing/>
        <w:jc w:val="both"/>
        <w:rPr>
          <w:rFonts w:ascii="Palatino Linotype" w:hAnsi="Palatino Linotype"/>
          <w:lang w:val="en-US"/>
        </w:rPr>
      </w:pPr>
    </w:p>
    <w:p w:rsidR="000F236F" w:rsidRDefault="000F236F" w:rsidP="00B018BC">
      <w:pPr>
        <w:numPr>
          <w:ilvl w:val="0"/>
          <w:numId w:val="19"/>
        </w:numPr>
        <w:spacing w:line="276" w:lineRule="auto"/>
        <w:contextualSpacing/>
        <w:jc w:val="both"/>
        <w:rPr>
          <w:rFonts w:ascii="Palatino Linotype" w:hAnsi="Palatino Linotype"/>
          <w:lang w:val="en-US"/>
        </w:rPr>
      </w:pPr>
      <w:r>
        <w:rPr>
          <w:rFonts w:ascii="Palatino Linotype" w:eastAsia="Calibri" w:hAnsi="Palatino Linotype"/>
          <w:lang w:val="en-US"/>
        </w:rPr>
        <w:t xml:space="preserve">Vide order dated September 03, 2020, Subodh Agarwal and others were restrained from accessing the securities market and also prohibited them from buying, selling or </w:t>
      </w:r>
      <w:r>
        <w:rPr>
          <w:rFonts w:ascii="Palatino Linotype" w:eastAsia="Calibri" w:hAnsi="Palatino Linotype"/>
          <w:lang w:val="en-US"/>
        </w:rPr>
        <w:lastRenderedPageBreak/>
        <w:t xml:space="preserve">otherwise dealing in securities, directly or indirectly, or being associated with the securities market in any manner, whatsoever, for 7 years from the date of this order. SEBI further prohibited Raj Kumar Agarwal and others for 5 years, and Manish Kumar Garg and others for 1 year from the date of this order, in the matter of Sulabh Engineers &amp; Services Limited. </w:t>
      </w:r>
    </w:p>
    <w:p w:rsidR="000F236F" w:rsidRDefault="000F236F" w:rsidP="000F236F">
      <w:pPr>
        <w:spacing w:line="276" w:lineRule="auto"/>
        <w:ind w:left="720"/>
        <w:contextualSpacing/>
        <w:jc w:val="both"/>
        <w:rPr>
          <w:rFonts w:ascii="Palatino Linotype" w:hAnsi="Palatino Linotype"/>
          <w:color w:val="FF0000"/>
          <w:lang w:val="en-US"/>
        </w:rPr>
      </w:pPr>
    </w:p>
    <w:p w:rsidR="000F236F" w:rsidRDefault="000F236F" w:rsidP="00B018BC">
      <w:pPr>
        <w:numPr>
          <w:ilvl w:val="0"/>
          <w:numId w:val="19"/>
        </w:numPr>
        <w:spacing w:line="276" w:lineRule="auto"/>
        <w:contextualSpacing/>
        <w:jc w:val="both"/>
        <w:rPr>
          <w:rFonts w:ascii="Palatino Linotype" w:hAnsi="Palatino Linotype"/>
          <w:lang w:val="en-US"/>
        </w:rPr>
      </w:pPr>
      <w:r>
        <w:rPr>
          <w:rFonts w:ascii="Palatino Linotype" w:eastAsia="Calibri" w:hAnsi="Palatino Linotype"/>
          <w:lang w:val="en-US"/>
        </w:rPr>
        <w:t xml:space="preserve">Vide order dated September 07, 2020, Yash Chawla, sole proprietor of Khelo MCX Research Services was directed to cease and desist from acting as an investment advisor including the activity of acting and representing through any media (physical or digital)as an investment advisor, directly or indirectly, and cease to solicit or undertake such activity or any other activities in the securities market, directly or indirectly, in any matter whatsoever, and also not to divert any funds raised from investors, kept in bank account(s) and/ or in their custody and not to dispose of or alienate any assets, whether movable or immovable, or any interest or investment or charge on any of such assets held in their name, including money lying in bank accounts except with the prior permission of SEBI. </w:t>
      </w:r>
    </w:p>
    <w:p w:rsidR="000F236F" w:rsidRDefault="000F236F" w:rsidP="000F236F">
      <w:pPr>
        <w:spacing w:line="276" w:lineRule="auto"/>
        <w:ind w:left="720"/>
        <w:contextualSpacing/>
        <w:jc w:val="both"/>
        <w:rPr>
          <w:rFonts w:ascii="Palatino Linotype" w:hAnsi="Palatino Linotype"/>
          <w:lang w:val="en-US"/>
        </w:rPr>
      </w:pPr>
    </w:p>
    <w:p w:rsidR="000F236F" w:rsidRDefault="000F236F" w:rsidP="00B018BC">
      <w:pPr>
        <w:numPr>
          <w:ilvl w:val="0"/>
          <w:numId w:val="19"/>
        </w:numPr>
        <w:spacing w:line="276" w:lineRule="auto"/>
        <w:contextualSpacing/>
        <w:jc w:val="both"/>
        <w:rPr>
          <w:rFonts w:ascii="Palatino Linotype" w:hAnsi="Palatino Linotype"/>
          <w:lang w:val="en-US"/>
        </w:rPr>
      </w:pPr>
      <w:r>
        <w:rPr>
          <w:rFonts w:ascii="Palatino Linotype" w:eastAsia="Calibri" w:hAnsi="Palatino Linotype"/>
          <w:lang w:val="en-US"/>
        </w:rPr>
        <w:t>Vide order dated September 08, 2020, Global Securities Ltd. and Mr. Devesh U</w:t>
      </w:r>
      <w:r w:rsidR="002A1CAB">
        <w:rPr>
          <w:rFonts w:ascii="Palatino Linotype" w:eastAsia="Calibri" w:hAnsi="Palatino Linotype"/>
          <w:lang w:val="en-US"/>
        </w:rPr>
        <w:t>p</w:t>
      </w:r>
      <w:r>
        <w:rPr>
          <w:rFonts w:ascii="Palatino Linotype" w:eastAsia="Calibri" w:hAnsi="Palatino Linotype"/>
          <w:lang w:val="en-US"/>
        </w:rPr>
        <w:t>adhyay were restrained for a period of one (1) year, Arvind Goyal Babulal,  Mr. Mahadev Zilu Gawade, Mr. Sorab Wadia, Mr. Sagar  Kadam, Mr. Sorab Wadia, Mr. Pendyala Vinay Bhushan, Ms. Falguniben Mahavirbhai Gohil, M/s. Jesse Trading Pvt Ltd, Mr. Abhay Dattatray Javlekar, Mr. Jay Mahavir Gohil for a period of six (6) months, and Pankaj Jayantilal Dave and Dharmendra Harilal Bhojak restrained for a period of three (3) months, from accessing the securities market in any manner whatsoever and further  prohibited them from buying, selling or otherwise dealing in securities, either directly or indirectly, or being associated with the securities market for the specified period, in the matter of Global Securities Ltd.</w:t>
      </w:r>
    </w:p>
    <w:p w:rsidR="000F236F" w:rsidRDefault="000F236F" w:rsidP="000F236F">
      <w:pPr>
        <w:spacing w:line="276" w:lineRule="auto"/>
        <w:ind w:left="720"/>
        <w:contextualSpacing/>
        <w:jc w:val="both"/>
        <w:rPr>
          <w:rFonts w:ascii="Palatino Linotype" w:hAnsi="Palatino Linotype"/>
          <w:lang w:val="en-US"/>
        </w:rPr>
      </w:pPr>
    </w:p>
    <w:p w:rsidR="000F236F" w:rsidRDefault="000F236F" w:rsidP="00B018BC">
      <w:pPr>
        <w:numPr>
          <w:ilvl w:val="0"/>
          <w:numId w:val="19"/>
        </w:numPr>
        <w:spacing w:line="276" w:lineRule="auto"/>
        <w:contextualSpacing/>
        <w:jc w:val="both"/>
        <w:rPr>
          <w:rFonts w:ascii="Palatino Linotype" w:hAnsi="Palatino Linotype"/>
          <w:lang w:val="en-US"/>
        </w:rPr>
      </w:pPr>
      <w:r>
        <w:rPr>
          <w:rFonts w:ascii="Palatino Linotype" w:eastAsia="Calibri" w:hAnsi="Palatino Linotype"/>
          <w:lang w:val="en-US"/>
        </w:rPr>
        <w:t xml:space="preserve">Vide order dated September 08, 2020, Aradhana Realties Limited was granted relaxation from the requirement of providing exit offer under Regulation 6(b) and incidental / consequential requirements thereof and to proceed with delisting subject to the following conditions: </w:t>
      </w:r>
    </w:p>
    <w:p w:rsidR="000F236F" w:rsidRDefault="000F236F" w:rsidP="000F236F">
      <w:pPr>
        <w:spacing w:line="276" w:lineRule="auto"/>
        <w:ind w:left="720"/>
        <w:contextualSpacing/>
        <w:jc w:val="both"/>
        <w:rPr>
          <w:rFonts w:ascii="Palatino Linotype" w:hAnsi="Palatino Linotype"/>
          <w:lang w:val="en-US"/>
        </w:rPr>
      </w:pPr>
    </w:p>
    <w:p w:rsidR="000F236F" w:rsidRDefault="000F236F" w:rsidP="000F236F">
      <w:pPr>
        <w:spacing w:line="276" w:lineRule="auto"/>
        <w:ind w:left="720"/>
        <w:contextualSpacing/>
        <w:jc w:val="both"/>
        <w:rPr>
          <w:rFonts w:ascii="Palatino Linotype" w:hAnsi="Palatino Linotype"/>
          <w:lang w:val="en-US"/>
        </w:rPr>
      </w:pPr>
      <w:r>
        <w:rPr>
          <w:rFonts w:ascii="Palatino Linotype" w:eastAsia="Calibri" w:hAnsi="Palatino Linotype"/>
          <w:lang w:val="en-US"/>
        </w:rPr>
        <w:t xml:space="preserve">(a) Aaradhana Realties Limited was directed to issue a public announcement in at least one English national daily with wide circulation, one Hindi national daily with wide circulation and one regional language newspaper of the region where the concerned recognised stock exchange, i.e. BSE, is located, disclosing, inter-alia, that the company is 100 per cent promoter held and is seeking delisting from BSE, pursuant to this order, </w:t>
      </w:r>
      <w:r>
        <w:rPr>
          <w:rFonts w:ascii="Palatino Linotype" w:eastAsia="Calibri" w:hAnsi="Palatino Linotype"/>
          <w:lang w:val="en-US"/>
        </w:rPr>
        <w:lastRenderedPageBreak/>
        <w:t xml:space="preserve">within a period of one month, in the matter of delisting of equity shares of Aaradhana Realties Limited. </w:t>
      </w:r>
    </w:p>
    <w:p w:rsidR="000F236F" w:rsidRDefault="000F236F" w:rsidP="000F236F">
      <w:pPr>
        <w:spacing w:line="276" w:lineRule="auto"/>
        <w:ind w:left="720"/>
        <w:contextualSpacing/>
        <w:jc w:val="both"/>
        <w:rPr>
          <w:rFonts w:ascii="Palatino Linotype" w:hAnsi="Palatino Linotype"/>
          <w:lang w:val="en-US"/>
        </w:rPr>
      </w:pPr>
      <w:r>
        <w:rPr>
          <w:rFonts w:ascii="Palatino Linotype" w:eastAsia="Calibri" w:hAnsi="Palatino Linotype"/>
          <w:lang w:val="en-US"/>
        </w:rPr>
        <w:t>(b) Aaradhana Realties Limited was further directed to approach the stock exchange for guidance and the exchange should do the needful to allow the company to get delisted and the exercise of delisting should be completed within a period of six (6) months from the date of the order.</w:t>
      </w:r>
    </w:p>
    <w:p w:rsidR="000F236F" w:rsidRDefault="000F236F" w:rsidP="000F236F">
      <w:pPr>
        <w:spacing w:line="276" w:lineRule="auto"/>
        <w:ind w:left="720"/>
        <w:contextualSpacing/>
        <w:jc w:val="both"/>
        <w:rPr>
          <w:rFonts w:ascii="Palatino Linotype" w:hAnsi="Palatino Linotype"/>
          <w:lang w:val="en-US"/>
        </w:rPr>
      </w:pPr>
    </w:p>
    <w:p w:rsidR="000F236F" w:rsidRDefault="000F236F" w:rsidP="00B018BC">
      <w:pPr>
        <w:numPr>
          <w:ilvl w:val="0"/>
          <w:numId w:val="19"/>
        </w:numPr>
        <w:spacing w:line="276" w:lineRule="auto"/>
        <w:contextualSpacing/>
        <w:jc w:val="both"/>
        <w:rPr>
          <w:rFonts w:ascii="Palatino Linotype" w:hAnsi="Palatino Linotype"/>
          <w:lang w:val="en-US"/>
        </w:rPr>
      </w:pPr>
      <w:r>
        <w:rPr>
          <w:rFonts w:ascii="Palatino Linotype" w:eastAsia="Calibri" w:hAnsi="Palatino Linotype"/>
          <w:lang w:val="en-US"/>
        </w:rPr>
        <w:t>Vide order dated September 09, 2020, the directions issued vide ex-parte ad interim order dated February 07, 2020 that directed Smart Investment Services and its Proprietor Ms. Rinkee Prajapati to cease and desist from acting as an investment advisor including the activity of acting and representing through any media and be associated with the securities market were confirmed.</w:t>
      </w:r>
    </w:p>
    <w:p w:rsidR="000F236F" w:rsidRDefault="000F236F" w:rsidP="000F236F">
      <w:pPr>
        <w:spacing w:line="276" w:lineRule="auto"/>
        <w:ind w:left="720"/>
        <w:contextualSpacing/>
        <w:jc w:val="both"/>
        <w:rPr>
          <w:rFonts w:ascii="Palatino Linotype" w:hAnsi="Palatino Linotype"/>
          <w:lang w:val="en-US"/>
        </w:rPr>
      </w:pPr>
    </w:p>
    <w:p w:rsidR="000F236F" w:rsidRDefault="000F236F" w:rsidP="00B018BC">
      <w:pPr>
        <w:numPr>
          <w:ilvl w:val="0"/>
          <w:numId w:val="19"/>
        </w:numPr>
        <w:spacing w:line="276" w:lineRule="auto"/>
        <w:contextualSpacing/>
        <w:jc w:val="both"/>
        <w:rPr>
          <w:rFonts w:ascii="Palatino Linotype" w:hAnsi="Palatino Linotype"/>
          <w:lang w:val="en-US"/>
        </w:rPr>
      </w:pPr>
      <w:r>
        <w:rPr>
          <w:rFonts w:ascii="Palatino Linotype" w:eastAsia="Calibri" w:hAnsi="Palatino Linotype"/>
          <w:lang w:val="en-US"/>
        </w:rPr>
        <w:t>Vide order dated September 07, 2020, Krishnamurthy G. was directed to cease and desist from acting as an investment advisor including the activity of acting and representing through any media (physical or digital) as an investment advisor, directly or indirectly, and cease to solicit or undertake such activity or any other activities in the securities market, directly or indirectly, in any matter whatsoever, and also not to divert any funds raised from investors, kept in bank account(s) and/or in their custody, and not to dispose of or alienate any assets, whether movable or immovable, or any interest or investment or charge on any of such assets held in their name, including money lying in bank accounts except with the prior permission of SEBI.</w:t>
      </w:r>
    </w:p>
    <w:p w:rsidR="000F236F" w:rsidRDefault="000F236F" w:rsidP="000F236F">
      <w:pPr>
        <w:spacing w:line="276" w:lineRule="auto"/>
        <w:ind w:left="720"/>
        <w:contextualSpacing/>
        <w:jc w:val="both"/>
        <w:rPr>
          <w:rFonts w:ascii="Palatino Linotype" w:hAnsi="Palatino Linotype"/>
          <w:lang w:val="en-US"/>
        </w:rPr>
      </w:pPr>
    </w:p>
    <w:p w:rsidR="000F236F" w:rsidRDefault="000F236F" w:rsidP="00B018BC">
      <w:pPr>
        <w:numPr>
          <w:ilvl w:val="0"/>
          <w:numId w:val="19"/>
        </w:numPr>
        <w:spacing w:line="276" w:lineRule="auto"/>
        <w:contextualSpacing/>
        <w:jc w:val="both"/>
        <w:rPr>
          <w:rFonts w:ascii="Palatino Linotype" w:hAnsi="Palatino Linotype"/>
          <w:lang w:val="en-US"/>
        </w:rPr>
      </w:pPr>
      <w:r>
        <w:rPr>
          <w:rFonts w:ascii="Palatino Linotype" w:eastAsia="Calibri" w:hAnsi="Palatino Linotype"/>
          <w:lang w:val="en-US"/>
        </w:rPr>
        <w:t>Vide order dated September 11, 2020, the directions issued in the interim order dated April 30,2020 that restrained Modex International Securities Limited, Dharmendra Kumar Arora, and Pawan Kumar Sachdeva from accessing the securities market and further prohibiting them from buying, selling or otherwise dealing in securities, either directly or indirectly, or being associated with the securities market in any manner whatsoever, till further directions, in the matter of Modex International Securities Limitedwere confirmed.</w:t>
      </w:r>
    </w:p>
    <w:p w:rsidR="000F236F" w:rsidRDefault="000F236F" w:rsidP="000F236F">
      <w:pPr>
        <w:spacing w:line="276" w:lineRule="auto"/>
        <w:ind w:left="720"/>
        <w:contextualSpacing/>
        <w:jc w:val="both"/>
        <w:rPr>
          <w:rFonts w:ascii="Palatino Linotype" w:hAnsi="Palatino Linotype"/>
          <w:lang w:val="en-US"/>
        </w:rPr>
      </w:pPr>
    </w:p>
    <w:p w:rsidR="000F236F" w:rsidRDefault="000F236F" w:rsidP="00B018BC">
      <w:pPr>
        <w:numPr>
          <w:ilvl w:val="0"/>
          <w:numId w:val="19"/>
        </w:numPr>
        <w:spacing w:line="276" w:lineRule="auto"/>
        <w:contextualSpacing/>
        <w:jc w:val="both"/>
        <w:rPr>
          <w:rFonts w:ascii="Palatino Linotype" w:hAnsi="Palatino Linotype"/>
          <w:lang w:val="en-US"/>
        </w:rPr>
      </w:pPr>
      <w:r>
        <w:rPr>
          <w:rFonts w:ascii="Palatino Linotype" w:eastAsia="Calibri" w:hAnsi="Palatino Linotype"/>
          <w:lang w:val="en-US"/>
        </w:rPr>
        <w:t>Vide order dated September 14, 2020, exemption was granted to the proposed acquirer Saravan Global Holding Limited from complying with the requirement of Regulation 3 and 4 of SAST Regulations with respect to proposed acquisition of the target company (Indo Asia Finance Limited) , in the matter of Indo Asia Finance Limited.</w:t>
      </w:r>
    </w:p>
    <w:p w:rsidR="000F236F" w:rsidRDefault="000F236F" w:rsidP="000F236F">
      <w:pPr>
        <w:spacing w:line="276" w:lineRule="auto"/>
        <w:contextualSpacing/>
        <w:jc w:val="both"/>
        <w:rPr>
          <w:rFonts w:ascii="Palatino Linotype" w:hAnsi="Palatino Linotype"/>
          <w:lang w:val="en-US"/>
        </w:rPr>
      </w:pPr>
    </w:p>
    <w:p w:rsidR="000F236F" w:rsidRDefault="000F236F" w:rsidP="00B018BC">
      <w:pPr>
        <w:numPr>
          <w:ilvl w:val="0"/>
          <w:numId w:val="19"/>
        </w:numPr>
        <w:spacing w:line="276" w:lineRule="auto"/>
        <w:contextualSpacing/>
        <w:jc w:val="both"/>
        <w:rPr>
          <w:rFonts w:ascii="Palatino Linotype" w:hAnsi="Palatino Linotype"/>
          <w:lang w:val="en-US"/>
        </w:rPr>
      </w:pPr>
      <w:r>
        <w:rPr>
          <w:rFonts w:ascii="Palatino Linotype" w:eastAsia="Calibri" w:hAnsi="Palatino Linotype"/>
          <w:lang w:val="en-US"/>
        </w:rPr>
        <w:t xml:space="preserve">Vide order dated September 15, 2020, Kalyani and Kalyani Developers (India) Ltd. and Baman Charana  Das were directed to jointly and severally refund money collected through the offer and allotment of equity shares and cumulative redeemable preference </w:t>
      </w:r>
      <w:r>
        <w:rPr>
          <w:rFonts w:ascii="Palatino Linotype" w:eastAsia="Calibri" w:hAnsi="Palatino Linotype"/>
          <w:lang w:val="en-US"/>
        </w:rPr>
        <w:lastRenderedPageBreak/>
        <w:t xml:space="preserve">shares, including the application money collected from investors, pending allotment of securities, if any, with an interest  of  15 per cent  per annum within a period of 180 days from the date of this order, supported by a certificate of an independent chartered accountant. Kalyani and Kalyani Developers (India) Ltd. and its directors were further prohibited from accessing the securities market by issue of    prospectus/ offer document/ advertisement or advertisement soliciting money from the public and buying, selling or otherwise dealing in securities in any manner whatsoever, directly or indirectly, and also restrained from associating themselves with any listed public company and any public company which intends to raise money from the public, or any intermediary registered with SEBI  from  the  date  of  order till the expiry of a period of three years, in the matter of Kalyani and Kalyani Developers ( India) Ltd.  </w:t>
      </w:r>
    </w:p>
    <w:p w:rsidR="000F236F" w:rsidRDefault="000F236F" w:rsidP="000F236F">
      <w:pPr>
        <w:spacing w:line="276" w:lineRule="auto"/>
        <w:ind w:left="720"/>
        <w:contextualSpacing/>
        <w:jc w:val="both"/>
        <w:rPr>
          <w:rFonts w:ascii="Palatino Linotype" w:hAnsi="Palatino Linotype"/>
          <w:color w:val="FF0000"/>
          <w:lang w:val="en-US"/>
        </w:rPr>
      </w:pPr>
    </w:p>
    <w:p w:rsidR="000F236F" w:rsidRDefault="000F236F" w:rsidP="00B018BC">
      <w:pPr>
        <w:numPr>
          <w:ilvl w:val="0"/>
          <w:numId w:val="19"/>
        </w:numPr>
        <w:spacing w:line="276" w:lineRule="auto"/>
        <w:contextualSpacing/>
        <w:jc w:val="both"/>
        <w:rPr>
          <w:rFonts w:ascii="Palatino Linotype" w:hAnsi="Palatino Linotype"/>
          <w:lang w:val="en-US"/>
        </w:rPr>
      </w:pPr>
      <w:r>
        <w:rPr>
          <w:rFonts w:ascii="Palatino Linotype" w:eastAsia="Calibri" w:hAnsi="Palatino Linotype"/>
          <w:lang w:val="en-US"/>
        </w:rPr>
        <w:t>Vide order dated September 25, 2020, Ms. Toshniwal was allowed to transfer the securities held in the joint demat account with Mr. Toshniwal to a demat account in her individual name within a period of three months from the date of this order.</w:t>
      </w:r>
    </w:p>
    <w:p w:rsidR="000F236F" w:rsidRDefault="000F236F" w:rsidP="000F236F">
      <w:pPr>
        <w:spacing w:line="276" w:lineRule="auto"/>
        <w:ind w:left="720"/>
        <w:contextualSpacing/>
        <w:jc w:val="both"/>
        <w:rPr>
          <w:rFonts w:ascii="Palatino Linotype" w:hAnsi="Palatino Linotype"/>
          <w:lang w:val="en-US"/>
        </w:rPr>
      </w:pPr>
    </w:p>
    <w:p w:rsidR="000F236F" w:rsidRDefault="000F236F" w:rsidP="00B018BC">
      <w:pPr>
        <w:numPr>
          <w:ilvl w:val="0"/>
          <w:numId w:val="19"/>
        </w:numPr>
        <w:spacing w:line="276" w:lineRule="auto"/>
        <w:contextualSpacing/>
        <w:jc w:val="both"/>
        <w:rPr>
          <w:rFonts w:ascii="Palatino Linotype" w:hAnsi="Palatino Linotype"/>
          <w:lang w:val="en-US"/>
        </w:rPr>
      </w:pPr>
      <w:r>
        <w:rPr>
          <w:rFonts w:ascii="Palatino Linotype" w:eastAsia="Calibri" w:hAnsi="Palatino Linotype"/>
          <w:lang w:val="en-US"/>
        </w:rPr>
        <w:t>Vide order dated September 25, 2020, Nand LalKoiree, Ashok Saw, Mukesh Singh and Ganesh Thakur were directed to refund money jointly and severally collected by Rainbow Industries and Constructions Ltd. from the public through the offer and allotment of redeemable preference shares without complying with the prescribed public issue norms, with an interest of 15 per cent per annum. These entities were also directed to provide within a period of one month, a full inventory of all their assets and properties and details of all their bank accounts, demat accounts and holdings of mutual funds/shares/securities, held in physical form and demat form. They are further prevented from selling their assets, properties and holding of mutual funds/shares/securities held by them in demat and physical form except for the sole purpose of making the refunds as directed above and deposit such sale proceeds in an Escrow Account opened with a nationalized bank. Nand LalKoiree and five others are also restrained from accessing the securities market by issue of prospectus/offer document/advertisement or otherwise in any manner whatsoever, and are refrained/prohibited from buying, selling or otherwise dealing in securities in any manner whatsoever, directly or indirectly, for a period of four years from the date of thes order or till the completion of refund to the investors of Rainbow, in the matter of Rainbow Industries and Constructions Ltd.</w:t>
      </w:r>
    </w:p>
    <w:p w:rsidR="000F236F" w:rsidRDefault="000F236F" w:rsidP="000F236F">
      <w:pPr>
        <w:spacing w:line="276" w:lineRule="auto"/>
        <w:ind w:left="720"/>
        <w:contextualSpacing/>
        <w:jc w:val="both"/>
        <w:rPr>
          <w:rFonts w:ascii="Palatino Linotype" w:hAnsi="Palatino Linotype"/>
          <w:lang w:val="en-US"/>
        </w:rPr>
      </w:pPr>
    </w:p>
    <w:p w:rsidR="000F236F" w:rsidRDefault="000F236F" w:rsidP="00B018BC">
      <w:pPr>
        <w:numPr>
          <w:ilvl w:val="0"/>
          <w:numId w:val="19"/>
        </w:numPr>
        <w:spacing w:line="276" w:lineRule="auto"/>
        <w:contextualSpacing/>
        <w:jc w:val="both"/>
        <w:rPr>
          <w:rFonts w:ascii="Palatino Linotype" w:hAnsi="Palatino Linotype"/>
          <w:lang w:val="en-US"/>
        </w:rPr>
      </w:pPr>
      <w:r>
        <w:rPr>
          <w:rFonts w:ascii="Palatino Linotype" w:eastAsia="Calibri" w:hAnsi="Palatino Linotype"/>
          <w:lang w:val="en-US"/>
        </w:rPr>
        <w:t xml:space="preserve">Vide order dated September 25, 2020, Resurgere Mines and Minerals India Ltd. was debarred from accessing the securities market, directly or indirectly, by issuing prospectus, offer document or advertisement soliciting money from the public and further prohibiting it from buying, selling or otherwise dealing in the securities market, </w:t>
      </w:r>
      <w:r>
        <w:rPr>
          <w:rFonts w:ascii="Palatino Linotype" w:eastAsia="Calibri" w:hAnsi="Palatino Linotype"/>
          <w:lang w:val="en-US"/>
        </w:rPr>
        <w:lastRenderedPageBreak/>
        <w:t>directly or indirectly in whatsoever manner, for a period of three years. These directions were to be commenced from the cessation of moratorium declared by NCLT in the pending CIRP proceedings against the company. Noticees Subhash Sharma and Amit Sharma were restrained from holding or occupying position as director or any key managerial personnel or associating themselves directly or indirectly with any public listed company and/or any public company or any intermediary registered with SEBI for a period of  three years, and Harish Khetan for a period of six months from the date of this order, in the matter of IPO of Resurgere Mines and Minerals India Ltd.</w:t>
      </w:r>
    </w:p>
    <w:p w:rsidR="000F236F" w:rsidRDefault="000F236F" w:rsidP="000F236F">
      <w:pPr>
        <w:spacing w:line="276" w:lineRule="auto"/>
        <w:ind w:left="720"/>
        <w:contextualSpacing/>
        <w:jc w:val="both"/>
        <w:rPr>
          <w:rFonts w:ascii="Palatino Linotype" w:hAnsi="Palatino Linotype"/>
          <w:color w:val="FF0000"/>
          <w:lang w:val="en-US"/>
        </w:rPr>
      </w:pPr>
    </w:p>
    <w:p w:rsidR="000F236F" w:rsidRDefault="000F236F" w:rsidP="00B018BC">
      <w:pPr>
        <w:numPr>
          <w:ilvl w:val="0"/>
          <w:numId w:val="19"/>
        </w:numPr>
        <w:spacing w:line="276" w:lineRule="auto"/>
        <w:contextualSpacing/>
        <w:jc w:val="both"/>
        <w:rPr>
          <w:rFonts w:ascii="Palatino Linotype" w:hAnsi="Palatino Linotype"/>
          <w:lang w:val="en-US"/>
        </w:rPr>
      </w:pPr>
      <w:r>
        <w:rPr>
          <w:rFonts w:ascii="Palatino Linotype" w:eastAsia="Calibri" w:hAnsi="Palatino Linotype"/>
          <w:lang w:val="en-US"/>
        </w:rPr>
        <w:t>Vide order dated September 29, 2020, Pinky Kelva, proprietor of Future Investment was restrained from buying, selling or dealing in the securities market or associating themselves with securities market, either directly or indirectly, in any manner whatsoever or on behalf of any of her clients through their accounts, and also directed to cease and desist from undertaking any activity in the securities market including the activity of acting and representing through any media (physical or digital) as an investment advisor, directly or indirectly. Pinky Kelva was further directed to provide a full inventory of all assets held in her name or her proprietary firm’s name i.e., Future Investment, whether movable or immovable, or any interest or investment or charge on any of such assets, including details of all bank accounts, demat accounts and mutual fund investments, immediately but not later than five (5) working days from the date of receipt of this order, in the matter of Pinky Kelva, Proprietor of Future Investment.</w:t>
      </w:r>
    </w:p>
    <w:p w:rsidR="000F236F" w:rsidRDefault="000F236F" w:rsidP="000F236F">
      <w:pPr>
        <w:spacing w:line="276" w:lineRule="auto"/>
        <w:ind w:left="720"/>
        <w:contextualSpacing/>
        <w:jc w:val="both"/>
        <w:rPr>
          <w:rFonts w:ascii="Palatino Linotype" w:hAnsi="Palatino Linotype"/>
          <w:lang w:val="en-US"/>
        </w:rPr>
      </w:pPr>
    </w:p>
    <w:p w:rsidR="000F236F" w:rsidRDefault="000F236F" w:rsidP="00B018BC">
      <w:pPr>
        <w:numPr>
          <w:ilvl w:val="0"/>
          <w:numId w:val="19"/>
        </w:numPr>
        <w:spacing w:line="276" w:lineRule="auto"/>
        <w:contextualSpacing/>
        <w:jc w:val="both"/>
        <w:rPr>
          <w:rFonts w:ascii="Palatino Linotype" w:hAnsi="Palatino Linotype"/>
          <w:lang w:val="en-US"/>
        </w:rPr>
      </w:pPr>
      <w:r>
        <w:rPr>
          <w:rFonts w:ascii="Palatino Linotype" w:eastAsia="Calibri" w:hAnsi="Palatino Linotype"/>
          <w:lang w:val="en-US"/>
        </w:rPr>
        <w:t xml:space="preserve">Vide order dated September 29, 2020, P.V.R Murthy (for a period of three (3) years), Yashovardhan Birla (for a period of two (2) years), Y.P. Trivedi and Mohandas Adige (for a period of one (1) year) were restrained from buying, selling or dealing in securities including units of mutual funds, directly or indirectly, in any manner whatsoever or being associated with the securities market in any manner, whatsoever, in the matter of GDR issue of Birla Cotsyn (India) Ltd. </w:t>
      </w:r>
    </w:p>
    <w:p w:rsidR="000F236F" w:rsidRDefault="000F236F" w:rsidP="000F236F">
      <w:pPr>
        <w:spacing w:line="276" w:lineRule="auto"/>
        <w:ind w:left="720"/>
        <w:contextualSpacing/>
        <w:jc w:val="both"/>
        <w:rPr>
          <w:rFonts w:ascii="Palatino Linotype" w:hAnsi="Palatino Linotype"/>
          <w:lang w:val="en-US"/>
        </w:rPr>
      </w:pPr>
    </w:p>
    <w:p w:rsidR="000F236F" w:rsidRDefault="000F236F" w:rsidP="00B018BC">
      <w:pPr>
        <w:numPr>
          <w:ilvl w:val="0"/>
          <w:numId w:val="19"/>
        </w:numPr>
        <w:spacing w:line="276" w:lineRule="auto"/>
        <w:contextualSpacing/>
        <w:jc w:val="both"/>
        <w:rPr>
          <w:rFonts w:ascii="Palatino Linotype" w:hAnsi="Palatino Linotype"/>
          <w:lang w:val="en-US"/>
        </w:rPr>
      </w:pPr>
      <w:r>
        <w:rPr>
          <w:rFonts w:ascii="Palatino Linotype" w:eastAsia="Calibri" w:hAnsi="Palatino Linotype"/>
          <w:lang w:val="en-US"/>
        </w:rPr>
        <w:t>Vide order dated September 30, 2020, CRA Family Trust was granted exemption from complying with the requirements of Regulations 3(2), 4 and 5 of the Takeover Regulations 2011 with respect to the proposed indirect acquisition in the Target Company, viz. Paushak Limited, by way of proposed transaction as mentioned in the Application made to SEBI and subject to certain conditions as mentioned in the order, in the matter of Paushak Limited.</w:t>
      </w:r>
    </w:p>
    <w:p w:rsidR="000F236F" w:rsidRDefault="000F236F" w:rsidP="000F236F">
      <w:pPr>
        <w:spacing w:line="276" w:lineRule="auto"/>
        <w:ind w:left="720"/>
        <w:contextualSpacing/>
        <w:jc w:val="both"/>
        <w:rPr>
          <w:rFonts w:ascii="Palatino Linotype" w:hAnsi="Palatino Linotype"/>
          <w:lang w:val="en-US"/>
        </w:rPr>
      </w:pPr>
    </w:p>
    <w:p w:rsidR="000F236F" w:rsidRDefault="000F236F" w:rsidP="00B018BC">
      <w:pPr>
        <w:numPr>
          <w:ilvl w:val="0"/>
          <w:numId w:val="19"/>
        </w:numPr>
        <w:spacing w:line="276" w:lineRule="auto"/>
        <w:contextualSpacing/>
        <w:jc w:val="both"/>
        <w:rPr>
          <w:rFonts w:ascii="Palatino Linotype" w:hAnsi="Palatino Linotype"/>
          <w:lang w:val="en-US"/>
        </w:rPr>
      </w:pPr>
      <w:r>
        <w:rPr>
          <w:rFonts w:ascii="Palatino Linotype" w:eastAsia="Calibri" w:hAnsi="Palatino Linotype"/>
          <w:lang w:val="en-US"/>
        </w:rPr>
        <w:t xml:space="preserve">Vide order dated September 30, 2020, CRA Family Trust was granted exemption from complying with the requirements of Regulations 3(2), 4 and 5 of the Takeover Regulations 2011 with respect to the proposed indirect acquisition in the Target </w:t>
      </w:r>
      <w:r>
        <w:rPr>
          <w:rFonts w:ascii="Palatino Linotype" w:eastAsia="Calibri" w:hAnsi="Palatino Linotype"/>
          <w:lang w:val="en-US"/>
        </w:rPr>
        <w:lastRenderedPageBreak/>
        <w:t>Company, viz. Alembic Pharmaceuticals Ltd., by way of proposed transaction as mentioned in the Application made to SEBI and subject to certain conditions as mentioned in the order, in the matter of Alembic Pharmaceuticals Ltd.</w:t>
      </w:r>
    </w:p>
    <w:p w:rsidR="000F236F" w:rsidRDefault="000F236F" w:rsidP="000F236F">
      <w:pPr>
        <w:spacing w:line="276" w:lineRule="auto"/>
        <w:ind w:left="720"/>
        <w:contextualSpacing/>
        <w:jc w:val="both"/>
        <w:rPr>
          <w:rFonts w:ascii="Palatino Linotype" w:hAnsi="Palatino Linotype"/>
          <w:lang w:val="en-US"/>
        </w:rPr>
      </w:pPr>
    </w:p>
    <w:p w:rsidR="000F236F" w:rsidRDefault="000F236F" w:rsidP="00B018BC">
      <w:pPr>
        <w:numPr>
          <w:ilvl w:val="0"/>
          <w:numId w:val="19"/>
        </w:numPr>
        <w:spacing w:line="276" w:lineRule="auto"/>
        <w:contextualSpacing/>
        <w:jc w:val="both"/>
        <w:rPr>
          <w:rFonts w:ascii="Palatino Linotype" w:hAnsi="Palatino Linotype"/>
          <w:lang w:val="en-US"/>
        </w:rPr>
      </w:pPr>
      <w:r>
        <w:rPr>
          <w:rFonts w:ascii="Palatino Linotype" w:eastAsia="Calibri" w:hAnsi="Palatino Linotype"/>
          <w:lang w:val="en-US"/>
        </w:rPr>
        <w:t>Vide order dated September 30, 2020, CRA Family Trust was granted exemption from complying with the requirements of Regulations 3(2), 4 and 5 of the Takeover Regulations 2011 with respect to the proposed indirect acquisition in the Target Company, viz. Alembic Limited, by way of proposed transaction as mentioned in the Application made to SEBI and subject to certain conditions as mentioned in the order, in the matter of Alembic Limited.</w:t>
      </w:r>
    </w:p>
    <w:p w:rsidR="000F236F" w:rsidRDefault="000F236F" w:rsidP="000F236F">
      <w:pPr>
        <w:spacing w:line="276" w:lineRule="auto"/>
        <w:ind w:left="720"/>
        <w:contextualSpacing/>
        <w:jc w:val="both"/>
        <w:rPr>
          <w:rFonts w:ascii="Palatino Linotype" w:hAnsi="Palatino Linotype"/>
          <w:lang w:val="en-US"/>
        </w:rPr>
      </w:pPr>
    </w:p>
    <w:p w:rsidR="000F236F" w:rsidRDefault="000F236F" w:rsidP="00B018BC">
      <w:pPr>
        <w:numPr>
          <w:ilvl w:val="0"/>
          <w:numId w:val="19"/>
        </w:numPr>
        <w:spacing w:line="276" w:lineRule="auto"/>
        <w:contextualSpacing/>
        <w:jc w:val="both"/>
        <w:rPr>
          <w:rFonts w:ascii="Palatino Linotype" w:hAnsi="Palatino Linotype"/>
          <w:lang w:val="en-US"/>
        </w:rPr>
      </w:pPr>
      <w:r>
        <w:rPr>
          <w:rFonts w:ascii="Palatino Linotype" w:eastAsia="Calibri" w:hAnsi="Palatino Linotype"/>
          <w:lang w:val="en-US"/>
        </w:rPr>
        <w:t>Vide order dated September 30, 2020, the certificate of registration of Sharepro Services (I) Pvt. Ltd. was cancelled as a registrar to an issue and share transfer agent, with immediate effect, for indulging in fraudulent activities involving large scale misappropriation of funds and securities belonging to its clients and also falsification of records and documents.</w:t>
      </w:r>
    </w:p>
    <w:p w:rsidR="000F236F" w:rsidRDefault="000F236F" w:rsidP="000F236F">
      <w:pPr>
        <w:spacing w:line="276" w:lineRule="auto"/>
        <w:contextualSpacing/>
        <w:jc w:val="both"/>
        <w:rPr>
          <w:rFonts w:ascii="Palatino Linotype" w:hAnsi="Palatino Linotype"/>
          <w:color w:val="000000"/>
          <w:lang w:val="en-US"/>
        </w:rPr>
      </w:pPr>
    </w:p>
    <w:p w:rsidR="009E191B" w:rsidRPr="009E191B" w:rsidRDefault="009E191B" w:rsidP="000F236F">
      <w:pPr>
        <w:spacing w:line="276" w:lineRule="auto"/>
        <w:contextualSpacing/>
        <w:jc w:val="both"/>
        <w:rPr>
          <w:rFonts w:ascii="Palatino Linotype" w:hAnsi="Palatino Linotype"/>
          <w:b/>
          <w:bCs/>
          <w:color w:val="000000"/>
          <w:lang w:val="en-US"/>
        </w:rPr>
      </w:pPr>
      <w:r w:rsidRPr="009E191B">
        <w:rPr>
          <w:rFonts w:ascii="Palatino Linotype" w:hAnsi="Palatino Linotype"/>
          <w:b/>
          <w:bCs/>
          <w:color w:val="000000"/>
          <w:lang w:val="en-US"/>
        </w:rPr>
        <w:t>Orders passed by Adjudicat</w:t>
      </w:r>
      <w:r>
        <w:rPr>
          <w:rFonts w:ascii="Palatino Linotype" w:hAnsi="Palatino Linotype"/>
          <w:b/>
          <w:bCs/>
          <w:color w:val="000000"/>
          <w:lang w:val="en-US"/>
        </w:rPr>
        <w:t>ion</w:t>
      </w:r>
      <w:r w:rsidRPr="009E191B">
        <w:rPr>
          <w:rFonts w:ascii="Palatino Linotype" w:hAnsi="Palatino Linotype"/>
          <w:b/>
          <w:bCs/>
          <w:color w:val="000000"/>
          <w:lang w:val="en-US"/>
        </w:rPr>
        <w:t xml:space="preserve"> Officer</w:t>
      </w:r>
      <w:r>
        <w:rPr>
          <w:rFonts w:ascii="Palatino Linotype" w:hAnsi="Palatino Linotype"/>
          <w:b/>
          <w:bCs/>
          <w:color w:val="000000"/>
          <w:lang w:val="en-US"/>
        </w:rPr>
        <w:t>s:</w:t>
      </w:r>
    </w:p>
    <w:p w:rsidR="009E191B" w:rsidRDefault="009E191B" w:rsidP="000F236F">
      <w:pPr>
        <w:spacing w:line="276" w:lineRule="auto"/>
        <w:contextualSpacing/>
        <w:jc w:val="both"/>
        <w:rPr>
          <w:rFonts w:ascii="Palatino Linotype" w:hAnsi="Palatino Linotype"/>
          <w:color w:val="000000"/>
          <w:lang w:val="en-US"/>
        </w:rPr>
      </w:pPr>
    </w:p>
    <w:p w:rsidR="000F236F" w:rsidRDefault="000F236F" w:rsidP="00B018BC">
      <w:pPr>
        <w:numPr>
          <w:ilvl w:val="0"/>
          <w:numId w:val="19"/>
        </w:numPr>
        <w:spacing w:line="276" w:lineRule="auto"/>
        <w:contextualSpacing/>
        <w:jc w:val="both"/>
        <w:rPr>
          <w:rFonts w:ascii="Palatino Linotype" w:hAnsi="Palatino Linotype"/>
          <w:lang w:val="en-US"/>
        </w:rPr>
      </w:pPr>
      <w:r>
        <w:rPr>
          <w:rFonts w:ascii="Palatino Linotype" w:eastAsia="Calibri" w:hAnsi="Palatino Linotype"/>
          <w:lang w:val="en-US"/>
        </w:rPr>
        <w:t>Vide order dated September 01, 2020, a penalty of Rs.1,00,000/- (Rupees One Lakh Only) was imposed on Whitefeathers Realty Pvt. Ltd. in the matter of Mapro Industries Ltd., for the violations of the provisions of Regulation 29(1) read with 29(3) of SEBI (Substantial Acquisition of Shares and Takeovers) Regulations, 2011(“SAST Regulations”).</w:t>
      </w:r>
    </w:p>
    <w:p w:rsidR="000F236F" w:rsidRDefault="000F236F" w:rsidP="000F236F">
      <w:pPr>
        <w:spacing w:line="276" w:lineRule="auto"/>
        <w:ind w:left="720"/>
        <w:contextualSpacing/>
        <w:jc w:val="both"/>
        <w:rPr>
          <w:rFonts w:ascii="Palatino Linotype" w:hAnsi="Palatino Linotype"/>
          <w:lang w:val="en-US"/>
        </w:rPr>
      </w:pPr>
    </w:p>
    <w:p w:rsidR="000F236F" w:rsidRDefault="000F236F" w:rsidP="00B018BC">
      <w:pPr>
        <w:numPr>
          <w:ilvl w:val="0"/>
          <w:numId w:val="19"/>
        </w:numPr>
        <w:spacing w:line="276" w:lineRule="auto"/>
        <w:contextualSpacing/>
        <w:jc w:val="both"/>
        <w:rPr>
          <w:rFonts w:ascii="Palatino Linotype" w:hAnsi="Palatino Linotype"/>
          <w:lang w:val="en-US"/>
        </w:rPr>
      </w:pPr>
      <w:r>
        <w:rPr>
          <w:rFonts w:ascii="Palatino Linotype" w:eastAsia="Calibri" w:hAnsi="Palatino Linotype"/>
          <w:lang w:val="en-US"/>
        </w:rPr>
        <w:t>Vide order dated September 03, 2020, a total penalty of Rs. 20,00,000/- (Rupees Twenty lakhs only) was imposed on Sagar Kadam and 41 others in the matter of Finalysis Credit and Gurantee Company Ltd. for the violation of Regulations 3(a), 3(b), 3(c), 3(d), 4(1), 4(2) (a) and (g) of the SEBI (Prohibition of Fraudulent and Unfair Trade Practices relating to Securities Market) Regulations , 2003 (PFUTP Regulations) and Regulations 13 (1) and 13 (3) r/w 13 (5) of SEBI (Prohibition of Insider Trading) Regulations, 1992 (PIT Regulations) r/w regulation 12 (2) of PIT Regulations, 2015 and regulations 29 (1) and 29 (2) r/w 29 (3) of SAST Regulations, 2011.</w:t>
      </w:r>
    </w:p>
    <w:p w:rsidR="000F236F" w:rsidRDefault="000F236F" w:rsidP="000F236F">
      <w:pPr>
        <w:spacing w:line="276" w:lineRule="auto"/>
        <w:ind w:left="720"/>
        <w:contextualSpacing/>
        <w:jc w:val="both"/>
        <w:rPr>
          <w:rFonts w:ascii="Palatino Linotype" w:hAnsi="Palatino Linotype"/>
          <w:color w:val="000000"/>
          <w:lang w:val="en-US"/>
        </w:rPr>
      </w:pPr>
    </w:p>
    <w:p w:rsidR="000F236F" w:rsidRDefault="000F236F" w:rsidP="000F236F">
      <w:pPr>
        <w:spacing w:line="276" w:lineRule="auto"/>
        <w:ind w:left="720"/>
        <w:contextualSpacing/>
        <w:jc w:val="both"/>
        <w:rPr>
          <w:rFonts w:ascii="Palatino Linotype" w:hAnsi="Palatino Linotype"/>
          <w:lang w:val="en-US"/>
        </w:rPr>
      </w:pPr>
      <w:r>
        <w:rPr>
          <w:rFonts w:ascii="Palatino Linotype" w:eastAsia="Calibri" w:hAnsi="Palatino Linotype"/>
          <w:lang w:val="en-US"/>
        </w:rPr>
        <w:t xml:space="preserve">Vide order dated September 09, 2020 a total penalty of Rs. 7,00,000/-(Rupees Seven Lakhs Only) was imposed on BDS Share brokers Pvt. Ltd. in the matter of Nagpur Power and Industries Ltd. for the violation of provisions of regulations 3 (a), (b), (c), (d), regulation 4(1), 4(2), (a), (e) and (g) of the PFUTP Regulations. </w:t>
      </w:r>
    </w:p>
    <w:p w:rsidR="000F236F" w:rsidRDefault="000F236F" w:rsidP="00B018BC">
      <w:pPr>
        <w:numPr>
          <w:ilvl w:val="0"/>
          <w:numId w:val="19"/>
        </w:numPr>
        <w:spacing w:line="276" w:lineRule="auto"/>
        <w:contextualSpacing/>
        <w:jc w:val="both"/>
        <w:rPr>
          <w:rFonts w:ascii="Palatino Linotype" w:hAnsi="Palatino Linotype"/>
          <w:lang w:val="en-US"/>
        </w:rPr>
      </w:pPr>
      <w:r>
        <w:rPr>
          <w:rFonts w:ascii="Palatino Linotype" w:eastAsia="Calibri" w:hAnsi="Palatino Linotype"/>
          <w:lang w:val="en-US"/>
        </w:rPr>
        <w:lastRenderedPageBreak/>
        <w:t>Vide order dated September 09, 2020, a total penalty of Rs. 2,00,000/- (Rupees Two Lakh only) was imposed on Rekha Jain in the matter of SRK industries limited for the violation of Regulation 13(4A) read with regulation 13(5) of PIT Regulations.</w:t>
      </w:r>
    </w:p>
    <w:p w:rsidR="000F236F" w:rsidRDefault="000F236F" w:rsidP="000F236F">
      <w:pPr>
        <w:spacing w:line="276" w:lineRule="auto"/>
        <w:ind w:left="720"/>
        <w:contextualSpacing/>
        <w:jc w:val="both"/>
        <w:rPr>
          <w:rFonts w:ascii="Palatino Linotype" w:hAnsi="Palatino Linotype"/>
          <w:lang w:val="en-US"/>
        </w:rPr>
      </w:pPr>
    </w:p>
    <w:p w:rsidR="000F236F" w:rsidRDefault="000F236F" w:rsidP="00B018BC">
      <w:pPr>
        <w:numPr>
          <w:ilvl w:val="0"/>
          <w:numId w:val="19"/>
        </w:numPr>
        <w:spacing w:line="276" w:lineRule="auto"/>
        <w:contextualSpacing/>
        <w:jc w:val="both"/>
        <w:rPr>
          <w:rFonts w:ascii="Palatino Linotype" w:hAnsi="Palatino Linotype"/>
          <w:lang w:val="en-US"/>
        </w:rPr>
      </w:pPr>
      <w:r>
        <w:rPr>
          <w:rFonts w:ascii="Palatino Linotype" w:eastAsia="Calibri" w:hAnsi="Palatino Linotype"/>
          <w:lang w:val="en-US"/>
        </w:rPr>
        <w:t>Vide order dated September 09, 2020, a total penalty of Rs. 2,00,000/- (Rupees Two Lakh Only)was imposed on Sanket Rakesh Jain in the matter of SRK Industries Limited for the violation of Regulation 13(2A) and Regulation 13(4A) read with regulation 13(5) of PIT Regulations.</w:t>
      </w:r>
    </w:p>
    <w:p w:rsidR="000F236F" w:rsidRDefault="000F236F" w:rsidP="000F236F">
      <w:pPr>
        <w:spacing w:line="276" w:lineRule="auto"/>
        <w:ind w:left="720"/>
        <w:contextualSpacing/>
        <w:jc w:val="both"/>
        <w:rPr>
          <w:rFonts w:ascii="Palatino Linotype" w:hAnsi="Palatino Linotype"/>
          <w:color w:val="000000"/>
          <w:lang w:val="en-US"/>
        </w:rPr>
      </w:pPr>
    </w:p>
    <w:p w:rsidR="000F236F" w:rsidRDefault="000F236F" w:rsidP="00B018BC">
      <w:pPr>
        <w:numPr>
          <w:ilvl w:val="0"/>
          <w:numId w:val="19"/>
        </w:numPr>
        <w:spacing w:line="276" w:lineRule="auto"/>
        <w:contextualSpacing/>
        <w:jc w:val="both"/>
        <w:rPr>
          <w:rFonts w:ascii="Palatino Linotype" w:hAnsi="Palatino Linotype"/>
          <w:lang w:val="en-US"/>
        </w:rPr>
      </w:pPr>
      <w:r>
        <w:rPr>
          <w:rFonts w:ascii="Palatino Linotype" w:eastAsia="Calibri" w:hAnsi="Palatino Linotype"/>
          <w:lang w:val="en-US"/>
        </w:rPr>
        <w:t xml:space="preserve">Vide order dated September 15, 2020, a total penalty of </w:t>
      </w:r>
      <w:r>
        <w:rPr>
          <w:rFonts w:ascii="Tahoma" w:eastAsia="Calibri" w:hAnsi="Tahoma" w:cs="Tahoma"/>
          <w:lang w:val="en-US"/>
        </w:rPr>
        <w:t>₹</w:t>
      </w:r>
      <w:r>
        <w:rPr>
          <w:rFonts w:ascii="Palatino Linotype" w:eastAsia="Calibri" w:hAnsi="Palatino Linotype"/>
          <w:lang w:val="en-US"/>
        </w:rPr>
        <w:t>14,00,000/- (Rupees Fourteen Lakh Only) was imposed on Vivekshil Dealers Private Limited and others in the matter of Genus Prime Infra Limited for the violation of Regulation 8(2) of SEBI (Substantial Acquisition of Shares and Takeovers) Regulations, 1997 and Regulation 30(1) and 30(2) of SAST Regulations, 2011 .</w:t>
      </w:r>
    </w:p>
    <w:p w:rsidR="000F236F" w:rsidRDefault="000F236F" w:rsidP="000F236F">
      <w:pPr>
        <w:spacing w:line="276" w:lineRule="auto"/>
        <w:contextualSpacing/>
        <w:jc w:val="both"/>
        <w:rPr>
          <w:rFonts w:ascii="Palatino Linotype" w:hAnsi="Palatino Linotype"/>
          <w:lang w:val="en-US"/>
        </w:rPr>
      </w:pPr>
    </w:p>
    <w:p w:rsidR="000F236F" w:rsidRDefault="000F236F" w:rsidP="00B018BC">
      <w:pPr>
        <w:numPr>
          <w:ilvl w:val="0"/>
          <w:numId w:val="19"/>
        </w:numPr>
        <w:spacing w:line="276" w:lineRule="auto"/>
        <w:contextualSpacing/>
        <w:jc w:val="both"/>
        <w:rPr>
          <w:rFonts w:ascii="Palatino Linotype" w:hAnsi="Palatino Linotype"/>
          <w:lang w:val="en-US"/>
        </w:rPr>
      </w:pPr>
      <w:r>
        <w:rPr>
          <w:rFonts w:ascii="Palatino Linotype" w:eastAsia="Calibri" w:hAnsi="Palatino Linotype"/>
          <w:lang w:val="en-US"/>
        </w:rPr>
        <w:t xml:space="preserve">Vide order dated September 16, 2020, a penalty of </w:t>
      </w:r>
      <w:r>
        <w:rPr>
          <w:rFonts w:ascii="Tahoma" w:eastAsia="Calibri" w:hAnsi="Tahoma" w:cs="Tahoma"/>
          <w:lang w:val="en-US"/>
        </w:rPr>
        <w:t>₹</w:t>
      </w:r>
      <w:r>
        <w:rPr>
          <w:rFonts w:ascii="Palatino Linotype" w:eastAsia="Calibri" w:hAnsi="Palatino Linotype"/>
          <w:lang w:val="en-US"/>
        </w:rPr>
        <w:t>1,00,000/- (Rupees One Lakh only) was imposed on Shubhal Goel in the matter of Justride Enterprises Limited for the violation of Regulation 29(2) read with Regulation 29(3) of SAST Regulations.</w:t>
      </w:r>
    </w:p>
    <w:p w:rsidR="000F236F" w:rsidRDefault="000F236F" w:rsidP="000F236F">
      <w:pPr>
        <w:spacing w:line="276" w:lineRule="auto"/>
        <w:contextualSpacing/>
        <w:jc w:val="both"/>
        <w:rPr>
          <w:rFonts w:ascii="Palatino Linotype" w:hAnsi="Palatino Linotype"/>
          <w:lang w:val="en-US"/>
        </w:rPr>
      </w:pPr>
    </w:p>
    <w:p w:rsidR="000F236F" w:rsidRDefault="000F236F" w:rsidP="00B018BC">
      <w:pPr>
        <w:numPr>
          <w:ilvl w:val="0"/>
          <w:numId w:val="19"/>
        </w:numPr>
        <w:spacing w:line="276" w:lineRule="auto"/>
        <w:contextualSpacing/>
        <w:jc w:val="both"/>
        <w:rPr>
          <w:rFonts w:ascii="Palatino Linotype" w:hAnsi="Palatino Linotype"/>
          <w:lang w:val="en-US"/>
        </w:rPr>
      </w:pPr>
      <w:r>
        <w:rPr>
          <w:rFonts w:ascii="Palatino Linotype" w:eastAsia="Calibri" w:hAnsi="Palatino Linotype"/>
          <w:lang w:val="en-US"/>
        </w:rPr>
        <w:t xml:space="preserve">Vide order dated September 16, 2020, a penalty of </w:t>
      </w:r>
      <w:r>
        <w:rPr>
          <w:rFonts w:ascii="Tahoma" w:eastAsia="Calibri" w:hAnsi="Tahoma" w:cs="Tahoma"/>
          <w:lang w:val="en-US"/>
        </w:rPr>
        <w:t>₹</w:t>
      </w:r>
      <w:r>
        <w:rPr>
          <w:rFonts w:ascii="Palatino Linotype" w:eastAsia="Calibri" w:hAnsi="Palatino Linotype"/>
          <w:lang w:val="en-US"/>
        </w:rPr>
        <w:t xml:space="preserve">5,00,000/- (Rupees Five Lakh only) was imposed on Coastal Fertilisers Ltd., in the matter of Steel Exchange India Ltd, for failing  to  comply  with  the  summons  dated  October  23,  2019 for  production  of  documents  and  appear  in  person  for recording  of  statements, resulting in the violation of provisions of sections 11 C(3) and 11C(5) of the SEBI Act, 1992. </w:t>
      </w:r>
    </w:p>
    <w:p w:rsidR="000F236F" w:rsidRDefault="000F236F" w:rsidP="000F236F">
      <w:pPr>
        <w:spacing w:line="276" w:lineRule="auto"/>
        <w:contextualSpacing/>
        <w:jc w:val="both"/>
        <w:rPr>
          <w:rFonts w:ascii="Palatino Linotype" w:hAnsi="Palatino Linotype"/>
          <w:lang w:val="en-US"/>
        </w:rPr>
      </w:pPr>
    </w:p>
    <w:p w:rsidR="000F236F" w:rsidRDefault="000F236F" w:rsidP="00B018BC">
      <w:pPr>
        <w:numPr>
          <w:ilvl w:val="0"/>
          <w:numId w:val="19"/>
        </w:numPr>
        <w:spacing w:line="276" w:lineRule="auto"/>
        <w:contextualSpacing/>
        <w:jc w:val="both"/>
        <w:rPr>
          <w:rFonts w:ascii="Palatino Linotype" w:hAnsi="Palatino Linotype"/>
          <w:lang w:val="en-US"/>
        </w:rPr>
      </w:pPr>
      <w:r>
        <w:rPr>
          <w:rFonts w:ascii="Palatino Linotype" w:eastAsia="Calibri" w:hAnsi="Palatino Linotype"/>
          <w:lang w:val="en-US"/>
        </w:rPr>
        <w:t xml:space="preserve">Vide order dated September 18, 2020, a penalty of </w:t>
      </w:r>
      <w:r>
        <w:rPr>
          <w:rFonts w:ascii="Tahoma" w:eastAsia="Calibri" w:hAnsi="Tahoma" w:cs="Tahoma"/>
          <w:lang w:val="en-US"/>
        </w:rPr>
        <w:t>₹</w:t>
      </w:r>
      <w:r>
        <w:rPr>
          <w:rFonts w:ascii="Palatino Linotype" w:eastAsia="Calibri" w:hAnsi="Palatino Linotype"/>
          <w:lang w:val="en-US"/>
        </w:rPr>
        <w:t>8,00,000/- (Rupees Eight lakhs only) was imposed on Narendra Kumar Rathore in the matter of Malabar Trading Company Limited for the violation of the provisions of Regulations 3 (a), (b), (c), (d), 4 (1), (2) (a) and (e) of PFUTP Regulations.</w:t>
      </w:r>
    </w:p>
    <w:p w:rsidR="000F236F" w:rsidRDefault="000F236F" w:rsidP="000F236F">
      <w:pPr>
        <w:spacing w:line="276" w:lineRule="auto"/>
        <w:ind w:left="720"/>
        <w:contextualSpacing/>
        <w:jc w:val="both"/>
        <w:rPr>
          <w:rFonts w:ascii="Palatino Linotype" w:hAnsi="Palatino Linotype"/>
          <w:lang w:val="en-US"/>
        </w:rPr>
      </w:pPr>
    </w:p>
    <w:p w:rsidR="000F236F" w:rsidRDefault="000F236F" w:rsidP="00B018BC">
      <w:pPr>
        <w:numPr>
          <w:ilvl w:val="0"/>
          <w:numId w:val="19"/>
        </w:numPr>
        <w:spacing w:line="276" w:lineRule="auto"/>
        <w:contextualSpacing/>
        <w:jc w:val="both"/>
        <w:rPr>
          <w:rFonts w:ascii="Palatino Linotype" w:hAnsi="Palatino Linotype"/>
          <w:lang w:val="en-US"/>
        </w:rPr>
      </w:pPr>
      <w:r>
        <w:rPr>
          <w:rFonts w:ascii="Palatino Linotype" w:eastAsia="Calibri" w:hAnsi="Palatino Linotype"/>
          <w:lang w:val="en-US"/>
        </w:rPr>
        <w:t xml:space="preserve">Vide order dated September 18, 2020, a penalty of </w:t>
      </w:r>
      <w:r>
        <w:rPr>
          <w:rFonts w:ascii="Tahoma" w:eastAsia="Calibri" w:hAnsi="Tahoma" w:cs="Tahoma"/>
          <w:lang w:val="en-US"/>
        </w:rPr>
        <w:t>₹</w:t>
      </w:r>
      <w:r>
        <w:rPr>
          <w:rFonts w:ascii="Palatino Linotype" w:eastAsia="Calibri" w:hAnsi="Palatino Linotype"/>
          <w:lang w:val="en-US"/>
        </w:rPr>
        <w:t>10,00,000/- (Rupees Ten Lakh only) was imposed on Anumita Infrastructure Pvt. Ltd, in the matter of Veronica Productions Ltd, for failing  to  comply  with  the  summons  dated  December  10,  2019 and  December  27,  2019  for  production  of  documents, resulting in violation of provisions of sections 11 C (2) and 11 C (3) of the SEBI Act.</w:t>
      </w:r>
    </w:p>
    <w:p w:rsidR="000F236F" w:rsidRDefault="000F236F" w:rsidP="000F236F">
      <w:pPr>
        <w:spacing w:line="276" w:lineRule="auto"/>
        <w:contextualSpacing/>
        <w:jc w:val="both"/>
        <w:rPr>
          <w:rFonts w:ascii="Palatino Linotype" w:hAnsi="Palatino Linotype"/>
          <w:lang w:val="en-US"/>
        </w:rPr>
      </w:pPr>
    </w:p>
    <w:p w:rsidR="000F236F" w:rsidRDefault="000F236F" w:rsidP="00B018BC">
      <w:pPr>
        <w:numPr>
          <w:ilvl w:val="0"/>
          <w:numId w:val="19"/>
        </w:numPr>
        <w:spacing w:line="276" w:lineRule="auto"/>
        <w:contextualSpacing/>
        <w:jc w:val="both"/>
        <w:rPr>
          <w:rFonts w:ascii="Palatino Linotype" w:hAnsi="Palatino Linotype"/>
          <w:lang w:val="en-US"/>
        </w:rPr>
      </w:pPr>
      <w:r>
        <w:rPr>
          <w:rFonts w:ascii="Palatino Linotype" w:eastAsia="Calibri" w:hAnsi="Palatino Linotype"/>
          <w:lang w:val="en-US"/>
        </w:rPr>
        <w:t xml:space="preserve">Vide order dated September 18, 2020, a penalty of </w:t>
      </w:r>
      <w:r>
        <w:rPr>
          <w:rFonts w:ascii="Tahoma" w:eastAsia="Calibri" w:hAnsi="Tahoma" w:cs="Tahoma"/>
          <w:lang w:val="en-US"/>
        </w:rPr>
        <w:t>₹</w:t>
      </w:r>
      <w:r>
        <w:rPr>
          <w:rFonts w:ascii="Palatino Linotype" w:eastAsia="Calibri" w:hAnsi="Palatino Linotype"/>
          <w:lang w:val="en-US"/>
        </w:rPr>
        <w:t xml:space="preserve">1,00,000/- (Rupees One Lakh only) was imposed on Malvica Engineering Limited for the violation of provisions of the SEBI Circulars No. CIR/OIAE/2/2011 dated June 03, 2011, CIR/OIAE/1/2012 dated August 13, </w:t>
      </w:r>
      <w:r>
        <w:rPr>
          <w:rFonts w:ascii="Palatino Linotype" w:eastAsia="Calibri" w:hAnsi="Palatino Linotype"/>
          <w:lang w:val="en-US"/>
        </w:rPr>
        <w:lastRenderedPageBreak/>
        <w:t>2012 and CIR/OIAE/1/2013 dated April 17, 2013, in the matter of non-redressal of investor grievances.</w:t>
      </w:r>
    </w:p>
    <w:p w:rsidR="000F236F" w:rsidRDefault="000F236F" w:rsidP="000F236F">
      <w:pPr>
        <w:spacing w:line="276" w:lineRule="auto"/>
        <w:ind w:left="720"/>
        <w:contextualSpacing/>
        <w:jc w:val="both"/>
        <w:rPr>
          <w:rFonts w:ascii="Palatino Linotype" w:hAnsi="Palatino Linotype"/>
          <w:color w:val="000000"/>
          <w:lang w:val="en-US"/>
        </w:rPr>
      </w:pPr>
    </w:p>
    <w:p w:rsidR="000F236F" w:rsidRDefault="000F236F" w:rsidP="00B018BC">
      <w:pPr>
        <w:numPr>
          <w:ilvl w:val="0"/>
          <w:numId w:val="19"/>
        </w:numPr>
        <w:spacing w:line="276" w:lineRule="auto"/>
        <w:contextualSpacing/>
        <w:jc w:val="both"/>
        <w:rPr>
          <w:rFonts w:ascii="Palatino Linotype" w:hAnsi="Palatino Linotype"/>
          <w:lang w:val="en-US"/>
        </w:rPr>
      </w:pPr>
      <w:r>
        <w:rPr>
          <w:rFonts w:ascii="Palatino Linotype" w:eastAsia="Calibri" w:hAnsi="Palatino Linotype"/>
          <w:lang w:val="en-US"/>
        </w:rPr>
        <w:t>Vide order dated September 22, 2020, a total penalty of Rs. 6,00,000/- (Rupees Six Lakh only) was imposed on Advent Stock Broking Pvt. Ltd, in the matter of NSE Co-Location for the violation of Point 2(a) of Chapter V of NSE bye-laws read with Clause A(5) of the Code of Conduct specified under Schedule II read with regulation 9(f) of the Stock Broker Regulations, Clause A(2) of the Code of Conduct specified under Schedule II read with regulation 9(f) of the Stock Broker Regulations, and Regulation 4(1) of the PFUTP Regulations.</w:t>
      </w:r>
    </w:p>
    <w:p w:rsidR="000F236F" w:rsidRDefault="000F236F" w:rsidP="000F236F">
      <w:pPr>
        <w:spacing w:line="276" w:lineRule="auto"/>
        <w:ind w:left="720"/>
        <w:contextualSpacing/>
        <w:jc w:val="both"/>
        <w:rPr>
          <w:rFonts w:ascii="Palatino Linotype" w:hAnsi="Palatino Linotype"/>
          <w:lang w:val="en-US"/>
        </w:rPr>
      </w:pPr>
    </w:p>
    <w:p w:rsidR="000F236F" w:rsidRDefault="000F236F" w:rsidP="00B018BC">
      <w:pPr>
        <w:numPr>
          <w:ilvl w:val="0"/>
          <w:numId w:val="19"/>
        </w:numPr>
        <w:spacing w:line="276" w:lineRule="auto"/>
        <w:contextualSpacing/>
        <w:jc w:val="both"/>
        <w:rPr>
          <w:rFonts w:ascii="Palatino Linotype" w:hAnsi="Palatino Linotype"/>
          <w:lang w:val="en-US"/>
        </w:rPr>
      </w:pPr>
      <w:r>
        <w:rPr>
          <w:rFonts w:ascii="Palatino Linotype" w:eastAsia="Calibri" w:hAnsi="Palatino Linotype"/>
          <w:lang w:val="en-US"/>
        </w:rPr>
        <w:t>Vide order dated September 22, 2020, a total penalty of Rs. 42,00,000/- (Rupees FortyTwo Lakhs Only) was imposed on Pradeep Kumar Jindal and 15 others in the matter of Focus Industrial Resources Limited for the violation of section 3(2) of SAST Regulations and regulation 13(5) of PIT Regulations, 1992.</w:t>
      </w:r>
    </w:p>
    <w:p w:rsidR="000F236F" w:rsidRDefault="000F236F" w:rsidP="000F236F">
      <w:pPr>
        <w:spacing w:line="276" w:lineRule="auto"/>
        <w:ind w:left="720"/>
        <w:contextualSpacing/>
        <w:jc w:val="both"/>
        <w:rPr>
          <w:rFonts w:ascii="Palatino Linotype" w:hAnsi="Palatino Linotype"/>
          <w:lang w:val="en-US"/>
        </w:rPr>
      </w:pPr>
    </w:p>
    <w:p w:rsidR="000F236F" w:rsidRDefault="000F236F" w:rsidP="00B018BC">
      <w:pPr>
        <w:numPr>
          <w:ilvl w:val="0"/>
          <w:numId w:val="19"/>
        </w:numPr>
        <w:spacing w:line="276" w:lineRule="auto"/>
        <w:contextualSpacing/>
        <w:jc w:val="both"/>
        <w:rPr>
          <w:rFonts w:ascii="Palatino Linotype" w:hAnsi="Palatino Linotype"/>
          <w:lang w:val="en-US"/>
        </w:rPr>
      </w:pPr>
      <w:r>
        <w:rPr>
          <w:rFonts w:ascii="Palatino Linotype" w:eastAsia="Calibri" w:hAnsi="Palatino Linotype"/>
          <w:lang w:val="en-US"/>
        </w:rPr>
        <w:t>Vide order dated September 22, 2020, a penalty of Rs. 15,00,000/- (Rupees Fifteen Lakh only) was imposed on Chandra Prakash in the matter of Beckons Industries Limited for the violation of provisions of Section 12 A (a), (b), (c) of SEBI Act, 1992 read with Regulation 3(a), (b), (c), (d) and 4 (1) of PFUTP Regulations.</w:t>
      </w:r>
    </w:p>
    <w:p w:rsidR="000F236F" w:rsidRDefault="000F236F" w:rsidP="000F236F">
      <w:pPr>
        <w:spacing w:line="276" w:lineRule="auto"/>
        <w:ind w:left="720"/>
        <w:contextualSpacing/>
        <w:jc w:val="both"/>
        <w:rPr>
          <w:rFonts w:ascii="Palatino Linotype" w:hAnsi="Palatino Linotype"/>
          <w:lang w:val="en-US"/>
        </w:rPr>
      </w:pPr>
    </w:p>
    <w:p w:rsidR="000F236F" w:rsidRDefault="000F236F" w:rsidP="00B018BC">
      <w:pPr>
        <w:numPr>
          <w:ilvl w:val="0"/>
          <w:numId w:val="19"/>
        </w:numPr>
        <w:spacing w:line="276" w:lineRule="auto"/>
        <w:contextualSpacing/>
        <w:jc w:val="both"/>
        <w:rPr>
          <w:rFonts w:ascii="Palatino Linotype" w:hAnsi="Palatino Linotype"/>
          <w:lang w:val="en-US"/>
        </w:rPr>
      </w:pPr>
      <w:r>
        <w:rPr>
          <w:rFonts w:ascii="Palatino Linotype" w:eastAsia="Calibri" w:hAnsi="Palatino Linotype"/>
          <w:lang w:val="en-US"/>
        </w:rPr>
        <w:t>Vide order dated September 23, 2020, a total penalty of Rs. 9,00,000/- (Rupees Nine lakhs only) was imposed on Monarch Networth Capital Limited for the violations of (a) Section 23D of SCRA read with Clause 1 and 2 of SEBI Circular SMD/SED/CIR/93/23321 dated November 18, 1993, (b) SEBI Circular SEBI/HO/MIRSD/MIRSD2/CIR/P/2016/95 dated September 26, 2016, (c) SEBI Circular SEBI/MIRSD/SE/Cir-19/2009 dated December 03, 2009, (d) SEBI Circular CIR/MIRSD/15/2011 dated August 02, 2011, (e) SEBI Circular No. CIR/MIRSD/16/2011 dated August 22, 2011, (f) SEBI Circular No. MIRSD/Cir-26/2011 dated December 23, 2011, (g) Chapter No. 6.5.4.9 of CDSL Operating Instructions.</w:t>
      </w:r>
    </w:p>
    <w:p w:rsidR="000F236F" w:rsidRDefault="000F236F" w:rsidP="000F236F">
      <w:pPr>
        <w:spacing w:line="276" w:lineRule="auto"/>
        <w:ind w:left="720"/>
        <w:contextualSpacing/>
        <w:jc w:val="both"/>
        <w:rPr>
          <w:rFonts w:ascii="Palatino Linotype" w:hAnsi="Palatino Linotype"/>
          <w:lang w:val="en-US"/>
        </w:rPr>
      </w:pPr>
    </w:p>
    <w:p w:rsidR="000F236F" w:rsidRDefault="000F236F" w:rsidP="00B018BC">
      <w:pPr>
        <w:numPr>
          <w:ilvl w:val="0"/>
          <w:numId w:val="19"/>
        </w:numPr>
        <w:spacing w:line="276" w:lineRule="auto"/>
        <w:contextualSpacing/>
        <w:jc w:val="both"/>
        <w:rPr>
          <w:rFonts w:ascii="Palatino Linotype" w:hAnsi="Palatino Linotype"/>
          <w:lang w:val="en-US"/>
        </w:rPr>
      </w:pPr>
      <w:r>
        <w:rPr>
          <w:rFonts w:ascii="Palatino Linotype" w:eastAsia="Calibri" w:hAnsi="Palatino Linotype"/>
          <w:lang w:val="en-US"/>
        </w:rPr>
        <w:t>Vide order dated September 23, 2020, a total penalty of Rs. 9,00,000/- (Rupees Nine lakhs only) was imposed on Jaisukh Dealers Limited and others for violation of Regulation 13(6), 13(4A) and 13(5), of PIT Regulations 1992read with Regulation 12, and Regulation 7(2)(a) of PIT Regulations  2015.</w:t>
      </w:r>
    </w:p>
    <w:p w:rsidR="000F236F" w:rsidRDefault="000F236F" w:rsidP="000F236F">
      <w:pPr>
        <w:spacing w:line="276" w:lineRule="auto"/>
        <w:ind w:left="720"/>
        <w:contextualSpacing/>
        <w:jc w:val="both"/>
        <w:rPr>
          <w:rFonts w:ascii="Palatino Linotype" w:hAnsi="Palatino Linotype"/>
          <w:lang w:val="en-US"/>
        </w:rPr>
      </w:pPr>
    </w:p>
    <w:p w:rsidR="000F236F" w:rsidRDefault="000F236F" w:rsidP="00B018BC">
      <w:pPr>
        <w:numPr>
          <w:ilvl w:val="0"/>
          <w:numId w:val="19"/>
        </w:numPr>
        <w:spacing w:line="276" w:lineRule="auto"/>
        <w:contextualSpacing/>
        <w:jc w:val="both"/>
        <w:rPr>
          <w:rFonts w:ascii="Palatino Linotype" w:hAnsi="Palatino Linotype"/>
          <w:lang w:val="en-US"/>
        </w:rPr>
      </w:pPr>
      <w:r>
        <w:rPr>
          <w:rFonts w:ascii="Palatino Linotype" w:eastAsia="Calibri" w:hAnsi="Palatino Linotype"/>
          <w:lang w:val="en-US"/>
        </w:rPr>
        <w:t xml:space="preserve">Vide order dated September 23, 2020, a penalty of Rs. 8,00,000/- (Rupees Eight Lakh only) was imposed on Nine Star Broking Pvt. Ltd. for the violation of SEBI Circular CIR/MIRSD/120/2016 dated November 10, 2016 read with SEBI Circular </w:t>
      </w:r>
      <w:r>
        <w:rPr>
          <w:rFonts w:ascii="Palatino Linotype" w:eastAsia="Calibri" w:hAnsi="Palatino Linotype"/>
          <w:lang w:val="en-US"/>
        </w:rPr>
        <w:lastRenderedPageBreak/>
        <w:t xml:space="preserve">CIR/MIRSD/66/2016 dated July 21, 2016, SEBI Circular No. MIRSD/Cir-26/2011 dated December 23, 2011 read with SEBI circular no. MIRSD/Cir-23/2011 dated December 2, 2011 and SEBI circular MIRSD/Cir-5/2012 dated April 13, 2012 and CDSL Communiqué no. CDSL/OPS/DP/694 dated May 05, 2006. </w:t>
      </w:r>
    </w:p>
    <w:p w:rsidR="000F236F" w:rsidRDefault="000F236F" w:rsidP="000F236F">
      <w:pPr>
        <w:spacing w:line="276" w:lineRule="auto"/>
        <w:ind w:left="720"/>
        <w:contextualSpacing/>
        <w:jc w:val="both"/>
        <w:rPr>
          <w:rFonts w:ascii="Palatino Linotype" w:hAnsi="Palatino Linotype"/>
          <w:lang w:val="en-US"/>
        </w:rPr>
      </w:pPr>
    </w:p>
    <w:p w:rsidR="000F236F" w:rsidRDefault="000F236F" w:rsidP="00B018BC">
      <w:pPr>
        <w:numPr>
          <w:ilvl w:val="0"/>
          <w:numId w:val="19"/>
        </w:numPr>
        <w:spacing w:line="276" w:lineRule="auto"/>
        <w:contextualSpacing/>
        <w:jc w:val="both"/>
        <w:rPr>
          <w:rFonts w:ascii="Palatino Linotype" w:hAnsi="Palatino Linotype"/>
          <w:lang w:val="en-US"/>
        </w:rPr>
      </w:pPr>
      <w:r>
        <w:rPr>
          <w:rFonts w:ascii="Palatino Linotype" w:eastAsia="Calibri" w:hAnsi="Palatino Linotype"/>
          <w:lang w:val="en-US"/>
        </w:rPr>
        <w:t xml:space="preserve">Vide order dated September 24, 2020, a penalty of Rs. 2,00,000/- (Rupees Two Lakh Only) was imposed on Saral Mining Ltd, in the matter of Sun and Shine Worldwide Limited, for the violation of the provisions of Regulation 29 (2) read with Regulation 29 (3) of the SAST Regulations and Regulation 13 (3) read with Regulation 13 (5) of the PIT Regulations 1992 read with Regulation 12 of the PIT Regulations 2015. </w:t>
      </w:r>
    </w:p>
    <w:p w:rsidR="000F236F" w:rsidRDefault="000F236F" w:rsidP="000F236F">
      <w:pPr>
        <w:spacing w:line="276" w:lineRule="auto"/>
        <w:ind w:left="720"/>
        <w:contextualSpacing/>
        <w:jc w:val="both"/>
        <w:rPr>
          <w:rFonts w:ascii="Palatino Linotype" w:hAnsi="Palatino Linotype"/>
          <w:lang w:val="en-US"/>
        </w:rPr>
      </w:pPr>
    </w:p>
    <w:p w:rsidR="000F236F" w:rsidRDefault="000F236F" w:rsidP="00B018BC">
      <w:pPr>
        <w:numPr>
          <w:ilvl w:val="0"/>
          <w:numId w:val="19"/>
        </w:numPr>
        <w:spacing w:line="276" w:lineRule="auto"/>
        <w:contextualSpacing/>
        <w:jc w:val="both"/>
        <w:rPr>
          <w:rFonts w:ascii="Palatino Linotype" w:hAnsi="Palatino Linotype"/>
          <w:lang w:val="en-US"/>
        </w:rPr>
      </w:pPr>
      <w:r>
        <w:rPr>
          <w:rFonts w:ascii="Palatino Linotype" w:eastAsia="Calibri" w:hAnsi="Palatino Linotype"/>
          <w:lang w:val="en-US"/>
        </w:rPr>
        <w:t>Vide order dated September 24, 2020, a penalty of Rs. 5,00,000/- (Rupees Five Lakh Only) was imposed on Girija Kelath, in the matter of Biocon Limited, for the violation of the provisions of Clause 4 of Code of Conduct under Schedule B of Regulation 9(1) and (2) of the PIT Regulations 2015.</w:t>
      </w:r>
    </w:p>
    <w:p w:rsidR="000F236F" w:rsidRDefault="000F236F" w:rsidP="000F236F">
      <w:pPr>
        <w:spacing w:line="276" w:lineRule="auto"/>
        <w:ind w:left="720"/>
        <w:contextualSpacing/>
        <w:jc w:val="both"/>
        <w:rPr>
          <w:rFonts w:ascii="Palatino Linotype" w:hAnsi="Palatino Linotype"/>
          <w:lang w:val="en-US"/>
        </w:rPr>
      </w:pPr>
    </w:p>
    <w:p w:rsidR="000F236F" w:rsidRDefault="000F236F" w:rsidP="00B018BC">
      <w:pPr>
        <w:numPr>
          <w:ilvl w:val="0"/>
          <w:numId w:val="19"/>
        </w:numPr>
        <w:spacing w:line="276" w:lineRule="auto"/>
        <w:contextualSpacing/>
        <w:jc w:val="both"/>
        <w:rPr>
          <w:rFonts w:ascii="Palatino Linotype" w:hAnsi="Palatino Linotype"/>
          <w:lang w:val="en-US"/>
        </w:rPr>
      </w:pPr>
      <w:r>
        <w:rPr>
          <w:rFonts w:ascii="Palatino Linotype" w:eastAsia="Calibri" w:hAnsi="Palatino Linotype"/>
          <w:lang w:val="en-US"/>
        </w:rPr>
        <w:t>Vide order dated September 24, 2020, a total penalty of Rs. 2,00,000/- (Rupees Two Lakh) was imposed on Samarth International Finlease Limited, in the matter of Non-Redressal of investor complaints on SCORES, for the violation of SEBI circulars dated June 03, 2011, August 13, 2012, and April 17, 2013.</w:t>
      </w:r>
    </w:p>
    <w:p w:rsidR="000F236F" w:rsidRDefault="000F236F" w:rsidP="000F236F">
      <w:pPr>
        <w:spacing w:line="276" w:lineRule="auto"/>
        <w:ind w:left="720"/>
        <w:contextualSpacing/>
        <w:jc w:val="both"/>
        <w:rPr>
          <w:rFonts w:ascii="Palatino Linotype" w:hAnsi="Palatino Linotype"/>
          <w:lang w:val="en-US"/>
        </w:rPr>
      </w:pPr>
    </w:p>
    <w:p w:rsidR="000F236F" w:rsidRDefault="000F236F" w:rsidP="00B018BC">
      <w:pPr>
        <w:numPr>
          <w:ilvl w:val="0"/>
          <w:numId w:val="19"/>
        </w:numPr>
        <w:spacing w:line="276" w:lineRule="auto"/>
        <w:contextualSpacing/>
        <w:jc w:val="both"/>
        <w:rPr>
          <w:rFonts w:ascii="Palatino Linotype" w:hAnsi="Palatino Linotype"/>
          <w:lang w:val="en-US"/>
        </w:rPr>
      </w:pPr>
      <w:r>
        <w:rPr>
          <w:rFonts w:ascii="Palatino Linotype" w:eastAsia="Calibri" w:hAnsi="Palatino Linotype"/>
          <w:lang w:val="en-US"/>
        </w:rPr>
        <w:t>Vide order dated September 25, 2020, a total penalty of Rs. 20,00,000/- (Rupees Twenty Lakh Only) was imposed on Bonanza Portfolio Ltd. for the violation of Regulation 17 of SEBI (Stock Broker) Regulations 1992, and various SEBI circulars.</w:t>
      </w:r>
    </w:p>
    <w:p w:rsidR="000F236F" w:rsidRDefault="000F236F" w:rsidP="000F236F">
      <w:pPr>
        <w:spacing w:line="276" w:lineRule="auto"/>
        <w:ind w:left="720"/>
        <w:contextualSpacing/>
        <w:jc w:val="both"/>
        <w:rPr>
          <w:rFonts w:ascii="Palatino Linotype" w:hAnsi="Palatino Linotype"/>
          <w:lang w:val="en-US"/>
        </w:rPr>
      </w:pPr>
    </w:p>
    <w:p w:rsidR="000F236F" w:rsidRDefault="000F236F" w:rsidP="00B018BC">
      <w:pPr>
        <w:numPr>
          <w:ilvl w:val="0"/>
          <w:numId w:val="19"/>
        </w:numPr>
        <w:spacing w:line="276" w:lineRule="auto"/>
        <w:contextualSpacing/>
        <w:jc w:val="both"/>
        <w:rPr>
          <w:rFonts w:ascii="Palatino Linotype" w:hAnsi="Palatino Linotype"/>
          <w:lang w:val="en-US"/>
        </w:rPr>
      </w:pPr>
      <w:r>
        <w:rPr>
          <w:rFonts w:ascii="Palatino Linotype" w:eastAsia="Calibri" w:hAnsi="Palatino Linotype"/>
          <w:lang w:val="en-US"/>
        </w:rPr>
        <w:t>Vide order dated September 25, 2020, a penalty of Rs. 1,00,00,000/- (Rupees One Crore Only)was imposed on Rana Kapoor in the matter of Yes Bank Limited for the violations of Regulations 4(2) (f) (i) (1) and 4 (2) (f) (i) (2) of the SEBI (Listing Obligations and Disclosure Requirement) Regulations, 2015 (“LODR Regulations”).</w:t>
      </w:r>
    </w:p>
    <w:p w:rsidR="000F236F" w:rsidRDefault="000F236F" w:rsidP="000F236F">
      <w:pPr>
        <w:spacing w:line="276" w:lineRule="auto"/>
        <w:ind w:left="720"/>
        <w:contextualSpacing/>
        <w:jc w:val="both"/>
        <w:rPr>
          <w:rFonts w:ascii="Palatino Linotype" w:hAnsi="Palatino Linotype"/>
          <w:lang w:val="en-US"/>
        </w:rPr>
      </w:pPr>
    </w:p>
    <w:p w:rsidR="000F236F" w:rsidRDefault="000F236F" w:rsidP="00B018BC">
      <w:pPr>
        <w:numPr>
          <w:ilvl w:val="0"/>
          <w:numId w:val="19"/>
        </w:numPr>
        <w:spacing w:line="276" w:lineRule="auto"/>
        <w:contextualSpacing/>
        <w:jc w:val="both"/>
        <w:rPr>
          <w:rFonts w:ascii="Palatino Linotype" w:hAnsi="Palatino Linotype"/>
          <w:lang w:val="en-US"/>
        </w:rPr>
      </w:pPr>
      <w:r>
        <w:rPr>
          <w:rFonts w:ascii="Palatino Linotype" w:eastAsia="Calibri" w:hAnsi="Palatino Linotype"/>
          <w:lang w:val="en-US"/>
        </w:rPr>
        <w:t>Vide order dated September 25, 2020, a total penalty of Rs. 45,00,000/- (Rupees FortyFive lakh only)was imposed on Accurate Buildwell Pvt. Ltd. and eight others in the matter of Eco Friendly Food Processing Park Ltd. for violation of the provisions of Regulations 3 (a), (b), (c), (d), 4 (1), (2) (a) and (e) of PFUTP Regulations.</w:t>
      </w:r>
    </w:p>
    <w:p w:rsidR="000F236F" w:rsidRDefault="000F236F" w:rsidP="000F236F">
      <w:pPr>
        <w:spacing w:line="276" w:lineRule="auto"/>
        <w:ind w:left="720"/>
        <w:contextualSpacing/>
        <w:jc w:val="both"/>
        <w:rPr>
          <w:rFonts w:ascii="Palatino Linotype" w:hAnsi="Palatino Linotype"/>
          <w:lang w:val="en-US"/>
        </w:rPr>
      </w:pPr>
    </w:p>
    <w:p w:rsidR="000F236F" w:rsidRDefault="000F236F" w:rsidP="00B018BC">
      <w:pPr>
        <w:numPr>
          <w:ilvl w:val="0"/>
          <w:numId w:val="19"/>
        </w:numPr>
        <w:spacing w:line="276" w:lineRule="auto"/>
        <w:contextualSpacing/>
        <w:jc w:val="both"/>
        <w:rPr>
          <w:rFonts w:ascii="Palatino Linotype" w:hAnsi="Palatino Linotype"/>
          <w:lang w:val="en-US"/>
        </w:rPr>
      </w:pPr>
      <w:r>
        <w:rPr>
          <w:rFonts w:ascii="Palatino Linotype" w:eastAsia="Calibri" w:hAnsi="Palatino Linotype"/>
          <w:lang w:val="en-US"/>
        </w:rPr>
        <w:t>Vide order dated September 25, 2020, a penalty of Rs. 10,00,000/- (Rupees Ten Lakh Only) was imposed on Vishvjyoti Trading Limited for the violation of the provisions of section 11 C (3) of the SEBI Act, 1992.</w:t>
      </w:r>
    </w:p>
    <w:p w:rsidR="000F236F" w:rsidRDefault="000F236F" w:rsidP="000F236F">
      <w:pPr>
        <w:spacing w:line="276" w:lineRule="auto"/>
        <w:ind w:left="720"/>
        <w:contextualSpacing/>
        <w:jc w:val="both"/>
        <w:rPr>
          <w:rFonts w:ascii="Palatino Linotype" w:hAnsi="Palatino Linotype"/>
          <w:lang w:val="en-US"/>
        </w:rPr>
      </w:pPr>
    </w:p>
    <w:p w:rsidR="000F236F" w:rsidRDefault="000F236F" w:rsidP="000F236F">
      <w:pPr>
        <w:spacing w:line="276" w:lineRule="auto"/>
        <w:contextualSpacing/>
        <w:jc w:val="both"/>
        <w:rPr>
          <w:rFonts w:ascii="Palatino Linotype" w:hAnsi="Palatino Linotype"/>
          <w:lang w:val="en-US"/>
        </w:rPr>
      </w:pPr>
    </w:p>
    <w:p w:rsidR="000F236F" w:rsidRDefault="000F236F" w:rsidP="00B018BC">
      <w:pPr>
        <w:numPr>
          <w:ilvl w:val="0"/>
          <w:numId w:val="19"/>
        </w:numPr>
        <w:spacing w:line="276" w:lineRule="auto"/>
        <w:contextualSpacing/>
        <w:jc w:val="both"/>
        <w:rPr>
          <w:rFonts w:ascii="Palatino Linotype" w:hAnsi="Palatino Linotype"/>
          <w:lang w:val="en-US"/>
        </w:rPr>
      </w:pPr>
      <w:r>
        <w:rPr>
          <w:rFonts w:ascii="Palatino Linotype" w:eastAsia="Calibri" w:hAnsi="Palatino Linotype"/>
          <w:lang w:val="en-US"/>
        </w:rPr>
        <w:t>Vide order dated September 25, 2020, a total penalty of Rs. 40,00,000/- (Rupees Forty Lakh Only)was imposed on Accurate Buildwell Pvt. Ltd. and others in the matter of Esteem Bio Organic Food Processing Ltd. for violation of the provisions of Regulations 3 (a), (b), (c), (d), 4 (1), (2) (a) and (e) of PFUTP Regulations.</w:t>
      </w:r>
    </w:p>
    <w:p w:rsidR="000F236F" w:rsidRDefault="000F236F" w:rsidP="000F236F">
      <w:pPr>
        <w:spacing w:line="276" w:lineRule="auto"/>
        <w:ind w:left="720"/>
        <w:contextualSpacing/>
        <w:jc w:val="both"/>
        <w:rPr>
          <w:rFonts w:ascii="Palatino Linotype" w:hAnsi="Palatino Linotype"/>
          <w:lang w:val="en-US"/>
        </w:rPr>
      </w:pPr>
    </w:p>
    <w:p w:rsidR="000F236F" w:rsidRDefault="000F236F" w:rsidP="00B018BC">
      <w:pPr>
        <w:numPr>
          <w:ilvl w:val="0"/>
          <w:numId w:val="19"/>
        </w:numPr>
        <w:spacing w:line="276" w:lineRule="auto"/>
        <w:contextualSpacing/>
        <w:jc w:val="both"/>
        <w:rPr>
          <w:rFonts w:ascii="Palatino Linotype" w:hAnsi="Palatino Linotype"/>
          <w:lang w:val="en-US"/>
        </w:rPr>
      </w:pPr>
      <w:r>
        <w:rPr>
          <w:rFonts w:ascii="Palatino Linotype" w:eastAsia="Calibri" w:hAnsi="Palatino Linotype"/>
          <w:lang w:val="en-US"/>
        </w:rPr>
        <w:t>Vide order dated September 25, 2020, a penalty of Rs. 2,00,000/-(Rupees Two Lakh only) was imposed on Rosita Rabindra, in the matter of NIIT Technologies Ltd. for the violation of the provisions of Regulation 13(4) read with Regulation 13(5) of the PIT Regulations 1992 and Regulation 12 of PIT Regulations 2015.</w:t>
      </w:r>
    </w:p>
    <w:p w:rsidR="000F236F" w:rsidRDefault="000F236F" w:rsidP="000F236F">
      <w:pPr>
        <w:spacing w:line="276" w:lineRule="auto"/>
        <w:ind w:left="720"/>
        <w:contextualSpacing/>
        <w:jc w:val="both"/>
        <w:rPr>
          <w:rFonts w:ascii="Palatino Linotype" w:hAnsi="Palatino Linotype"/>
          <w:lang w:val="en-US"/>
        </w:rPr>
      </w:pPr>
    </w:p>
    <w:p w:rsidR="000F236F" w:rsidRDefault="000F236F" w:rsidP="00B018BC">
      <w:pPr>
        <w:numPr>
          <w:ilvl w:val="0"/>
          <w:numId w:val="19"/>
        </w:numPr>
        <w:spacing w:line="276" w:lineRule="auto"/>
        <w:contextualSpacing/>
        <w:jc w:val="both"/>
        <w:rPr>
          <w:rFonts w:ascii="Palatino Linotype" w:hAnsi="Palatino Linotype"/>
          <w:lang w:val="en-US"/>
        </w:rPr>
      </w:pPr>
      <w:r>
        <w:rPr>
          <w:rFonts w:ascii="Palatino Linotype" w:eastAsia="Calibri" w:hAnsi="Palatino Linotype"/>
          <w:lang w:val="en-US"/>
        </w:rPr>
        <w:t>Vide order dated September 22, 2020, restrained Kapil Wadhawan and nine (9) other promoters of Dewan Housing Finance Corporation Limited (DHFL) during the period from April 01, 2006 to March 31, 2019 from buying, selling or otherwise dealing in securities in any manner whatsoever, either directly or indirectly and also restrained them from associating themselves with any listed public company and any public company as directors/ promoters which intends to raise money from the public or any intermediary registered with SEBI. This action was taken for violations of a) Section 12A (a), (b) and (c) of the SEBI Act, 1992 (b) Regulation 3 (b), (c), (d) , Regulation 4(1) and Regulation 4(2) (f), (k) and (r) of the PFUTP Regulations, and (c) Regulation 4(1) and other related provisions of the LODR Regulations, in the matter of Dewan Housing Finance Corporation Limited.</w:t>
      </w:r>
    </w:p>
    <w:p w:rsidR="000F236F" w:rsidRDefault="000F236F" w:rsidP="000F236F">
      <w:pPr>
        <w:spacing w:line="276" w:lineRule="auto"/>
        <w:ind w:left="720"/>
        <w:contextualSpacing/>
        <w:jc w:val="both"/>
        <w:rPr>
          <w:rFonts w:ascii="Palatino Linotype" w:hAnsi="Palatino Linotype"/>
          <w:lang w:val="en-US"/>
        </w:rPr>
      </w:pPr>
    </w:p>
    <w:p w:rsidR="000F236F" w:rsidRDefault="000F236F" w:rsidP="00B018BC">
      <w:pPr>
        <w:numPr>
          <w:ilvl w:val="0"/>
          <w:numId w:val="19"/>
        </w:numPr>
        <w:spacing w:line="276" w:lineRule="auto"/>
        <w:contextualSpacing/>
        <w:jc w:val="both"/>
        <w:rPr>
          <w:rFonts w:ascii="Palatino Linotype" w:hAnsi="Palatino Linotype"/>
          <w:lang w:val="en-US"/>
        </w:rPr>
      </w:pPr>
      <w:r>
        <w:rPr>
          <w:rFonts w:ascii="Palatino Linotype" w:eastAsia="Calibri" w:hAnsi="Palatino Linotype"/>
          <w:lang w:val="en-US"/>
        </w:rPr>
        <w:t>Vide three separate orders dating September 22, 2020, enhanced the penalty was imposed upon ICRA Limited, Care Ratings Limited, and India Ratings and Research Private Limited to Rs. 1,00,00,000/-(Rupees One Crore Only) each, from Rs.25,00,000 each imposed vide Adjudicating Officer(“AO”) orders dated December 26, 2019. This action was  for their failure to exercise proper skill, care and due diligence while discharging its responsibilities as a credit rating agency (CRA) and thereby violating the provisions of Regulation 24(7) and Clauses 4 and 8 of Code of Conduct of the CRAs read with Regulation 13 of SEBI (Credit Rating Agencies) Regulations, 1999 (CRA Regulations), in rating the securities of IL&amp;FS and IL&amp;FS Financial Service Limited (IFIN) causing real and severe financial loss to investors and shaking up the investors’ faith in the reliability of credit ratings in the context of the corporate debt market. The enhancement in the penalty, amongst other things, is due to the failure of Adjudicating Officer to give due weightage to the magnitude of the loss caused to the investors.</w:t>
      </w:r>
    </w:p>
    <w:p w:rsidR="000F236F" w:rsidRDefault="000F236F" w:rsidP="000F236F">
      <w:pPr>
        <w:spacing w:line="276" w:lineRule="auto"/>
        <w:ind w:left="720"/>
        <w:contextualSpacing/>
        <w:jc w:val="both"/>
        <w:rPr>
          <w:rFonts w:ascii="Palatino Linotype" w:hAnsi="Palatino Linotype"/>
          <w:lang w:val="en-US"/>
        </w:rPr>
      </w:pPr>
    </w:p>
    <w:p w:rsidR="000F236F" w:rsidRDefault="000F236F" w:rsidP="00B018BC">
      <w:pPr>
        <w:numPr>
          <w:ilvl w:val="0"/>
          <w:numId w:val="19"/>
        </w:numPr>
        <w:spacing w:line="276" w:lineRule="auto"/>
        <w:contextualSpacing/>
        <w:jc w:val="both"/>
        <w:rPr>
          <w:rFonts w:ascii="Palatino Linotype" w:hAnsi="Palatino Linotype"/>
          <w:lang w:val="en-US"/>
        </w:rPr>
      </w:pPr>
      <w:r>
        <w:rPr>
          <w:rFonts w:ascii="Palatino Linotype" w:eastAsia="Calibri" w:hAnsi="Palatino Linotype"/>
          <w:lang w:val="en-US"/>
        </w:rPr>
        <w:t xml:space="preserve">Vide order dated September 22, 2020, the total penalty of Rs. 52,00,000/- (Rupees Fifty Two Lakhs only) was imposed on Mangalam Drugs and Organics Ltd. and eight others, </w:t>
      </w:r>
      <w:r>
        <w:rPr>
          <w:rFonts w:ascii="Palatino Linotype" w:eastAsia="Calibri" w:hAnsi="Palatino Linotype"/>
          <w:lang w:val="en-US"/>
        </w:rPr>
        <w:lastRenderedPageBreak/>
        <w:t>for violation of Regulation 77(2) and 77(3) of SEBI (Issue of Capital and Disclosure Requirements) Regulations, 2009 (“ICDR Regulations 2009”) read with Regulation 169(2) of ICDR Regulations 2018 and Sections 12A(a) of SEBI Act read with Regulations 3(b) &amp; 4(1) of PFUTP regulations, 2003, and also restrained them from accessing the securities market through issue of securities or subscription to securities, directly or indirectly, for a period of 6 months.</w:t>
      </w:r>
    </w:p>
    <w:p w:rsidR="000F236F" w:rsidRDefault="000F236F" w:rsidP="000F236F">
      <w:pPr>
        <w:spacing w:line="276" w:lineRule="auto"/>
        <w:ind w:left="720"/>
        <w:contextualSpacing/>
        <w:jc w:val="both"/>
        <w:rPr>
          <w:rFonts w:ascii="Palatino Linotype" w:hAnsi="Palatino Linotype"/>
          <w:color w:val="000000"/>
          <w:lang w:val="en-US"/>
        </w:rPr>
      </w:pPr>
    </w:p>
    <w:p w:rsidR="000F236F" w:rsidRDefault="000F236F" w:rsidP="00B018BC">
      <w:pPr>
        <w:numPr>
          <w:ilvl w:val="0"/>
          <w:numId w:val="19"/>
        </w:numPr>
        <w:spacing w:line="276" w:lineRule="auto"/>
        <w:contextualSpacing/>
        <w:jc w:val="both"/>
        <w:rPr>
          <w:rFonts w:ascii="Palatino Linotype" w:hAnsi="Palatino Linotype"/>
          <w:lang w:val="en-US"/>
        </w:rPr>
      </w:pPr>
      <w:r>
        <w:rPr>
          <w:rFonts w:ascii="Palatino Linotype" w:eastAsia="Calibri" w:hAnsi="Palatino Linotype"/>
          <w:lang w:val="en-US"/>
        </w:rPr>
        <w:t xml:space="preserve">Vide order dated September 28, 2019, a penalty of  </w:t>
      </w:r>
      <w:r>
        <w:rPr>
          <w:rFonts w:ascii="Tahoma" w:eastAsia="Calibri" w:hAnsi="Tahoma" w:cs="Tahoma"/>
          <w:lang w:val="en-US"/>
        </w:rPr>
        <w:t>₹</w:t>
      </w:r>
      <w:r>
        <w:rPr>
          <w:rFonts w:ascii="Palatino Linotype" w:eastAsia="Calibri" w:hAnsi="Palatino Linotype"/>
          <w:lang w:val="en-US"/>
        </w:rPr>
        <w:t xml:space="preserve"> 1,00,000/- (Rupees One Lakh only) was imposed on Gilani Infra Private Limited, in the matter of Empower Industries Ltd. for the violation of the provisions of Regulation 29(1) read with 29(3) of the SAST Regulations, 2011.</w:t>
      </w:r>
    </w:p>
    <w:p w:rsidR="000F236F" w:rsidRDefault="000F236F" w:rsidP="000F236F">
      <w:pPr>
        <w:spacing w:line="276" w:lineRule="auto"/>
        <w:ind w:left="720"/>
        <w:contextualSpacing/>
        <w:jc w:val="both"/>
        <w:rPr>
          <w:rFonts w:ascii="Palatino Linotype" w:hAnsi="Palatino Linotype"/>
          <w:lang w:val="en-US"/>
        </w:rPr>
      </w:pPr>
    </w:p>
    <w:p w:rsidR="000F236F" w:rsidRDefault="000F236F" w:rsidP="00B018BC">
      <w:pPr>
        <w:numPr>
          <w:ilvl w:val="0"/>
          <w:numId w:val="19"/>
        </w:numPr>
        <w:spacing w:line="276" w:lineRule="auto"/>
        <w:contextualSpacing/>
        <w:jc w:val="both"/>
        <w:rPr>
          <w:rFonts w:ascii="Palatino Linotype" w:hAnsi="Palatino Linotype"/>
          <w:lang w:val="en-US"/>
        </w:rPr>
      </w:pPr>
      <w:r>
        <w:rPr>
          <w:rFonts w:ascii="Palatino Linotype" w:eastAsia="Calibri" w:hAnsi="Palatino Linotype"/>
          <w:lang w:val="en-US"/>
        </w:rPr>
        <w:t xml:space="preserve">Vide order dated September 28, 2020, a penalty of </w:t>
      </w:r>
      <w:r>
        <w:rPr>
          <w:rFonts w:ascii="Tahoma" w:eastAsia="Calibri" w:hAnsi="Tahoma" w:cs="Tahoma"/>
          <w:lang w:val="en-US"/>
        </w:rPr>
        <w:t>₹</w:t>
      </w:r>
      <w:r>
        <w:rPr>
          <w:rFonts w:ascii="Palatino Linotype" w:eastAsia="Calibri" w:hAnsi="Palatino Linotype"/>
          <w:lang w:val="en-US"/>
        </w:rPr>
        <w:t xml:space="preserve"> 1,00,000/- (Rupees One Lakh only), was imposed on Mindvision Capital Limited, for violation of the provisions of Section 21 of Securities Contracts Regulations Act, 1956 (“SCRA”), read with Clause 35 of the Listing Agreement.</w:t>
      </w:r>
    </w:p>
    <w:p w:rsidR="000F236F" w:rsidRDefault="000F236F" w:rsidP="000F236F">
      <w:pPr>
        <w:spacing w:line="276" w:lineRule="auto"/>
        <w:ind w:left="720"/>
        <w:contextualSpacing/>
        <w:jc w:val="both"/>
        <w:rPr>
          <w:rFonts w:ascii="Palatino Linotype" w:hAnsi="Palatino Linotype"/>
          <w:lang w:val="en-US"/>
        </w:rPr>
      </w:pPr>
    </w:p>
    <w:p w:rsidR="000F236F" w:rsidRDefault="000F236F" w:rsidP="00B018BC">
      <w:pPr>
        <w:numPr>
          <w:ilvl w:val="0"/>
          <w:numId w:val="19"/>
        </w:numPr>
        <w:spacing w:line="276" w:lineRule="auto"/>
        <w:contextualSpacing/>
        <w:jc w:val="both"/>
        <w:rPr>
          <w:rFonts w:ascii="Palatino Linotype" w:hAnsi="Palatino Linotype"/>
          <w:lang w:val="en-US"/>
        </w:rPr>
      </w:pPr>
      <w:r>
        <w:rPr>
          <w:rFonts w:ascii="Palatino Linotype" w:eastAsia="Calibri" w:hAnsi="Palatino Linotype"/>
          <w:lang w:val="en-US"/>
        </w:rPr>
        <w:t xml:space="preserve">Vide order dated September 28, 2020, a penalty of </w:t>
      </w:r>
      <w:r>
        <w:rPr>
          <w:rFonts w:ascii="Tahoma" w:eastAsia="Calibri" w:hAnsi="Tahoma" w:cs="Tahoma"/>
          <w:lang w:val="en-US"/>
        </w:rPr>
        <w:t>₹</w:t>
      </w:r>
      <w:r>
        <w:rPr>
          <w:rFonts w:ascii="Palatino Linotype" w:eastAsia="Calibri" w:hAnsi="Palatino Linotype"/>
          <w:lang w:val="en-US"/>
        </w:rPr>
        <w:t xml:space="preserve"> 10,00,000/- (Rupees Ten Lakh only) was imposed on Lyka Labs Ltd., in the matter of disclosures by Lyka Labs Ltd. in its GDR issue, for the violation of provisions of section 21 of the SCRA, read with clause 50 of the Listing Agreement.</w:t>
      </w:r>
    </w:p>
    <w:p w:rsidR="000F236F" w:rsidRDefault="000F236F" w:rsidP="000F236F">
      <w:pPr>
        <w:spacing w:line="276" w:lineRule="auto"/>
        <w:ind w:left="720"/>
        <w:contextualSpacing/>
        <w:jc w:val="both"/>
        <w:rPr>
          <w:rFonts w:ascii="Palatino Linotype" w:hAnsi="Palatino Linotype"/>
          <w:lang w:val="en-US"/>
        </w:rPr>
      </w:pPr>
    </w:p>
    <w:p w:rsidR="000F236F" w:rsidRDefault="000F236F" w:rsidP="00B018BC">
      <w:pPr>
        <w:numPr>
          <w:ilvl w:val="0"/>
          <w:numId w:val="19"/>
        </w:numPr>
        <w:spacing w:line="276" w:lineRule="auto"/>
        <w:contextualSpacing/>
        <w:jc w:val="both"/>
        <w:rPr>
          <w:rFonts w:ascii="Palatino Linotype" w:hAnsi="Palatino Linotype"/>
          <w:lang w:val="en-US"/>
        </w:rPr>
      </w:pPr>
      <w:r>
        <w:rPr>
          <w:rFonts w:ascii="Palatino Linotype" w:eastAsia="Calibri" w:hAnsi="Palatino Linotype"/>
          <w:lang w:val="en-US"/>
        </w:rPr>
        <w:t xml:space="preserve">Vide order dated September 29, 2020, a total penalty of </w:t>
      </w:r>
      <w:r>
        <w:rPr>
          <w:rFonts w:ascii="Tahoma" w:eastAsia="Calibri" w:hAnsi="Tahoma" w:cs="Tahoma"/>
          <w:lang w:val="en-US"/>
        </w:rPr>
        <w:t>₹</w:t>
      </w:r>
      <w:r>
        <w:rPr>
          <w:rFonts w:ascii="Palatino Linotype" w:eastAsia="Calibri" w:hAnsi="Palatino Linotype"/>
          <w:lang w:val="en-US"/>
        </w:rPr>
        <w:t xml:space="preserve"> 2,00,000/- (Two Lakhs Only) was imposed on Dilip Sheth and others, in the matter of Alang Industrial Gases Ltd, for the violation of Regulation 13(4) and 13(6) of PIT Regulations, 1992 and Regulation 29(1) r/w Regulation 29(2) of SAST Regulations 2011.</w:t>
      </w:r>
    </w:p>
    <w:p w:rsidR="000F236F" w:rsidRDefault="000F236F" w:rsidP="000F236F">
      <w:pPr>
        <w:spacing w:line="276" w:lineRule="auto"/>
        <w:ind w:left="720"/>
        <w:contextualSpacing/>
        <w:jc w:val="both"/>
        <w:rPr>
          <w:rFonts w:ascii="Palatino Linotype" w:hAnsi="Palatino Linotype"/>
          <w:lang w:val="en-US"/>
        </w:rPr>
      </w:pPr>
    </w:p>
    <w:p w:rsidR="000F236F" w:rsidRDefault="000F236F" w:rsidP="00B018BC">
      <w:pPr>
        <w:numPr>
          <w:ilvl w:val="0"/>
          <w:numId w:val="19"/>
        </w:numPr>
        <w:spacing w:line="276" w:lineRule="auto"/>
        <w:contextualSpacing/>
        <w:jc w:val="both"/>
        <w:rPr>
          <w:rFonts w:ascii="Palatino Linotype" w:hAnsi="Palatino Linotype"/>
          <w:lang w:val="en-US"/>
        </w:rPr>
      </w:pPr>
      <w:r>
        <w:rPr>
          <w:rFonts w:ascii="Palatino Linotype" w:eastAsia="Calibri" w:hAnsi="Palatino Linotype"/>
          <w:lang w:val="en-US"/>
        </w:rPr>
        <w:t xml:space="preserve">Vide order dated September 29, 2020, a penalty of </w:t>
      </w:r>
      <w:r>
        <w:rPr>
          <w:rFonts w:ascii="Tahoma" w:eastAsia="Calibri" w:hAnsi="Tahoma" w:cs="Tahoma"/>
          <w:lang w:val="en-US"/>
        </w:rPr>
        <w:t>₹</w:t>
      </w:r>
      <w:r>
        <w:rPr>
          <w:rFonts w:ascii="Palatino Linotype" w:eastAsia="Calibri" w:hAnsi="Palatino Linotype"/>
          <w:lang w:val="en-US"/>
        </w:rPr>
        <w:t xml:space="preserve"> 1,00,00,000/- (Rupees One Crore only) was imposed on Brickwork Ratings India Pvt. Limited, for the violation of (a). Clause 8 of Code of Conduct for CRAs read with Regulation 13, Regulation 15(1),16(1) and 24(2), 24(7) of CRA Regulations (b). Clause 1 A and B of SEBI Circular no. SEBI/HO/MIRSD/MIRSD4/CIR/P/2017/71 dated June 30, 2017. (“SEBI Circular dated June 30, 2017”) (c). Clause 3 read with Annexure A points 2. A. I. a), D. I and D. II, 4. B. and 5.C.IV of SEBI Circular SEBI/HO/MIRSD/MIRSD4/CIR/P/2016/119 dated November 1, 2016. (“SEBI Circular dated November 1, 2016”) (d). Clause 2 and 3 of SEBI/HO/MIRSD/DOP2/CIR/P/2018/95 dated June 06, 2018. (“SEBI Circular dated June 06, 2018”) (e). Clause 3 and 4 of SEBI Circular CIR/MIRSD/3/2012 dated March 01, 2012 (“SEBI Circular dated March 01, 2012”).</w:t>
      </w:r>
    </w:p>
    <w:p w:rsidR="000F236F" w:rsidRDefault="000F236F" w:rsidP="000F236F">
      <w:pPr>
        <w:spacing w:line="276" w:lineRule="auto"/>
        <w:ind w:left="720"/>
        <w:contextualSpacing/>
        <w:jc w:val="both"/>
        <w:rPr>
          <w:rFonts w:ascii="Palatino Linotype" w:hAnsi="Palatino Linotype"/>
          <w:lang w:val="en-US"/>
        </w:rPr>
      </w:pPr>
    </w:p>
    <w:p w:rsidR="000F236F" w:rsidRDefault="000F236F" w:rsidP="00B018BC">
      <w:pPr>
        <w:numPr>
          <w:ilvl w:val="0"/>
          <w:numId w:val="19"/>
        </w:numPr>
        <w:spacing w:line="276" w:lineRule="auto"/>
        <w:contextualSpacing/>
        <w:jc w:val="both"/>
        <w:rPr>
          <w:rFonts w:ascii="Palatino Linotype" w:hAnsi="Palatino Linotype"/>
          <w:lang w:val="en-US"/>
        </w:rPr>
      </w:pPr>
      <w:r>
        <w:rPr>
          <w:rFonts w:ascii="Palatino Linotype" w:eastAsia="Calibri" w:hAnsi="Palatino Linotype"/>
          <w:lang w:val="en-US"/>
        </w:rPr>
        <w:lastRenderedPageBreak/>
        <w:t xml:space="preserve">Vide order dated September 29, 2020, a penalty of </w:t>
      </w:r>
      <w:r>
        <w:rPr>
          <w:rFonts w:ascii="Tahoma" w:eastAsia="Calibri" w:hAnsi="Tahoma" w:cs="Tahoma"/>
          <w:lang w:val="en-US"/>
        </w:rPr>
        <w:t>₹</w:t>
      </w:r>
      <w:r>
        <w:rPr>
          <w:rFonts w:ascii="Palatino Linotype" w:eastAsia="Calibri" w:hAnsi="Palatino Linotype"/>
          <w:lang w:val="en-US"/>
        </w:rPr>
        <w:t xml:space="preserve"> 5,00,000/- (Rupees Five Lakhs only) was imposed on Composite Investments Pvt. Ltd., a stock broker and depository participant, for the violation of Section 23D of SCRA, Section 15HB of SEBI Act and Section 19G of Depositories Act, in the matter of inspection of Composite Investments Pvt. Ltd.</w:t>
      </w:r>
    </w:p>
    <w:p w:rsidR="000F236F" w:rsidRDefault="000F236F" w:rsidP="000F236F">
      <w:pPr>
        <w:spacing w:line="276" w:lineRule="auto"/>
        <w:ind w:left="720"/>
        <w:contextualSpacing/>
        <w:jc w:val="both"/>
        <w:rPr>
          <w:rFonts w:ascii="Palatino Linotype" w:hAnsi="Palatino Linotype"/>
          <w:lang w:val="en-US"/>
        </w:rPr>
      </w:pPr>
    </w:p>
    <w:p w:rsidR="000F236F" w:rsidRDefault="000F236F" w:rsidP="00B018BC">
      <w:pPr>
        <w:numPr>
          <w:ilvl w:val="0"/>
          <w:numId w:val="19"/>
        </w:numPr>
        <w:spacing w:line="276" w:lineRule="auto"/>
        <w:contextualSpacing/>
        <w:jc w:val="both"/>
        <w:rPr>
          <w:rFonts w:ascii="Palatino Linotype" w:hAnsi="Palatino Linotype"/>
          <w:lang w:val="en-US"/>
        </w:rPr>
      </w:pPr>
      <w:r>
        <w:rPr>
          <w:rFonts w:ascii="Palatino Linotype" w:eastAsia="Calibri" w:hAnsi="Palatino Linotype"/>
          <w:lang w:val="en-US"/>
        </w:rPr>
        <w:t xml:space="preserve">Vide order dated September 29, 2020, a penalty of </w:t>
      </w:r>
      <w:r>
        <w:rPr>
          <w:rFonts w:ascii="Tahoma" w:eastAsia="Calibri" w:hAnsi="Tahoma" w:cs="Tahoma"/>
          <w:lang w:val="en-US"/>
        </w:rPr>
        <w:t>₹</w:t>
      </w:r>
      <w:r>
        <w:rPr>
          <w:rFonts w:ascii="Palatino Linotype" w:eastAsia="Calibri" w:hAnsi="Palatino Linotype"/>
          <w:lang w:val="en-US"/>
        </w:rPr>
        <w:t xml:space="preserve"> 5,00,000/- (Rupees Five Lakh Only) was imposed on Dakshin Mercantile Private Limited, in the matter of LKP Finance Limited, for the violation of the provisions of Regulation 22 (3) of SAST Regulations.</w:t>
      </w:r>
    </w:p>
    <w:p w:rsidR="000F236F" w:rsidRDefault="000F236F" w:rsidP="000F236F">
      <w:pPr>
        <w:spacing w:line="276" w:lineRule="auto"/>
        <w:ind w:left="720"/>
        <w:contextualSpacing/>
        <w:jc w:val="both"/>
        <w:rPr>
          <w:rFonts w:ascii="Palatino Linotype" w:hAnsi="Palatino Linotype"/>
          <w:lang w:val="en-US"/>
        </w:rPr>
      </w:pPr>
    </w:p>
    <w:p w:rsidR="000F236F" w:rsidRDefault="000F236F" w:rsidP="00B018BC">
      <w:pPr>
        <w:numPr>
          <w:ilvl w:val="0"/>
          <w:numId w:val="19"/>
        </w:numPr>
        <w:spacing w:line="276" w:lineRule="auto"/>
        <w:contextualSpacing/>
        <w:jc w:val="both"/>
        <w:rPr>
          <w:rFonts w:ascii="Palatino Linotype" w:hAnsi="Palatino Linotype"/>
          <w:lang w:val="en-US"/>
        </w:rPr>
      </w:pPr>
      <w:r>
        <w:rPr>
          <w:rFonts w:ascii="Palatino Linotype" w:eastAsia="Calibri" w:hAnsi="Palatino Linotype"/>
          <w:lang w:val="en-US"/>
        </w:rPr>
        <w:t xml:space="preserve">Vide order dated September 29, 2020, a total penalty of </w:t>
      </w:r>
      <w:r>
        <w:rPr>
          <w:rFonts w:ascii="Tahoma" w:eastAsia="Calibri" w:hAnsi="Tahoma" w:cs="Tahoma"/>
          <w:lang w:val="en-US"/>
        </w:rPr>
        <w:t>₹</w:t>
      </w:r>
      <w:r>
        <w:rPr>
          <w:rFonts w:ascii="Palatino Linotype" w:eastAsia="Calibri" w:hAnsi="Palatino Linotype"/>
          <w:lang w:val="en-US"/>
        </w:rPr>
        <w:t xml:space="preserve"> 40,00,000/- (Rupees Forty Lakhs only)was imposed on Rajesh G. Uchil and others in the matter of GDR issue by Aqua Logistics Limited, for violation of the provisions of Section 12A (a), (b), (c) of SEBI Act, 1992 read with Regulations 3(a), (b), (c), (d) and 4(1) of PFUTP Regulations, 2003.</w:t>
      </w:r>
    </w:p>
    <w:p w:rsidR="000F236F" w:rsidRDefault="000F236F" w:rsidP="000F236F">
      <w:pPr>
        <w:spacing w:line="276" w:lineRule="auto"/>
        <w:ind w:left="720"/>
        <w:contextualSpacing/>
        <w:jc w:val="both"/>
        <w:rPr>
          <w:rFonts w:ascii="Palatino Linotype" w:hAnsi="Palatino Linotype"/>
          <w:lang w:val="en-US"/>
        </w:rPr>
      </w:pPr>
    </w:p>
    <w:p w:rsidR="000F236F" w:rsidRDefault="000F236F" w:rsidP="00B018BC">
      <w:pPr>
        <w:numPr>
          <w:ilvl w:val="0"/>
          <w:numId w:val="19"/>
        </w:numPr>
        <w:spacing w:line="276" w:lineRule="auto"/>
        <w:contextualSpacing/>
        <w:jc w:val="both"/>
        <w:rPr>
          <w:rFonts w:ascii="Palatino Linotype" w:hAnsi="Palatino Linotype"/>
          <w:lang w:val="en-US"/>
        </w:rPr>
      </w:pPr>
      <w:r>
        <w:rPr>
          <w:rFonts w:ascii="Palatino Linotype" w:eastAsia="Calibri" w:hAnsi="Palatino Linotype"/>
          <w:lang w:val="en-US"/>
        </w:rPr>
        <w:t xml:space="preserve">Vide order dated September 29, 2020, a penalty of </w:t>
      </w:r>
      <w:r>
        <w:rPr>
          <w:rFonts w:ascii="Tahoma" w:eastAsia="Calibri" w:hAnsi="Tahoma" w:cs="Tahoma"/>
          <w:lang w:val="en-US"/>
        </w:rPr>
        <w:t>₹</w:t>
      </w:r>
      <w:r>
        <w:rPr>
          <w:rFonts w:ascii="Palatino Linotype" w:eastAsia="Calibri" w:hAnsi="Palatino Linotype"/>
          <w:lang w:val="en-US"/>
        </w:rPr>
        <w:t xml:space="preserve"> 1,00,000/- (Rupees One Lakh only) was imposed on Subramanian, in the matter of Seshasayee Paper and Boards Limited for the violation of regulation 13 (4A) read with regulation 13(5) of PIT Regulations, 1992, read with regulation 12 of PIT Regulations, 2015.</w:t>
      </w:r>
    </w:p>
    <w:p w:rsidR="000F236F" w:rsidRDefault="000F236F" w:rsidP="000F236F">
      <w:pPr>
        <w:spacing w:line="276" w:lineRule="auto"/>
        <w:ind w:left="720"/>
        <w:contextualSpacing/>
        <w:jc w:val="both"/>
        <w:rPr>
          <w:rFonts w:ascii="Palatino Linotype" w:hAnsi="Palatino Linotype"/>
          <w:lang w:val="en-US"/>
        </w:rPr>
      </w:pPr>
    </w:p>
    <w:p w:rsidR="000F236F" w:rsidRDefault="000F236F" w:rsidP="00B018BC">
      <w:pPr>
        <w:numPr>
          <w:ilvl w:val="0"/>
          <w:numId w:val="19"/>
        </w:numPr>
        <w:spacing w:line="276" w:lineRule="auto"/>
        <w:contextualSpacing/>
        <w:jc w:val="both"/>
        <w:rPr>
          <w:rFonts w:ascii="Palatino Linotype" w:hAnsi="Palatino Linotype"/>
          <w:lang w:val="en-US"/>
        </w:rPr>
      </w:pPr>
      <w:r>
        <w:rPr>
          <w:rFonts w:ascii="Palatino Linotype" w:eastAsia="Calibri" w:hAnsi="Palatino Linotype"/>
          <w:lang w:val="en-US"/>
        </w:rPr>
        <w:t xml:space="preserve">Vide order dated September 29, 2020, imposed a total penalty of </w:t>
      </w:r>
      <w:r>
        <w:rPr>
          <w:rFonts w:ascii="Tahoma" w:eastAsia="Calibri" w:hAnsi="Tahoma" w:cs="Tahoma"/>
          <w:lang w:val="en-US"/>
        </w:rPr>
        <w:t>₹</w:t>
      </w:r>
      <w:r>
        <w:rPr>
          <w:rFonts w:ascii="Palatino Linotype" w:eastAsia="Calibri" w:hAnsi="Palatino Linotype"/>
          <w:lang w:val="en-US"/>
        </w:rPr>
        <w:t xml:space="preserve"> 102,500,000/- (Rupees Ten Crore and Twenty Five Lakhs only) was imposed on Sanjay Agarwal and others, in the matter of GDR Issue by Aqua Logistics Limited for violation of the provisions of Section 12A (a), (b), (c) of SEBI Act, 1992 read with Regulations 3(a), (b), (c), (d) and 4(1) of PFUTP Regulations.</w:t>
      </w:r>
    </w:p>
    <w:p w:rsidR="000F236F" w:rsidRDefault="000F236F" w:rsidP="000F236F">
      <w:pPr>
        <w:spacing w:line="276" w:lineRule="auto"/>
        <w:ind w:left="720"/>
        <w:contextualSpacing/>
        <w:jc w:val="both"/>
        <w:rPr>
          <w:rFonts w:ascii="Palatino Linotype" w:hAnsi="Palatino Linotype"/>
          <w:lang w:val="en-US"/>
        </w:rPr>
      </w:pPr>
    </w:p>
    <w:p w:rsidR="000F236F" w:rsidRDefault="000F236F" w:rsidP="00B018BC">
      <w:pPr>
        <w:numPr>
          <w:ilvl w:val="0"/>
          <w:numId w:val="19"/>
        </w:numPr>
        <w:spacing w:line="276" w:lineRule="auto"/>
        <w:contextualSpacing/>
        <w:jc w:val="both"/>
        <w:rPr>
          <w:rFonts w:ascii="Palatino Linotype" w:hAnsi="Palatino Linotype"/>
          <w:lang w:val="en-US"/>
        </w:rPr>
      </w:pPr>
      <w:r>
        <w:rPr>
          <w:rFonts w:ascii="Palatino Linotype" w:eastAsia="Calibri" w:hAnsi="Palatino Linotype"/>
          <w:lang w:val="en-US"/>
        </w:rPr>
        <w:t xml:space="preserve">Vide order dated September 29, 2020, a penalty of </w:t>
      </w:r>
      <w:r>
        <w:rPr>
          <w:rFonts w:ascii="Tahoma" w:eastAsia="Calibri" w:hAnsi="Tahoma" w:cs="Tahoma"/>
          <w:lang w:val="en-US"/>
        </w:rPr>
        <w:t>₹</w:t>
      </w:r>
      <w:r>
        <w:rPr>
          <w:rFonts w:ascii="Palatino Linotype" w:eastAsia="Calibri" w:hAnsi="Palatino Linotype"/>
          <w:lang w:val="en-US"/>
        </w:rPr>
        <w:t xml:space="preserve"> 10,00,00,000/- (Rupees Ten Crore) was imposed on Aqua Logistics Limited, in the matter of its issue of GDR, for the violation of Section 12A(a), (b), (c) of SEBI Act, 1992 read with Regulations 3(a), (b), (c), (d) and 4(1), 4(2) (f), (k), (r)of PFUTP Regulations and Section 21 of the SCRA read with Clauses 32, 36(7) and 50of the Listing Agreement.</w:t>
      </w:r>
    </w:p>
    <w:p w:rsidR="000F236F" w:rsidRDefault="000F236F" w:rsidP="000F236F">
      <w:pPr>
        <w:spacing w:line="276" w:lineRule="auto"/>
        <w:ind w:left="720"/>
        <w:contextualSpacing/>
        <w:jc w:val="both"/>
        <w:rPr>
          <w:rFonts w:ascii="Palatino Linotype" w:hAnsi="Palatino Linotype"/>
          <w:lang w:val="en-US"/>
        </w:rPr>
      </w:pPr>
    </w:p>
    <w:p w:rsidR="000F236F" w:rsidRDefault="000F236F" w:rsidP="00B018BC">
      <w:pPr>
        <w:numPr>
          <w:ilvl w:val="0"/>
          <w:numId w:val="19"/>
        </w:numPr>
        <w:spacing w:line="276" w:lineRule="auto"/>
        <w:contextualSpacing/>
        <w:jc w:val="both"/>
        <w:rPr>
          <w:rFonts w:ascii="Palatino Linotype" w:hAnsi="Palatino Linotype"/>
          <w:lang w:val="en-US"/>
        </w:rPr>
      </w:pPr>
      <w:r>
        <w:rPr>
          <w:rFonts w:ascii="Palatino Linotype" w:eastAsia="Calibri" w:hAnsi="Palatino Linotype"/>
          <w:lang w:val="en-US"/>
        </w:rPr>
        <w:t xml:space="preserve">Vide order dated September 29, 2020, a penalty of </w:t>
      </w:r>
      <w:r>
        <w:rPr>
          <w:rFonts w:ascii="Tahoma" w:eastAsia="Calibri" w:hAnsi="Tahoma" w:cs="Tahoma"/>
          <w:lang w:val="en-US"/>
        </w:rPr>
        <w:t>₹</w:t>
      </w:r>
      <w:r>
        <w:rPr>
          <w:rFonts w:ascii="Palatino Linotype" w:eastAsia="Calibri" w:hAnsi="Palatino Linotype"/>
          <w:lang w:val="en-US"/>
        </w:rPr>
        <w:t xml:space="preserve"> 2,00,000/- (Rupees Two Lakh only) was imposed on Subash Menon and Kivar Holdings Private Ltd., in the matter of Subex Limited for violations of regulation 7 (2) (a) of PIT Regulations, 2015 and provisions of clause 6 of the code of the conduct under Schedule B of regulation 9 (1) of PIT Regulations, 2015.</w:t>
      </w:r>
    </w:p>
    <w:p w:rsidR="000F236F" w:rsidRDefault="000F236F" w:rsidP="000F236F">
      <w:pPr>
        <w:spacing w:line="276" w:lineRule="auto"/>
        <w:ind w:left="720"/>
        <w:contextualSpacing/>
        <w:jc w:val="both"/>
        <w:rPr>
          <w:rFonts w:ascii="Palatino Linotype" w:hAnsi="Palatino Linotype"/>
          <w:lang w:val="en-US"/>
        </w:rPr>
      </w:pPr>
    </w:p>
    <w:p w:rsidR="000F236F" w:rsidRDefault="000F236F" w:rsidP="00B018BC">
      <w:pPr>
        <w:numPr>
          <w:ilvl w:val="0"/>
          <w:numId w:val="19"/>
        </w:numPr>
        <w:spacing w:line="276" w:lineRule="auto"/>
        <w:contextualSpacing/>
        <w:jc w:val="both"/>
        <w:rPr>
          <w:rFonts w:ascii="Palatino Linotype" w:hAnsi="Palatino Linotype"/>
          <w:lang w:val="en-US"/>
        </w:rPr>
      </w:pPr>
      <w:r>
        <w:rPr>
          <w:rFonts w:ascii="Palatino Linotype" w:eastAsia="Calibri" w:hAnsi="Palatino Linotype"/>
          <w:lang w:val="en-US"/>
        </w:rPr>
        <w:lastRenderedPageBreak/>
        <w:t xml:space="preserve">Vide order dated September 29, 2020, a total penalty of </w:t>
      </w:r>
      <w:r>
        <w:rPr>
          <w:rFonts w:ascii="Tahoma" w:eastAsia="Calibri" w:hAnsi="Tahoma" w:cs="Tahoma"/>
          <w:lang w:val="en-US"/>
        </w:rPr>
        <w:t>₹</w:t>
      </w:r>
      <w:r>
        <w:rPr>
          <w:rFonts w:ascii="Palatino Linotype" w:eastAsia="Calibri" w:hAnsi="Palatino Linotype"/>
          <w:lang w:val="en-US"/>
        </w:rPr>
        <w:t xml:space="preserve"> 35,00,000/- (Rupees Thirty Five Lakhs only) was imposed on DCB Plus N Holdings LLP and others, in the matter of Sunrise Asian Ltd., for the violation of Regulation 13(2A) and 13(4A) read with Regulation 13(5) of PIT Regulations 1992 read with Regulation 12 of the PIT Regulations 2015 and Regulation 29(2) read with Regulation 29(3) of the SAST Regulations and Section 21 of the SCRA read with Clause 35 of the Listing Agreement and Regulation 103 (1) of the LODR Regulations, 2015.</w:t>
      </w:r>
    </w:p>
    <w:p w:rsidR="000F236F" w:rsidRDefault="000F236F" w:rsidP="000F236F">
      <w:pPr>
        <w:spacing w:line="276" w:lineRule="auto"/>
        <w:ind w:left="720"/>
        <w:contextualSpacing/>
        <w:jc w:val="both"/>
        <w:rPr>
          <w:rFonts w:ascii="Palatino Linotype" w:hAnsi="Palatino Linotype"/>
          <w:lang w:val="en-US"/>
        </w:rPr>
      </w:pPr>
    </w:p>
    <w:p w:rsidR="000F236F" w:rsidRDefault="000F236F" w:rsidP="00B018BC">
      <w:pPr>
        <w:numPr>
          <w:ilvl w:val="0"/>
          <w:numId w:val="19"/>
        </w:numPr>
        <w:spacing w:line="276" w:lineRule="auto"/>
        <w:contextualSpacing/>
        <w:jc w:val="both"/>
        <w:rPr>
          <w:rFonts w:ascii="Palatino Linotype" w:hAnsi="Palatino Linotype"/>
          <w:lang w:val="en-US"/>
        </w:rPr>
      </w:pPr>
      <w:r>
        <w:rPr>
          <w:rFonts w:ascii="Palatino Linotype" w:eastAsia="Calibri" w:hAnsi="Palatino Linotype"/>
          <w:lang w:val="en-US"/>
        </w:rPr>
        <w:t xml:space="preserve">Vide order dated September 29, 2020, a penalty of </w:t>
      </w:r>
      <w:r>
        <w:rPr>
          <w:rFonts w:ascii="Tahoma" w:eastAsia="Calibri" w:hAnsi="Tahoma" w:cs="Tahoma"/>
          <w:lang w:val="en-US"/>
        </w:rPr>
        <w:t>₹</w:t>
      </w:r>
      <w:r>
        <w:rPr>
          <w:rFonts w:ascii="Palatino Linotype" w:eastAsia="Calibri" w:hAnsi="Palatino Linotype"/>
          <w:lang w:val="en-US"/>
        </w:rPr>
        <w:t xml:space="preserve"> 30,00,000/-(Rupees Thirty Lakhs only) was imposed on Utsav Securities Pvt Ltd and others, in the matter of Sital Leasing and Finance Limited for the violation of Section 12A (a), (b), (c) of SEBI Act read with Regulation 3 (a), (b), (c), (d), 4 (1) and 4 (2) (a), (e) of PFUTP Regulations.</w:t>
      </w:r>
    </w:p>
    <w:p w:rsidR="000F236F" w:rsidRDefault="000F236F" w:rsidP="000F236F">
      <w:pPr>
        <w:spacing w:line="276" w:lineRule="auto"/>
        <w:ind w:left="720"/>
        <w:contextualSpacing/>
        <w:jc w:val="both"/>
        <w:rPr>
          <w:rFonts w:ascii="Palatino Linotype" w:hAnsi="Palatino Linotype"/>
          <w:lang w:val="en-US"/>
        </w:rPr>
      </w:pPr>
    </w:p>
    <w:p w:rsidR="000F236F" w:rsidRDefault="000F236F" w:rsidP="00B018BC">
      <w:pPr>
        <w:numPr>
          <w:ilvl w:val="0"/>
          <w:numId w:val="19"/>
        </w:numPr>
        <w:spacing w:line="276" w:lineRule="auto"/>
        <w:contextualSpacing/>
        <w:jc w:val="both"/>
        <w:rPr>
          <w:rFonts w:ascii="Palatino Linotype" w:hAnsi="Palatino Linotype"/>
          <w:lang w:val="en-US"/>
        </w:rPr>
      </w:pPr>
      <w:r>
        <w:rPr>
          <w:rFonts w:ascii="Palatino Linotype" w:eastAsia="Calibri" w:hAnsi="Palatino Linotype"/>
          <w:lang w:val="en-US"/>
        </w:rPr>
        <w:t xml:space="preserve">Vide order dated September 29, 2020, a penalty of </w:t>
      </w:r>
      <w:r>
        <w:rPr>
          <w:rFonts w:ascii="Tahoma" w:eastAsia="Calibri" w:hAnsi="Tahoma" w:cs="Tahoma"/>
          <w:lang w:val="en-US"/>
        </w:rPr>
        <w:t>₹</w:t>
      </w:r>
      <w:r>
        <w:rPr>
          <w:rFonts w:ascii="Palatino Linotype" w:eastAsia="Calibri" w:hAnsi="Palatino Linotype"/>
          <w:lang w:val="en-US"/>
        </w:rPr>
        <w:t xml:space="preserve"> 2,00,000/- (Two Lakhs Only) was imposed on Dilip Sheth and others in the matter of Alang Industrial Gases Ltd. for the violation of Regulation 13(4) and 13(6) of PIT Regulations 1992 and Regulation 29(1) r/w Regulation 29(2) of SAST Regulations.</w:t>
      </w:r>
    </w:p>
    <w:p w:rsidR="000F236F" w:rsidRDefault="000F236F" w:rsidP="000F236F">
      <w:pPr>
        <w:spacing w:line="276" w:lineRule="auto"/>
        <w:ind w:left="720"/>
        <w:contextualSpacing/>
        <w:jc w:val="both"/>
        <w:rPr>
          <w:rFonts w:ascii="Palatino Linotype" w:hAnsi="Palatino Linotype"/>
          <w:lang w:val="en-US"/>
        </w:rPr>
      </w:pPr>
    </w:p>
    <w:p w:rsidR="000F236F" w:rsidRDefault="000F236F" w:rsidP="00B018BC">
      <w:pPr>
        <w:numPr>
          <w:ilvl w:val="0"/>
          <w:numId w:val="19"/>
        </w:numPr>
        <w:spacing w:line="276" w:lineRule="auto"/>
        <w:contextualSpacing/>
        <w:jc w:val="both"/>
        <w:rPr>
          <w:rFonts w:ascii="Palatino Linotype" w:hAnsi="Palatino Linotype"/>
          <w:lang w:val="en-US"/>
        </w:rPr>
      </w:pPr>
      <w:r>
        <w:rPr>
          <w:rFonts w:ascii="Palatino Linotype" w:eastAsia="Calibri" w:hAnsi="Palatino Linotype"/>
          <w:lang w:val="en-US"/>
        </w:rPr>
        <w:t xml:space="preserve">Vide order dated September 30, 2020, a total penalty of </w:t>
      </w:r>
      <w:r>
        <w:rPr>
          <w:rFonts w:ascii="Tahoma" w:eastAsia="Calibri" w:hAnsi="Tahoma" w:cs="Tahoma"/>
          <w:lang w:val="en-US"/>
        </w:rPr>
        <w:t>₹</w:t>
      </w:r>
      <w:r>
        <w:rPr>
          <w:rFonts w:ascii="Palatino Linotype" w:eastAsia="Calibri" w:hAnsi="Palatino Linotype"/>
          <w:lang w:val="en-US"/>
        </w:rPr>
        <w:t xml:space="preserve"> 12,00,000/- (Rupees Twelve Lakh only) was imposed on Ganganagar Commodity Limited for violation of </w:t>
      </w:r>
    </w:p>
    <w:p w:rsidR="000F236F" w:rsidRPr="004752BB" w:rsidRDefault="000F236F" w:rsidP="00B018BC">
      <w:pPr>
        <w:pStyle w:val="ListParagraph"/>
        <w:numPr>
          <w:ilvl w:val="0"/>
          <w:numId w:val="20"/>
        </w:numPr>
        <w:ind w:left="1418" w:hanging="284"/>
        <w:jc w:val="both"/>
        <w:rPr>
          <w:rFonts w:ascii="Palatino Linotype" w:hAnsi="Palatino Linotype"/>
        </w:rPr>
      </w:pPr>
      <w:r w:rsidRPr="004752BB">
        <w:rPr>
          <w:rFonts w:ascii="Palatino Linotype" w:hAnsi="Palatino Linotype"/>
        </w:rPr>
        <w:t xml:space="preserve">Section 23D of SCRA read with Clause 1 of Annexure of SEBI Circular SMD/SED/CIR/93/23321 dated November 18,1993 and Clause 3 of Annexure of SEBI Circular SEBI/HO/MIRSD/MIRSD2/CIR/P/2016/95 dated September 26, 2016 </w:t>
      </w:r>
    </w:p>
    <w:p w:rsidR="000F236F" w:rsidRPr="004752BB" w:rsidRDefault="000F236F" w:rsidP="00B018BC">
      <w:pPr>
        <w:pStyle w:val="ListParagraph"/>
        <w:numPr>
          <w:ilvl w:val="0"/>
          <w:numId w:val="20"/>
        </w:numPr>
        <w:ind w:left="1418" w:hanging="284"/>
        <w:jc w:val="both"/>
        <w:rPr>
          <w:rFonts w:ascii="Palatino Linotype" w:hAnsi="Palatino Linotype"/>
        </w:rPr>
      </w:pPr>
      <w:r w:rsidRPr="004752BB">
        <w:rPr>
          <w:rFonts w:ascii="Palatino Linotype" w:hAnsi="Palatino Linotype"/>
        </w:rPr>
        <w:t xml:space="preserve">Clause 12 of Annexure A of SEBI Circular SEBI/MIRSD/SE/Cir-19/2009 dated December 03, 2009. </w:t>
      </w:r>
    </w:p>
    <w:p w:rsidR="000F236F" w:rsidRPr="004752BB" w:rsidRDefault="000F236F" w:rsidP="00B018BC">
      <w:pPr>
        <w:pStyle w:val="ListParagraph"/>
        <w:numPr>
          <w:ilvl w:val="0"/>
          <w:numId w:val="20"/>
        </w:numPr>
        <w:ind w:left="1418" w:hanging="284"/>
        <w:jc w:val="both"/>
        <w:rPr>
          <w:rFonts w:ascii="Palatino Linotype" w:hAnsi="Palatino Linotype"/>
        </w:rPr>
      </w:pPr>
      <w:r w:rsidRPr="004752BB">
        <w:rPr>
          <w:rFonts w:ascii="Palatino Linotype" w:hAnsi="Palatino Linotype"/>
        </w:rPr>
        <w:t>Clause A (5) of Schedule II read with Regulation 9 (f) of SEBI (Stock Brokers) Regulations, 1992 (‘Brokers Regulations’) read with NSE circular NSE/CMPT/03167 dated Feb 01, 2002 read with NSE circular NSE/CMPT/13061 dated September 10, 2009 and NSE circular NSE/INSP/19583 dated December 14, 2011.</w:t>
      </w:r>
    </w:p>
    <w:p w:rsidR="000F236F" w:rsidRPr="004752BB" w:rsidRDefault="000F236F" w:rsidP="00B018BC">
      <w:pPr>
        <w:pStyle w:val="ListParagraph"/>
        <w:numPr>
          <w:ilvl w:val="0"/>
          <w:numId w:val="20"/>
        </w:numPr>
        <w:ind w:left="1418" w:hanging="284"/>
        <w:jc w:val="both"/>
        <w:rPr>
          <w:rFonts w:ascii="Palatino Linotype" w:hAnsi="Palatino Linotype"/>
        </w:rPr>
      </w:pPr>
      <w:r w:rsidRPr="004752BB">
        <w:rPr>
          <w:rFonts w:ascii="Palatino Linotype" w:hAnsi="Palatino Linotype"/>
        </w:rPr>
        <w:t xml:space="preserve">SEBI Circular CIR/MIRSD/16/2011 dated August 22, 2011, Clause 3 of SEBI Circular No. MIRSD/Cir-26/2011 dated December 23, 2011and SEBI circular SMDRP/Policy/CIR-39/2001 dated July 18, 2001 read with NSE circular NSE/INVG/2005/015 dated July 29, 2005. </w:t>
      </w:r>
    </w:p>
    <w:p w:rsidR="000F236F" w:rsidRPr="004752BB" w:rsidRDefault="000F236F" w:rsidP="00B018BC">
      <w:pPr>
        <w:pStyle w:val="ListParagraph"/>
        <w:numPr>
          <w:ilvl w:val="0"/>
          <w:numId w:val="20"/>
        </w:numPr>
        <w:ind w:left="1418" w:hanging="284"/>
        <w:jc w:val="both"/>
        <w:rPr>
          <w:rFonts w:ascii="Palatino Linotype" w:hAnsi="Palatino Linotype"/>
        </w:rPr>
      </w:pPr>
      <w:r w:rsidRPr="004752BB">
        <w:rPr>
          <w:rFonts w:ascii="Palatino Linotype" w:hAnsi="Palatino Linotype"/>
        </w:rPr>
        <w:t xml:space="preserve">Clause 2(b) of SEBI Circular CIR/MIRSD/15/2011 dated August 02, 2011. </w:t>
      </w:r>
    </w:p>
    <w:p w:rsidR="000F236F" w:rsidRPr="004752BB" w:rsidRDefault="000F236F" w:rsidP="00B018BC">
      <w:pPr>
        <w:pStyle w:val="ListParagraph"/>
        <w:numPr>
          <w:ilvl w:val="0"/>
          <w:numId w:val="20"/>
        </w:numPr>
        <w:ind w:left="1418" w:hanging="284"/>
        <w:jc w:val="both"/>
        <w:rPr>
          <w:rFonts w:ascii="Palatino Linotype" w:hAnsi="Palatino Linotype"/>
        </w:rPr>
      </w:pPr>
      <w:r w:rsidRPr="004752BB">
        <w:rPr>
          <w:rFonts w:ascii="Palatino Linotype" w:hAnsi="Palatino Linotype"/>
        </w:rPr>
        <w:t xml:space="preserve">Clause III of SEBI Circular SEBI/HO/MIRSD/DOP1/CIR/P/2018/54, dated March 22, 2018. </w:t>
      </w:r>
    </w:p>
    <w:p w:rsidR="000F236F" w:rsidRPr="004752BB" w:rsidRDefault="000F236F" w:rsidP="00B018BC">
      <w:pPr>
        <w:pStyle w:val="ListParagraph"/>
        <w:numPr>
          <w:ilvl w:val="0"/>
          <w:numId w:val="20"/>
        </w:numPr>
        <w:ind w:left="1418" w:hanging="284"/>
        <w:jc w:val="both"/>
        <w:rPr>
          <w:rFonts w:ascii="Palatino Linotype" w:hAnsi="Palatino Linotype"/>
        </w:rPr>
      </w:pPr>
      <w:r w:rsidRPr="004752BB">
        <w:rPr>
          <w:rFonts w:ascii="Palatino Linotype" w:hAnsi="Palatino Linotype"/>
        </w:rPr>
        <w:t xml:space="preserve">Clause 1,6.1.1(g),6.1.1 (j)and6.1.1(k) of Annexure of SEBI Circular SEBI/HO/MIRSD/MIRSD2/CIR/P/2016/95 dated September 26, 2016. </w:t>
      </w:r>
    </w:p>
    <w:p w:rsidR="000F236F" w:rsidRPr="004752BB" w:rsidRDefault="000F236F" w:rsidP="00B018BC">
      <w:pPr>
        <w:pStyle w:val="ListParagraph"/>
        <w:numPr>
          <w:ilvl w:val="0"/>
          <w:numId w:val="20"/>
        </w:numPr>
        <w:ind w:left="1418" w:hanging="284"/>
        <w:jc w:val="both"/>
        <w:rPr>
          <w:rFonts w:ascii="Palatino Linotype" w:hAnsi="Palatino Linotype"/>
        </w:rPr>
      </w:pPr>
      <w:r w:rsidRPr="004752BB">
        <w:rPr>
          <w:rFonts w:ascii="Palatino Linotype" w:hAnsi="Palatino Linotype"/>
        </w:rPr>
        <w:t>Clause 1 of SEBI Circular SMD/MDP/CIR/043/96 dated August 5, 1996 and Ref SE/February 4, 1991.</w:t>
      </w:r>
    </w:p>
    <w:p w:rsidR="000F236F" w:rsidRDefault="000F236F" w:rsidP="000F236F">
      <w:pPr>
        <w:spacing w:line="276" w:lineRule="auto"/>
        <w:ind w:left="720"/>
        <w:contextualSpacing/>
        <w:jc w:val="both"/>
        <w:rPr>
          <w:rFonts w:ascii="Palatino Linotype" w:hAnsi="Palatino Linotype"/>
          <w:lang w:val="en-US"/>
        </w:rPr>
      </w:pPr>
    </w:p>
    <w:p w:rsidR="000F236F" w:rsidRDefault="000F236F" w:rsidP="00B018BC">
      <w:pPr>
        <w:numPr>
          <w:ilvl w:val="0"/>
          <w:numId w:val="19"/>
        </w:numPr>
        <w:spacing w:line="276" w:lineRule="auto"/>
        <w:contextualSpacing/>
        <w:jc w:val="both"/>
        <w:rPr>
          <w:rFonts w:ascii="Palatino Linotype" w:hAnsi="Palatino Linotype"/>
          <w:lang w:val="en-US"/>
        </w:rPr>
      </w:pPr>
      <w:r>
        <w:rPr>
          <w:rFonts w:ascii="Palatino Linotype" w:eastAsia="Calibri" w:hAnsi="Palatino Linotype"/>
          <w:lang w:val="en-US"/>
        </w:rPr>
        <w:t xml:space="preserve">Vide order dated September 30, 2020, a total penalty of </w:t>
      </w:r>
      <w:r>
        <w:rPr>
          <w:rFonts w:ascii="Tahoma" w:eastAsia="Calibri" w:hAnsi="Tahoma" w:cs="Tahoma"/>
          <w:lang w:val="en-US"/>
        </w:rPr>
        <w:t>₹</w:t>
      </w:r>
      <w:r>
        <w:rPr>
          <w:rFonts w:ascii="Palatino Linotype" w:eastAsia="Calibri" w:hAnsi="Palatino Linotype"/>
          <w:lang w:val="en-US"/>
        </w:rPr>
        <w:t xml:space="preserve"> 7,00,000/- (Rupees Seven Lakhs only)was imposed on Sanchay Fincom Limited for the violation of </w:t>
      </w:r>
    </w:p>
    <w:p w:rsidR="000F236F" w:rsidRPr="004752BB" w:rsidRDefault="000F236F" w:rsidP="00B018BC">
      <w:pPr>
        <w:pStyle w:val="ListParagraph"/>
        <w:numPr>
          <w:ilvl w:val="0"/>
          <w:numId w:val="21"/>
        </w:numPr>
        <w:jc w:val="both"/>
        <w:rPr>
          <w:rFonts w:ascii="Palatino Linotype" w:hAnsi="Palatino Linotype"/>
        </w:rPr>
      </w:pPr>
      <w:r w:rsidRPr="004752BB">
        <w:rPr>
          <w:rFonts w:ascii="Palatino Linotype" w:hAnsi="Palatino Linotype"/>
        </w:rPr>
        <w:t xml:space="preserve">SEBI Circular SMD/SED/CIR/93/23321 dated November 18, 1993 and Clause 3.3.1 of Annexure of SEBI Circular Ref no. SEBI/HO/MIRSD/MIRSD2/CIR/P/2016/95 dated September 26, 2016. </w:t>
      </w:r>
    </w:p>
    <w:p w:rsidR="000F236F" w:rsidRPr="004752BB" w:rsidRDefault="000F236F" w:rsidP="00B018BC">
      <w:pPr>
        <w:pStyle w:val="ListParagraph"/>
        <w:numPr>
          <w:ilvl w:val="0"/>
          <w:numId w:val="21"/>
        </w:numPr>
        <w:jc w:val="both"/>
        <w:rPr>
          <w:rFonts w:ascii="Palatino Linotype" w:hAnsi="Palatino Linotype"/>
        </w:rPr>
      </w:pPr>
      <w:r w:rsidRPr="004752BB">
        <w:rPr>
          <w:rFonts w:ascii="Palatino Linotype" w:hAnsi="Palatino Linotype"/>
        </w:rPr>
        <w:lastRenderedPageBreak/>
        <w:t xml:space="preserve">Clause 12 of Annexure of SEBI circular SEBI/MIRSD/SE/Cir-19/2009 dated December 03, 2009 and Clause 8.1 of Annexure of the 2016 Circular. </w:t>
      </w:r>
    </w:p>
    <w:p w:rsidR="000F236F" w:rsidRPr="004752BB" w:rsidRDefault="000F236F" w:rsidP="00B018BC">
      <w:pPr>
        <w:pStyle w:val="ListParagraph"/>
        <w:numPr>
          <w:ilvl w:val="0"/>
          <w:numId w:val="21"/>
        </w:numPr>
        <w:jc w:val="both"/>
        <w:rPr>
          <w:rFonts w:ascii="Palatino Linotype" w:hAnsi="Palatino Linotype"/>
        </w:rPr>
      </w:pPr>
      <w:r w:rsidRPr="004752BB">
        <w:rPr>
          <w:rFonts w:ascii="Palatino Linotype" w:hAnsi="Palatino Linotype"/>
        </w:rPr>
        <w:t>Clause 2.6 of Annexure to the 2016 Circular read with Clause 2(d) of SEBI Circular Ref no. CIR/HO/MIRSD/MIRSD2/CIR/P/2017/64 dated June 22, 2017.</w:t>
      </w:r>
    </w:p>
    <w:p w:rsidR="000F236F" w:rsidRPr="004752BB" w:rsidRDefault="000F236F" w:rsidP="00B018BC">
      <w:pPr>
        <w:pStyle w:val="ListParagraph"/>
        <w:numPr>
          <w:ilvl w:val="0"/>
          <w:numId w:val="21"/>
        </w:numPr>
        <w:jc w:val="both"/>
        <w:rPr>
          <w:rFonts w:ascii="Palatino Linotype" w:hAnsi="Palatino Linotype"/>
        </w:rPr>
      </w:pPr>
      <w:r w:rsidRPr="004752BB">
        <w:rPr>
          <w:rFonts w:ascii="Palatino Linotype" w:hAnsi="Palatino Linotype"/>
        </w:rPr>
        <w:t>Cause 6.1.1.j of the 2016 Circular to be read with Exchange Notice nos. 20160927-41, dated September 27, 2016.</w:t>
      </w:r>
    </w:p>
    <w:p w:rsidR="000F236F" w:rsidRDefault="000F236F" w:rsidP="000F236F">
      <w:pPr>
        <w:spacing w:line="276" w:lineRule="auto"/>
        <w:ind w:left="720"/>
        <w:contextualSpacing/>
        <w:jc w:val="both"/>
        <w:rPr>
          <w:rFonts w:ascii="Palatino Linotype" w:hAnsi="Palatino Linotype"/>
          <w:lang w:val="en-US"/>
        </w:rPr>
      </w:pPr>
    </w:p>
    <w:p w:rsidR="000F236F" w:rsidRDefault="000F236F" w:rsidP="000F236F">
      <w:pPr>
        <w:spacing w:line="276" w:lineRule="auto"/>
        <w:ind w:left="720"/>
        <w:contextualSpacing/>
        <w:jc w:val="both"/>
        <w:rPr>
          <w:rFonts w:ascii="Palatino Linotype" w:hAnsi="Palatino Linotype"/>
          <w:lang w:val="en-US"/>
        </w:rPr>
      </w:pPr>
    </w:p>
    <w:p w:rsidR="000F236F" w:rsidRDefault="000F236F" w:rsidP="00B018BC">
      <w:pPr>
        <w:numPr>
          <w:ilvl w:val="0"/>
          <w:numId w:val="19"/>
        </w:numPr>
        <w:spacing w:line="276" w:lineRule="auto"/>
        <w:contextualSpacing/>
        <w:jc w:val="both"/>
        <w:rPr>
          <w:rFonts w:ascii="Palatino Linotype" w:hAnsi="Palatino Linotype"/>
          <w:lang w:val="en-US"/>
        </w:rPr>
      </w:pPr>
      <w:r>
        <w:rPr>
          <w:rFonts w:ascii="Palatino Linotype" w:eastAsia="Calibri" w:hAnsi="Palatino Linotype"/>
          <w:lang w:val="en-US"/>
        </w:rPr>
        <w:t xml:space="preserve">Vide order dated September 30, 2020, a penalty of </w:t>
      </w:r>
      <w:r>
        <w:rPr>
          <w:rFonts w:ascii="Tahoma" w:eastAsia="Calibri" w:hAnsi="Tahoma" w:cs="Tahoma"/>
          <w:lang w:val="en-US"/>
        </w:rPr>
        <w:t>₹</w:t>
      </w:r>
      <w:r>
        <w:rPr>
          <w:rFonts w:ascii="Palatino Linotype" w:eastAsia="Calibri" w:hAnsi="Palatino Linotype"/>
          <w:lang w:val="en-US"/>
        </w:rPr>
        <w:t xml:space="preserve"> 2,00,000/- (Rupees Two Lakh only) was imposed on Devendra Gupta in the matter of NIIT Technologies Ltd., for the violation of the provisions of Clause 3.3 under Schedule I – Part A of Model Code of Conduct for Prevention of Insider Trading for Listed Companies read with Regulation 12(1) of the PIT Regulations.</w:t>
      </w:r>
    </w:p>
    <w:p w:rsidR="000F236F" w:rsidRDefault="000F236F" w:rsidP="000F236F">
      <w:pPr>
        <w:spacing w:line="276" w:lineRule="auto"/>
        <w:ind w:left="720"/>
        <w:contextualSpacing/>
        <w:jc w:val="both"/>
        <w:rPr>
          <w:rFonts w:ascii="Palatino Linotype" w:hAnsi="Palatino Linotype"/>
          <w:lang w:val="en-US"/>
        </w:rPr>
      </w:pPr>
    </w:p>
    <w:p w:rsidR="000F236F" w:rsidRDefault="000F236F" w:rsidP="00B018BC">
      <w:pPr>
        <w:numPr>
          <w:ilvl w:val="0"/>
          <w:numId w:val="19"/>
        </w:numPr>
        <w:spacing w:line="276" w:lineRule="auto"/>
        <w:contextualSpacing/>
        <w:jc w:val="both"/>
        <w:rPr>
          <w:rFonts w:ascii="Palatino Linotype" w:hAnsi="Palatino Linotype"/>
          <w:lang w:val="en-US"/>
        </w:rPr>
      </w:pPr>
      <w:r>
        <w:rPr>
          <w:rFonts w:ascii="Palatino Linotype" w:eastAsia="Calibri" w:hAnsi="Palatino Linotype"/>
          <w:lang w:val="en-US"/>
        </w:rPr>
        <w:t xml:space="preserve">Vide order dated September 30, 2020, a penalty of </w:t>
      </w:r>
      <w:r>
        <w:rPr>
          <w:rFonts w:ascii="Tahoma" w:eastAsia="Calibri" w:hAnsi="Tahoma" w:cs="Tahoma"/>
          <w:lang w:val="en-US"/>
        </w:rPr>
        <w:t>₹</w:t>
      </w:r>
      <w:r>
        <w:rPr>
          <w:rFonts w:ascii="Palatino Linotype" w:eastAsia="Calibri" w:hAnsi="Palatino Linotype"/>
          <w:lang w:val="en-US"/>
        </w:rPr>
        <w:t xml:space="preserve"> 5,00,000/- (Rupees Five Lakh only) was imposed on Praveen Chand Mohnot in the matter of KLG Capital Services Ltd., for violation of the provisions of regulations 3(i) and 3(ii) of PIT Regulations.</w:t>
      </w:r>
    </w:p>
    <w:p w:rsidR="000F236F" w:rsidRDefault="000F236F" w:rsidP="000F236F">
      <w:pPr>
        <w:spacing w:line="276" w:lineRule="auto"/>
        <w:ind w:left="720"/>
        <w:contextualSpacing/>
        <w:jc w:val="both"/>
        <w:rPr>
          <w:rFonts w:ascii="Palatino Linotype" w:hAnsi="Palatino Linotype"/>
          <w:lang w:val="en-US"/>
        </w:rPr>
      </w:pPr>
    </w:p>
    <w:p w:rsidR="000F236F" w:rsidRDefault="000F236F" w:rsidP="00B018BC">
      <w:pPr>
        <w:numPr>
          <w:ilvl w:val="0"/>
          <w:numId w:val="19"/>
        </w:numPr>
        <w:spacing w:line="276" w:lineRule="auto"/>
        <w:contextualSpacing/>
        <w:jc w:val="both"/>
        <w:rPr>
          <w:rFonts w:ascii="Palatino Linotype" w:hAnsi="Palatino Linotype"/>
          <w:lang w:val="en-US"/>
        </w:rPr>
      </w:pPr>
      <w:r>
        <w:rPr>
          <w:rFonts w:ascii="Palatino Linotype" w:eastAsia="Calibri" w:hAnsi="Palatino Linotype"/>
          <w:lang w:val="en-US"/>
        </w:rPr>
        <w:t xml:space="preserve">Vide order dated September 30, 2020, a penalty of </w:t>
      </w:r>
      <w:r>
        <w:rPr>
          <w:rFonts w:ascii="Tahoma" w:eastAsia="Calibri" w:hAnsi="Tahoma" w:cs="Tahoma"/>
          <w:lang w:val="en-US"/>
        </w:rPr>
        <w:t>₹</w:t>
      </w:r>
      <w:r>
        <w:rPr>
          <w:rFonts w:ascii="Palatino Linotype" w:eastAsia="Calibri" w:hAnsi="Palatino Linotype"/>
          <w:lang w:val="en-US"/>
        </w:rPr>
        <w:t xml:space="preserve"> 3,00,000/- (Rupees Three Lakh only) was imposed on Krishan Kumar Khadaria in the matter of Nouveau Global Ventures Ltd., for violations of regulations 13(1) of PIT Regulations, 1992 and regulations 13(3),13(4) &amp; 13(4A) r/w 13(5) of PIT Regulations, 1992 read along with regulation 12(2) of PIT Regulations, 2015 and regulations 29(1) and 29(2) r/w 29(3) of the SAST Regulations.</w:t>
      </w:r>
    </w:p>
    <w:p w:rsidR="000F236F" w:rsidRDefault="000F236F" w:rsidP="000F236F">
      <w:pPr>
        <w:spacing w:line="276" w:lineRule="auto"/>
        <w:ind w:left="720"/>
        <w:contextualSpacing/>
        <w:jc w:val="both"/>
        <w:rPr>
          <w:rFonts w:ascii="Palatino Linotype" w:hAnsi="Palatino Linotype"/>
          <w:lang w:val="en-US"/>
        </w:rPr>
      </w:pPr>
    </w:p>
    <w:p w:rsidR="000F236F" w:rsidRDefault="000F236F" w:rsidP="00B018BC">
      <w:pPr>
        <w:numPr>
          <w:ilvl w:val="0"/>
          <w:numId w:val="19"/>
        </w:numPr>
        <w:spacing w:line="276" w:lineRule="auto"/>
        <w:contextualSpacing/>
        <w:jc w:val="both"/>
        <w:rPr>
          <w:rFonts w:ascii="Palatino Linotype" w:hAnsi="Palatino Linotype"/>
          <w:lang w:val="en-US"/>
        </w:rPr>
      </w:pPr>
      <w:r>
        <w:rPr>
          <w:rFonts w:ascii="Palatino Linotype" w:eastAsia="Calibri" w:hAnsi="Palatino Linotype"/>
          <w:lang w:val="en-US"/>
        </w:rPr>
        <w:t xml:space="preserve">Vide order dated September 30, 2020, a penalty of </w:t>
      </w:r>
      <w:r>
        <w:rPr>
          <w:rFonts w:ascii="Tahoma" w:eastAsia="Calibri" w:hAnsi="Tahoma" w:cs="Tahoma"/>
          <w:lang w:val="en-US"/>
        </w:rPr>
        <w:t>₹</w:t>
      </w:r>
      <w:r>
        <w:rPr>
          <w:rFonts w:ascii="Palatino Linotype" w:eastAsia="Calibri" w:hAnsi="Palatino Linotype"/>
          <w:lang w:val="en-US"/>
        </w:rPr>
        <w:t xml:space="preserve"> 5,00,000/- (Rupees Five Lakh only) was imposed on N Ravichandran in the matter of KLG Capital Services Ltd., for violation of the provisions of regulation regulations 3(i) and 3(ii) of PIT Regulations, 2015.</w:t>
      </w:r>
    </w:p>
    <w:p w:rsidR="000F236F" w:rsidRDefault="000F236F" w:rsidP="000F236F">
      <w:pPr>
        <w:spacing w:line="276" w:lineRule="auto"/>
        <w:ind w:left="720"/>
        <w:contextualSpacing/>
        <w:jc w:val="both"/>
        <w:rPr>
          <w:rFonts w:ascii="Palatino Linotype" w:hAnsi="Palatino Linotype"/>
          <w:lang w:val="en-US"/>
        </w:rPr>
      </w:pPr>
    </w:p>
    <w:p w:rsidR="000F236F" w:rsidRDefault="000F236F" w:rsidP="00B018BC">
      <w:pPr>
        <w:numPr>
          <w:ilvl w:val="0"/>
          <w:numId w:val="19"/>
        </w:numPr>
        <w:spacing w:line="276" w:lineRule="auto"/>
        <w:contextualSpacing/>
        <w:jc w:val="both"/>
        <w:rPr>
          <w:rFonts w:ascii="Palatino Linotype" w:hAnsi="Palatino Linotype"/>
          <w:lang w:val="en-US"/>
        </w:rPr>
      </w:pPr>
      <w:r>
        <w:rPr>
          <w:rFonts w:ascii="Palatino Linotype" w:eastAsia="Calibri" w:hAnsi="Palatino Linotype"/>
          <w:lang w:val="en-US"/>
        </w:rPr>
        <w:t xml:space="preserve">Vide order dated September 30, 2020, a penalty of </w:t>
      </w:r>
      <w:r>
        <w:rPr>
          <w:rFonts w:ascii="Tahoma" w:eastAsia="Calibri" w:hAnsi="Tahoma" w:cs="Tahoma"/>
          <w:lang w:val="en-US"/>
        </w:rPr>
        <w:t>₹</w:t>
      </w:r>
      <w:r>
        <w:rPr>
          <w:rFonts w:ascii="Palatino Linotype" w:eastAsia="Calibri" w:hAnsi="Palatino Linotype"/>
          <w:lang w:val="en-US"/>
        </w:rPr>
        <w:t xml:space="preserve"> 3,00,000/- (Rupees Three Lakh only) was imposed on Asha Khadaria in the matter of Nouveau Global Ventures Ltd., for violations of regulations 13(4) &amp; 13(4A) r/w 13(5) of PIT Regulations, 1992 r/w regulation 12(2) of PIT Regulations, 2015.</w:t>
      </w:r>
    </w:p>
    <w:p w:rsidR="000F236F" w:rsidRDefault="000F236F" w:rsidP="000F236F">
      <w:pPr>
        <w:spacing w:line="276" w:lineRule="auto"/>
        <w:ind w:left="720"/>
        <w:contextualSpacing/>
        <w:jc w:val="both"/>
        <w:rPr>
          <w:rFonts w:ascii="Palatino Linotype" w:hAnsi="Palatino Linotype"/>
          <w:lang w:val="en-US"/>
        </w:rPr>
      </w:pPr>
    </w:p>
    <w:p w:rsidR="000F236F" w:rsidRDefault="000F236F" w:rsidP="00B018BC">
      <w:pPr>
        <w:numPr>
          <w:ilvl w:val="0"/>
          <w:numId w:val="19"/>
        </w:numPr>
        <w:spacing w:line="276" w:lineRule="auto"/>
        <w:contextualSpacing/>
        <w:jc w:val="both"/>
        <w:rPr>
          <w:rFonts w:ascii="Palatino Linotype" w:hAnsi="Palatino Linotype"/>
          <w:lang w:val="en-US"/>
        </w:rPr>
      </w:pPr>
      <w:r>
        <w:rPr>
          <w:rFonts w:ascii="Palatino Linotype" w:eastAsia="Calibri" w:hAnsi="Palatino Linotype"/>
          <w:lang w:val="en-US"/>
        </w:rPr>
        <w:t xml:space="preserve">Vide order dated September 30, 2020, a penalty of </w:t>
      </w:r>
      <w:r>
        <w:rPr>
          <w:rFonts w:ascii="Tahoma" w:eastAsia="Calibri" w:hAnsi="Tahoma" w:cs="Tahoma"/>
          <w:lang w:val="en-US"/>
        </w:rPr>
        <w:t>₹</w:t>
      </w:r>
      <w:r>
        <w:rPr>
          <w:rFonts w:ascii="Palatino Linotype" w:eastAsia="Calibri" w:hAnsi="Palatino Linotype"/>
          <w:lang w:val="en-US"/>
        </w:rPr>
        <w:t xml:space="preserve"> 4,00,000/- (Rupees Four Lakh only) was imposed on Nouveau Global Ventures Limited for violations of regulations 13(6) of PIT Regulations, 1992 r/w regulation 12(2) of PIT Regulations, 2015.</w:t>
      </w:r>
    </w:p>
    <w:p w:rsidR="000F236F" w:rsidRDefault="000F236F" w:rsidP="000F236F">
      <w:pPr>
        <w:spacing w:line="276" w:lineRule="auto"/>
        <w:ind w:left="720"/>
        <w:contextualSpacing/>
        <w:jc w:val="both"/>
        <w:rPr>
          <w:rFonts w:ascii="Palatino Linotype" w:hAnsi="Palatino Linotype"/>
          <w:lang w:val="en-US"/>
        </w:rPr>
      </w:pPr>
    </w:p>
    <w:p w:rsidR="000F236F" w:rsidRDefault="000F236F" w:rsidP="00B018BC">
      <w:pPr>
        <w:numPr>
          <w:ilvl w:val="0"/>
          <w:numId w:val="19"/>
        </w:numPr>
        <w:spacing w:line="276" w:lineRule="auto"/>
        <w:contextualSpacing/>
        <w:jc w:val="both"/>
        <w:rPr>
          <w:rFonts w:ascii="Palatino Linotype" w:hAnsi="Palatino Linotype"/>
          <w:lang w:val="en-US"/>
        </w:rPr>
      </w:pPr>
      <w:r>
        <w:rPr>
          <w:rFonts w:ascii="Palatino Linotype" w:eastAsia="Calibri" w:hAnsi="Palatino Linotype"/>
          <w:lang w:val="en-US"/>
        </w:rPr>
        <w:lastRenderedPageBreak/>
        <w:t xml:space="preserve">Vide order dated September 30, 2020, a penalty of </w:t>
      </w:r>
      <w:r>
        <w:rPr>
          <w:rFonts w:ascii="Tahoma" w:eastAsia="Calibri" w:hAnsi="Tahoma" w:cs="Tahoma"/>
          <w:lang w:val="en-US"/>
        </w:rPr>
        <w:t>₹</w:t>
      </w:r>
      <w:r>
        <w:rPr>
          <w:rFonts w:ascii="Palatino Linotype" w:eastAsia="Calibri" w:hAnsi="Palatino Linotype"/>
          <w:lang w:val="en-US"/>
        </w:rPr>
        <w:t xml:space="preserve"> 12,36,000/- (Rupees Twelve Lakh Thirty Six Thousand only) was imposed on Anita Ravichandran in the matter of KLG Capital Services Ltd., for violation of the provisions of regulations 3(i) and 3(ii) of PIT Regulations.</w:t>
      </w:r>
    </w:p>
    <w:p w:rsidR="000F236F" w:rsidRDefault="000F236F" w:rsidP="000F236F">
      <w:pPr>
        <w:spacing w:line="276" w:lineRule="auto"/>
        <w:ind w:left="720"/>
        <w:contextualSpacing/>
        <w:jc w:val="both"/>
        <w:rPr>
          <w:rFonts w:ascii="Palatino Linotype" w:hAnsi="Palatino Linotype"/>
          <w:lang w:val="en-US"/>
        </w:rPr>
      </w:pPr>
    </w:p>
    <w:p w:rsidR="000F236F" w:rsidRDefault="000F236F" w:rsidP="00B018BC">
      <w:pPr>
        <w:numPr>
          <w:ilvl w:val="0"/>
          <w:numId w:val="19"/>
        </w:numPr>
        <w:spacing w:line="276" w:lineRule="auto"/>
        <w:contextualSpacing/>
        <w:jc w:val="both"/>
        <w:rPr>
          <w:rFonts w:ascii="Palatino Linotype" w:hAnsi="Palatino Linotype"/>
          <w:lang w:val="en-US"/>
        </w:rPr>
      </w:pPr>
      <w:r>
        <w:rPr>
          <w:rFonts w:ascii="Palatino Linotype" w:eastAsia="Calibri" w:hAnsi="Palatino Linotype"/>
          <w:lang w:val="en-US"/>
        </w:rPr>
        <w:t xml:space="preserve">Vide order dated September 30, 2020, a penalty of </w:t>
      </w:r>
      <w:r>
        <w:rPr>
          <w:rFonts w:ascii="Tahoma" w:eastAsia="Calibri" w:hAnsi="Tahoma" w:cs="Tahoma"/>
          <w:lang w:val="en-US"/>
        </w:rPr>
        <w:t>₹</w:t>
      </w:r>
      <w:r>
        <w:rPr>
          <w:rFonts w:ascii="Palatino Linotype" w:eastAsia="Calibri" w:hAnsi="Palatino Linotype"/>
          <w:lang w:val="en-US"/>
        </w:rPr>
        <w:t xml:space="preserve"> 13,12,650/- (Rupees Thirteen Lakh Twelve Thousand Six Hundred Fifty only)was imposed on Priyanka Singhvi in the matter of KLG Capital Services Ltd., for violation of the provisions of regulations 3(i) and 3(ii) of PIT Regulations, 2015.</w:t>
      </w:r>
    </w:p>
    <w:p w:rsidR="000F236F" w:rsidRDefault="000F236F" w:rsidP="000F236F">
      <w:pPr>
        <w:spacing w:line="276" w:lineRule="auto"/>
        <w:ind w:left="720"/>
        <w:contextualSpacing/>
        <w:jc w:val="both"/>
        <w:rPr>
          <w:rFonts w:ascii="Palatino Linotype" w:hAnsi="Palatino Linotype"/>
          <w:color w:val="000000"/>
          <w:lang w:val="en-US"/>
        </w:rPr>
      </w:pPr>
    </w:p>
    <w:p w:rsidR="000F236F" w:rsidRDefault="000F236F" w:rsidP="000F236F">
      <w:pPr>
        <w:spacing w:line="276" w:lineRule="auto"/>
        <w:ind w:left="720"/>
        <w:contextualSpacing/>
        <w:jc w:val="both"/>
        <w:rPr>
          <w:rFonts w:ascii="Palatino Linotype" w:hAnsi="Palatino Linotype"/>
          <w:color w:val="000000"/>
          <w:lang w:val="en-US"/>
        </w:rPr>
      </w:pPr>
    </w:p>
    <w:p w:rsidR="00E71481" w:rsidRPr="00E71481" w:rsidRDefault="000F236F" w:rsidP="000F236F">
      <w:pPr>
        <w:spacing w:after="120"/>
        <w:rPr>
          <w:rFonts w:ascii="Garamond" w:hAnsi="Garamond"/>
          <w:i/>
          <w:color w:val="0000FF"/>
          <w:sz w:val="18"/>
          <w:u w:val="single"/>
        </w:rPr>
      </w:pPr>
      <w:r>
        <w:rPr>
          <w:rFonts w:ascii="Garamond" w:hAnsi="Garamond" w:cs="Arial"/>
          <w:i/>
          <w:szCs w:val="32"/>
        </w:rPr>
        <w:t>Disclaimer: The summary has been prepared for the convenience of readers. In case of any ambiguity, please refer to the original order</w:t>
      </w:r>
      <w:r w:rsidR="00E71481" w:rsidRPr="00E71481">
        <w:rPr>
          <w:rFonts w:ascii="Garamond" w:hAnsi="Garamond" w:cs="Arial"/>
          <w:i/>
          <w:szCs w:val="32"/>
        </w:rPr>
        <w:t>.</w:t>
      </w:r>
    </w:p>
    <w:p w:rsidR="006F32FA" w:rsidRPr="006F32FA" w:rsidRDefault="006F32FA" w:rsidP="006F32FA">
      <w:pPr>
        <w:spacing w:after="120"/>
        <w:rPr>
          <w:rStyle w:val="Hyperlink"/>
          <w:rFonts w:ascii="Garamond" w:hAnsi="Garamond"/>
          <w:i/>
          <w:sz w:val="18"/>
        </w:rPr>
      </w:pPr>
    </w:p>
    <w:sectPr w:rsidR="006F32FA" w:rsidRPr="006F32FA" w:rsidSect="00332F86">
      <w:headerReference w:type="even" r:id="rId42"/>
      <w:headerReference w:type="default" r:id="rId43"/>
      <w:footerReference w:type="even" r:id="rId44"/>
      <w:footerReference w:type="default" r:id="rId45"/>
      <w:pgSz w:w="11906" w:h="16838" w:code="9"/>
      <w:pgMar w:top="578" w:right="1009" w:bottom="578" w:left="1009" w:header="431" w:footer="431"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91C2B" w:rsidRDefault="00F91C2B" w:rsidP="00E07645">
      <w:r>
        <w:separator/>
      </w:r>
    </w:p>
  </w:endnote>
  <w:endnote w:type="continuationSeparator" w:id="0">
    <w:p w:rsidR="00F91C2B" w:rsidRDefault="00F91C2B" w:rsidP="00E076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Vrinda">
    <w:panose1 w:val="020B0502040204020203"/>
    <w:charset w:val="01"/>
    <w:family w:val="roman"/>
    <w:notTrueType/>
    <w:pitch w:val="variable"/>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WCDV-Prakash">
    <w:charset w:val="00"/>
    <w:family w:val="auto"/>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Mangal">
    <w:panose1 w:val="02040503050203030202"/>
    <w:charset w:val="01"/>
    <w:family w:val="roman"/>
    <w:notTrueType/>
    <w:pitch w:val="variable"/>
    <w:sig w:usb0="00002000" w:usb1="00000000" w:usb2="00000000" w:usb3="00000000" w:csb0="00000000"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B5405" w:rsidRDefault="00DB5405">
    <w:pPr>
      <w:pStyle w:val="Footer"/>
    </w:pPr>
  </w:p>
  <w:p w:rsidR="00DB5405" w:rsidRDefault="00DB5405"/>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05008751"/>
      <w:docPartObj>
        <w:docPartGallery w:val="Page Numbers (Bottom of Page)"/>
        <w:docPartUnique/>
      </w:docPartObj>
    </w:sdtPr>
    <w:sdtEndPr>
      <w:rPr>
        <w:color w:val="7F7F7F" w:themeColor="background1" w:themeShade="7F"/>
        <w:spacing w:val="60"/>
      </w:rPr>
    </w:sdtEndPr>
    <w:sdtContent>
      <w:p w:rsidR="00DB5405" w:rsidRDefault="00DB5405">
        <w:pPr>
          <w:pStyle w:val="Footer"/>
          <w:pBdr>
            <w:top w:val="single" w:sz="4" w:space="1" w:color="D9D9D9" w:themeColor="background1" w:themeShade="D9"/>
          </w:pBdr>
          <w:jc w:val="right"/>
        </w:pPr>
        <w:r>
          <w:fldChar w:fldCharType="begin"/>
        </w:r>
        <w:r>
          <w:instrText xml:space="preserve"> PAGE   \* MERGEFORMAT </w:instrText>
        </w:r>
        <w:r>
          <w:fldChar w:fldCharType="separate"/>
        </w:r>
        <w:r w:rsidR="00531206">
          <w:rPr>
            <w:noProof/>
          </w:rPr>
          <w:t>1</w:t>
        </w:r>
        <w:r>
          <w:rPr>
            <w:noProof/>
          </w:rPr>
          <w:fldChar w:fldCharType="end"/>
        </w:r>
        <w:r>
          <w:t xml:space="preserve"> | </w:t>
        </w:r>
        <w:r>
          <w:rPr>
            <w:color w:val="7F7F7F" w:themeColor="background1" w:themeShade="7F"/>
            <w:spacing w:val="60"/>
          </w:rPr>
          <w:t>Page</w:t>
        </w:r>
      </w:p>
    </w:sdtContent>
  </w:sdt>
  <w:p w:rsidR="00DB5405" w:rsidRDefault="00DB5405">
    <w:pPr>
      <w:pStyle w:val="Footer"/>
    </w:pPr>
  </w:p>
  <w:p w:rsidR="00DB5405" w:rsidRDefault="00DB5405"/>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91C2B" w:rsidRDefault="00F91C2B" w:rsidP="00E07645">
      <w:r>
        <w:separator/>
      </w:r>
    </w:p>
  </w:footnote>
  <w:footnote w:type="continuationSeparator" w:id="0">
    <w:p w:rsidR="00F91C2B" w:rsidRDefault="00F91C2B" w:rsidP="00E07645">
      <w:r>
        <w:continuationSeparator/>
      </w:r>
    </w:p>
  </w:footnote>
  <w:footnote w:id="1">
    <w:p w:rsidR="00DB5405" w:rsidRPr="005B5517" w:rsidRDefault="00DB5405" w:rsidP="00B92080">
      <w:pPr>
        <w:pStyle w:val="FootnoteText"/>
        <w:rPr>
          <w:rFonts w:ascii="Palatino Linotype" w:hAnsi="Palatino Linotype"/>
          <w:i/>
          <w:lang w:val="en-IN"/>
        </w:rPr>
      </w:pPr>
      <w:r w:rsidRPr="005B5517">
        <w:rPr>
          <w:rStyle w:val="FootnoteReference"/>
          <w:rFonts w:ascii="Palatino Linotype" w:hAnsi="Palatino Linotype"/>
          <w:i/>
        </w:rPr>
        <w:footnoteRef/>
      </w:r>
      <w:r w:rsidRPr="005B5517">
        <w:rPr>
          <w:rFonts w:ascii="Palatino Linotype" w:hAnsi="Palatino Linotype"/>
          <w:i/>
        </w:rPr>
        <w:t xml:space="preserve"> In case of close ended schemes, at the time of maturity, AMC repurchases it units.</w:t>
      </w:r>
    </w:p>
  </w:footnote>
  <w:footnote w:id="2">
    <w:p w:rsidR="00DB5405" w:rsidRPr="005B5517" w:rsidRDefault="00DB5405" w:rsidP="00B92080">
      <w:pPr>
        <w:pStyle w:val="FootnoteText"/>
        <w:rPr>
          <w:lang w:val="en-IN"/>
        </w:rPr>
      </w:pPr>
      <w:r w:rsidRPr="005B5517">
        <w:rPr>
          <w:rStyle w:val="FootnoteReference"/>
          <w:rFonts w:ascii="Palatino Linotype" w:hAnsi="Palatino Linotype"/>
          <w:i/>
        </w:rPr>
        <w:footnoteRef/>
      </w:r>
      <w:r w:rsidRPr="005B5517">
        <w:rPr>
          <w:rFonts w:ascii="Palatino Linotype" w:hAnsi="Palatino Linotype"/>
          <w:i/>
        </w:rPr>
        <w:t xml:space="preserve"> Excluding Fund of Funds (Domestic).</w:t>
      </w:r>
    </w:p>
  </w:footnote>
  <w:footnote w:id="3">
    <w:p w:rsidR="00DB5405" w:rsidRDefault="00DB5405" w:rsidP="000F236F">
      <w:pPr>
        <w:pStyle w:val="FootnoteText"/>
      </w:pPr>
      <w:r>
        <w:rPr>
          <w:rStyle w:val="FootnoteReference"/>
        </w:rPr>
        <w:footnoteRef/>
      </w:r>
      <w:r>
        <w:t xml:space="preserve"> Based on data available on World Federation of Exchanges as on 13 October, 2020.</w:t>
      </w:r>
    </w:p>
  </w:footnote>
  <w:footnote w:id="4">
    <w:p w:rsidR="00DB5405" w:rsidRDefault="00DB5405" w:rsidP="000F236F">
      <w:pPr>
        <w:pStyle w:val="FootnoteText"/>
      </w:pPr>
      <w:r>
        <w:rPr>
          <w:rStyle w:val="FootnoteReference"/>
        </w:rPr>
        <w:footnoteRef/>
      </w:r>
      <w:r>
        <w:t xml:space="preserve"> Germany, Spain, USA, UK, Japan, India, China, Brazil and Russia.</w:t>
      </w:r>
    </w:p>
  </w:footnote>
  <w:footnote w:id="5">
    <w:p w:rsidR="00DB5405" w:rsidRDefault="00DB5405" w:rsidP="000F236F">
      <w:pPr>
        <w:pStyle w:val="FootnoteText"/>
      </w:pPr>
      <w:r>
        <w:rPr>
          <w:rStyle w:val="FootnoteReference"/>
        </w:rPr>
        <w:footnoteRef/>
      </w:r>
      <w:r>
        <w:t xml:space="preserve"> Data available on WFE as submitted by exchanges which are members of WFE,</w:t>
      </w:r>
    </w:p>
  </w:footnote>
  <w:footnote w:id="6">
    <w:p w:rsidR="00DB5405" w:rsidRDefault="00DB5405" w:rsidP="000F236F">
      <w:pPr>
        <w:pStyle w:val="FootnoteText"/>
      </w:pPr>
      <w:r>
        <w:rPr>
          <w:rStyle w:val="FootnoteReference"/>
        </w:rPr>
        <w:footnoteRef/>
      </w:r>
      <w:r>
        <w:t xml:space="preserve"> USA, UK, Germany, France, Japan, Singapore, Hong Kong, S. Korea and Australia.</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B5405" w:rsidRDefault="00DB5405">
    <w:pPr>
      <w:pStyle w:val="Header"/>
    </w:pPr>
  </w:p>
  <w:p w:rsidR="00DB5405" w:rsidRDefault="00DB5405"/>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B5405" w:rsidRDefault="00DB5405">
    <w:pPr>
      <w:pStyle w:val="Header"/>
    </w:pPr>
  </w:p>
  <w:p w:rsidR="00DB5405" w:rsidRDefault="00DB5405"/>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6"/>
    <w:multiLevelType w:val="hybridMultilevel"/>
    <w:tmpl w:val="63F2A6AC"/>
    <w:lvl w:ilvl="0" w:tplc="40090017">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
    <w:nsid w:val="0000000D"/>
    <w:multiLevelType w:val="hybridMultilevel"/>
    <w:tmpl w:val="61067A92"/>
    <w:lvl w:ilvl="0" w:tplc="A2BA30FC">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00000012"/>
    <w:multiLevelType w:val="hybridMultilevel"/>
    <w:tmpl w:val="382698F6"/>
    <w:lvl w:ilvl="0" w:tplc="40090017">
      <w:start w:val="1"/>
      <w:numFmt w:val="lowerLetter"/>
      <w:lvlText w:val="%1)"/>
      <w:lvlJc w:val="left"/>
      <w:pPr>
        <w:ind w:left="2912" w:hanging="360"/>
      </w:pPr>
    </w:lvl>
    <w:lvl w:ilvl="1" w:tplc="40090019" w:tentative="1">
      <w:start w:val="1"/>
      <w:numFmt w:val="lowerLetter"/>
      <w:lvlText w:val="%2."/>
      <w:lvlJc w:val="left"/>
      <w:pPr>
        <w:ind w:left="3632" w:hanging="360"/>
      </w:pPr>
    </w:lvl>
    <w:lvl w:ilvl="2" w:tplc="4009001B" w:tentative="1">
      <w:start w:val="1"/>
      <w:numFmt w:val="lowerRoman"/>
      <w:lvlText w:val="%3."/>
      <w:lvlJc w:val="right"/>
      <w:pPr>
        <w:ind w:left="4352" w:hanging="180"/>
      </w:pPr>
    </w:lvl>
    <w:lvl w:ilvl="3" w:tplc="4009000F" w:tentative="1">
      <w:start w:val="1"/>
      <w:numFmt w:val="decimal"/>
      <w:lvlText w:val="%4."/>
      <w:lvlJc w:val="left"/>
      <w:pPr>
        <w:ind w:left="5072" w:hanging="360"/>
      </w:pPr>
    </w:lvl>
    <w:lvl w:ilvl="4" w:tplc="40090019" w:tentative="1">
      <w:start w:val="1"/>
      <w:numFmt w:val="lowerLetter"/>
      <w:lvlText w:val="%5."/>
      <w:lvlJc w:val="left"/>
      <w:pPr>
        <w:ind w:left="5792" w:hanging="360"/>
      </w:pPr>
    </w:lvl>
    <w:lvl w:ilvl="5" w:tplc="4009001B" w:tentative="1">
      <w:start w:val="1"/>
      <w:numFmt w:val="lowerRoman"/>
      <w:lvlText w:val="%6."/>
      <w:lvlJc w:val="right"/>
      <w:pPr>
        <w:ind w:left="6512" w:hanging="180"/>
      </w:pPr>
    </w:lvl>
    <w:lvl w:ilvl="6" w:tplc="4009000F" w:tentative="1">
      <w:start w:val="1"/>
      <w:numFmt w:val="decimal"/>
      <w:lvlText w:val="%7."/>
      <w:lvlJc w:val="left"/>
      <w:pPr>
        <w:ind w:left="7232" w:hanging="360"/>
      </w:pPr>
    </w:lvl>
    <w:lvl w:ilvl="7" w:tplc="40090019" w:tentative="1">
      <w:start w:val="1"/>
      <w:numFmt w:val="lowerLetter"/>
      <w:lvlText w:val="%8."/>
      <w:lvlJc w:val="left"/>
      <w:pPr>
        <w:ind w:left="7952" w:hanging="360"/>
      </w:pPr>
    </w:lvl>
    <w:lvl w:ilvl="8" w:tplc="4009001B" w:tentative="1">
      <w:start w:val="1"/>
      <w:numFmt w:val="lowerRoman"/>
      <w:lvlText w:val="%9."/>
      <w:lvlJc w:val="right"/>
      <w:pPr>
        <w:ind w:left="8672" w:hanging="180"/>
      </w:pPr>
    </w:lvl>
  </w:abstractNum>
  <w:abstractNum w:abstractNumId="3">
    <w:nsid w:val="00000019"/>
    <w:multiLevelType w:val="multilevel"/>
    <w:tmpl w:val="396D532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nsid w:val="00000022"/>
    <w:multiLevelType w:val="multilevel"/>
    <w:tmpl w:val="4FE373B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nsid w:val="00000023"/>
    <w:multiLevelType w:val="multilevel"/>
    <w:tmpl w:val="50477FA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nsid w:val="0000002C"/>
    <w:multiLevelType w:val="hybridMultilevel"/>
    <w:tmpl w:val="EEA0001C"/>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047939D9"/>
    <w:multiLevelType w:val="multilevel"/>
    <w:tmpl w:val="11E00ED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8">
    <w:nsid w:val="073C36E1"/>
    <w:multiLevelType w:val="hybridMultilevel"/>
    <w:tmpl w:val="1D8C0D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09C45371"/>
    <w:multiLevelType w:val="multilevel"/>
    <w:tmpl w:val="9B8243D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nsid w:val="0FFD16E1"/>
    <w:multiLevelType w:val="multilevel"/>
    <w:tmpl w:val="B8007616"/>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nsid w:val="18F760C0"/>
    <w:multiLevelType w:val="multilevel"/>
    <w:tmpl w:val="C93809D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2">
    <w:nsid w:val="21420D67"/>
    <w:multiLevelType w:val="multilevel"/>
    <w:tmpl w:val="B7105E1C"/>
    <w:lvl w:ilvl="0">
      <w:start w:val="1"/>
      <w:numFmt w:val="upperLetter"/>
      <w:lvlText w:val="%1."/>
      <w:lvlJc w:val="left"/>
      <w:pPr>
        <w:ind w:left="360" w:hanging="360"/>
      </w:pPr>
      <w:rPr>
        <w:color w:val="000000"/>
      </w:rPr>
    </w:lvl>
    <w:lvl w:ilvl="1">
      <w:start w:val="1"/>
      <w:numFmt w:val="decimal"/>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3">
    <w:nsid w:val="2ACA4421"/>
    <w:multiLevelType w:val="multilevel"/>
    <w:tmpl w:val="DFCE808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nsid w:val="42597F73"/>
    <w:multiLevelType w:val="hybridMultilevel"/>
    <w:tmpl w:val="E304D71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nsid w:val="43D91E62"/>
    <w:multiLevelType w:val="multilevel"/>
    <w:tmpl w:val="8174CB8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6">
    <w:nsid w:val="4C505AFF"/>
    <w:multiLevelType w:val="multilevel"/>
    <w:tmpl w:val="71CABB3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7">
    <w:nsid w:val="5117327E"/>
    <w:multiLevelType w:val="multilevel"/>
    <w:tmpl w:val="97A2ACE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8">
    <w:nsid w:val="5A6A4B69"/>
    <w:multiLevelType w:val="multilevel"/>
    <w:tmpl w:val="9AD44F7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nsid w:val="5F4E711A"/>
    <w:multiLevelType w:val="multilevel"/>
    <w:tmpl w:val="A6741A6C"/>
    <w:lvl w:ilvl="0">
      <w:start w:val="1"/>
      <w:numFmt w:val="upperRoman"/>
      <w:lvlText w:val="%1."/>
      <w:lvlJc w:val="righ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nsid w:val="71436DB5"/>
    <w:multiLevelType w:val="hybridMultilevel"/>
    <w:tmpl w:val="51523B68"/>
    <w:lvl w:ilvl="0" w:tplc="40090015">
      <w:start w:val="1"/>
      <w:numFmt w:val="upp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abstractNumId w:val="16"/>
  </w:num>
  <w:num w:numId="2">
    <w:abstractNumId w:val="9"/>
  </w:num>
  <w:num w:numId="3">
    <w:abstractNumId w:val="19"/>
  </w:num>
  <w:num w:numId="4">
    <w:abstractNumId w:val="15"/>
  </w:num>
  <w:num w:numId="5">
    <w:abstractNumId w:val="10"/>
  </w:num>
  <w:num w:numId="6">
    <w:abstractNumId w:val="7"/>
  </w:num>
  <w:num w:numId="7">
    <w:abstractNumId w:val="17"/>
  </w:num>
  <w:num w:numId="8">
    <w:abstractNumId w:val="18"/>
  </w:num>
  <w:num w:numId="9">
    <w:abstractNumId w:val="13"/>
  </w:num>
  <w:num w:numId="10">
    <w:abstractNumId w:val="12"/>
  </w:num>
  <w:num w:numId="11">
    <w:abstractNumId w:val="11"/>
  </w:num>
  <w:num w:numId="12">
    <w:abstractNumId w:val="14"/>
  </w:num>
  <w:num w:numId="13">
    <w:abstractNumId w:val="8"/>
  </w:num>
  <w:num w:numId="14">
    <w:abstractNumId w:val="20"/>
  </w:num>
  <w:num w:numId="15">
    <w:abstractNumId w:val="5"/>
  </w:num>
  <w:num w:numId="16">
    <w:abstractNumId w:val="3"/>
  </w:num>
  <w:num w:numId="17">
    <w:abstractNumId w:val="4"/>
  </w:num>
  <w:num w:numId="18">
    <w:abstractNumId w:val="1"/>
  </w:num>
  <w:num w:numId="19">
    <w:abstractNumId w:val="6"/>
  </w:num>
  <w:num w:numId="20">
    <w:abstractNumId w:val="2"/>
  </w:num>
  <w:num w:numId="21">
    <w:abstractNumId w:val="0"/>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597C"/>
    <w:rsid w:val="00000718"/>
    <w:rsid w:val="00000F02"/>
    <w:rsid w:val="00001102"/>
    <w:rsid w:val="000012F5"/>
    <w:rsid w:val="0000238B"/>
    <w:rsid w:val="00002F15"/>
    <w:rsid w:val="000052BB"/>
    <w:rsid w:val="00005830"/>
    <w:rsid w:val="000129F5"/>
    <w:rsid w:val="000133EA"/>
    <w:rsid w:val="00013A01"/>
    <w:rsid w:val="000145C6"/>
    <w:rsid w:val="000161B3"/>
    <w:rsid w:val="000174DC"/>
    <w:rsid w:val="000211A2"/>
    <w:rsid w:val="00022868"/>
    <w:rsid w:val="000243DB"/>
    <w:rsid w:val="000243E1"/>
    <w:rsid w:val="000254CD"/>
    <w:rsid w:val="00026D29"/>
    <w:rsid w:val="0003061B"/>
    <w:rsid w:val="000346B6"/>
    <w:rsid w:val="00034DE0"/>
    <w:rsid w:val="00035307"/>
    <w:rsid w:val="00035948"/>
    <w:rsid w:val="00035951"/>
    <w:rsid w:val="0003625D"/>
    <w:rsid w:val="00041693"/>
    <w:rsid w:val="00043C9A"/>
    <w:rsid w:val="00043F40"/>
    <w:rsid w:val="00045903"/>
    <w:rsid w:val="00045B3E"/>
    <w:rsid w:val="00046401"/>
    <w:rsid w:val="00047715"/>
    <w:rsid w:val="000507E2"/>
    <w:rsid w:val="00050DB7"/>
    <w:rsid w:val="00053B79"/>
    <w:rsid w:val="00055162"/>
    <w:rsid w:val="00062D7C"/>
    <w:rsid w:val="00062F4A"/>
    <w:rsid w:val="00063FF5"/>
    <w:rsid w:val="00066531"/>
    <w:rsid w:val="000702D1"/>
    <w:rsid w:val="00071658"/>
    <w:rsid w:val="0007274D"/>
    <w:rsid w:val="000730EC"/>
    <w:rsid w:val="0007312C"/>
    <w:rsid w:val="00073DF2"/>
    <w:rsid w:val="00074803"/>
    <w:rsid w:val="00074BD8"/>
    <w:rsid w:val="00075391"/>
    <w:rsid w:val="0007759D"/>
    <w:rsid w:val="00077C1C"/>
    <w:rsid w:val="00080500"/>
    <w:rsid w:val="00081D7A"/>
    <w:rsid w:val="00082028"/>
    <w:rsid w:val="00082CA8"/>
    <w:rsid w:val="0008421C"/>
    <w:rsid w:val="000847BB"/>
    <w:rsid w:val="00084FB3"/>
    <w:rsid w:val="00085A8E"/>
    <w:rsid w:val="0008687B"/>
    <w:rsid w:val="00086BF6"/>
    <w:rsid w:val="00087B33"/>
    <w:rsid w:val="00090A9B"/>
    <w:rsid w:val="00090DEF"/>
    <w:rsid w:val="00091168"/>
    <w:rsid w:val="00091E37"/>
    <w:rsid w:val="000920E5"/>
    <w:rsid w:val="000946C2"/>
    <w:rsid w:val="000960B9"/>
    <w:rsid w:val="0009614C"/>
    <w:rsid w:val="0009638E"/>
    <w:rsid w:val="000A047F"/>
    <w:rsid w:val="000A0816"/>
    <w:rsid w:val="000A142F"/>
    <w:rsid w:val="000A19FF"/>
    <w:rsid w:val="000A34B6"/>
    <w:rsid w:val="000A37CE"/>
    <w:rsid w:val="000A47E6"/>
    <w:rsid w:val="000A4D70"/>
    <w:rsid w:val="000A7141"/>
    <w:rsid w:val="000B0A37"/>
    <w:rsid w:val="000B0DD6"/>
    <w:rsid w:val="000B27CD"/>
    <w:rsid w:val="000B4450"/>
    <w:rsid w:val="000B5449"/>
    <w:rsid w:val="000B5935"/>
    <w:rsid w:val="000B6B00"/>
    <w:rsid w:val="000B7BC0"/>
    <w:rsid w:val="000B7FBD"/>
    <w:rsid w:val="000C02A3"/>
    <w:rsid w:val="000C0C5B"/>
    <w:rsid w:val="000C1CD7"/>
    <w:rsid w:val="000C1D79"/>
    <w:rsid w:val="000C1EA0"/>
    <w:rsid w:val="000C23CE"/>
    <w:rsid w:val="000C3C7D"/>
    <w:rsid w:val="000C5949"/>
    <w:rsid w:val="000C5AA9"/>
    <w:rsid w:val="000C6063"/>
    <w:rsid w:val="000C677F"/>
    <w:rsid w:val="000C69C1"/>
    <w:rsid w:val="000D2FD5"/>
    <w:rsid w:val="000D4C7F"/>
    <w:rsid w:val="000D66B0"/>
    <w:rsid w:val="000E03A6"/>
    <w:rsid w:val="000E0833"/>
    <w:rsid w:val="000E0D86"/>
    <w:rsid w:val="000E125F"/>
    <w:rsid w:val="000E1FA1"/>
    <w:rsid w:val="000E33A1"/>
    <w:rsid w:val="000E3746"/>
    <w:rsid w:val="000E3A95"/>
    <w:rsid w:val="000E46BB"/>
    <w:rsid w:val="000E4795"/>
    <w:rsid w:val="000E4C9B"/>
    <w:rsid w:val="000E7329"/>
    <w:rsid w:val="000E76D0"/>
    <w:rsid w:val="000E76FF"/>
    <w:rsid w:val="000E777A"/>
    <w:rsid w:val="000F02FB"/>
    <w:rsid w:val="000F0612"/>
    <w:rsid w:val="000F0BF4"/>
    <w:rsid w:val="000F236F"/>
    <w:rsid w:val="000F28BC"/>
    <w:rsid w:val="000F3F0C"/>
    <w:rsid w:val="000F4124"/>
    <w:rsid w:val="000F464D"/>
    <w:rsid w:val="000F55A8"/>
    <w:rsid w:val="000F5AAF"/>
    <w:rsid w:val="000F6775"/>
    <w:rsid w:val="000F7372"/>
    <w:rsid w:val="000F7C8D"/>
    <w:rsid w:val="000F7F35"/>
    <w:rsid w:val="00100264"/>
    <w:rsid w:val="00100655"/>
    <w:rsid w:val="00100F24"/>
    <w:rsid w:val="00102392"/>
    <w:rsid w:val="001032F6"/>
    <w:rsid w:val="00104045"/>
    <w:rsid w:val="001041E6"/>
    <w:rsid w:val="0010444E"/>
    <w:rsid w:val="001048AC"/>
    <w:rsid w:val="0010536E"/>
    <w:rsid w:val="00106806"/>
    <w:rsid w:val="00107440"/>
    <w:rsid w:val="00107643"/>
    <w:rsid w:val="0011004C"/>
    <w:rsid w:val="0011033C"/>
    <w:rsid w:val="00110766"/>
    <w:rsid w:val="00112036"/>
    <w:rsid w:val="00112407"/>
    <w:rsid w:val="00113363"/>
    <w:rsid w:val="00113380"/>
    <w:rsid w:val="00114AC5"/>
    <w:rsid w:val="00114B6F"/>
    <w:rsid w:val="00114C90"/>
    <w:rsid w:val="001155EB"/>
    <w:rsid w:val="001164CA"/>
    <w:rsid w:val="0011654B"/>
    <w:rsid w:val="001212CB"/>
    <w:rsid w:val="00123543"/>
    <w:rsid w:val="0012367A"/>
    <w:rsid w:val="00124B1E"/>
    <w:rsid w:val="00125AF5"/>
    <w:rsid w:val="0012648B"/>
    <w:rsid w:val="00126726"/>
    <w:rsid w:val="001279AE"/>
    <w:rsid w:val="00130027"/>
    <w:rsid w:val="00130306"/>
    <w:rsid w:val="00130BC0"/>
    <w:rsid w:val="00132024"/>
    <w:rsid w:val="00132568"/>
    <w:rsid w:val="00134BC1"/>
    <w:rsid w:val="00135041"/>
    <w:rsid w:val="001357A7"/>
    <w:rsid w:val="00135EF6"/>
    <w:rsid w:val="001363E8"/>
    <w:rsid w:val="001376EC"/>
    <w:rsid w:val="00137E4B"/>
    <w:rsid w:val="00140090"/>
    <w:rsid w:val="001404C9"/>
    <w:rsid w:val="00141FC6"/>
    <w:rsid w:val="00142329"/>
    <w:rsid w:val="00143013"/>
    <w:rsid w:val="001450AE"/>
    <w:rsid w:val="00146B24"/>
    <w:rsid w:val="00146D0E"/>
    <w:rsid w:val="00150006"/>
    <w:rsid w:val="00151C67"/>
    <w:rsid w:val="001523E1"/>
    <w:rsid w:val="00153CF4"/>
    <w:rsid w:val="00154F31"/>
    <w:rsid w:val="00160183"/>
    <w:rsid w:val="00160768"/>
    <w:rsid w:val="00160DEC"/>
    <w:rsid w:val="00160E47"/>
    <w:rsid w:val="0016116C"/>
    <w:rsid w:val="0016171E"/>
    <w:rsid w:val="00162443"/>
    <w:rsid w:val="00163595"/>
    <w:rsid w:val="00164B80"/>
    <w:rsid w:val="001662DE"/>
    <w:rsid w:val="0016654B"/>
    <w:rsid w:val="001667BE"/>
    <w:rsid w:val="00166B5E"/>
    <w:rsid w:val="00170534"/>
    <w:rsid w:val="0017198F"/>
    <w:rsid w:val="001720CD"/>
    <w:rsid w:val="0017288A"/>
    <w:rsid w:val="00175031"/>
    <w:rsid w:val="00175977"/>
    <w:rsid w:val="00175A49"/>
    <w:rsid w:val="00175C02"/>
    <w:rsid w:val="00177824"/>
    <w:rsid w:val="00177BD1"/>
    <w:rsid w:val="00177C4A"/>
    <w:rsid w:val="0018049A"/>
    <w:rsid w:val="001816BF"/>
    <w:rsid w:val="0018197C"/>
    <w:rsid w:val="00182965"/>
    <w:rsid w:val="0018378C"/>
    <w:rsid w:val="001847A1"/>
    <w:rsid w:val="00184C5B"/>
    <w:rsid w:val="00184D09"/>
    <w:rsid w:val="0018502D"/>
    <w:rsid w:val="00186E61"/>
    <w:rsid w:val="001912C3"/>
    <w:rsid w:val="00191B9C"/>
    <w:rsid w:val="0019305B"/>
    <w:rsid w:val="001932A2"/>
    <w:rsid w:val="00193EFB"/>
    <w:rsid w:val="001961E8"/>
    <w:rsid w:val="00196267"/>
    <w:rsid w:val="0019787A"/>
    <w:rsid w:val="001A054F"/>
    <w:rsid w:val="001A2361"/>
    <w:rsid w:val="001A3018"/>
    <w:rsid w:val="001A3156"/>
    <w:rsid w:val="001A375B"/>
    <w:rsid w:val="001A42AC"/>
    <w:rsid w:val="001A5A37"/>
    <w:rsid w:val="001A5E17"/>
    <w:rsid w:val="001A61B6"/>
    <w:rsid w:val="001A6439"/>
    <w:rsid w:val="001A697A"/>
    <w:rsid w:val="001A7D69"/>
    <w:rsid w:val="001A7DC2"/>
    <w:rsid w:val="001B1D3E"/>
    <w:rsid w:val="001B2693"/>
    <w:rsid w:val="001B279D"/>
    <w:rsid w:val="001B44E2"/>
    <w:rsid w:val="001B4C10"/>
    <w:rsid w:val="001B5B2F"/>
    <w:rsid w:val="001B5BFF"/>
    <w:rsid w:val="001B7218"/>
    <w:rsid w:val="001C0933"/>
    <w:rsid w:val="001C0BB1"/>
    <w:rsid w:val="001C0BDA"/>
    <w:rsid w:val="001C2441"/>
    <w:rsid w:val="001C3230"/>
    <w:rsid w:val="001C4EE9"/>
    <w:rsid w:val="001C5DA4"/>
    <w:rsid w:val="001C637A"/>
    <w:rsid w:val="001C7B26"/>
    <w:rsid w:val="001C7B28"/>
    <w:rsid w:val="001D04F5"/>
    <w:rsid w:val="001D1729"/>
    <w:rsid w:val="001D2CA3"/>
    <w:rsid w:val="001D4801"/>
    <w:rsid w:val="001D4880"/>
    <w:rsid w:val="001D52A6"/>
    <w:rsid w:val="001D5BBC"/>
    <w:rsid w:val="001D68DB"/>
    <w:rsid w:val="001D7AA4"/>
    <w:rsid w:val="001D7B80"/>
    <w:rsid w:val="001E0BB4"/>
    <w:rsid w:val="001E1254"/>
    <w:rsid w:val="001E2A24"/>
    <w:rsid w:val="001E3F5F"/>
    <w:rsid w:val="001E4032"/>
    <w:rsid w:val="001E4F7E"/>
    <w:rsid w:val="001E5152"/>
    <w:rsid w:val="001E51C8"/>
    <w:rsid w:val="001E722D"/>
    <w:rsid w:val="001E79D3"/>
    <w:rsid w:val="001E7A6D"/>
    <w:rsid w:val="001F078D"/>
    <w:rsid w:val="001F19F8"/>
    <w:rsid w:val="001F3CB6"/>
    <w:rsid w:val="001F45DC"/>
    <w:rsid w:val="001F4744"/>
    <w:rsid w:val="001F4F5A"/>
    <w:rsid w:val="001F5922"/>
    <w:rsid w:val="001F707A"/>
    <w:rsid w:val="002005C8"/>
    <w:rsid w:val="00200742"/>
    <w:rsid w:val="00200C72"/>
    <w:rsid w:val="00201047"/>
    <w:rsid w:val="002013AA"/>
    <w:rsid w:val="00201776"/>
    <w:rsid w:val="00201C91"/>
    <w:rsid w:val="00201F92"/>
    <w:rsid w:val="00202156"/>
    <w:rsid w:val="00203447"/>
    <w:rsid w:val="00204BFE"/>
    <w:rsid w:val="00204C2C"/>
    <w:rsid w:val="002058D4"/>
    <w:rsid w:val="00206786"/>
    <w:rsid w:val="00206B5D"/>
    <w:rsid w:val="00207654"/>
    <w:rsid w:val="002101C9"/>
    <w:rsid w:val="00210EF0"/>
    <w:rsid w:val="00212565"/>
    <w:rsid w:val="002135D8"/>
    <w:rsid w:val="002140C5"/>
    <w:rsid w:val="0021539B"/>
    <w:rsid w:val="00217822"/>
    <w:rsid w:val="0022096F"/>
    <w:rsid w:val="00220AB1"/>
    <w:rsid w:val="00220C24"/>
    <w:rsid w:val="00220D54"/>
    <w:rsid w:val="00222713"/>
    <w:rsid w:val="00223671"/>
    <w:rsid w:val="002240ED"/>
    <w:rsid w:val="002245EC"/>
    <w:rsid w:val="00224F9F"/>
    <w:rsid w:val="002252C5"/>
    <w:rsid w:val="00225F3F"/>
    <w:rsid w:val="0022662A"/>
    <w:rsid w:val="00226BF6"/>
    <w:rsid w:val="002271C2"/>
    <w:rsid w:val="00227328"/>
    <w:rsid w:val="00227721"/>
    <w:rsid w:val="00227EA4"/>
    <w:rsid w:val="0023129A"/>
    <w:rsid w:val="002319FF"/>
    <w:rsid w:val="002322F9"/>
    <w:rsid w:val="002325B0"/>
    <w:rsid w:val="002334AB"/>
    <w:rsid w:val="00233575"/>
    <w:rsid w:val="00234E67"/>
    <w:rsid w:val="002354B2"/>
    <w:rsid w:val="00235B23"/>
    <w:rsid w:val="00236346"/>
    <w:rsid w:val="00236954"/>
    <w:rsid w:val="0023700B"/>
    <w:rsid w:val="00237509"/>
    <w:rsid w:val="002405F0"/>
    <w:rsid w:val="00240828"/>
    <w:rsid w:val="00240D60"/>
    <w:rsid w:val="00241B89"/>
    <w:rsid w:val="0024216A"/>
    <w:rsid w:val="002421DD"/>
    <w:rsid w:val="00243068"/>
    <w:rsid w:val="0024330D"/>
    <w:rsid w:val="00243434"/>
    <w:rsid w:val="002447CE"/>
    <w:rsid w:val="00244EAF"/>
    <w:rsid w:val="0024500A"/>
    <w:rsid w:val="002450DA"/>
    <w:rsid w:val="00245553"/>
    <w:rsid w:val="002467B3"/>
    <w:rsid w:val="002468DB"/>
    <w:rsid w:val="00247214"/>
    <w:rsid w:val="002479A0"/>
    <w:rsid w:val="00247B4A"/>
    <w:rsid w:val="00250D94"/>
    <w:rsid w:val="00250FFA"/>
    <w:rsid w:val="00251FF1"/>
    <w:rsid w:val="002520EA"/>
    <w:rsid w:val="002541C6"/>
    <w:rsid w:val="0025439E"/>
    <w:rsid w:val="00255D90"/>
    <w:rsid w:val="00256242"/>
    <w:rsid w:val="002576F1"/>
    <w:rsid w:val="00261986"/>
    <w:rsid w:val="002647AE"/>
    <w:rsid w:val="00265D83"/>
    <w:rsid w:val="002664D0"/>
    <w:rsid w:val="00266B8C"/>
    <w:rsid w:val="00267A7C"/>
    <w:rsid w:val="00271F75"/>
    <w:rsid w:val="002721CB"/>
    <w:rsid w:val="0027231F"/>
    <w:rsid w:val="00272D3E"/>
    <w:rsid w:val="00272F12"/>
    <w:rsid w:val="00275078"/>
    <w:rsid w:val="00275096"/>
    <w:rsid w:val="0027517B"/>
    <w:rsid w:val="00275929"/>
    <w:rsid w:val="002770A6"/>
    <w:rsid w:val="002776BE"/>
    <w:rsid w:val="00280CFD"/>
    <w:rsid w:val="002818A0"/>
    <w:rsid w:val="002818B2"/>
    <w:rsid w:val="00283974"/>
    <w:rsid w:val="00284BC2"/>
    <w:rsid w:val="002852AB"/>
    <w:rsid w:val="00285F0C"/>
    <w:rsid w:val="00286614"/>
    <w:rsid w:val="00287B4A"/>
    <w:rsid w:val="002911AB"/>
    <w:rsid w:val="00291F28"/>
    <w:rsid w:val="00294843"/>
    <w:rsid w:val="00294B3E"/>
    <w:rsid w:val="002959F3"/>
    <w:rsid w:val="00295C58"/>
    <w:rsid w:val="00295F4F"/>
    <w:rsid w:val="00296BD4"/>
    <w:rsid w:val="00297ABE"/>
    <w:rsid w:val="002A0261"/>
    <w:rsid w:val="002A1CAB"/>
    <w:rsid w:val="002A25B6"/>
    <w:rsid w:val="002A2BB0"/>
    <w:rsid w:val="002A51F7"/>
    <w:rsid w:val="002A54FF"/>
    <w:rsid w:val="002A6544"/>
    <w:rsid w:val="002A7477"/>
    <w:rsid w:val="002A7A64"/>
    <w:rsid w:val="002A7D0C"/>
    <w:rsid w:val="002B0029"/>
    <w:rsid w:val="002B0E62"/>
    <w:rsid w:val="002B13B8"/>
    <w:rsid w:val="002B2515"/>
    <w:rsid w:val="002B2FED"/>
    <w:rsid w:val="002B402D"/>
    <w:rsid w:val="002B6143"/>
    <w:rsid w:val="002B769A"/>
    <w:rsid w:val="002C0082"/>
    <w:rsid w:val="002C0CF3"/>
    <w:rsid w:val="002C1200"/>
    <w:rsid w:val="002C2400"/>
    <w:rsid w:val="002C2CFE"/>
    <w:rsid w:val="002C3645"/>
    <w:rsid w:val="002C4936"/>
    <w:rsid w:val="002C4D20"/>
    <w:rsid w:val="002C4ED2"/>
    <w:rsid w:val="002C54CA"/>
    <w:rsid w:val="002C6429"/>
    <w:rsid w:val="002C6CCB"/>
    <w:rsid w:val="002C6FCE"/>
    <w:rsid w:val="002C7A76"/>
    <w:rsid w:val="002C7D3D"/>
    <w:rsid w:val="002D09D6"/>
    <w:rsid w:val="002D0AE7"/>
    <w:rsid w:val="002D2DC8"/>
    <w:rsid w:val="002D3E7C"/>
    <w:rsid w:val="002D42CB"/>
    <w:rsid w:val="002D432D"/>
    <w:rsid w:val="002D6708"/>
    <w:rsid w:val="002E006D"/>
    <w:rsid w:val="002E0F21"/>
    <w:rsid w:val="002E11AF"/>
    <w:rsid w:val="002E1534"/>
    <w:rsid w:val="002E154E"/>
    <w:rsid w:val="002E1620"/>
    <w:rsid w:val="002E18B1"/>
    <w:rsid w:val="002E20EC"/>
    <w:rsid w:val="002E2589"/>
    <w:rsid w:val="002E26CF"/>
    <w:rsid w:val="002E2C31"/>
    <w:rsid w:val="002E3090"/>
    <w:rsid w:val="002E41FF"/>
    <w:rsid w:val="002E4D3E"/>
    <w:rsid w:val="002E627C"/>
    <w:rsid w:val="002E687D"/>
    <w:rsid w:val="002E7C98"/>
    <w:rsid w:val="002E7F52"/>
    <w:rsid w:val="002F2903"/>
    <w:rsid w:val="002F2F21"/>
    <w:rsid w:val="002F41CD"/>
    <w:rsid w:val="002F70EB"/>
    <w:rsid w:val="002F71DF"/>
    <w:rsid w:val="0030004F"/>
    <w:rsid w:val="00300262"/>
    <w:rsid w:val="00301C6A"/>
    <w:rsid w:val="0030208E"/>
    <w:rsid w:val="00302A9D"/>
    <w:rsid w:val="0030426F"/>
    <w:rsid w:val="00304C7D"/>
    <w:rsid w:val="00305062"/>
    <w:rsid w:val="0030548A"/>
    <w:rsid w:val="00305806"/>
    <w:rsid w:val="003064C4"/>
    <w:rsid w:val="00306646"/>
    <w:rsid w:val="00310322"/>
    <w:rsid w:val="00310A33"/>
    <w:rsid w:val="00310D4F"/>
    <w:rsid w:val="00312489"/>
    <w:rsid w:val="00312D42"/>
    <w:rsid w:val="0031379C"/>
    <w:rsid w:val="00313F0E"/>
    <w:rsid w:val="00314ED5"/>
    <w:rsid w:val="00315CB7"/>
    <w:rsid w:val="0031610E"/>
    <w:rsid w:val="003162C3"/>
    <w:rsid w:val="00316405"/>
    <w:rsid w:val="00317D01"/>
    <w:rsid w:val="0032036A"/>
    <w:rsid w:val="00321324"/>
    <w:rsid w:val="003219BE"/>
    <w:rsid w:val="0032394B"/>
    <w:rsid w:val="00325395"/>
    <w:rsid w:val="00326A7E"/>
    <w:rsid w:val="0033096F"/>
    <w:rsid w:val="00331382"/>
    <w:rsid w:val="00332050"/>
    <w:rsid w:val="00332124"/>
    <w:rsid w:val="003321CF"/>
    <w:rsid w:val="003323BA"/>
    <w:rsid w:val="003327D8"/>
    <w:rsid w:val="00332F86"/>
    <w:rsid w:val="00333281"/>
    <w:rsid w:val="00334455"/>
    <w:rsid w:val="00334516"/>
    <w:rsid w:val="00334B83"/>
    <w:rsid w:val="003364B9"/>
    <w:rsid w:val="00336FC3"/>
    <w:rsid w:val="0034014E"/>
    <w:rsid w:val="00341FCF"/>
    <w:rsid w:val="003423FE"/>
    <w:rsid w:val="00342BD1"/>
    <w:rsid w:val="0034368F"/>
    <w:rsid w:val="0034385B"/>
    <w:rsid w:val="003456FD"/>
    <w:rsid w:val="00345A4F"/>
    <w:rsid w:val="00346D6C"/>
    <w:rsid w:val="00351582"/>
    <w:rsid w:val="003515BE"/>
    <w:rsid w:val="003516D9"/>
    <w:rsid w:val="00352307"/>
    <w:rsid w:val="00352AD5"/>
    <w:rsid w:val="003557AC"/>
    <w:rsid w:val="00356067"/>
    <w:rsid w:val="003570AD"/>
    <w:rsid w:val="003576D8"/>
    <w:rsid w:val="0035797F"/>
    <w:rsid w:val="00357F0F"/>
    <w:rsid w:val="00360032"/>
    <w:rsid w:val="00360BE5"/>
    <w:rsid w:val="00360FA1"/>
    <w:rsid w:val="0036332D"/>
    <w:rsid w:val="003656FA"/>
    <w:rsid w:val="003671F5"/>
    <w:rsid w:val="00371E4B"/>
    <w:rsid w:val="00372242"/>
    <w:rsid w:val="00373978"/>
    <w:rsid w:val="00373B39"/>
    <w:rsid w:val="0037442E"/>
    <w:rsid w:val="003745A0"/>
    <w:rsid w:val="00374E1A"/>
    <w:rsid w:val="00375172"/>
    <w:rsid w:val="003755CB"/>
    <w:rsid w:val="003761AC"/>
    <w:rsid w:val="003769B7"/>
    <w:rsid w:val="00376E21"/>
    <w:rsid w:val="00381D19"/>
    <w:rsid w:val="00383DBF"/>
    <w:rsid w:val="00383FFB"/>
    <w:rsid w:val="00384E16"/>
    <w:rsid w:val="00385837"/>
    <w:rsid w:val="0038592C"/>
    <w:rsid w:val="00387126"/>
    <w:rsid w:val="003873FD"/>
    <w:rsid w:val="00387426"/>
    <w:rsid w:val="0038777E"/>
    <w:rsid w:val="003903F3"/>
    <w:rsid w:val="003909F6"/>
    <w:rsid w:val="00390F23"/>
    <w:rsid w:val="003913C8"/>
    <w:rsid w:val="00391EC4"/>
    <w:rsid w:val="00391F48"/>
    <w:rsid w:val="0039243F"/>
    <w:rsid w:val="00395300"/>
    <w:rsid w:val="00395B40"/>
    <w:rsid w:val="00396038"/>
    <w:rsid w:val="00396049"/>
    <w:rsid w:val="0039654D"/>
    <w:rsid w:val="0039732B"/>
    <w:rsid w:val="00397E98"/>
    <w:rsid w:val="003A17FF"/>
    <w:rsid w:val="003A21E5"/>
    <w:rsid w:val="003A297D"/>
    <w:rsid w:val="003A2BF9"/>
    <w:rsid w:val="003A331B"/>
    <w:rsid w:val="003A3BEA"/>
    <w:rsid w:val="003A4AC6"/>
    <w:rsid w:val="003A4BE3"/>
    <w:rsid w:val="003A5FB5"/>
    <w:rsid w:val="003B0D0B"/>
    <w:rsid w:val="003B1065"/>
    <w:rsid w:val="003B1DAD"/>
    <w:rsid w:val="003B2AA2"/>
    <w:rsid w:val="003B2FD2"/>
    <w:rsid w:val="003B5D3E"/>
    <w:rsid w:val="003B6169"/>
    <w:rsid w:val="003B6B7F"/>
    <w:rsid w:val="003B6CA4"/>
    <w:rsid w:val="003B7137"/>
    <w:rsid w:val="003C0053"/>
    <w:rsid w:val="003C03E0"/>
    <w:rsid w:val="003C05C5"/>
    <w:rsid w:val="003C1892"/>
    <w:rsid w:val="003C2CFF"/>
    <w:rsid w:val="003C2E80"/>
    <w:rsid w:val="003C3AA0"/>
    <w:rsid w:val="003C3DD7"/>
    <w:rsid w:val="003C4496"/>
    <w:rsid w:val="003C51EB"/>
    <w:rsid w:val="003C6A4A"/>
    <w:rsid w:val="003C70B1"/>
    <w:rsid w:val="003C728F"/>
    <w:rsid w:val="003D15FC"/>
    <w:rsid w:val="003D192D"/>
    <w:rsid w:val="003D1EB4"/>
    <w:rsid w:val="003D2B66"/>
    <w:rsid w:val="003D31FD"/>
    <w:rsid w:val="003D42E3"/>
    <w:rsid w:val="003D5C27"/>
    <w:rsid w:val="003D77FA"/>
    <w:rsid w:val="003D7F47"/>
    <w:rsid w:val="003E0D79"/>
    <w:rsid w:val="003E0F9F"/>
    <w:rsid w:val="003E14ED"/>
    <w:rsid w:val="003E1821"/>
    <w:rsid w:val="003E1929"/>
    <w:rsid w:val="003E5A8A"/>
    <w:rsid w:val="003E5D13"/>
    <w:rsid w:val="003E61D3"/>
    <w:rsid w:val="003E63F8"/>
    <w:rsid w:val="003E70CB"/>
    <w:rsid w:val="003F0D78"/>
    <w:rsid w:val="003F139B"/>
    <w:rsid w:val="003F1FB2"/>
    <w:rsid w:val="003F3A95"/>
    <w:rsid w:val="003F537A"/>
    <w:rsid w:val="003F5475"/>
    <w:rsid w:val="003F560E"/>
    <w:rsid w:val="003F5A24"/>
    <w:rsid w:val="003F5EDA"/>
    <w:rsid w:val="003F62E0"/>
    <w:rsid w:val="003F643D"/>
    <w:rsid w:val="003F653C"/>
    <w:rsid w:val="003F6E33"/>
    <w:rsid w:val="003F71F4"/>
    <w:rsid w:val="00400590"/>
    <w:rsid w:val="00400691"/>
    <w:rsid w:val="00400A9A"/>
    <w:rsid w:val="004018C7"/>
    <w:rsid w:val="00401C57"/>
    <w:rsid w:val="004028D9"/>
    <w:rsid w:val="00404CDD"/>
    <w:rsid w:val="004066A2"/>
    <w:rsid w:val="00406C29"/>
    <w:rsid w:val="00406CA1"/>
    <w:rsid w:val="0041013E"/>
    <w:rsid w:val="00410C67"/>
    <w:rsid w:val="0041126A"/>
    <w:rsid w:val="00411783"/>
    <w:rsid w:val="00411A91"/>
    <w:rsid w:val="0041286F"/>
    <w:rsid w:val="004139A3"/>
    <w:rsid w:val="0041405E"/>
    <w:rsid w:val="0041477F"/>
    <w:rsid w:val="0041487F"/>
    <w:rsid w:val="00414991"/>
    <w:rsid w:val="00414E7A"/>
    <w:rsid w:val="00416135"/>
    <w:rsid w:val="00416ED9"/>
    <w:rsid w:val="004173B2"/>
    <w:rsid w:val="004205AB"/>
    <w:rsid w:val="00421135"/>
    <w:rsid w:val="00421794"/>
    <w:rsid w:val="004225E9"/>
    <w:rsid w:val="00423D86"/>
    <w:rsid w:val="00424C9E"/>
    <w:rsid w:val="004255B6"/>
    <w:rsid w:val="0042605C"/>
    <w:rsid w:val="00427912"/>
    <w:rsid w:val="00430234"/>
    <w:rsid w:val="00430948"/>
    <w:rsid w:val="004312D0"/>
    <w:rsid w:val="00431AF3"/>
    <w:rsid w:val="00432A89"/>
    <w:rsid w:val="00432CD0"/>
    <w:rsid w:val="004333ED"/>
    <w:rsid w:val="004338FC"/>
    <w:rsid w:val="00433C37"/>
    <w:rsid w:val="0043444E"/>
    <w:rsid w:val="00434487"/>
    <w:rsid w:val="004354AF"/>
    <w:rsid w:val="00436B9A"/>
    <w:rsid w:val="0044161F"/>
    <w:rsid w:val="0044362C"/>
    <w:rsid w:val="00444544"/>
    <w:rsid w:val="00444D4B"/>
    <w:rsid w:val="00445C99"/>
    <w:rsid w:val="00445CDF"/>
    <w:rsid w:val="00446060"/>
    <w:rsid w:val="00450AC4"/>
    <w:rsid w:val="00450C02"/>
    <w:rsid w:val="00451057"/>
    <w:rsid w:val="004517B1"/>
    <w:rsid w:val="00451CE6"/>
    <w:rsid w:val="0045332B"/>
    <w:rsid w:val="004539CC"/>
    <w:rsid w:val="00453B3B"/>
    <w:rsid w:val="00454200"/>
    <w:rsid w:val="00454BBE"/>
    <w:rsid w:val="00455CC2"/>
    <w:rsid w:val="00457A73"/>
    <w:rsid w:val="00460B5A"/>
    <w:rsid w:val="00462BB7"/>
    <w:rsid w:val="0046376B"/>
    <w:rsid w:val="00465207"/>
    <w:rsid w:val="0046520C"/>
    <w:rsid w:val="00467125"/>
    <w:rsid w:val="00470C37"/>
    <w:rsid w:val="00470E75"/>
    <w:rsid w:val="00471819"/>
    <w:rsid w:val="00471C73"/>
    <w:rsid w:val="00473AB6"/>
    <w:rsid w:val="00474CDF"/>
    <w:rsid w:val="00475B6F"/>
    <w:rsid w:val="00475EA5"/>
    <w:rsid w:val="00476049"/>
    <w:rsid w:val="00476DC3"/>
    <w:rsid w:val="00477023"/>
    <w:rsid w:val="00481088"/>
    <w:rsid w:val="00481126"/>
    <w:rsid w:val="00481554"/>
    <w:rsid w:val="00485AC3"/>
    <w:rsid w:val="004877E5"/>
    <w:rsid w:val="00490058"/>
    <w:rsid w:val="00490858"/>
    <w:rsid w:val="004910FA"/>
    <w:rsid w:val="0049159A"/>
    <w:rsid w:val="004917C8"/>
    <w:rsid w:val="0049180F"/>
    <w:rsid w:val="004918D4"/>
    <w:rsid w:val="004925AA"/>
    <w:rsid w:val="00492688"/>
    <w:rsid w:val="004928B5"/>
    <w:rsid w:val="00493257"/>
    <w:rsid w:val="00493829"/>
    <w:rsid w:val="00493C95"/>
    <w:rsid w:val="004948A0"/>
    <w:rsid w:val="00495295"/>
    <w:rsid w:val="00495CD8"/>
    <w:rsid w:val="004965FA"/>
    <w:rsid w:val="004A0A89"/>
    <w:rsid w:val="004A0AA0"/>
    <w:rsid w:val="004A2B0F"/>
    <w:rsid w:val="004A2F1E"/>
    <w:rsid w:val="004A4106"/>
    <w:rsid w:val="004A4D62"/>
    <w:rsid w:val="004A5CBC"/>
    <w:rsid w:val="004A77AF"/>
    <w:rsid w:val="004B1561"/>
    <w:rsid w:val="004B37FD"/>
    <w:rsid w:val="004B50FF"/>
    <w:rsid w:val="004B52CF"/>
    <w:rsid w:val="004B58D5"/>
    <w:rsid w:val="004B68FB"/>
    <w:rsid w:val="004B74FC"/>
    <w:rsid w:val="004B75B3"/>
    <w:rsid w:val="004B7B6E"/>
    <w:rsid w:val="004B7DF7"/>
    <w:rsid w:val="004B7E75"/>
    <w:rsid w:val="004C06B8"/>
    <w:rsid w:val="004C1507"/>
    <w:rsid w:val="004C342F"/>
    <w:rsid w:val="004C41AD"/>
    <w:rsid w:val="004C5AAA"/>
    <w:rsid w:val="004C5B13"/>
    <w:rsid w:val="004C5CDD"/>
    <w:rsid w:val="004C671E"/>
    <w:rsid w:val="004C6C55"/>
    <w:rsid w:val="004C755E"/>
    <w:rsid w:val="004D03BA"/>
    <w:rsid w:val="004D20E5"/>
    <w:rsid w:val="004D2766"/>
    <w:rsid w:val="004D4942"/>
    <w:rsid w:val="004D5075"/>
    <w:rsid w:val="004D77F7"/>
    <w:rsid w:val="004E1212"/>
    <w:rsid w:val="004E18EB"/>
    <w:rsid w:val="004E1A56"/>
    <w:rsid w:val="004E204B"/>
    <w:rsid w:val="004E2725"/>
    <w:rsid w:val="004E44D7"/>
    <w:rsid w:val="004E4666"/>
    <w:rsid w:val="004E4D44"/>
    <w:rsid w:val="004E4F2A"/>
    <w:rsid w:val="004E4FF9"/>
    <w:rsid w:val="004E59E1"/>
    <w:rsid w:val="004E68D9"/>
    <w:rsid w:val="004E6A68"/>
    <w:rsid w:val="004F092E"/>
    <w:rsid w:val="004F0E2C"/>
    <w:rsid w:val="004F1BBB"/>
    <w:rsid w:val="004F328A"/>
    <w:rsid w:val="004F4B1D"/>
    <w:rsid w:val="004F4FDA"/>
    <w:rsid w:val="004F560A"/>
    <w:rsid w:val="004F6E2D"/>
    <w:rsid w:val="00500AEE"/>
    <w:rsid w:val="00501CB2"/>
    <w:rsid w:val="005021A7"/>
    <w:rsid w:val="005023F9"/>
    <w:rsid w:val="005029BF"/>
    <w:rsid w:val="00503572"/>
    <w:rsid w:val="00503C46"/>
    <w:rsid w:val="00506ADA"/>
    <w:rsid w:val="00506DC6"/>
    <w:rsid w:val="0051010F"/>
    <w:rsid w:val="00512441"/>
    <w:rsid w:val="00512785"/>
    <w:rsid w:val="00513E19"/>
    <w:rsid w:val="0051508B"/>
    <w:rsid w:val="00515FF5"/>
    <w:rsid w:val="005179F5"/>
    <w:rsid w:val="00517AB4"/>
    <w:rsid w:val="00520349"/>
    <w:rsid w:val="00522769"/>
    <w:rsid w:val="005228CE"/>
    <w:rsid w:val="00523195"/>
    <w:rsid w:val="0052378B"/>
    <w:rsid w:val="00523C6B"/>
    <w:rsid w:val="0052445F"/>
    <w:rsid w:val="00526A07"/>
    <w:rsid w:val="00527C0B"/>
    <w:rsid w:val="00530099"/>
    <w:rsid w:val="005308BB"/>
    <w:rsid w:val="00531206"/>
    <w:rsid w:val="00531BA9"/>
    <w:rsid w:val="00532DCC"/>
    <w:rsid w:val="0053331A"/>
    <w:rsid w:val="00533DA0"/>
    <w:rsid w:val="00534667"/>
    <w:rsid w:val="005363D6"/>
    <w:rsid w:val="005364CA"/>
    <w:rsid w:val="0053744E"/>
    <w:rsid w:val="00537FE9"/>
    <w:rsid w:val="00540F6D"/>
    <w:rsid w:val="005430DE"/>
    <w:rsid w:val="00544A10"/>
    <w:rsid w:val="00544EE7"/>
    <w:rsid w:val="005456C0"/>
    <w:rsid w:val="00546F34"/>
    <w:rsid w:val="005473DC"/>
    <w:rsid w:val="00547CB1"/>
    <w:rsid w:val="00550718"/>
    <w:rsid w:val="00550730"/>
    <w:rsid w:val="005508F9"/>
    <w:rsid w:val="00550AAC"/>
    <w:rsid w:val="0055100E"/>
    <w:rsid w:val="005511B9"/>
    <w:rsid w:val="005512F9"/>
    <w:rsid w:val="00551F25"/>
    <w:rsid w:val="0055272B"/>
    <w:rsid w:val="00553199"/>
    <w:rsid w:val="005537D2"/>
    <w:rsid w:val="00553A93"/>
    <w:rsid w:val="00554852"/>
    <w:rsid w:val="00554FE9"/>
    <w:rsid w:val="005553B4"/>
    <w:rsid w:val="005553E9"/>
    <w:rsid w:val="005560D4"/>
    <w:rsid w:val="0055674D"/>
    <w:rsid w:val="00556A8C"/>
    <w:rsid w:val="00557075"/>
    <w:rsid w:val="00557F61"/>
    <w:rsid w:val="005609FB"/>
    <w:rsid w:val="00561B4E"/>
    <w:rsid w:val="00561BB9"/>
    <w:rsid w:val="00562052"/>
    <w:rsid w:val="00562448"/>
    <w:rsid w:val="00562529"/>
    <w:rsid w:val="005628AE"/>
    <w:rsid w:val="00562BBD"/>
    <w:rsid w:val="00563C6B"/>
    <w:rsid w:val="00564999"/>
    <w:rsid w:val="00566E49"/>
    <w:rsid w:val="00566F45"/>
    <w:rsid w:val="005675F7"/>
    <w:rsid w:val="005676F5"/>
    <w:rsid w:val="005678B7"/>
    <w:rsid w:val="00567B61"/>
    <w:rsid w:val="00571F07"/>
    <w:rsid w:val="00573059"/>
    <w:rsid w:val="00574D67"/>
    <w:rsid w:val="00575F0D"/>
    <w:rsid w:val="00576EC5"/>
    <w:rsid w:val="0058047E"/>
    <w:rsid w:val="00580563"/>
    <w:rsid w:val="005805C0"/>
    <w:rsid w:val="00580980"/>
    <w:rsid w:val="00580E45"/>
    <w:rsid w:val="0058176C"/>
    <w:rsid w:val="00582027"/>
    <w:rsid w:val="005822ED"/>
    <w:rsid w:val="00582803"/>
    <w:rsid w:val="0058376D"/>
    <w:rsid w:val="00583ADF"/>
    <w:rsid w:val="00583B02"/>
    <w:rsid w:val="00584C53"/>
    <w:rsid w:val="00586AF5"/>
    <w:rsid w:val="00586E40"/>
    <w:rsid w:val="0059339E"/>
    <w:rsid w:val="00593652"/>
    <w:rsid w:val="005936C9"/>
    <w:rsid w:val="00594142"/>
    <w:rsid w:val="00594C6C"/>
    <w:rsid w:val="00594DA2"/>
    <w:rsid w:val="00595268"/>
    <w:rsid w:val="00595330"/>
    <w:rsid w:val="00595392"/>
    <w:rsid w:val="00595DF3"/>
    <w:rsid w:val="00596E5C"/>
    <w:rsid w:val="005A0285"/>
    <w:rsid w:val="005A0A20"/>
    <w:rsid w:val="005A15AF"/>
    <w:rsid w:val="005A15B1"/>
    <w:rsid w:val="005A1704"/>
    <w:rsid w:val="005A1BA3"/>
    <w:rsid w:val="005A1FFE"/>
    <w:rsid w:val="005A282D"/>
    <w:rsid w:val="005A3028"/>
    <w:rsid w:val="005A3CBE"/>
    <w:rsid w:val="005A3F7D"/>
    <w:rsid w:val="005A40A3"/>
    <w:rsid w:val="005A4316"/>
    <w:rsid w:val="005A4D17"/>
    <w:rsid w:val="005A5AC8"/>
    <w:rsid w:val="005A765A"/>
    <w:rsid w:val="005A7FA8"/>
    <w:rsid w:val="005B05E6"/>
    <w:rsid w:val="005B0C69"/>
    <w:rsid w:val="005B1031"/>
    <w:rsid w:val="005B1872"/>
    <w:rsid w:val="005B22A2"/>
    <w:rsid w:val="005B240B"/>
    <w:rsid w:val="005B325C"/>
    <w:rsid w:val="005B3403"/>
    <w:rsid w:val="005B5428"/>
    <w:rsid w:val="005B5BF1"/>
    <w:rsid w:val="005B5C45"/>
    <w:rsid w:val="005B7799"/>
    <w:rsid w:val="005C0C45"/>
    <w:rsid w:val="005C1A9B"/>
    <w:rsid w:val="005C1AF4"/>
    <w:rsid w:val="005C375D"/>
    <w:rsid w:val="005C4914"/>
    <w:rsid w:val="005C5303"/>
    <w:rsid w:val="005C5499"/>
    <w:rsid w:val="005C6219"/>
    <w:rsid w:val="005C6540"/>
    <w:rsid w:val="005C7FB6"/>
    <w:rsid w:val="005D07CE"/>
    <w:rsid w:val="005D10C7"/>
    <w:rsid w:val="005D397F"/>
    <w:rsid w:val="005D7224"/>
    <w:rsid w:val="005D738E"/>
    <w:rsid w:val="005D7E5E"/>
    <w:rsid w:val="005E0816"/>
    <w:rsid w:val="005E0AEF"/>
    <w:rsid w:val="005E0F99"/>
    <w:rsid w:val="005E1961"/>
    <w:rsid w:val="005E2A41"/>
    <w:rsid w:val="005E3653"/>
    <w:rsid w:val="005E3B1B"/>
    <w:rsid w:val="005E4ECB"/>
    <w:rsid w:val="005E4FE5"/>
    <w:rsid w:val="005E66C3"/>
    <w:rsid w:val="005F0012"/>
    <w:rsid w:val="005F0A31"/>
    <w:rsid w:val="005F15E4"/>
    <w:rsid w:val="005F3B5C"/>
    <w:rsid w:val="005F3D2C"/>
    <w:rsid w:val="005F443A"/>
    <w:rsid w:val="005F527E"/>
    <w:rsid w:val="005F53D0"/>
    <w:rsid w:val="005F5CDF"/>
    <w:rsid w:val="005F5DCF"/>
    <w:rsid w:val="005F5E77"/>
    <w:rsid w:val="005F6797"/>
    <w:rsid w:val="006004A3"/>
    <w:rsid w:val="00601046"/>
    <w:rsid w:val="006014E5"/>
    <w:rsid w:val="006015D9"/>
    <w:rsid w:val="00601A5D"/>
    <w:rsid w:val="00602902"/>
    <w:rsid w:val="0060354C"/>
    <w:rsid w:val="00605018"/>
    <w:rsid w:val="006056C6"/>
    <w:rsid w:val="00605A24"/>
    <w:rsid w:val="00605DA3"/>
    <w:rsid w:val="00606E35"/>
    <w:rsid w:val="006100DD"/>
    <w:rsid w:val="0061099B"/>
    <w:rsid w:val="00610CFC"/>
    <w:rsid w:val="006116C3"/>
    <w:rsid w:val="00612E2F"/>
    <w:rsid w:val="00612E44"/>
    <w:rsid w:val="00613959"/>
    <w:rsid w:val="00614BDD"/>
    <w:rsid w:val="00614D29"/>
    <w:rsid w:val="00615563"/>
    <w:rsid w:val="00615BAE"/>
    <w:rsid w:val="00615DB4"/>
    <w:rsid w:val="00615F62"/>
    <w:rsid w:val="00620BE6"/>
    <w:rsid w:val="00620D83"/>
    <w:rsid w:val="006212DC"/>
    <w:rsid w:val="00621E66"/>
    <w:rsid w:val="0062348C"/>
    <w:rsid w:val="00623736"/>
    <w:rsid w:val="00623D21"/>
    <w:rsid w:val="006250FD"/>
    <w:rsid w:val="0062626C"/>
    <w:rsid w:val="00627C67"/>
    <w:rsid w:val="00634228"/>
    <w:rsid w:val="006346B2"/>
    <w:rsid w:val="00634B83"/>
    <w:rsid w:val="006371D1"/>
    <w:rsid w:val="006372C3"/>
    <w:rsid w:val="006374DA"/>
    <w:rsid w:val="00637931"/>
    <w:rsid w:val="0064028C"/>
    <w:rsid w:val="00640D34"/>
    <w:rsid w:val="0064110C"/>
    <w:rsid w:val="006411A7"/>
    <w:rsid w:val="00641DEA"/>
    <w:rsid w:val="00642EB0"/>
    <w:rsid w:val="00642FAF"/>
    <w:rsid w:val="00643350"/>
    <w:rsid w:val="0064380B"/>
    <w:rsid w:val="006446D3"/>
    <w:rsid w:val="006450C2"/>
    <w:rsid w:val="00645482"/>
    <w:rsid w:val="006464B0"/>
    <w:rsid w:val="00646589"/>
    <w:rsid w:val="006479A5"/>
    <w:rsid w:val="00647DF8"/>
    <w:rsid w:val="00650B2A"/>
    <w:rsid w:val="006514AD"/>
    <w:rsid w:val="00651A1A"/>
    <w:rsid w:val="006529AC"/>
    <w:rsid w:val="00652D24"/>
    <w:rsid w:val="00653341"/>
    <w:rsid w:val="00653A3F"/>
    <w:rsid w:val="00653B6D"/>
    <w:rsid w:val="00654C57"/>
    <w:rsid w:val="0065637B"/>
    <w:rsid w:val="00657483"/>
    <w:rsid w:val="00657566"/>
    <w:rsid w:val="006609BA"/>
    <w:rsid w:val="00660B5A"/>
    <w:rsid w:val="00660BB8"/>
    <w:rsid w:val="006639C3"/>
    <w:rsid w:val="00665D17"/>
    <w:rsid w:val="0066762D"/>
    <w:rsid w:val="006677F4"/>
    <w:rsid w:val="00671E15"/>
    <w:rsid w:val="0067306A"/>
    <w:rsid w:val="00673377"/>
    <w:rsid w:val="006746EC"/>
    <w:rsid w:val="006747B6"/>
    <w:rsid w:val="006752EC"/>
    <w:rsid w:val="00675669"/>
    <w:rsid w:val="00675CCB"/>
    <w:rsid w:val="006764C5"/>
    <w:rsid w:val="00676C0A"/>
    <w:rsid w:val="006770F9"/>
    <w:rsid w:val="006772CA"/>
    <w:rsid w:val="00677A80"/>
    <w:rsid w:val="00677E70"/>
    <w:rsid w:val="00682024"/>
    <w:rsid w:val="00682378"/>
    <w:rsid w:val="006826F4"/>
    <w:rsid w:val="0068361F"/>
    <w:rsid w:val="0068366D"/>
    <w:rsid w:val="006849C4"/>
    <w:rsid w:val="00684B64"/>
    <w:rsid w:val="00684D9D"/>
    <w:rsid w:val="006902D1"/>
    <w:rsid w:val="00690A86"/>
    <w:rsid w:val="00690B95"/>
    <w:rsid w:val="00691339"/>
    <w:rsid w:val="00692DA4"/>
    <w:rsid w:val="00694264"/>
    <w:rsid w:val="00694899"/>
    <w:rsid w:val="00695284"/>
    <w:rsid w:val="00695903"/>
    <w:rsid w:val="00697927"/>
    <w:rsid w:val="006A2022"/>
    <w:rsid w:val="006A2452"/>
    <w:rsid w:val="006A285B"/>
    <w:rsid w:val="006A2996"/>
    <w:rsid w:val="006A3B50"/>
    <w:rsid w:val="006A3E37"/>
    <w:rsid w:val="006A4BB9"/>
    <w:rsid w:val="006A5020"/>
    <w:rsid w:val="006A566F"/>
    <w:rsid w:val="006A5E7D"/>
    <w:rsid w:val="006A5F6D"/>
    <w:rsid w:val="006B0DF3"/>
    <w:rsid w:val="006B2C0E"/>
    <w:rsid w:val="006B2C93"/>
    <w:rsid w:val="006B31E6"/>
    <w:rsid w:val="006B35F9"/>
    <w:rsid w:val="006B3750"/>
    <w:rsid w:val="006B3DAF"/>
    <w:rsid w:val="006B43CF"/>
    <w:rsid w:val="006B57F9"/>
    <w:rsid w:val="006B6A93"/>
    <w:rsid w:val="006B6B1A"/>
    <w:rsid w:val="006B717C"/>
    <w:rsid w:val="006C03D7"/>
    <w:rsid w:val="006C055D"/>
    <w:rsid w:val="006C0F90"/>
    <w:rsid w:val="006C2A89"/>
    <w:rsid w:val="006C2C41"/>
    <w:rsid w:val="006C37B5"/>
    <w:rsid w:val="006C3DFF"/>
    <w:rsid w:val="006C50BF"/>
    <w:rsid w:val="006C59F0"/>
    <w:rsid w:val="006C78AC"/>
    <w:rsid w:val="006D0305"/>
    <w:rsid w:val="006D1732"/>
    <w:rsid w:val="006D2165"/>
    <w:rsid w:val="006D3E43"/>
    <w:rsid w:val="006D430E"/>
    <w:rsid w:val="006D4CE3"/>
    <w:rsid w:val="006D681F"/>
    <w:rsid w:val="006D6E35"/>
    <w:rsid w:val="006D7B46"/>
    <w:rsid w:val="006E0546"/>
    <w:rsid w:val="006E0F44"/>
    <w:rsid w:val="006E5698"/>
    <w:rsid w:val="006E6B1B"/>
    <w:rsid w:val="006E6B6C"/>
    <w:rsid w:val="006E776E"/>
    <w:rsid w:val="006F00FA"/>
    <w:rsid w:val="006F0227"/>
    <w:rsid w:val="006F06C7"/>
    <w:rsid w:val="006F11EB"/>
    <w:rsid w:val="006F2F06"/>
    <w:rsid w:val="006F32FA"/>
    <w:rsid w:val="006F5696"/>
    <w:rsid w:val="006F587F"/>
    <w:rsid w:val="006F6807"/>
    <w:rsid w:val="007040D9"/>
    <w:rsid w:val="00705B35"/>
    <w:rsid w:val="00706036"/>
    <w:rsid w:val="00706CB2"/>
    <w:rsid w:val="00707D06"/>
    <w:rsid w:val="007105B1"/>
    <w:rsid w:val="00711718"/>
    <w:rsid w:val="00713267"/>
    <w:rsid w:val="00713E40"/>
    <w:rsid w:val="007147ED"/>
    <w:rsid w:val="00715C48"/>
    <w:rsid w:val="00715FE7"/>
    <w:rsid w:val="00717204"/>
    <w:rsid w:val="00720132"/>
    <w:rsid w:val="00720C83"/>
    <w:rsid w:val="007225EE"/>
    <w:rsid w:val="007251BD"/>
    <w:rsid w:val="0072521F"/>
    <w:rsid w:val="00726493"/>
    <w:rsid w:val="00726C7B"/>
    <w:rsid w:val="007272D4"/>
    <w:rsid w:val="007273B9"/>
    <w:rsid w:val="00730CAE"/>
    <w:rsid w:val="0073287C"/>
    <w:rsid w:val="0073327C"/>
    <w:rsid w:val="0073377B"/>
    <w:rsid w:val="0073382E"/>
    <w:rsid w:val="00734548"/>
    <w:rsid w:val="00736735"/>
    <w:rsid w:val="007402CA"/>
    <w:rsid w:val="00740743"/>
    <w:rsid w:val="00740F0D"/>
    <w:rsid w:val="00740FD6"/>
    <w:rsid w:val="00741CA3"/>
    <w:rsid w:val="0074212F"/>
    <w:rsid w:val="007442FA"/>
    <w:rsid w:val="007448A6"/>
    <w:rsid w:val="00747B17"/>
    <w:rsid w:val="00747D9D"/>
    <w:rsid w:val="007500D2"/>
    <w:rsid w:val="007509C8"/>
    <w:rsid w:val="00750E6E"/>
    <w:rsid w:val="0075135A"/>
    <w:rsid w:val="007518D6"/>
    <w:rsid w:val="007522E5"/>
    <w:rsid w:val="0075259F"/>
    <w:rsid w:val="00753513"/>
    <w:rsid w:val="007547DA"/>
    <w:rsid w:val="00754CFA"/>
    <w:rsid w:val="007550EC"/>
    <w:rsid w:val="00756ED6"/>
    <w:rsid w:val="00757F21"/>
    <w:rsid w:val="0076135C"/>
    <w:rsid w:val="007617CE"/>
    <w:rsid w:val="00762299"/>
    <w:rsid w:val="0076574F"/>
    <w:rsid w:val="00765EB9"/>
    <w:rsid w:val="00766030"/>
    <w:rsid w:val="00766DB9"/>
    <w:rsid w:val="00770073"/>
    <w:rsid w:val="0077018F"/>
    <w:rsid w:val="00771E4F"/>
    <w:rsid w:val="0077298A"/>
    <w:rsid w:val="007737AA"/>
    <w:rsid w:val="00775564"/>
    <w:rsid w:val="00776955"/>
    <w:rsid w:val="0077710E"/>
    <w:rsid w:val="00777607"/>
    <w:rsid w:val="0077767C"/>
    <w:rsid w:val="00777A64"/>
    <w:rsid w:val="007806EA"/>
    <w:rsid w:val="00780D32"/>
    <w:rsid w:val="00781A7D"/>
    <w:rsid w:val="00781E09"/>
    <w:rsid w:val="00782843"/>
    <w:rsid w:val="00787D73"/>
    <w:rsid w:val="0079221D"/>
    <w:rsid w:val="00795793"/>
    <w:rsid w:val="007978DE"/>
    <w:rsid w:val="007A291E"/>
    <w:rsid w:val="007A54BA"/>
    <w:rsid w:val="007A583C"/>
    <w:rsid w:val="007A6167"/>
    <w:rsid w:val="007A66D8"/>
    <w:rsid w:val="007A6867"/>
    <w:rsid w:val="007A7B9F"/>
    <w:rsid w:val="007B006B"/>
    <w:rsid w:val="007B01E7"/>
    <w:rsid w:val="007B0791"/>
    <w:rsid w:val="007B0A17"/>
    <w:rsid w:val="007B2F25"/>
    <w:rsid w:val="007B3B8D"/>
    <w:rsid w:val="007B43DF"/>
    <w:rsid w:val="007B4C1C"/>
    <w:rsid w:val="007B4F50"/>
    <w:rsid w:val="007B50BE"/>
    <w:rsid w:val="007B58B1"/>
    <w:rsid w:val="007B5CBD"/>
    <w:rsid w:val="007B6607"/>
    <w:rsid w:val="007B72B2"/>
    <w:rsid w:val="007B7F5A"/>
    <w:rsid w:val="007C02AF"/>
    <w:rsid w:val="007C18BF"/>
    <w:rsid w:val="007C27EF"/>
    <w:rsid w:val="007C2931"/>
    <w:rsid w:val="007C32C5"/>
    <w:rsid w:val="007C372B"/>
    <w:rsid w:val="007C52EA"/>
    <w:rsid w:val="007C5387"/>
    <w:rsid w:val="007C7A52"/>
    <w:rsid w:val="007C7C20"/>
    <w:rsid w:val="007D0F24"/>
    <w:rsid w:val="007D1402"/>
    <w:rsid w:val="007D2ED4"/>
    <w:rsid w:val="007D32EC"/>
    <w:rsid w:val="007D475A"/>
    <w:rsid w:val="007D5106"/>
    <w:rsid w:val="007D5625"/>
    <w:rsid w:val="007D6375"/>
    <w:rsid w:val="007D685F"/>
    <w:rsid w:val="007D7450"/>
    <w:rsid w:val="007D7570"/>
    <w:rsid w:val="007D7650"/>
    <w:rsid w:val="007E14FB"/>
    <w:rsid w:val="007E1A4F"/>
    <w:rsid w:val="007E1E9F"/>
    <w:rsid w:val="007E2FA7"/>
    <w:rsid w:val="007E3579"/>
    <w:rsid w:val="007E363D"/>
    <w:rsid w:val="007E41CF"/>
    <w:rsid w:val="007E42E3"/>
    <w:rsid w:val="007E5DD0"/>
    <w:rsid w:val="007E60FA"/>
    <w:rsid w:val="007E79B7"/>
    <w:rsid w:val="007F0EA2"/>
    <w:rsid w:val="007F2167"/>
    <w:rsid w:val="007F25C3"/>
    <w:rsid w:val="007F7AF3"/>
    <w:rsid w:val="007F7DAE"/>
    <w:rsid w:val="00800A00"/>
    <w:rsid w:val="0080386F"/>
    <w:rsid w:val="0080448E"/>
    <w:rsid w:val="008056A1"/>
    <w:rsid w:val="00806B1F"/>
    <w:rsid w:val="00811DCD"/>
    <w:rsid w:val="00811E9F"/>
    <w:rsid w:val="00812A19"/>
    <w:rsid w:val="00813310"/>
    <w:rsid w:val="00813410"/>
    <w:rsid w:val="00814BBD"/>
    <w:rsid w:val="00815E00"/>
    <w:rsid w:val="00816081"/>
    <w:rsid w:val="0081622D"/>
    <w:rsid w:val="00816DF3"/>
    <w:rsid w:val="00816E4C"/>
    <w:rsid w:val="00817E79"/>
    <w:rsid w:val="00817F15"/>
    <w:rsid w:val="008204D8"/>
    <w:rsid w:val="00820DE7"/>
    <w:rsid w:val="008217CF"/>
    <w:rsid w:val="0082197C"/>
    <w:rsid w:val="00821A1D"/>
    <w:rsid w:val="00824E56"/>
    <w:rsid w:val="00826550"/>
    <w:rsid w:val="0082750D"/>
    <w:rsid w:val="00827CC3"/>
    <w:rsid w:val="008304EC"/>
    <w:rsid w:val="00830BBE"/>
    <w:rsid w:val="00831200"/>
    <w:rsid w:val="008316D5"/>
    <w:rsid w:val="00831989"/>
    <w:rsid w:val="00831AFC"/>
    <w:rsid w:val="0083315B"/>
    <w:rsid w:val="00833CDB"/>
    <w:rsid w:val="00835294"/>
    <w:rsid w:val="00836C04"/>
    <w:rsid w:val="0083773A"/>
    <w:rsid w:val="00837D47"/>
    <w:rsid w:val="00837E30"/>
    <w:rsid w:val="00841A33"/>
    <w:rsid w:val="00842902"/>
    <w:rsid w:val="00847245"/>
    <w:rsid w:val="00847777"/>
    <w:rsid w:val="008477BF"/>
    <w:rsid w:val="0085178D"/>
    <w:rsid w:val="00852362"/>
    <w:rsid w:val="008528B5"/>
    <w:rsid w:val="00852F62"/>
    <w:rsid w:val="00854774"/>
    <w:rsid w:val="008558A9"/>
    <w:rsid w:val="00855DD0"/>
    <w:rsid w:val="00856CD9"/>
    <w:rsid w:val="00857A1C"/>
    <w:rsid w:val="0086086A"/>
    <w:rsid w:val="00860BB0"/>
    <w:rsid w:val="00861EC4"/>
    <w:rsid w:val="0086293C"/>
    <w:rsid w:val="00862F07"/>
    <w:rsid w:val="008641C4"/>
    <w:rsid w:val="00864D1B"/>
    <w:rsid w:val="00864DA5"/>
    <w:rsid w:val="008668BB"/>
    <w:rsid w:val="00867558"/>
    <w:rsid w:val="008705B0"/>
    <w:rsid w:val="008714AA"/>
    <w:rsid w:val="00871B96"/>
    <w:rsid w:val="008745B5"/>
    <w:rsid w:val="00875D41"/>
    <w:rsid w:val="00876AA6"/>
    <w:rsid w:val="00876FF4"/>
    <w:rsid w:val="0087713E"/>
    <w:rsid w:val="00882232"/>
    <w:rsid w:val="0088276F"/>
    <w:rsid w:val="008835A9"/>
    <w:rsid w:val="008846F1"/>
    <w:rsid w:val="0088537A"/>
    <w:rsid w:val="0088584C"/>
    <w:rsid w:val="00886AD0"/>
    <w:rsid w:val="008904AD"/>
    <w:rsid w:val="00892E7D"/>
    <w:rsid w:val="00892FAD"/>
    <w:rsid w:val="008933EF"/>
    <w:rsid w:val="00893AB5"/>
    <w:rsid w:val="00895BEF"/>
    <w:rsid w:val="00895DB7"/>
    <w:rsid w:val="00896A80"/>
    <w:rsid w:val="00897679"/>
    <w:rsid w:val="008A3113"/>
    <w:rsid w:val="008A3A6D"/>
    <w:rsid w:val="008A4C21"/>
    <w:rsid w:val="008A54E3"/>
    <w:rsid w:val="008B0622"/>
    <w:rsid w:val="008B0809"/>
    <w:rsid w:val="008B1B74"/>
    <w:rsid w:val="008B20BD"/>
    <w:rsid w:val="008B4C82"/>
    <w:rsid w:val="008B60BD"/>
    <w:rsid w:val="008B6B2A"/>
    <w:rsid w:val="008B7013"/>
    <w:rsid w:val="008B7895"/>
    <w:rsid w:val="008C28B7"/>
    <w:rsid w:val="008C2C3F"/>
    <w:rsid w:val="008C3145"/>
    <w:rsid w:val="008C4646"/>
    <w:rsid w:val="008C4815"/>
    <w:rsid w:val="008C4CC6"/>
    <w:rsid w:val="008C4F81"/>
    <w:rsid w:val="008C522C"/>
    <w:rsid w:val="008C52EE"/>
    <w:rsid w:val="008C70C7"/>
    <w:rsid w:val="008C7C0B"/>
    <w:rsid w:val="008C7CE1"/>
    <w:rsid w:val="008D1225"/>
    <w:rsid w:val="008D1D0E"/>
    <w:rsid w:val="008D1F15"/>
    <w:rsid w:val="008D1F2B"/>
    <w:rsid w:val="008D3B96"/>
    <w:rsid w:val="008D5210"/>
    <w:rsid w:val="008D6416"/>
    <w:rsid w:val="008D652C"/>
    <w:rsid w:val="008D7F6B"/>
    <w:rsid w:val="008E05E9"/>
    <w:rsid w:val="008E0D37"/>
    <w:rsid w:val="008E2D53"/>
    <w:rsid w:val="008E4467"/>
    <w:rsid w:val="008E4CD7"/>
    <w:rsid w:val="008E641D"/>
    <w:rsid w:val="008E660D"/>
    <w:rsid w:val="008E7DD4"/>
    <w:rsid w:val="008F056F"/>
    <w:rsid w:val="008F21C1"/>
    <w:rsid w:val="008F305A"/>
    <w:rsid w:val="008F3154"/>
    <w:rsid w:val="008F3465"/>
    <w:rsid w:val="008F3512"/>
    <w:rsid w:val="008F371C"/>
    <w:rsid w:val="008F3D5F"/>
    <w:rsid w:val="008F438E"/>
    <w:rsid w:val="008F66BA"/>
    <w:rsid w:val="008F7D54"/>
    <w:rsid w:val="009004F9"/>
    <w:rsid w:val="0090344A"/>
    <w:rsid w:val="0090383C"/>
    <w:rsid w:val="0090561B"/>
    <w:rsid w:val="00910139"/>
    <w:rsid w:val="009112B1"/>
    <w:rsid w:val="00913261"/>
    <w:rsid w:val="00913B82"/>
    <w:rsid w:val="00914276"/>
    <w:rsid w:val="009158AA"/>
    <w:rsid w:val="00916549"/>
    <w:rsid w:val="00916DEB"/>
    <w:rsid w:val="00917022"/>
    <w:rsid w:val="00917485"/>
    <w:rsid w:val="00920C84"/>
    <w:rsid w:val="00920F02"/>
    <w:rsid w:val="00922591"/>
    <w:rsid w:val="00922A73"/>
    <w:rsid w:val="00922D02"/>
    <w:rsid w:val="00926673"/>
    <w:rsid w:val="00926FCA"/>
    <w:rsid w:val="009271A2"/>
    <w:rsid w:val="0093027F"/>
    <w:rsid w:val="0093151B"/>
    <w:rsid w:val="00931738"/>
    <w:rsid w:val="00931B31"/>
    <w:rsid w:val="009325AE"/>
    <w:rsid w:val="009346E0"/>
    <w:rsid w:val="009349B5"/>
    <w:rsid w:val="0093602A"/>
    <w:rsid w:val="00940224"/>
    <w:rsid w:val="009402E0"/>
    <w:rsid w:val="009425A7"/>
    <w:rsid w:val="0094265B"/>
    <w:rsid w:val="00942CF7"/>
    <w:rsid w:val="00942E4C"/>
    <w:rsid w:val="00944900"/>
    <w:rsid w:val="00944EA3"/>
    <w:rsid w:val="0094583D"/>
    <w:rsid w:val="00945BCE"/>
    <w:rsid w:val="00950947"/>
    <w:rsid w:val="009509BD"/>
    <w:rsid w:val="00950C0B"/>
    <w:rsid w:val="00951984"/>
    <w:rsid w:val="0095439B"/>
    <w:rsid w:val="00954EC8"/>
    <w:rsid w:val="009553FC"/>
    <w:rsid w:val="009554DD"/>
    <w:rsid w:val="00957E5D"/>
    <w:rsid w:val="0096009C"/>
    <w:rsid w:val="009624C2"/>
    <w:rsid w:val="0096374D"/>
    <w:rsid w:val="00966DA4"/>
    <w:rsid w:val="00970201"/>
    <w:rsid w:val="00971402"/>
    <w:rsid w:val="00971744"/>
    <w:rsid w:val="00971830"/>
    <w:rsid w:val="00971A5A"/>
    <w:rsid w:val="00972C2E"/>
    <w:rsid w:val="00972EB6"/>
    <w:rsid w:val="0097707B"/>
    <w:rsid w:val="00980A15"/>
    <w:rsid w:val="009846CF"/>
    <w:rsid w:val="00984BF8"/>
    <w:rsid w:val="009850BA"/>
    <w:rsid w:val="00985D75"/>
    <w:rsid w:val="00986146"/>
    <w:rsid w:val="00987534"/>
    <w:rsid w:val="00990E20"/>
    <w:rsid w:val="00990ED9"/>
    <w:rsid w:val="00992888"/>
    <w:rsid w:val="00992AA9"/>
    <w:rsid w:val="009947F1"/>
    <w:rsid w:val="009949CE"/>
    <w:rsid w:val="00994F03"/>
    <w:rsid w:val="009A01F1"/>
    <w:rsid w:val="009A045C"/>
    <w:rsid w:val="009A081F"/>
    <w:rsid w:val="009A0EB3"/>
    <w:rsid w:val="009A1D3C"/>
    <w:rsid w:val="009A1E77"/>
    <w:rsid w:val="009A2123"/>
    <w:rsid w:val="009A43E6"/>
    <w:rsid w:val="009A47F0"/>
    <w:rsid w:val="009A5D78"/>
    <w:rsid w:val="009A6127"/>
    <w:rsid w:val="009A6C1F"/>
    <w:rsid w:val="009A77F3"/>
    <w:rsid w:val="009A7B25"/>
    <w:rsid w:val="009B05A6"/>
    <w:rsid w:val="009B0BA2"/>
    <w:rsid w:val="009B1322"/>
    <w:rsid w:val="009B2029"/>
    <w:rsid w:val="009B27DF"/>
    <w:rsid w:val="009B2ABB"/>
    <w:rsid w:val="009B3429"/>
    <w:rsid w:val="009B387F"/>
    <w:rsid w:val="009B5848"/>
    <w:rsid w:val="009B6103"/>
    <w:rsid w:val="009B6310"/>
    <w:rsid w:val="009B6859"/>
    <w:rsid w:val="009B6E90"/>
    <w:rsid w:val="009B7E61"/>
    <w:rsid w:val="009C0395"/>
    <w:rsid w:val="009C0670"/>
    <w:rsid w:val="009C0DB6"/>
    <w:rsid w:val="009C2D4D"/>
    <w:rsid w:val="009C3F50"/>
    <w:rsid w:val="009C4DDA"/>
    <w:rsid w:val="009C56B9"/>
    <w:rsid w:val="009C60FB"/>
    <w:rsid w:val="009C61D4"/>
    <w:rsid w:val="009C6A99"/>
    <w:rsid w:val="009C6D41"/>
    <w:rsid w:val="009C750F"/>
    <w:rsid w:val="009D18C6"/>
    <w:rsid w:val="009D1DA9"/>
    <w:rsid w:val="009D3922"/>
    <w:rsid w:val="009D4471"/>
    <w:rsid w:val="009D4775"/>
    <w:rsid w:val="009D4AE0"/>
    <w:rsid w:val="009D56BB"/>
    <w:rsid w:val="009D6DFE"/>
    <w:rsid w:val="009D771F"/>
    <w:rsid w:val="009E191B"/>
    <w:rsid w:val="009E2771"/>
    <w:rsid w:val="009E322F"/>
    <w:rsid w:val="009E4300"/>
    <w:rsid w:val="009E4DF6"/>
    <w:rsid w:val="009E58C7"/>
    <w:rsid w:val="009E7251"/>
    <w:rsid w:val="009E7A57"/>
    <w:rsid w:val="009E7EE6"/>
    <w:rsid w:val="009F1542"/>
    <w:rsid w:val="009F1734"/>
    <w:rsid w:val="009F2E83"/>
    <w:rsid w:val="009F3B03"/>
    <w:rsid w:val="009F4E51"/>
    <w:rsid w:val="009F652E"/>
    <w:rsid w:val="009F669E"/>
    <w:rsid w:val="009F6ED1"/>
    <w:rsid w:val="00A00155"/>
    <w:rsid w:val="00A01043"/>
    <w:rsid w:val="00A0126B"/>
    <w:rsid w:val="00A01720"/>
    <w:rsid w:val="00A02454"/>
    <w:rsid w:val="00A02548"/>
    <w:rsid w:val="00A02D52"/>
    <w:rsid w:val="00A03A7D"/>
    <w:rsid w:val="00A03B4A"/>
    <w:rsid w:val="00A04AA5"/>
    <w:rsid w:val="00A072C1"/>
    <w:rsid w:val="00A113B3"/>
    <w:rsid w:val="00A11694"/>
    <w:rsid w:val="00A12F12"/>
    <w:rsid w:val="00A134B2"/>
    <w:rsid w:val="00A139E6"/>
    <w:rsid w:val="00A14C28"/>
    <w:rsid w:val="00A16061"/>
    <w:rsid w:val="00A16582"/>
    <w:rsid w:val="00A16772"/>
    <w:rsid w:val="00A16E83"/>
    <w:rsid w:val="00A17085"/>
    <w:rsid w:val="00A2036F"/>
    <w:rsid w:val="00A21509"/>
    <w:rsid w:val="00A22BC9"/>
    <w:rsid w:val="00A250DA"/>
    <w:rsid w:val="00A25620"/>
    <w:rsid w:val="00A2662F"/>
    <w:rsid w:val="00A26E55"/>
    <w:rsid w:val="00A27D3E"/>
    <w:rsid w:val="00A31EA1"/>
    <w:rsid w:val="00A31ED2"/>
    <w:rsid w:val="00A31F1F"/>
    <w:rsid w:val="00A32146"/>
    <w:rsid w:val="00A331B3"/>
    <w:rsid w:val="00A33C7F"/>
    <w:rsid w:val="00A33FE0"/>
    <w:rsid w:val="00A35768"/>
    <w:rsid w:val="00A36146"/>
    <w:rsid w:val="00A36D05"/>
    <w:rsid w:val="00A377EF"/>
    <w:rsid w:val="00A42017"/>
    <w:rsid w:val="00A4272C"/>
    <w:rsid w:val="00A428EA"/>
    <w:rsid w:val="00A43172"/>
    <w:rsid w:val="00A43A21"/>
    <w:rsid w:val="00A446B7"/>
    <w:rsid w:val="00A45306"/>
    <w:rsid w:val="00A45A73"/>
    <w:rsid w:val="00A46106"/>
    <w:rsid w:val="00A47E87"/>
    <w:rsid w:val="00A47ED7"/>
    <w:rsid w:val="00A47F97"/>
    <w:rsid w:val="00A5258C"/>
    <w:rsid w:val="00A526BF"/>
    <w:rsid w:val="00A541BE"/>
    <w:rsid w:val="00A57180"/>
    <w:rsid w:val="00A6060F"/>
    <w:rsid w:val="00A60BE4"/>
    <w:rsid w:val="00A6169A"/>
    <w:rsid w:val="00A628ED"/>
    <w:rsid w:val="00A65364"/>
    <w:rsid w:val="00A654C1"/>
    <w:rsid w:val="00A65A24"/>
    <w:rsid w:val="00A66322"/>
    <w:rsid w:val="00A6632D"/>
    <w:rsid w:val="00A67605"/>
    <w:rsid w:val="00A67CA0"/>
    <w:rsid w:val="00A70308"/>
    <w:rsid w:val="00A7097C"/>
    <w:rsid w:val="00A712FA"/>
    <w:rsid w:val="00A71A85"/>
    <w:rsid w:val="00A72138"/>
    <w:rsid w:val="00A7271F"/>
    <w:rsid w:val="00A7430F"/>
    <w:rsid w:val="00A756FC"/>
    <w:rsid w:val="00A763B2"/>
    <w:rsid w:val="00A77112"/>
    <w:rsid w:val="00A77A56"/>
    <w:rsid w:val="00A80438"/>
    <w:rsid w:val="00A818B5"/>
    <w:rsid w:val="00A81BA4"/>
    <w:rsid w:val="00A824FF"/>
    <w:rsid w:val="00A82FDB"/>
    <w:rsid w:val="00A839BC"/>
    <w:rsid w:val="00A841EE"/>
    <w:rsid w:val="00A843ED"/>
    <w:rsid w:val="00A85A0C"/>
    <w:rsid w:val="00A866D6"/>
    <w:rsid w:val="00A867D8"/>
    <w:rsid w:val="00A90878"/>
    <w:rsid w:val="00A92684"/>
    <w:rsid w:val="00A93C69"/>
    <w:rsid w:val="00A93EE1"/>
    <w:rsid w:val="00A94509"/>
    <w:rsid w:val="00A948B1"/>
    <w:rsid w:val="00A95790"/>
    <w:rsid w:val="00A969DE"/>
    <w:rsid w:val="00A97396"/>
    <w:rsid w:val="00A97565"/>
    <w:rsid w:val="00AA0D88"/>
    <w:rsid w:val="00AA1E13"/>
    <w:rsid w:val="00AA1FEB"/>
    <w:rsid w:val="00AA24CB"/>
    <w:rsid w:val="00AA4832"/>
    <w:rsid w:val="00AA5A2D"/>
    <w:rsid w:val="00AA7982"/>
    <w:rsid w:val="00AB14E0"/>
    <w:rsid w:val="00AB1FF4"/>
    <w:rsid w:val="00AB3527"/>
    <w:rsid w:val="00AB38CA"/>
    <w:rsid w:val="00AB511C"/>
    <w:rsid w:val="00AB60E2"/>
    <w:rsid w:val="00AB6456"/>
    <w:rsid w:val="00AB6AEF"/>
    <w:rsid w:val="00AB7107"/>
    <w:rsid w:val="00AB7139"/>
    <w:rsid w:val="00AB7C34"/>
    <w:rsid w:val="00AC14D1"/>
    <w:rsid w:val="00AC22A0"/>
    <w:rsid w:val="00AC392D"/>
    <w:rsid w:val="00AC3C2E"/>
    <w:rsid w:val="00AC488B"/>
    <w:rsid w:val="00AC5D60"/>
    <w:rsid w:val="00AC6957"/>
    <w:rsid w:val="00AC76F5"/>
    <w:rsid w:val="00AD2869"/>
    <w:rsid w:val="00AD2B96"/>
    <w:rsid w:val="00AD478B"/>
    <w:rsid w:val="00AD5A34"/>
    <w:rsid w:val="00AD5F18"/>
    <w:rsid w:val="00AE0F11"/>
    <w:rsid w:val="00AE1C47"/>
    <w:rsid w:val="00AE1E2E"/>
    <w:rsid w:val="00AE2057"/>
    <w:rsid w:val="00AE2820"/>
    <w:rsid w:val="00AE2BAB"/>
    <w:rsid w:val="00AE33ED"/>
    <w:rsid w:val="00AE5BDE"/>
    <w:rsid w:val="00AF044A"/>
    <w:rsid w:val="00AF0FF7"/>
    <w:rsid w:val="00AF1F2F"/>
    <w:rsid w:val="00AF2E25"/>
    <w:rsid w:val="00AF42FD"/>
    <w:rsid w:val="00AF59E7"/>
    <w:rsid w:val="00AF6265"/>
    <w:rsid w:val="00AF6BB4"/>
    <w:rsid w:val="00AF7523"/>
    <w:rsid w:val="00B018BC"/>
    <w:rsid w:val="00B02A35"/>
    <w:rsid w:val="00B04C55"/>
    <w:rsid w:val="00B0682B"/>
    <w:rsid w:val="00B07CDD"/>
    <w:rsid w:val="00B07E11"/>
    <w:rsid w:val="00B11456"/>
    <w:rsid w:val="00B114A3"/>
    <w:rsid w:val="00B11981"/>
    <w:rsid w:val="00B11A9E"/>
    <w:rsid w:val="00B12D4D"/>
    <w:rsid w:val="00B13220"/>
    <w:rsid w:val="00B1431D"/>
    <w:rsid w:val="00B1679C"/>
    <w:rsid w:val="00B16EAB"/>
    <w:rsid w:val="00B16F27"/>
    <w:rsid w:val="00B1771C"/>
    <w:rsid w:val="00B17B88"/>
    <w:rsid w:val="00B20597"/>
    <w:rsid w:val="00B20ADD"/>
    <w:rsid w:val="00B20B1F"/>
    <w:rsid w:val="00B21A44"/>
    <w:rsid w:val="00B21A9F"/>
    <w:rsid w:val="00B21BF0"/>
    <w:rsid w:val="00B21BF2"/>
    <w:rsid w:val="00B227CC"/>
    <w:rsid w:val="00B23A59"/>
    <w:rsid w:val="00B23BDF"/>
    <w:rsid w:val="00B25807"/>
    <w:rsid w:val="00B25DA6"/>
    <w:rsid w:val="00B25E64"/>
    <w:rsid w:val="00B26EA4"/>
    <w:rsid w:val="00B35742"/>
    <w:rsid w:val="00B35D64"/>
    <w:rsid w:val="00B3628F"/>
    <w:rsid w:val="00B36379"/>
    <w:rsid w:val="00B363FB"/>
    <w:rsid w:val="00B364E8"/>
    <w:rsid w:val="00B372D9"/>
    <w:rsid w:val="00B37E5E"/>
    <w:rsid w:val="00B407F7"/>
    <w:rsid w:val="00B40CCB"/>
    <w:rsid w:val="00B41CF3"/>
    <w:rsid w:val="00B42A7F"/>
    <w:rsid w:val="00B42B1C"/>
    <w:rsid w:val="00B43F5D"/>
    <w:rsid w:val="00B44032"/>
    <w:rsid w:val="00B45E12"/>
    <w:rsid w:val="00B468AF"/>
    <w:rsid w:val="00B519C5"/>
    <w:rsid w:val="00B51B78"/>
    <w:rsid w:val="00B528CF"/>
    <w:rsid w:val="00B53C22"/>
    <w:rsid w:val="00B53F3F"/>
    <w:rsid w:val="00B540E7"/>
    <w:rsid w:val="00B541B9"/>
    <w:rsid w:val="00B55791"/>
    <w:rsid w:val="00B55BBD"/>
    <w:rsid w:val="00B56AC9"/>
    <w:rsid w:val="00B600D9"/>
    <w:rsid w:val="00B61465"/>
    <w:rsid w:val="00B6397D"/>
    <w:rsid w:val="00B6405A"/>
    <w:rsid w:val="00B64466"/>
    <w:rsid w:val="00B653BC"/>
    <w:rsid w:val="00B65763"/>
    <w:rsid w:val="00B66AB4"/>
    <w:rsid w:val="00B67AC9"/>
    <w:rsid w:val="00B67CFF"/>
    <w:rsid w:val="00B7072F"/>
    <w:rsid w:val="00B726BD"/>
    <w:rsid w:val="00B72966"/>
    <w:rsid w:val="00B745B1"/>
    <w:rsid w:val="00B77A7D"/>
    <w:rsid w:val="00B77D1D"/>
    <w:rsid w:val="00B80104"/>
    <w:rsid w:val="00B805E4"/>
    <w:rsid w:val="00B80DAE"/>
    <w:rsid w:val="00B814E7"/>
    <w:rsid w:val="00B82698"/>
    <w:rsid w:val="00B833BF"/>
    <w:rsid w:val="00B84B85"/>
    <w:rsid w:val="00B84C76"/>
    <w:rsid w:val="00B853DA"/>
    <w:rsid w:val="00B86576"/>
    <w:rsid w:val="00B86DCD"/>
    <w:rsid w:val="00B87BF6"/>
    <w:rsid w:val="00B87DCC"/>
    <w:rsid w:val="00B907DF"/>
    <w:rsid w:val="00B90804"/>
    <w:rsid w:val="00B92080"/>
    <w:rsid w:val="00B932C4"/>
    <w:rsid w:val="00B93856"/>
    <w:rsid w:val="00B94394"/>
    <w:rsid w:val="00B950AD"/>
    <w:rsid w:val="00B9607F"/>
    <w:rsid w:val="00B9731F"/>
    <w:rsid w:val="00BA0346"/>
    <w:rsid w:val="00BA0CCD"/>
    <w:rsid w:val="00BA18FE"/>
    <w:rsid w:val="00BA1DE7"/>
    <w:rsid w:val="00BA2435"/>
    <w:rsid w:val="00BA3742"/>
    <w:rsid w:val="00BA525E"/>
    <w:rsid w:val="00BA6CC7"/>
    <w:rsid w:val="00BA6FDB"/>
    <w:rsid w:val="00BA7021"/>
    <w:rsid w:val="00BA7C2B"/>
    <w:rsid w:val="00BA7DA0"/>
    <w:rsid w:val="00BA7EC6"/>
    <w:rsid w:val="00BB0945"/>
    <w:rsid w:val="00BB4A5F"/>
    <w:rsid w:val="00BB662B"/>
    <w:rsid w:val="00BB7097"/>
    <w:rsid w:val="00BB7392"/>
    <w:rsid w:val="00BB7EF4"/>
    <w:rsid w:val="00BC079B"/>
    <w:rsid w:val="00BC1D50"/>
    <w:rsid w:val="00BC2298"/>
    <w:rsid w:val="00BC4B77"/>
    <w:rsid w:val="00BC4EB6"/>
    <w:rsid w:val="00BC4FB5"/>
    <w:rsid w:val="00BD0271"/>
    <w:rsid w:val="00BD13D6"/>
    <w:rsid w:val="00BD158F"/>
    <w:rsid w:val="00BD17AA"/>
    <w:rsid w:val="00BD1804"/>
    <w:rsid w:val="00BD21F3"/>
    <w:rsid w:val="00BD2401"/>
    <w:rsid w:val="00BD2932"/>
    <w:rsid w:val="00BD294F"/>
    <w:rsid w:val="00BD3A58"/>
    <w:rsid w:val="00BD3C74"/>
    <w:rsid w:val="00BD3EDC"/>
    <w:rsid w:val="00BD5205"/>
    <w:rsid w:val="00BD67C7"/>
    <w:rsid w:val="00BD739D"/>
    <w:rsid w:val="00BE0246"/>
    <w:rsid w:val="00BE1824"/>
    <w:rsid w:val="00BE3B85"/>
    <w:rsid w:val="00BE423B"/>
    <w:rsid w:val="00BE465C"/>
    <w:rsid w:val="00BE4990"/>
    <w:rsid w:val="00BE7015"/>
    <w:rsid w:val="00BE7D0B"/>
    <w:rsid w:val="00BF30BE"/>
    <w:rsid w:val="00BF3810"/>
    <w:rsid w:val="00BF4273"/>
    <w:rsid w:val="00BF447E"/>
    <w:rsid w:val="00BF567D"/>
    <w:rsid w:val="00BF6DB1"/>
    <w:rsid w:val="00C01755"/>
    <w:rsid w:val="00C027BF"/>
    <w:rsid w:val="00C036D9"/>
    <w:rsid w:val="00C05723"/>
    <w:rsid w:val="00C06DC6"/>
    <w:rsid w:val="00C1009A"/>
    <w:rsid w:val="00C10135"/>
    <w:rsid w:val="00C103AF"/>
    <w:rsid w:val="00C10AB7"/>
    <w:rsid w:val="00C1124D"/>
    <w:rsid w:val="00C118B3"/>
    <w:rsid w:val="00C122C6"/>
    <w:rsid w:val="00C133E4"/>
    <w:rsid w:val="00C133E7"/>
    <w:rsid w:val="00C13BE5"/>
    <w:rsid w:val="00C15A80"/>
    <w:rsid w:val="00C16962"/>
    <w:rsid w:val="00C16C27"/>
    <w:rsid w:val="00C1753B"/>
    <w:rsid w:val="00C20017"/>
    <w:rsid w:val="00C20615"/>
    <w:rsid w:val="00C22F62"/>
    <w:rsid w:val="00C23589"/>
    <w:rsid w:val="00C24C68"/>
    <w:rsid w:val="00C24F14"/>
    <w:rsid w:val="00C251B7"/>
    <w:rsid w:val="00C256D7"/>
    <w:rsid w:val="00C26BF6"/>
    <w:rsid w:val="00C27038"/>
    <w:rsid w:val="00C31BA5"/>
    <w:rsid w:val="00C3214A"/>
    <w:rsid w:val="00C32AA5"/>
    <w:rsid w:val="00C34633"/>
    <w:rsid w:val="00C349E8"/>
    <w:rsid w:val="00C352EC"/>
    <w:rsid w:val="00C35459"/>
    <w:rsid w:val="00C36621"/>
    <w:rsid w:val="00C40F2B"/>
    <w:rsid w:val="00C42257"/>
    <w:rsid w:val="00C4247A"/>
    <w:rsid w:val="00C42505"/>
    <w:rsid w:val="00C44691"/>
    <w:rsid w:val="00C46101"/>
    <w:rsid w:val="00C46231"/>
    <w:rsid w:val="00C46887"/>
    <w:rsid w:val="00C47F3D"/>
    <w:rsid w:val="00C5255D"/>
    <w:rsid w:val="00C5270F"/>
    <w:rsid w:val="00C53BC6"/>
    <w:rsid w:val="00C54416"/>
    <w:rsid w:val="00C54DA6"/>
    <w:rsid w:val="00C55787"/>
    <w:rsid w:val="00C57059"/>
    <w:rsid w:val="00C609A5"/>
    <w:rsid w:val="00C61F15"/>
    <w:rsid w:val="00C620F4"/>
    <w:rsid w:val="00C62769"/>
    <w:rsid w:val="00C632A2"/>
    <w:rsid w:val="00C64A64"/>
    <w:rsid w:val="00C64FC7"/>
    <w:rsid w:val="00C654B8"/>
    <w:rsid w:val="00C655A8"/>
    <w:rsid w:val="00C660A0"/>
    <w:rsid w:val="00C66134"/>
    <w:rsid w:val="00C66464"/>
    <w:rsid w:val="00C702D6"/>
    <w:rsid w:val="00C70BDA"/>
    <w:rsid w:val="00C723F9"/>
    <w:rsid w:val="00C72BCD"/>
    <w:rsid w:val="00C73A0A"/>
    <w:rsid w:val="00C763D3"/>
    <w:rsid w:val="00C76904"/>
    <w:rsid w:val="00C7765B"/>
    <w:rsid w:val="00C77983"/>
    <w:rsid w:val="00C779E3"/>
    <w:rsid w:val="00C818B5"/>
    <w:rsid w:val="00C8243D"/>
    <w:rsid w:val="00C83326"/>
    <w:rsid w:val="00C839C7"/>
    <w:rsid w:val="00C83B36"/>
    <w:rsid w:val="00C852D4"/>
    <w:rsid w:val="00C8560B"/>
    <w:rsid w:val="00C87E2D"/>
    <w:rsid w:val="00C908AE"/>
    <w:rsid w:val="00C90DAF"/>
    <w:rsid w:val="00C90EA8"/>
    <w:rsid w:val="00C916B4"/>
    <w:rsid w:val="00C91BD8"/>
    <w:rsid w:val="00C9597C"/>
    <w:rsid w:val="00C9627B"/>
    <w:rsid w:val="00C962F1"/>
    <w:rsid w:val="00C9657E"/>
    <w:rsid w:val="00C9692E"/>
    <w:rsid w:val="00C9773F"/>
    <w:rsid w:val="00CA13DB"/>
    <w:rsid w:val="00CA1F7A"/>
    <w:rsid w:val="00CA2EAA"/>
    <w:rsid w:val="00CA3848"/>
    <w:rsid w:val="00CA3EDB"/>
    <w:rsid w:val="00CA4F9B"/>
    <w:rsid w:val="00CA58E8"/>
    <w:rsid w:val="00CA637F"/>
    <w:rsid w:val="00CA6C44"/>
    <w:rsid w:val="00CA6DD5"/>
    <w:rsid w:val="00CA7170"/>
    <w:rsid w:val="00CA738A"/>
    <w:rsid w:val="00CA7753"/>
    <w:rsid w:val="00CA7E0E"/>
    <w:rsid w:val="00CB06AB"/>
    <w:rsid w:val="00CB0E75"/>
    <w:rsid w:val="00CB1504"/>
    <w:rsid w:val="00CB2742"/>
    <w:rsid w:val="00CB307D"/>
    <w:rsid w:val="00CB36B3"/>
    <w:rsid w:val="00CB387F"/>
    <w:rsid w:val="00CB763B"/>
    <w:rsid w:val="00CC08EE"/>
    <w:rsid w:val="00CC08F1"/>
    <w:rsid w:val="00CC1B54"/>
    <w:rsid w:val="00CC320A"/>
    <w:rsid w:val="00CC56F4"/>
    <w:rsid w:val="00CC5B2C"/>
    <w:rsid w:val="00CC627C"/>
    <w:rsid w:val="00CC662B"/>
    <w:rsid w:val="00CC745B"/>
    <w:rsid w:val="00CD0317"/>
    <w:rsid w:val="00CD0A5D"/>
    <w:rsid w:val="00CD2680"/>
    <w:rsid w:val="00CD3000"/>
    <w:rsid w:val="00CD3559"/>
    <w:rsid w:val="00CD38BD"/>
    <w:rsid w:val="00CD4212"/>
    <w:rsid w:val="00CD49AE"/>
    <w:rsid w:val="00CD5296"/>
    <w:rsid w:val="00CD7058"/>
    <w:rsid w:val="00CE02B0"/>
    <w:rsid w:val="00CE03CA"/>
    <w:rsid w:val="00CE0764"/>
    <w:rsid w:val="00CE2E5E"/>
    <w:rsid w:val="00CE3F98"/>
    <w:rsid w:val="00CE4A4A"/>
    <w:rsid w:val="00CE4B31"/>
    <w:rsid w:val="00CE5886"/>
    <w:rsid w:val="00CE701B"/>
    <w:rsid w:val="00CE7331"/>
    <w:rsid w:val="00CE7473"/>
    <w:rsid w:val="00CF0732"/>
    <w:rsid w:val="00CF1126"/>
    <w:rsid w:val="00CF24AD"/>
    <w:rsid w:val="00CF4273"/>
    <w:rsid w:val="00CF49C3"/>
    <w:rsid w:val="00CF5FBE"/>
    <w:rsid w:val="00CF6275"/>
    <w:rsid w:val="00CF7606"/>
    <w:rsid w:val="00CF77D6"/>
    <w:rsid w:val="00D00889"/>
    <w:rsid w:val="00D01238"/>
    <w:rsid w:val="00D01E89"/>
    <w:rsid w:val="00D0202D"/>
    <w:rsid w:val="00D028C3"/>
    <w:rsid w:val="00D03781"/>
    <w:rsid w:val="00D0450A"/>
    <w:rsid w:val="00D062B9"/>
    <w:rsid w:val="00D065DA"/>
    <w:rsid w:val="00D06E1E"/>
    <w:rsid w:val="00D1018B"/>
    <w:rsid w:val="00D10A04"/>
    <w:rsid w:val="00D128D7"/>
    <w:rsid w:val="00D131E9"/>
    <w:rsid w:val="00D1471A"/>
    <w:rsid w:val="00D152D9"/>
    <w:rsid w:val="00D15BC3"/>
    <w:rsid w:val="00D16328"/>
    <w:rsid w:val="00D16FF9"/>
    <w:rsid w:val="00D17D88"/>
    <w:rsid w:val="00D17DF9"/>
    <w:rsid w:val="00D2167C"/>
    <w:rsid w:val="00D2282C"/>
    <w:rsid w:val="00D23D1F"/>
    <w:rsid w:val="00D24C21"/>
    <w:rsid w:val="00D26BBF"/>
    <w:rsid w:val="00D26E9C"/>
    <w:rsid w:val="00D27BC8"/>
    <w:rsid w:val="00D316FE"/>
    <w:rsid w:val="00D3262D"/>
    <w:rsid w:val="00D32A6A"/>
    <w:rsid w:val="00D34976"/>
    <w:rsid w:val="00D35EDA"/>
    <w:rsid w:val="00D36D16"/>
    <w:rsid w:val="00D41955"/>
    <w:rsid w:val="00D41CEF"/>
    <w:rsid w:val="00D42A9B"/>
    <w:rsid w:val="00D436B0"/>
    <w:rsid w:val="00D43EC5"/>
    <w:rsid w:val="00D44378"/>
    <w:rsid w:val="00D44C7A"/>
    <w:rsid w:val="00D44E9F"/>
    <w:rsid w:val="00D46528"/>
    <w:rsid w:val="00D47EDA"/>
    <w:rsid w:val="00D507E7"/>
    <w:rsid w:val="00D516BE"/>
    <w:rsid w:val="00D521CB"/>
    <w:rsid w:val="00D52596"/>
    <w:rsid w:val="00D53811"/>
    <w:rsid w:val="00D53DAE"/>
    <w:rsid w:val="00D543C1"/>
    <w:rsid w:val="00D54667"/>
    <w:rsid w:val="00D5516F"/>
    <w:rsid w:val="00D554B6"/>
    <w:rsid w:val="00D566D4"/>
    <w:rsid w:val="00D604C1"/>
    <w:rsid w:val="00D62698"/>
    <w:rsid w:val="00D62831"/>
    <w:rsid w:val="00D62DC1"/>
    <w:rsid w:val="00D641AA"/>
    <w:rsid w:val="00D64AD2"/>
    <w:rsid w:val="00D65F6E"/>
    <w:rsid w:val="00D702D2"/>
    <w:rsid w:val="00D7034F"/>
    <w:rsid w:val="00D70AD3"/>
    <w:rsid w:val="00D70DF4"/>
    <w:rsid w:val="00D72D6A"/>
    <w:rsid w:val="00D733A1"/>
    <w:rsid w:val="00D74300"/>
    <w:rsid w:val="00D76680"/>
    <w:rsid w:val="00D802C2"/>
    <w:rsid w:val="00D803BC"/>
    <w:rsid w:val="00D81D55"/>
    <w:rsid w:val="00D81F28"/>
    <w:rsid w:val="00D8253A"/>
    <w:rsid w:val="00D849C0"/>
    <w:rsid w:val="00D84DBD"/>
    <w:rsid w:val="00D85988"/>
    <w:rsid w:val="00D860A8"/>
    <w:rsid w:val="00D86166"/>
    <w:rsid w:val="00D86C8B"/>
    <w:rsid w:val="00D8737F"/>
    <w:rsid w:val="00D87764"/>
    <w:rsid w:val="00D90E79"/>
    <w:rsid w:val="00D92B64"/>
    <w:rsid w:val="00D93E39"/>
    <w:rsid w:val="00D940CE"/>
    <w:rsid w:val="00D95A74"/>
    <w:rsid w:val="00D96803"/>
    <w:rsid w:val="00D96A40"/>
    <w:rsid w:val="00D96B14"/>
    <w:rsid w:val="00D96F38"/>
    <w:rsid w:val="00D97978"/>
    <w:rsid w:val="00DA0A08"/>
    <w:rsid w:val="00DA0CAA"/>
    <w:rsid w:val="00DA171F"/>
    <w:rsid w:val="00DA183F"/>
    <w:rsid w:val="00DA22E7"/>
    <w:rsid w:val="00DA2E0B"/>
    <w:rsid w:val="00DA347F"/>
    <w:rsid w:val="00DA445D"/>
    <w:rsid w:val="00DA701D"/>
    <w:rsid w:val="00DB0890"/>
    <w:rsid w:val="00DB0B04"/>
    <w:rsid w:val="00DB2049"/>
    <w:rsid w:val="00DB2710"/>
    <w:rsid w:val="00DB32C8"/>
    <w:rsid w:val="00DB348A"/>
    <w:rsid w:val="00DB3916"/>
    <w:rsid w:val="00DB3B2C"/>
    <w:rsid w:val="00DB5405"/>
    <w:rsid w:val="00DB548B"/>
    <w:rsid w:val="00DB59BA"/>
    <w:rsid w:val="00DB689E"/>
    <w:rsid w:val="00DB751D"/>
    <w:rsid w:val="00DC0491"/>
    <w:rsid w:val="00DC09E2"/>
    <w:rsid w:val="00DC23E3"/>
    <w:rsid w:val="00DC3596"/>
    <w:rsid w:val="00DC5559"/>
    <w:rsid w:val="00DC5BE7"/>
    <w:rsid w:val="00DC5EAF"/>
    <w:rsid w:val="00DD19FE"/>
    <w:rsid w:val="00DD203D"/>
    <w:rsid w:val="00DD216E"/>
    <w:rsid w:val="00DD2D22"/>
    <w:rsid w:val="00DD463B"/>
    <w:rsid w:val="00DD5E88"/>
    <w:rsid w:val="00DD6531"/>
    <w:rsid w:val="00DD7BA3"/>
    <w:rsid w:val="00DE0003"/>
    <w:rsid w:val="00DE0119"/>
    <w:rsid w:val="00DE05C2"/>
    <w:rsid w:val="00DE0E79"/>
    <w:rsid w:val="00DE1CCB"/>
    <w:rsid w:val="00DE2AF3"/>
    <w:rsid w:val="00DE4B3D"/>
    <w:rsid w:val="00DE7027"/>
    <w:rsid w:val="00DE7B3D"/>
    <w:rsid w:val="00DF4282"/>
    <w:rsid w:val="00DF4DB1"/>
    <w:rsid w:val="00DF4F75"/>
    <w:rsid w:val="00DF61AF"/>
    <w:rsid w:val="00DF7E39"/>
    <w:rsid w:val="00E00787"/>
    <w:rsid w:val="00E00B96"/>
    <w:rsid w:val="00E010D2"/>
    <w:rsid w:val="00E021D8"/>
    <w:rsid w:val="00E0264D"/>
    <w:rsid w:val="00E03B3D"/>
    <w:rsid w:val="00E04240"/>
    <w:rsid w:val="00E05C6B"/>
    <w:rsid w:val="00E07645"/>
    <w:rsid w:val="00E10C48"/>
    <w:rsid w:val="00E118E0"/>
    <w:rsid w:val="00E12966"/>
    <w:rsid w:val="00E129DE"/>
    <w:rsid w:val="00E13C8B"/>
    <w:rsid w:val="00E14292"/>
    <w:rsid w:val="00E14BDC"/>
    <w:rsid w:val="00E14E4F"/>
    <w:rsid w:val="00E150CB"/>
    <w:rsid w:val="00E15476"/>
    <w:rsid w:val="00E15592"/>
    <w:rsid w:val="00E1563B"/>
    <w:rsid w:val="00E15721"/>
    <w:rsid w:val="00E15C7D"/>
    <w:rsid w:val="00E16038"/>
    <w:rsid w:val="00E1633B"/>
    <w:rsid w:val="00E167E1"/>
    <w:rsid w:val="00E17832"/>
    <w:rsid w:val="00E21C48"/>
    <w:rsid w:val="00E23764"/>
    <w:rsid w:val="00E25497"/>
    <w:rsid w:val="00E25BD9"/>
    <w:rsid w:val="00E26147"/>
    <w:rsid w:val="00E2730C"/>
    <w:rsid w:val="00E32479"/>
    <w:rsid w:val="00E324A0"/>
    <w:rsid w:val="00E32E2A"/>
    <w:rsid w:val="00E3342C"/>
    <w:rsid w:val="00E34D03"/>
    <w:rsid w:val="00E35D00"/>
    <w:rsid w:val="00E3666B"/>
    <w:rsid w:val="00E36952"/>
    <w:rsid w:val="00E36DE6"/>
    <w:rsid w:val="00E372B5"/>
    <w:rsid w:val="00E37C9E"/>
    <w:rsid w:val="00E40337"/>
    <w:rsid w:val="00E40635"/>
    <w:rsid w:val="00E41BE8"/>
    <w:rsid w:val="00E41D55"/>
    <w:rsid w:val="00E43350"/>
    <w:rsid w:val="00E43737"/>
    <w:rsid w:val="00E43C55"/>
    <w:rsid w:val="00E441FD"/>
    <w:rsid w:val="00E4439E"/>
    <w:rsid w:val="00E46542"/>
    <w:rsid w:val="00E508E3"/>
    <w:rsid w:val="00E5093C"/>
    <w:rsid w:val="00E50983"/>
    <w:rsid w:val="00E51B1F"/>
    <w:rsid w:val="00E532C7"/>
    <w:rsid w:val="00E54E86"/>
    <w:rsid w:val="00E54F09"/>
    <w:rsid w:val="00E54F6F"/>
    <w:rsid w:val="00E5538C"/>
    <w:rsid w:val="00E55F04"/>
    <w:rsid w:val="00E56258"/>
    <w:rsid w:val="00E601E4"/>
    <w:rsid w:val="00E60723"/>
    <w:rsid w:val="00E61427"/>
    <w:rsid w:val="00E62521"/>
    <w:rsid w:val="00E637E6"/>
    <w:rsid w:val="00E63C9C"/>
    <w:rsid w:val="00E63DEB"/>
    <w:rsid w:val="00E6408C"/>
    <w:rsid w:val="00E64BDE"/>
    <w:rsid w:val="00E667F5"/>
    <w:rsid w:val="00E67B51"/>
    <w:rsid w:val="00E70C9E"/>
    <w:rsid w:val="00E71481"/>
    <w:rsid w:val="00E7279F"/>
    <w:rsid w:val="00E736B1"/>
    <w:rsid w:val="00E74803"/>
    <w:rsid w:val="00E74C42"/>
    <w:rsid w:val="00E75332"/>
    <w:rsid w:val="00E7624D"/>
    <w:rsid w:val="00E808D0"/>
    <w:rsid w:val="00E80A7D"/>
    <w:rsid w:val="00E8251D"/>
    <w:rsid w:val="00E8490D"/>
    <w:rsid w:val="00E85B1B"/>
    <w:rsid w:val="00E86EA2"/>
    <w:rsid w:val="00E87E37"/>
    <w:rsid w:val="00E90138"/>
    <w:rsid w:val="00E92CFD"/>
    <w:rsid w:val="00E933DC"/>
    <w:rsid w:val="00E94CA0"/>
    <w:rsid w:val="00E9744A"/>
    <w:rsid w:val="00E974CF"/>
    <w:rsid w:val="00E97AE2"/>
    <w:rsid w:val="00EA169B"/>
    <w:rsid w:val="00EA26A1"/>
    <w:rsid w:val="00EA4711"/>
    <w:rsid w:val="00EA538F"/>
    <w:rsid w:val="00EA5938"/>
    <w:rsid w:val="00EA5A39"/>
    <w:rsid w:val="00EA5BCF"/>
    <w:rsid w:val="00EA5E9F"/>
    <w:rsid w:val="00EA6A83"/>
    <w:rsid w:val="00EA7E15"/>
    <w:rsid w:val="00EB1612"/>
    <w:rsid w:val="00EB1B35"/>
    <w:rsid w:val="00EB492A"/>
    <w:rsid w:val="00EB52C5"/>
    <w:rsid w:val="00EB5843"/>
    <w:rsid w:val="00EB5DE7"/>
    <w:rsid w:val="00EB5E79"/>
    <w:rsid w:val="00EB6589"/>
    <w:rsid w:val="00EB761E"/>
    <w:rsid w:val="00EB7C1E"/>
    <w:rsid w:val="00EC1BCB"/>
    <w:rsid w:val="00EC1F33"/>
    <w:rsid w:val="00EC2021"/>
    <w:rsid w:val="00EC2701"/>
    <w:rsid w:val="00EC37D2"/>
    <w:rsid w:val="00EC4D59"/>
    <w:rsid w:val="00EC53F2"/>
    <w:rsid w:val="00EC55C4"/>
    <w:rsid w:val="00EC5795"/>
    <w:rsid w:val="00ED0571"/>
    <w:rsid w:val="00ED094A"/>
    <w:rsid w:val="00ED205C"/>
    <w:rsid w:val="00ED7314"/>
    <w:rsid w:val="00ED7B8B"/>
    <w:rsid w:val="00EE0808"/>
    <w:rsid w:val="00EE3B17"/>
    <w:rsid w:val="00EE481C"/>
    <w:rsid w:val="00EE48F1"/>
    <w:rsid w:val="00EE4A2D"/>
    <w:rsid w:val="00EE544C"/>
    <w:rsid w:val="00EE66E6"/>
    <w:rsid w:val="00EE7A5F"/>
    <w:rsid w:val="00EF13E6"/>
    <w:rsid w:val="00EF14C9"/>
    <w:rsid w:val="00EF2ED7"/>
    <w:rsid w:val="00EF3888"/>
    <w:rsid w:val="00EF3DC1"/>
    <w:rsid w:val="00EF502A"/>
    <w:rsid w:val="00EF5055"/>
    <w:rsid w:val="00EF5967"/>
    <w:rsid w:val="00EF72F8"/>
    <w:rsid w:val="00EF7C44"/>
    <w:rsid w:val="00EF7CD4"/>
    <w:rsid w:val="00F01695"/>
    <w:rsid w:val="00F040C8"/>
    <w:rsid w:val="00F058C4"/>
    <w:rsid w:val="00F059D2"/>
    <w:rsid w:val="00F05BA8"/>
    <w:rsid w:val="00F073AA"/>
    <w:rsid w:val="00F0747C"/>
    <w:rsid w:val="00F07A38"/>
    <w:rsid w:val="00F07BF2"/>
    <w:rsid w:val="00F11DCA"/>
    <w:rsid w:val="00F12D1C"/>
    <w:rsid w:val="00F1593A"/>
    <w:rsid w:val="00F170C8"/>
    <w:rsid w:val="00F17823"/>
    <w:rsid w:val="00F21D4A"/>
    <w:rsid w:val="00F2303C"/>
    <w:rsid w:val="00F23074"/>
    <w:rsid w:val="00F23FDB"/>
    <w:rsid w:val="00F252C0"/>
    <w:rsid w:val="00F25C19"/>
    <w:rsid w:val="00F2607A"/>
    <w:rsid w:val="00F261AF"/>
    <w:rsid w:val="00F31F13"/>
    <w:rsid w:val="00F359B1"/>
    <w:rsid w:val="00F368EA"/>
    <w:rsid w:val="00F378C2"/>
    <w:rsid w:val="00F37BB4"/>
    <w:rsid w:val="00F42930"/>
    <w:rsid w:val="00F42F9E"/>
    <w:rsid w:val="00F437A5"/>
    <w:rsid w:val="00F43DB2"/>
    <w:rsid w:val="00F45A36"/>
    <w:rsid w:val="00F4639C"/>
    <w:rsid w:val="00F5250B"/>
    <w:rsid w:val="00F526F5"/>
    <w:rsid w:val="00F530DB"/>
    <w:rsid w:val="00F53ED3"/>
    <w:rsid w:val="00F5403B"/>
    <w:rsid w:val="00F54D42"/>
    <w:rsid w:val="00F56183"/>
    <w:rsid w:val="00F565E0"/>
    <w:rsid w:val="00F567DC"/>
    <w:rsid w:val="00F573F8"/>
    <w:rsid w:val="00F60173"/>
    <w:rsid w:val="00F609DC"/>
    <w:rsid w:val="00F62756"/>
    <w:rsid w:val="00F632C5"/>
    <w:rsid w:val="00F63616"/>
    <w:rsid w:val="00F636D1"/>
    <w:rsid w:val="00F643FD"/>
    <w:rsid w:val="00F64404"/>
    <w:rsid w:val="00F64F3C"/>
    <w:rsid w:val="00F656C4"/>
    <w:rsid w:val="00F657B2"/>
    <w:rsid w:val="00F65EF3"/>
    <w:rsid w:val="00F66C9B"/>
    <w:rsid w:val="00F67296"/>
    <w:rsid w:val="00F67B34"/>
    <w:rsid w:val="00F67EFB"/>
    <w:rsid w:val="00F70EDA"/>
    <w:rsid w:val="00F717DA"/>
    <w:rsid w:val="00F72439"/>
    <w:rsid w:val="00F73A36"/>
    <w:rsid w:val="00F74216"/>
    <w:rsid w:val="00F74453"/>
    <w:rsid w:val="00F76095"/>
    <w:rsid w:val="00F769E0"/>
    <w:rsid w:val="00F7745F"/>
    <w:rsid w:val="00F777C1"/>
    <w:rsid w:val="00F77DE8"/>
    <w:rsid w:val="00F80E82"/>
    <w:rsid w:val="00F81232"/>
    <w:rsid w:val="00F8142A"/>
    <w:rsid w:val="00F81CC6"/>
    <w:rsid w:val="00F81E68"/>
    <w:rsid w:val="00F83348"/>
    <w:rsid w:val="00F83CBB"/>
    <w:rsid w:val="00F83F5F"/>
    <w:rsid w:val="00F841C3"/>
    <w:rsid w:val="00F847A8"/>
    <w:rsid w:val="00F874E5"/>
    <w:rsid w:val="00F9078F"/>
    <w:rsid w:val="00F90EC9"/>
    <w:rsid w:val="00F91152"/>
    <w:rsid w:val="00F91C2B"/>
    <w:rsid w:val="00F93435"/>
    <w:rsid w:val="00F95B2D"/>
    <w:rsid w:val="00F960F6"/>
    <w:rsid w:val="00F96918"/>
    <w:rsid w:val="00F979CA"/>
    <w:rsid w:val="00FA0EBD"/>
    <w:rsid w:val="00FA13ED"/>
    <w:rsid w:val="00FA1A7B"/>
    <w:rsid w:val="00FA4546"/>
    <w:rsid w:val="00FA504E"/>
    <w:rsid w:val="00FA5150"/>
    <w:rsid w:val="00FB2E1D"/>
    <w:rsid w:val="00FB365C"/>
    <w:rsid w:val="00FB4843"/>
    <w:rsid w:val="00FB5B4E"/>
    <w:rsid w:val="00FB5F3F"/>
    <w:rsid w:val="00FB6D7A"/>
    <w:rsid w:val="00FB7313"/>
    <w:rsid w:val="00FC0A85"/>
    <w:rsid w:val="00FC1063"/>
    <w:rsid w:val="00FC1AD5"/>
    <w:rsid w:val="00FC1D6F"/>
    <w:rsid w:val="00FC2E6C"/>
    <w:rsid w:val="00FC2FA1"/>
    <w:rsid w:val="00FC2FF6"/>
    <w:rsid w:val="00FC3171"/>
    <w:rsid w:val="00FC57AE"/>
    <w:rsid w:val="00FC5D27"/>
    <w:rsid w:val="00FC5E32"/>
    <w:rsid w:val="00FC60B4"/>
    <w:rsid w:val="00FC7502"/>
    <w:rsid w:val="00FD1851"/>
    <w:rsid w:val="00FD1D35"/>
    <w:rsid w:val="00FD3615"/>
    <w:rsid w:val="00FD3F0E"/>
    <w:rsid w:val="00FD4EB6"/>
    <w:rsid w:val="00FD564D"/>
    <w:rsid w:val="00FD571E"/>
    <w:rsid w:val="00FD6AB7"/>
    <w:rsid w:val="00FD6C2B"/>
    <w:rsid w:val="00FD712F"/>
    <w:rsid w:val="00FD76B5"/>
    <w:rsid w:val="00FD7D6D"/>
    <w:rsid w:val="00FE16B3"/>
    <w:rsid w:val="00FE369E"/>
    <w:rsid w:val="00FE3EE5"/>
    <w:rsid w:val="00FE4404"/>
    <w:rsid w:val="00FE4C68"/>
    <w:rsid w:val="00FE5BEC"/>
    <w:rsid w:val="00FE6B74"/>
    <w:rsid w:val="00FE6BD4"/>
    <w:rsid w:val="00FE74AD"/>
    <w:rsid w:val="00FE772F"/>
    <w:rsid w:val="00FE77E0"/>
    <w:rsid w:val="00FE79FA"/>
    <w:rsid w:val="00FE7EFC"/>
    <w:rsid w:val="00FF15D2"/>
    <w:rsid w:val="00FF48F5"/>
    <w:rsid w:val="00FF539D"/>
    <w:rsid w:val="00FF5443"/>
    <w:rsid w:val="00FF5CF5"/>
    <w:rsid w:val="00FF7A1B"/>
  </w:rsids>
  <m:mathPr>
    <m:mathFont m:val="Cambria Math"/>
    <m:brkBin m:val="before"/>
    <m:brkBinSub m:val="--"/>
    <m:smallFrac m:val="0"/>
    <m:dispDef/>
    <m:lMargin m:val="0"/>
    <m:rMargin m:val="0"/>
    <m:defJc m:val="centerGroup"/>
    <m:wrapIndent m:val="1440"/>
    <m:intLim m:val="subSup"/>
    <m:naryLim m:val="undOvr"/>
  </m:mathPr>
  <w:themeFontLang w:val="en-GB" w:bidi="b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B60705A3-33AE-48C6-9A3A-48BCBF55F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w:eastAsiaTheme="minorHAnsi" w:hAnsi="Helvetica" w:cs="Times New Roman"/>
        <w:sz w:val="24"/>
        <w:szCs w:val="24"/>
        <w:lang w:val="en-GB"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qFormat="1"/>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aliases w:val="Garamond"/>
    <w:basedOn w:val="Normal"/>
    <w:next w:val="Normal"/>
    <w:link w:val="Heading1Char"/>
    <w:uiPriority w:val="9"/>
    <w:qFormat/>
    <w:rsid w:val="00C9597C"/>
    <w:pPr>
      <w:keepNext/>
      <w:keepLines/>
      <w:spacing w:line="276" w:lineRule="auto"/>
      <w:jc w:val="both"/>
      <w:outlineLvl w:val="0"/>
    </w:pPr>
    <w:rPr>
      <w:rFonts w:ascii="Garamond" w:eastAsia="Times New Roman" w:hAnsi="Garamond"/>
      <w:bCs/>
      <w:szCs w:val="28"/>
    </w:rPr>
  </w:style>
  <w:style w:type="paragraph" w:styleId="Heading2">
    <w:name w:val="heading 2"/>
    <w:basedOn w:val="Normal"/>
    <w:next w:val="Normal"/>
    <w:link w:val="Heading2Char"/>
    <w:unhideWhenUsed/>
    <w:qFormat/>
    <w:rsid w:val="00C9597C"/>
    <w:pPr>
      <w:keepNext/>
      <w:keepLines/>
      <w:spacing w:before="200" w:line="276" w:lineRule="auto"/>
      <w:outlineLvl w:val="1"/>
    </w:pPr>
    <w:rPr>
      <w:rFonts w:ascii="Cambria" w:eastAsia="Times New Roman" w:hAnsi="Cambria"/>
      <w:b/>
      <w:bCs/>
      <w:color w:val="4F81BD"/>
      <w:sz w:val="26"/>
      <w:szCs w:val="26"/>
      <w:lang w:val="en-US"/>
    </w:rPr>
  </w:style>
  <w:style w:type="paragraph" w:styleId="Heading3">
    <w:name w:val="heading 3"/>
    <w:basedOn w:val="Normal"/>
    <w:next w:val="Normal"/>
    <w:link w:val="Heading3Char"/>
    <w:unhideWhenUsed/>
    <w:qFormat/>
    <w:rsid w:val="00C9597C"/>
    <w:pPr>
      <w:keepNext/>
      <w:keepLines/>
      <w:spacing w:before="200"/>
      <w:jc w:val="both"/>
      <w:outlineLvl w:val="2"/>
    </w:pPr>
    <w:rPr>
      <w:rFonts w:ascii="Cambria" w:eastAsia="Times New Roman" w:hAnsi="Cambria"/>
      <w:b/>
      <w:bCs/>
      <w:color w:val="4F81BD"/>
    </w:rPr>
  </w:style>
  <w:style w:type="paragraph" w:styleId="Heading4">
    <w:name w:val="heading 4"/>
    <w:basedOn w:val="Normal"/>
    <w:next w:val="Normal"/>
    <w:link w:val="Heading4Char"/>
    <w:qFormat/>
    <w:rsid w:val="00C9597C"/>
    <w:pPr>
      <w:keepNext/>
      <w:keepLines/>
      <w:spacing w:before="240" w:after="40"/>
      <w:contextualSpacing/>
      <w:jc w:val="both"/>
      <w:outlineLvl w:val="3"/>
    </w:pPr>
    <w:rPr>
      <w:rFonts w:ascii="Times New Roman" w:eastAsia="Times New Roman" w:hAnsi="Times New Roman"/>
      <w:b/>
      <w:color w:val="000000"/>
      <w:lang w:val="en-IN" w:eastAsia="en-IN"/>
    </w:rPr>
  </w:style>
  <w:style w:type="paragraph" w:styleId="Heading5">
    <w:name w:val="heading 5"/>
    <w:basedOn w:val="Normal"/>
    <w:next w:val="Normal"/>
    <w:link w:val="Heading5Char"/>
    <w:qFormat/>
    <w:rsid w:val="00C9597C"/>
    <w:pPr>
      <w:spacing w:before="240" w:after="60"/>
      <w:outlineLvl w:val="4"/>
    </w:pPr>
    <w:rPr>
      <w:rFonts w:ascii="Times New Roman" w:eastAsia="Times New Roman" w:hAnsi="Times New Roman"/>
      <w:b/>
      <w:bCs/>
      <w:i/>
      <w:iCs/>
      <w:sz w:val="26"/>
      <w:szCs w:val="26"/>
      <w:lang w:val="en-US"/>
    </w:rPr>
  </w:style>
  <w:style w:type="paragraph" w:styleId="Heading6">
    <w:name w:val="heading 6"/>
    <w:basedOn w:val="Normal"/>
    <w:next w:val="Normal"/>
    <w:link w:val="Heading6Char"/>
    <w:qFormat/>
    <w:rsid w:val="00C9597C"/>
    <w:pPr>
      <w:keepNext/>
      <w:keepLines/>
      <w:spacing w:before="200" w:after="40"/>
      <w:contextualSpacing/>
      <w:jc w:val="both"/>
      <w:outlineLvl w:val="5"/>
    </w:pPr>
    <w:rPr>
      <w:rFonts w:ascii="Times New Roman" w:eastAsia="Times New Roman" w:hAnsi="Times New Roman"/>
      <w:b/>
      <w:color w:val="000000"/>
      <w:sz w:val="20"/>
      <w:szCs w:val="20"/>
      <w:lang w:val="en-IN" w:eastAsia="en-IN"/>
    </w:rPr>
  </w:style>
  <w:style w:type="paragraph" w:styleId="Heading7">
    <w:name w:val="heading 7"/>
    <w:basedOn w:val="Normal"/>
    <w:next w:val="Normal"/>
    <w:link w:val="Heading7Char"/>
    <w:qFormat/>
    <w:rsid w:val="00C9597C"/>
    <w:pPr>
      <w:spacing w:before="240" w:after="60"/>
      <w:outlineLvl w:val="6"/>
    </w:pPr>
    <w:rPr>
      <w:rFonts w:ascii="Times New Roman" w:eastAsia="Times New Roman" w:hAnsi="Times New Roman"/>
      <w:lang w:val="en-US"/>
    </w:rPr>
  </w:style>
  <w:style w:type="paragraph" w:styleId="Heading8">
    <w:name w:val="heading 8"/>
    <w:basedOn w:val="Normal"/>
    <w:next w:val="Normal"/>
    <w:uiPriority w:val="9"/>
    <w:unhideWhenUsed/>
    <w:qFormat/>
    <w:rsid w:val="003F3A95"/>
    <w:pPr>
      <w:tabs>
        <w:tab w:val="left" w:pos="5760"/>
      </w:tabs>
      <w:spacing w:before="240" w:after="60" w:line="259" w:lineRule="auto"/>
      <w:ind w:left="5760" w:hanging="720"/>
      <w:outlineLvl w:val="7"/>
    </w:pPr>
    <w:rPr>
      <w:rFonts w:asciiTheme="minorHAnsi" w:eastAsiaTheme="minorEastAsia" w:hAnsiTheme="minorHAnsi" w:cstheme="minorBidi"/>
      <w:i/>
      <w:iCs/>
      <w:lang w:val="en-US"/>
    </w:rPr>
  </w:style>
  <w:style w:type="paragraph" w:styleId="Heading9">
    <w:name w:val="heading 9"/>
    <w:basedOn w:val="Normal"/>
    <w:next w:val="Normal"/>
    <w:uiPriority w:val="9"/>
    <w:unhideWhenUsed/>
    <w:qFormat/>
    <w:rsid w:val="003F3A95"/>
    <w:pPr>
      <w:tabs>
        <w:tab w:val="left" w:pos="6480"/>
      </w:tabs>
      <w:spacing w:before="240" w:after="60" w:line="259" w:lineRule="auto"/>
      <w:ind w:left="6480" w:hanging="720"/>
      <w:outlineLvl w:val="8"/>
    </w:pPr>
    <w:rPr>
      <w:rFonts w:asciiTheme="majorHAnsi" w:eastAsiaTheme="majorEastAsia" w:hAnsiTheme="majorHAnsi" w:cstheme="majorBidi"/>
      <w:sz w:val="22"/>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Garamond Char"/>
    <w:basedOn w:val="DefaultParagraphFont"/>
    <w:link w:val="Heading1"/>
    <w:uiPriority w:val="9"/>
    <w:qFormat/>
    <w:rsid w:val="00C9597C"/>
    <w:rPr>
      <w:rFonts w:ascii="Garamond" w:eastAsia="Times New Roman" w:hAnsi="Garamond"/>
      <w:bCs/>
      <w:szCs w:val="28"/>
    </w:rPr>
  </w:style>
  <w:style w:type="character" w:customStyle="1" w:styleId="Heading2Char">
    <w:name w:val="Heading 2 Char"/>
    <w:basedOn w:val="DefaultParagraphFont"/>
    <w:link w:val="Heading2"/>
    <w:rsid w:val="00C9597C"/>
    <w:rPr>
      <w:rFonts w:ascii="Cambria" w:eastAsia="Times New Roman" w:hAnsi="Cambria"/>
      <w:b/>
      <w:bCs/>
      <w:color w:val="4F81BD"/>
      <w:sz w:val="26"/>
      <w:szCs w:val="26"/>
      <w:lang w:val="en-US"/>
    </w:rPr>
  </w:style>
  <w:style w:type="character" w:customStyle="1" w:styleId="Heading3Char">
    <w:name w:val="Heading 3 Char"/>
    <w:basedOn w:val="DefaultParagraphFont"/>
    <w:link w:val="Heading3"/>
    <w:qFormat/>
    <w:rsid w:val="00C9597C"/>
    <w:rPr>
      <w:rFonts w:ascii="Cambria" w:eastAsia="Times New Roman" w:hAnsi="Cambria"/>
      <w:b/>
      <w:bCs/>
      <w:color w:val="4F81BD"/>
    </w:rPr>
  </w:style>
  <w:style w:type="character" w:customStyle="1" w:styleId="Heading4Char">
    <w:name w:val="Heading 4 Char"/>
    <w:basedOn w:val="DefaultParagraphFont"/>
    <w:link w:val="Heading4"/>
    <w:rsid w:val="00C9597C"/>
    <w:rPr>
      <w:rFonts w:ascii="Times New Roman" w:eastAsia="Times New Roman" w:hAnsi="Times New Roman"/>
      <w:b/>
      <w:color w:val="000000"/>
      <w:lang w:val="en-IN" w:eastAsia="en-IN"/>
    </w:rPr>
  </w:style>
  <w:style w:type="character" w:customStyle="1" w:styleId="Heading5Char">
    <w:name w:val="Heading 5 Char"/>
    <w:basedOn w:val="DefaultParagraphFont"/>
    <w:link w:val="Heading5"/>
    <w:rsid w:val="00C9597C"/>
    <w:rPr>
      <w:rFonts w:ascii="Times New Roman" w:eastAsia="Times New Roman" w:hAnsi="Times New Roman"/>
      <w:b/>
      <w:bCs/>
      <w:i/>
      <w:iCs/>
      <w:sz w:val="26"/>
      <w:szCs w:val="26"/>
      <w:lang w:val="en-US"/>
    </w:rPr>
  </w:style>
  <w:style w:type="character" w:customStyle="1" w:styleId="Heading6Char">
    <w:name w:val="Heading 6 Char"/>
    <w:basedOn w:val="DefaultParagraphFont"/>
    <w:link w:val="Heading6"/>
    <w:rsid w:val="00C9597C"/>
    <w:rPr>
      <w:rFonts w:ascii="Times New Roman" w:eastAsia="Times New Roman" w:hAnsi="Times New Roman"/>
      <w:b/>
      <w:color w:val="000000"/>
      <w:sz w:val="20"/>
      <w:szCs w:val="20"/>
      <w:lang w:val="en-IN" w:eastAsia="en-IN"/>
    </w:rPr>
  </w:style>
  <w:style w:type="character" w:customStyle="1" w:styleId="Heading7Char">
    <w:name w:val="Heading 7 Char"/>
    <w:basedOn w:val="DefaultParagraphFont"/>
    <w:link w:val="Heading7"/>
    <w:qFormat/>
    <w:rsid w:val="00C9597C"/>
    <w:rPr>
      <w:rFonts w:ascii="Times New Roman" w:eastAsia="Times New Roman" w:hAnsi="Times New Roman"/>
      <w:lang w:val="en-US"/>
    </w:rPr>
  </w:style>
  <w:style w:type="paragraph" w:styleId="ListParagraph">
    <w:name w:val="List Paragraph"/>
    <w:aliases w:val="lp1,elenco"/>
    <w:basedOn w:val="Normal"/>
    <w:link w:val="ListParagraphChar"/>
    <w:uiPriority w:val="34"/>
    <w:qFormat/>
    <w:rsid w:val="00C9597C"/>
    <w:pPr>
      <w:spacing w:after="200" w:line="276" w:lineRule="auto"/>
      <w:ind w:left="720"/>
      <w:contextualSpacing/>
    </w:pPr>
    <w:rPr>
      <w:rFonts w:ascii="Calibri" w:eastAsia="Calibri" w:hAnsi="Calibri"/>
      <w:sz w:val="20"/>
      <w:szCs w:val="20"/>
      <w:lang w:val="en-US"/>
    </w:rPr>
  </w:style>
  <w:style w:type="paragraph" w:customStyle="1" w:styleId="Default">
    <w:name w:val="Default"/>
    <w:rsid w:val="00C9597C"/>
    <w:pPr>
      <w:autoSpaceDE w:val="0"/>
      <w:autoSpaceDN w:val="0"/>
      <w:adjustRightInd w:val="0"/>
    </w:pPr>
    <w:rPr>
      <w:rFonts w:ascii="Arial" w:eastAsia="Calibri" w:hAnsi="Arial" w:cs="Arial"/>
      <w:color w:val="000000"/>
      <w:lang w:val="en-US"/>
    </w:rPr>
  </w:style>
  <w:style w:type="paragraph" w:styleId="BalloonText">
    <w:name w:val="Balloon Text"/>
    <w:basedOn w:val="Normal"/>
    <w:link w:val="BalloonTextChar"/>
    <w:uiPriority w:val="99"/>
    <w:unhideWhenUsed/>
    <w:qFormat/>
    <w:rsid w:val="00C9597C"/>
    <w:rPr>
      <w:rFonts w:ascii="Tahoma" w:eastAsia="Calibri" w:hAnsi="Tahoma"/>
      <w:sz w:val="16"/>
      <w:szCs w:val="16"/>
      <w:lang w:val="en-US"/>
    </w:rPr>
  </w:style>
  <w:style w:type="character" w:customStyle="1" w:styleId="BalloonTextChar">
    <w:name w:val="Balloon Text Char"/>
    <w:basedOn w:val="DefaultParagraphFont"/>
    <w:link w:val="BalloonText"/>
    <w:uiPriority w:val="99"/>
    <w:rsid w:val="00C9597C"/>
    <w:rPr>
      <w:rFonts w:ascii="Tahoma" w:eastAsia="Calibri" w:hAnsi="Tahoma"/>
      <w:sz w:val="16"/>
      <w:szCs w:val="16"/>
      <w:lang w:val="en-US"/>
    </w:rPr>
  </w:style>
  <w:style w:type="paragraph" w:styleId="Title">
    <w:name w:val="Title"/>
    <w:basedOn w:val="Normal"/>
    <w:link w:val="TitleChar"/>
    <w:qFormat/>
    <w:rsid w:val="00C9597C"/>
    <w:pPr>
      <w:jc w:val="center"/>
    </w:pPr>
    <w:rPr>
      <w:rFonts w:ascii="Times New Roman" w:eastAsia="Times New Roman" w:hAnsi="Times New Roman"/>
      <w:b/>
      <w:u w:val="single"/>
      <w:lang w:val="en-US"/>
    </w:rPr>
  </w:style>
  <w:style w:type="character" w:customStyle="1" w:styleId="TitleChar">
    <w:name w:val="Title Char"/>
    <w:basedOn w:val="DefaultParagraphFont"/>
    <w:link w:val="Title"/>
    <w:rsid w:val="00C9597C"/>
    <w:rPr>
      <w:rFonts w:ascii="Times New Roman" w:eastAsia="Times New Roman" w:hAnsi="Times New Roman"/>
      <w:b/>
      <w:u w:val="single"/>
      <w:lang w:val="en-US"/>
    </w:rPr>
  </w:style>
  <w:style w:type="paragraph" w:styleId="Header">
    <w:name w:val="header"/>
    <w:basedOn w:val="Normal"/>
    <w:link w:val="HeaderChar"/>
    <w:uiPriority w:val="99"/>
    <w:qFormat/>
    <w:rsid w:val="00C9597C"/>
    <w:pPr>
      <w:tabs>
        <w:tab w:val="center" w:pos="4320"/>
        <w:tab w:val="right" w:pos="8640"/>
      </w:tabs>
    </w:pPr>
    <w:rPr>
      <w:rFonts w:ascii="Times New Roman" w:eastAsia="Times New Roman" w:hAnsi="Times New Roman"/>
      <w:szCs w:val="20"/>
      <w:lang w:val="en-US"/>
    </w:rPr>
  </w:style>
  <w:style w:type="character" w:customStyle="1" w:styleId="HeaderChar">
    <w:name w:val="Header Char"/>
    <w:basedOn w:val="DefaultParagraphFont"/>
    <w:link w:val="Header"/>
    <w:uiPriority w:val="99"/>
    <w:rsid w:val="00C9597C"/>
    <w:rPr>
      <w:rFonts w:ascii="Times New Roman" w:eastAsia="Times New Roman" w:hAnsi="Times New Roman"/>
      <w:szCs w:val="20"/>
      <w:lang w:val="en-US"/>
    </w:rPr>
  </w:style>
  <w:style w:type="paragraph" w:styleId="NoSpacing">
    <w:name w:val="No Spacing"/>
    <w:link w:val="NoSpacingChar"/>
    <w:uiPriority w:val="1"/>
    <w:qFormat/>
    <w:rsid w:val="00C9597C"/>
    <w:rPr>
      <w:rFonts w:ascii="Calibri" w:eastAsia="Calibri" w:hAnsi="Calibri"/>
      <w:sz w:val="22"/>
      <w:szCs w:val="22"/>
      <w:lang w:val="en-US"/>
    </w:rPr>
  </w:style>
  <w:style w:type="character" w:customStyle="1" w:styleId="NoSpacingChar">
    <w:name w:val="No Spacing Char"/>
    <w:link w:val="NoSpacing"/>
    <w:uiPriority w:val="1"/>
    <w:rsid w:val="00C9597C"/>
    <w:rPr>
      <w:rFonts w:ascii="Calibri" w:eastAsia="Calibri" w:hAnsi="Calibri"/>
      <w:sz w:val="22"/>
      <w:szCs w:val="22"/>
      <w:lang w:val="en-US"/>
    </w:rPr>
  </w:style>
  <w:style w:type="character" w:customStyle="1" w:styleId="apple-style-span">
    <w:name w:val="apple-style-span"/>
    <w:basedOn w:val="DefaultParagraphFont"/>
    <w:rsid w:val="00C9597C"/>
  </w:style>
  <w:style w:type="character" w:customStyle="1" w:styleId="apple-converted-space">
    <w:name w:val="apple-converted-space"/>
    <w:basedOn w:val="DefaultParagraphFont"/>
    <w:rsid w:val="00C9597C"/>
  </w:style>
  <w:style w:type="character" w:styleId="Strong">
    <w:name w:val="Strong"/>
    <w:uiPriority w:val="22"/>
    <w:qFormat/>
    <w:rsid w:val="00C9597C"/>
    <w:rPr>
      <w:b/>
      <w:bCs/>
    </w:rPr>
  </w:style>
  <w:style w:type="paragraph" w:styleId="Caption">
    <w:name w:val="caption"/>
    <w:basedOn w:val="Normal"/>
    <w:next w:val="Normal"/>
    <w:uiPriority w:val="35"/>
    <w:unhideWhenUsed/>
    <w:qFormat/>
    <w:rsid w:val="00C9597C"/>
    <w:pPr>
      <w:spacing w:after="200"/>
    </w:pPr>
    <w:rPr>
      <w:rFonts w:ascii="Calibri" w:eastAsia="Calibri" w:hAnsi="Calibri"/>
      <w:b/>
      <w:bCs/>
      <w:color w:val="4F81BD"/>
      <w:sz w:val="18"/>
      <w:szCs w:val="18"/>
      <w:lang w:val="en-US"/>
    </w:rPr>
  </w:style>
  <w:style w:type="paragraph" w:customStyle="1" w:styleId="CM10">
    <w:name w:val="CM10"/>
    <w:basedOn w:val="Default"/>
    <w:next w:val="Default"/>
    <w:uiPriority w:val="99"/>
    <w:rsid w:val="00C9597C"/>
    <w:pPr>
      <w:widowControl w:val="0"/>
      <w:spacing w:after="268"/>
    </w:pPr>
    <w:rPr>
      <w:rFonts w:ascii="AWCDV-Prakash" w:eastAsia="Times New Roman" w:hAnsi="AWCDV-Prakash" w:cs="Times New Roman"/>
      <w:color w:val="auto"/>
    </w:rPr>
  </w:style>
  <w:style w:type="paragraph" w:customStyle="1" w:styleId="CM4">
    <w:name w:val="CM4"/>
    <w:basedOn w:val="Default"/>
    <w:next w:val="Default"/>
    <w:uiPriority w:val="99"/>
    <w:rsid w:val="00C9597C"/>
    <w:pPr>
      <w:widowControl w:val="0"/>
      <w:spacing w:line="391" w:lineRule="atLeast"/>
    </w:pPr>
    <w:rPr>
      <w:rFonts w:ascii="AWCDV-Prakash" w:eastAsia="Times New Roman" w:hAnsi="AWCDV-Prakash" w:cs="Times New Roman"/>
      <w:color w:val="auto"/>
    </w:rPr>
  </w:style>
  <w:style w:type="paragraph" w:customStyle="1" w:styleId="CM14">
    <w:name w:val="CM14"/>
    <w:basedOn w:val="Default"/>
    <w:next w:val="Default"/>
    <w:uiPriority w:val="99"/>
    <w:rsid w:val="00C9597C"/>
    <w:pPr>
      <w:widowControl w:val="0"/>
      <w:spacing w:after="128"/>
    </w:pPr>
    <w:rPr>
      <w:rFonts w:ascii="AWCDV-Prakash" w:eastAsia="Times New Roman" w:hAnsi="AWCDV-Prakash" w:cs="Times New Roman"/>
      <w:color w:val="auto"/>
    </w:rPr>
  </w:style>
  <w:style w:type="paragraph" w:customStyle="1" w:styleId="CM6">
    <w:name w:val="CM6"/>
    <w:basedOn w:val="Default"/>
    <w:next w:val="Default"/>
    <w:uiPriority w:val="99"/>
    <w:rsid w:val="00C9597C"/>
    <w:pPr>
      <w:widowControl w:val="0"/>
      <w:spacing w:line="391" w:lineRule="atLeast"/>
    </w:pPr>
    <w:rPr>
      <w:rFonts w:ascii="AWCDV-Prakash" w:eastAsia="Times New Roman" w:hAnsi="AWCDV-Prakash" w:cs="Times New Roman"/>
      <w:color w:val="auto"/>
    </w:rPr>
  </w:style>
  <w:style w:type="paragraph" w:customStyle="1" w:styleId="CM8">
    <w:name w:val="CM8"/>
    <w:basedOn w:val="Default"/>
    <w:next w:val="Default"/>
    <w:uiPriority w:val="99"/>
    <w:rsid w:val="00C9597C"/>
    <w:pPr>
      <w:widowControl w:val="0"/>
      <w:spacing w:line="391" w:lineRule="atLeast"/>
    </w:pPr>
    <w:rPr>
      <w:rFonts w:ascii="AWCDV-Prakash" w:eastAsia="Times New Roman" w:hAnsi="AWCDV-Prakash" w:cs="Times New Roman"/>
      <w:color w:val="auto"/>
    </w:rPr>
  </w:style>
  <w:style w:type="paragraph" w:styleId="NormalWeb">
    <w:name w:val="Normal (Web)"/>
    <w:basedOn w:val="Normal"/>
    <w:uiPriority w:val="99"/>
    <w:qFormat/>
    <w:rsid w:val="00C9597C"/>
    <w:pPr>
      <w:spacing w:before="100" w:beforeAutospacing="1" w:after="100" w:afterAutospacing="1"/>
    </w:pPr>
    <w:rPr>
      <w:rFonts w:ascii="Times New Roman" w:eastAsia="Times New Roman" w:hAnsi="Times New Roman"/>
      <w:lang w:val="en-US"/>
    </w:rPr>
  </w:style>
  <w:style w:type="character" w:styleId="Emphasis">
    <w:name w:val="Emphasis"/>
    <w:uiPriority w:val="20"/>
    <w:qFormat/>
    <w:rsid w:val="00C9597C"/>
    <w:rPr>
      <w:i/>
      <w:iCs/>
    </w:rPr>
  </w:style>
  <w:style w:type="character" w:styleId="Hyperlink">
    <w:name w:val="Hyperlink"/>
    <w:uiPriority w:val="99"/>
    <w:unhideWhenUsed/>
    <w:rsid w:val="00C9597C"/>
    <w:rPr>
      <w:color w:val="0000FF"/>
      <w:u w:val="single"/>
    </w:rPr>
  </w:style>
  <w:style w:type="paragraph" w:styleId="Footer">
    <w:name w:val="footer"/>
    <w:basedOn w:val="Normal"/>
    <w:link w:val="FooterChar"/>
    <w:uiPriority w:val="99"/>
    <w:unhideWhenUsed/>
    <w:qFormat/>
    <w:rsid w:val="00C9597C"/>
    <w:pPr>
      <w:tabs>
        <w:tab w:val="center" w:pos="4680"/>
        <w:tab w:val="right" w:pos="9360"/>
      </w:tabs>
    </w:pPr>
    <w:rPr>
      <w:rFonts w:ascii="Calibri" w:eastAsia="Calibri" w:hAnsi="Calibri"/>
      <w:sz w:val="20"/>
      <w:szCs w:val="20"/>
      <w:lang w:val="en-US"/>
    </w:rPr>
  </w:style>
  <w:style w:type="character" w:customStyle="1" w:styleId="FooterChar">
    <w:name w:val="Footer Char"/>
    <w:basedOn w:val="DefaultParagraphFont"/>
    <w:link w:val="Footer"/>
    <w:uiPriority w:val="99"/>
    <w:rsid w:val="00C9597C"/>
    <w:rPr>
      <w:rFonts w:ascii="Calibri" w:eastAsia="Calibri" w:hAnsi="Calibri"/>
      <w:sz w:val="20"/>
      <w:szCs w:val="20"/>
      <w:lang w:val="en-US"/>
    </w:rPr>
  </w:style>
  <w:style w:type="table" w:styleId="TableGrid">
    <w:name w:val="Table Grid"/>
    <w:basedOn w:val="TableNormal"/>
    <w:uiPriority w:val="5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EndnoteText">
    <w:name w:val="endnote text"/>
    <w:basedOn w:val="Normal"/>
    <w:link w:val="EndnoteTextChar"/>
    <w:uiPriority w:val="99"/>
    <w:unhideWhenUsed/>
    <w:qFormat/>
    <w:rsid w:val="00C9597C"/>
    <w:rPr>
      <w:rFonts w:ascii="Calibri" w:eastAsia="Calibri" w:hAnsi="Calibri"/>
      <w:sz w:val="20"/>
      <w:szCs w:val="20"/>
      <w:lang w:val="en-US"/>
    </w:rPr>
  </w:style>
  <w:style w:type="character" w:customStyle="1" w:styleId="EndnoteTextChar">
    <w:name w:val="Endnote Text Char"/>
    <w:basedOn w:val="DefaultParagraphFont"/>
    <w:link w:val="EndnoteText"/>
    <w:uiPriority w:val="99"/>
    <w:rsid w:val="00C9597C"/>
    <w:rPr>
      <w:rFonts w:ascii="Calibri" w:eastAsia="Calibri" w:hAnsi="Calibri"/>
      <w:sz w:val="20"/>
      <w:szCs w:val="20"/>
      <w:lang w:val="en-US"/>
    </w:rPr>
  </w:style>
  <w:style w:type="character" w:styleId="EndnoteReference">
    <w:name w:val="endnote reference"/>
    <w:uiPriority w:val="99"/>
    <w:unhideWhenUsed/>
    <w:qFormat/>
    <w:rsid w:val="00C9597C"/>
    <w:rPr>
      <w:vertAlign w:val="superscript"/>
    </w:rPr>
  </w:style>
  <w:style w:type="paragraph" w:styleId="FootnoteText">
    <w:name w:val="footnote text"/>
    <w:basedOn w:val="Normal"/>
    <w:link w:val="FootnoteTextChar"/>
    <w:uiPriority w:val="99"/>
    <w:unhideWhenUsed/>
    <w:qFormat/>
    <w:rsid w:val="00C9597C"/>
    <w:rPr>
      <w:rFonts w:ascii="Calibri" w:eastAsia="Calibri" w:hAnsi="Calibri"/>
      <w:sz w:val="20"/>
      <w:szCs w:val="20"/>
      <w:lang w:val="en-US"/>
    </w:rPr>
  </w:style>
  <w:style w:type="character" w:customStyle="1" w:styleId="FootnoteTextChar">
    <w:name w:val="Footnote Text Char"/>
    <w:basedOn w:val="DefaultParagraphFont"/>
    <w:link w:val="FootnoteText"/>
    <w:uiPriority w:val="99"/>
    <w:rsid w:val="00C9597C"/>
    <w:rPr>
      <w:rFonts w:ascii="Calibri" w:eastAsia="Calibri" w:hAnsi="Calibri"/>
      <w:sz w:val="20"/>
      <w:szCs w:val="20"/>
      <w:lang w:val="en-US"/>
    </w:rPr>
  </w:style>
  <w:style w:type="character" w:styleId="FootnoteReference">
    <w:name w:val="footnote reference"/>
    <w:uiPriority w:val="99"/>
    <w:unhideWhenUsed/>
    <w:rsid w:val="00C9597C"/>
    <w:rPr>
      <w:vertAlign w:val="superscript"/>
    </w:rPr>
  </w:style>
  <w:style w:type="character" w:customStyle="1" w:styleId="spelle">
    <w:name w:val="spelle"/>
    <w:basedOn w:val="DefaultParagraphFont"/>
    <w:rsid w:val="00C9597C"/>
  </w:style>
  <w:style w:type="character" w:customStyle="1" w:styleId="grame">
    <w:name w:val="grame"/>
    <w:basedOn w:val="DefaultParagraphFont"/>
    <w:rsid w:val="00C9597C"/>
  </w:style>
  <w:style w:type="paragraph" w:styleId="BodyTextIndent">
    <w:name w:val="Body Text Indent"/>
    <w:basedOn w:val="Normal"/>
    <w:link w:val="BodyTextIndentChar"/>
    <w:uiPriority w:val="99"/>
    <w:unhideWhenUsed/>
    <w:qFormat/>
    <w:rsid w:val="00C9597C"/>
    <w:pPr>
      <w:spacing w:before="100" w:beforeAutospacing="1" w:after="100" w:afterAutospacing="1"/>
    </w:pPr>
    <w:rPr>
      <w:rFonts w:ascii="Times New Roman" w:eastAsia="Times New Roman" w:hAnsi="Times New Roman"/>
      <w:lang w:val="en-US"/>
    </w:rPr>
  </w:style>
  <w:style w:type="character" w:customStyle="1" w:styleId="BodyTextIndentChar">
    <w:name w:val="Body Text Indent Char"/>
    <w:basedOn w:val="DefaultParagraphFont"/>
    <w:link w:val="BodyTextIndent"/>
    <w:uiPriority w:val="99"/>
    <w:rsid w:val="00C9597C"/>
    <w:rPr>
      <w:rFonts w:ascii="Times New Roman" w:eastAsia="Times New Roman" w:hAnsi="Times New Roman"/>
      <w:lang w:val="en-US"/>
    </w:rPr>
  </w:style>
  <w:style w:type="paragraph" w:customStyle="1" w:styleId="listparagraph0">
    <w:name w:val="listparagraph"/>
    <w:basedOn w:val="Normal"/>
    <w:rsid w:val="00C9597C"/>
    <w:pPr>
      <w:spacing w:before="100" w:beforeAutospacing="1" w:after="100" w:afterAutospacing="1"/>
    </w:pPr>
    <w:rPr>
      <w:rFonts w:ascii="Times New Roman" w:eastAsia="Times New Roman" w:hAnsi="Times New Roman"/>
      <w:lang w:val="en-US"/>
    </w:rPr>
  </w:style>
  <w:style w:type="paragraph" w:customStyle="1" w:styleId="listparagraphcxspmiddle">
    <w:name w:val="listparagraphcxspmiddle"/>
    <w:basedOn w:val="Normal"/>
    <w:rsid w:val="00C9597C"/>
    <w:pPr>
      <w:spacing w:before="100" w:beforeAutospacing="1" w:after="100" w:afterAutospacing="1"/>
    </w:pPr>
    <w:rPr>
      <w:rFonts w:ascii="Times New Roman" w:eastAsia="Times New Roman" w:hAnsi="Times New Roman"/>
      <w:lang w:val="en-US"/>
    </w:rPr>
  </w:style>
  <w:style w:type="paragraph" w:customStyle="1" w:styleId="listparagraphcxsplast">
    <w:name w:val="listparagraphcxsplast"/>
    <w:basedOn w:val="Normal"/>
    <w:rsid w:val="00C9597C"/>
    <w:pPr>
      <w:spacing w:before="100" w:beforeAutospacing="1" w:after="100" w:afterAutospacing="1"/>
    </w:pPr>
    <w:rPr>
      <w:rFonts w:ascii="Times New Roman" w:eastAsia="Times New Roman" w:hAnsi="Times New Roman"/>
      <w:lang w:val="en-US"/>
    </w:rPr>
  </w:style>
  <w:style w:type="paragraph" w:customStyle="1" w:styleId="style3">
    <w:name w:val="style3"/>
    <w:basedOn w:val="Normal"/>
    <w:rsid w:val="00C9597C"/>
    <w:pPr>
      <w:spacing w:before="100" w:beforeAutospacing="1" w:after="100" w:afterAutospacing="1"/>
    </w:pPr>
    <w:rPr>
      <w:rFonts w:ascii="Arial" w:eastAsia="Times New Roman" w:hAnsi="Arial" w:cs="Arial"/>
      <w:sz w:val="21"/>
      <w:szCs w:val="21"/>
      <w:lang w:val="en-US"/>
    </w:rPr>
  </w:style>
  <w:style w:type="paragraph" w:customStyle="1" w:styleId="style15">
    <w:name w:val="style15"/>
    <w:basedOn w:val="Normal"/>
    <w:rsid w:val="00C9597C"/>
    <w:pPr>
      <w:spacing w:before="100" w:beforeAutospacing="1" w:after="100" w:afterAutospacing="1"/>
    </w:pPr>
    <w:rPr>
      <w:rFonts w:ascii="Arial" w:eastAsia="Times New Roman" w:hAnsi="Arial" w:cs="Arial"/>
      <w:sz w:val="23"/>
      <w:szCs w:val="23"/>
      <w:lang w:val="en-US"/>
    </w:rPr>
  </w:style>
  <w:style w:type="character" w:styleId="FollowedHyperlink">
    <w:name w:val="FollowedHyperlink"/>
    <w:uiPriority w:val="99"/>
    <w:unhideWhenUsed/>
    <w:rsid w:val="00C9597C"/>
    <w:rPr>
      <w:color w:val="800080"/>
      <w:u w:val="single"/>
    </w:rPr>
  </w:style>
  <w:style w:type="character" w:customStyle="1" w:styleId="style151">
    <w:name w:val="style151"/>
    <w:rsid w:val="00C9597C"/>
    <w:rPr>
      <w:rFonts w:ascii="Arial" w:hAnsi="Arial" w:cs="Arial" w:hint="default"/>
      <w:sz w:val="23"/>
      <w:szCs w:val="23"/>
    </w:rPr>
  </w:style>
  <w:style w:type="paragraph" w:customStyle="1" w:styleId="style17">
    <w:name w:val="style17"/>
    <w:basedOn w:val="Normal"/>
    <w:rsid w:val="00C9597C"/>
    <w:pPr>
      <w:spacing w:before="100" w:beforeAutospacing="1" w:after="100" w:afterAutospacing="1"/>
    </w:pPr>
    <w:rPr>
      <w:rFonts w:ascii="Arial" w:eastAsia="Times New Roman" w:hAnsi="Arial" w:cs="Arial"/>
      <w:sz w:val="27"/>
      <w:szCs w:val="27"/>
      <w:lang w:val="en-US"/>
    </w:rPr>
  </w:style>
  <w:style w:type="character" w:customStyle="1" w:styleId="style171">
    <w:name w:val="style171"/>
    <w:rsid w:val="00C9597C"/>
    <w:rPr>
      <w:rFonts w:ascii="Arial" w:hAnsi="Arial" w:cs="Arial" w:hint="default"/>
      <w:sz w:val="27"/>
      <w:szCs w:val="27"/>
    </w:rPr>
  </w:style>
  <w:style w:type="character" w:customStyle="1" w:styleId="style141">
    <w:name w:val="style141"/>
    <w:rsid w:val="00C9597C"/>
    <w:rPr>
      <w:rFonts w:ascii="Arial" w:hAnsi="Arial" w:cs="Arial" w:hint="default"/>
      <w:sz w:val="27"/>
      <w:szCs w:val="27"/>
    </w:rPr>
  </w:style>
  <w:style w:type="character" w:customStyle="1" w:styleId="style161">
    <w:name w:val="style161"/>
    <w:rsid w:val="00C9597C"/>
    <w:rPr>
      <w:color w:val="000000"/>
    </w:rPr>
  </w:style>
  <w:style w:type="paragraph" w:customStyle="1" w:styleId="style22">
    <w:name w:val="style22"/>
    <w:basedOn w:val="Normal"/>
    <w:rsid w:val="00C9597C"/>
    <w:pPr>
      <w:spacing w:before="100" w:beforeAutospacing="1" w:after="100" w:afterAutospacing="1"/>
    </w:pPr>
    <w:rPr>
      <w:rFonts w:ascii="Arial" w:eastAsia="Times New Roman" w:hAnsi="Arial" w:cs="Arial"/>
      <w:sz w:val="22"/>
      <w:szCs w:val="22"/>
      <w:lang w:val="en-US"/>
    </w:rPr>
  </w:style>
  <w:style w:type="paragraph" w:customStyle="1" w:styleId="CharCharCharCharCharCharCharCharCharCharCharCharCharCharCharCharCharCharCharCharChar">
    <w:name w:val="Char Char Char Char Char Char Char Char Char Char Char Char Char Char Char Char Char Char Char Char Char"/>
    <w:basedOn w:val="Normal"/>
    <w:rsid w:val="00C9597C"/>
    <w:pPr>
      <w:spacing w:after="160" w:line="240" w:lineRule="exact"/>
    </w:pPr>
    <w:rPr>
      <w:rFonts w:ascii="Verdana" w:eastAsia="Times New Roman" w:hAnsi="Verdana"/>
      <w:sz w:val="20"/>
      <w:szCs w:val="20"/>
      <w:lang w:val="en-US"/>
    </w:rPr>
  </w:style>
  <w:style w:type="character" w:customStyle="1" w:styleId="style221">
    <w:name w:val="style221"/>
    <w:rsid w:val="00C9597C"/>
    <w:rPr>
      <w:rFonts w:ascii="Arial" w:hAnsi="Arial" w:cs="Arial" w:hint="default"/>
      <w:sz w:val="22"/>
      <w:szCs w:val="22"/>
    </w:rPr>
  </w:style>
  <w:style w:type="paragraph" w:customStyle="1" w:styleId="style32">
    <w:name w:val="style32"/>
    <w:basedOn w:val="Normal"/>
    <w:rsid w:val="00C9597C"/>
    <w:pPr>
      <w:spacing w:before="100" w:beforeAutospacing="1" w:after="100" w:afterAutospacing="1"/>
    </w:pPr>
    <w:rPr>
      <w:rFonts w:ascii="Arial" w:eastAsia="Times New Roman" w:hAnsi="Arial" w:cs="Arial"/>
      <w:lang w:val="en-US"/>
    </w:rPr>
  </w:style>
  <w:style w:type="character" w:customStyle="1" w:styleId="style311">
    <w:name w:val="style311"/>
    <w:qFormat/>
    <w:rsid w:val="00C9597C"/>
    <w:rPr>
      <w:sz w:val="24"/>
      <w:szCs w:val="24"/>
    </w:rPr>
  </w:style>
  <w:style w:type="character" w:customStyle="1" w:styleId="style331">
    <w:name w:val="style331"/>
    <w:rsid w:val="00C9597C"/>
    <w:rPr>
      <w:rFonts w:ascii="Calibri" w:hAnsi="Calibri" w:cs="Calibri" w:hint="default"/>
      <w:sz w:val="27"/>
      <w:szCs w:val="27"/>
    </w:rPr>
  </w:style>
  <w:style w:type="character" w:customStyle="1" w:styleId="style31">
    <w:name w:val="style31"/>
    <w:basedOn w:val="DefaultParagraphFont"/>
    <w:rsid w:val="00C9597C"/>
  </w:style>
  <w:style w:type="character" w:customStyle="1" w:styleId="style37">
    <w:name w:val="style37"/>
    <w:basedOn w:val="DefaultParagraphFont"/>
    <w:rsid w:val="00C9597C"/>
  </w:style>
  <w:style w:type="table" w:styleId="MediumGrid3-Accent1">
    <w:name w:val="Medium Grid 3 Accent 1"/>
    <w:basedOn w:val="TableNormal"/>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paragraph" w:customStyle="1" w:styleId="body">
    <w:name w:val="body"/>
    <w:basedOn w:val="Normal"/>
    <w:rsid w:val="00C9597C"/>
    <w:pPr>
      <w:spacing w:before="100" w:beforeAutospacing="1" w:after="100" w:afterAutospacing="1"/>
      <w:jc w:val="both"/>
    </w:pPr>
    <w:rPr>
      <w:rFonts w:ascii="Times New Roman" w:eastAsia="Times New Roman" w:hAnsi="Times New Roman"/>
      <w:lang w:eastAsia="en-GB"/>
    </w:rPr>
  </w:style>
  <w:style w:type="paragraph" w:customStyle="1" w:styleId="default0">
    <w:name w:val="default"/>
    <w:basedOn w:val="Normal"/>
    <w:rsid w:val="00C9597C"/>
    <w:pPr>
      <w:spacing w:before="100" w:beforeAutospacing="1" w:after="100" w:afterAutospacing="1"/>
    </w:pPr>
    <w:rPr>
      <w:rFonts w:ascii="Times New Roman" w:eastAsia="Times New Roman" w:hAnsi="Times New Roman"/>
      <w:lang w:val="en-US"/>
    </w:rPr>
  </w:style>
  <w:style w:type="paragraph" w:customStyle="1" w:styleId="style34">
    <w:name w:val="style34"/>
    <w:basedOn w:val="Normal"/>
    <w:uiPriority w:val="99"/>
    <w:rsid w:val="00C9597C"/>
    <w:pPr>
      <w:spacing w:before="100" w:beforeAutospacing="1" w:after="100" w:afterAutospacing="1"/>
    </w:pPr>
    <w:rPr>
      <w:rFonts w:ascii="Times New Roman" w:eastAsia="Calibri" w:hAnsi="Times New Roman"/>
      <w:lang w:val="en-US"/>
    </w:rPr>
  </w:style>
  <w:style w:type="paragraph" w:customStyle="1" w:styleId="style361">
    <w:name w:val="style361"/>
    <w:basedOn w:val="Normal"/>
    <w:uiPriority w:val="99"/>
    <w:rsid w:val="00C9597C"/>
    <w:pPr>
      <w:spacing w:before="100" w:beforeAutospacing="1" w:after="100" w:afterAutospacing="1"/>
    </w:pPr>
    <w:rPr>
      <w:rFonts w:ascii="Times New Roman" w:eastAsia="Calibri" w:hAnsi="Times New Roman"/>
      <w:lang w:val="en-US"/>
    </w:rPr>
  </w:style>
  <w:style w:type="character" w:customStyle="1" w:styleId="style36">
    <w:name w:val="style36"/>
    <w:basedOn w:val="DefaultParagraphFont"/>
    <w:rsid w:val="00C9597C"/>
  </w:style>
  <w:style w:type="character" w:styleId="CommentReference">
    <w:name w:val="annotation reference"/>
    <w:uiPriority w:val="99"/>
    <w:unhideWhenUsed/>
    <w:qFormat/>
    <w:rsid w:val="00C9597C"/>
    <w:rPr>
      <w:sz w:val="16"/>
      <w:szCs w:val="16"/>
    </w:rPr>
  </w:style>
  <w:style w:type="paragraph" w:styleId="CommentText">
    <w:name w:val="annotation text"/>
    <w:basedOn w:val="Normal"/>
    <w:link w:val="CommentTextChar"/>
    <w:uiPriority w:val="99"/>
    <w:unhideWhenUsed/>
    <w:qFormat/>
    <w:rsid w:val="00C9597C"/>
    <w:pPr>
      <w:spacing w:after="200"/>
    </w:pPr>
    <w:rPr>
      <w:rFonts w:ascii="Calibri" w:eastAsia="Calibri" w:hAnsi="Calibri"/>
      <w:sz w:val="20"/>
      <w:szCs w:val="20"/>
      <w:lang w:val="en-US"/>
    </w:rPr>
  </w:style>
  <w:style w:type="character" w:customStyle="1" w:styleId="CommentTextChar">
    <w:name w:val="Comment Text Char"/>
    <w:basedOn w:val="DefaultParagraphFont"/>
    <w:link w:val="CommentText"/>
    <w:uiPriority w:val="99"/>
    <w:rsid w:val="00C9597C"/>
    <w:rPr>
      <w:rFonts w:ascii="Calibri" w:eastAsia="Calibri" w:hAnsi="Calibri"/>
      <w:sz w:val="20"/>
      <w:szCs w:val="20"/>
      <w:lang w:val="en-US"/>
    </w:rPr>
  </w:style>
  <w:style w:type="paragraph" w:styleId="CommentSubject">
    <w:name w:val="annotation subject"/>
    <w:basedOn w:val="CommentText"/>
    <w:next w:val="CommentText"/>
    <w:link w:val="CommentSubjectChar"/>
    <w:uiPriority w:val="99"/>
    <w:unhideWhenUsed/>
    <w:qFormat/>
    <w:rsid w:val="00C9597C"/>
    <w:rPr>
      <w:b/>
      <w:bCs/>
    </w:rPr>
  </w:style>
  <w:style w:type="character" w:customStyle="1" w:styleId="CommentSubjectChar">
    <w:name w:val="Comment Subject Char"/>
    <w:basedOn w:val="CommentTextChar"/>
    <w:link w:val="CommentSubject"/>
    <w:uiPriority w:val="99"/>
    <w:rsid w:val="00C9597C"/>
    <w:rPr>
      <w:rFonts w:ascii="Calibri" w:eastAsia="Calibri" w:hAnsi="Calibri"/>
      <w:b/>
      <w:bCs/>
      <w:sz w:val="20"/>
      <w:szCs w:val="20"/>
      <w:lang w:val="en-US"/>
    </w:rPr>
  </w:style>
  <w:style w:type="character" w:customStyle="1" w:styleId="BalloonTextChar1">
    <w:name w:val="Balloon Text Char1"/>
    <w:uiPriority w:val="99"/>
    <w:rsid w:val="00C9597C"/>
    <w:rPr>
      <w:rFonts w:ascii="Tahoma" w:hAnsi="Tahoma" w:cs="Tahoma"/>
      <w:sz w:val="16"/>
      <w:szCs w:val="16"/>
      <w:lang w:val="en-GB"/>
    </w:rPr>
  </w:style>
  <w:style w:type="character" w:customStyle="1" w:styleId="CommentTextChar1">
    <w:name w:val="Comment Text Char1"/>
    <w:uiPriority w:val="99"/>
    <w:rsid w:val="00C9597C"/>
    <w:rPr>
      <w:sz w:val="20"/>
      <w:szCs w:val="20"/>
      <w:lang w:val="en-GB"/>
    </w:rPr>
  </w:style>
  <w:style w:type="character" w:customStyle="1" w:styleId="CommentSubjectChar1">
    <w:name w:val="Comment Subject Char1"/>
    <w:uiPriority w:val="99"/>
    <w:rsid w:val="00C9597C"/>
    <w:rPr>
      <w:b/>
      <w:bCs/>
      <w:sz w:val="20"/>
      <w:szCs w:val="20"/>
      <w:lang w:val="en-GB"/>
    </w:rPr>
  </w:style>
  <w:style w:type="paragraph" w:customStyle="1" w:styleId="style119">
    <w:name w:val="style119"/>
    <w:basedOn w:val="Normal"/>
    <w:rsid w:val="00C9597C"/>
    <w:pPr>
      <w:spacing w:before="100" w:beforeAutospacing="1" w:after="100" w:afterAutospacing="1"/>
    </w:pPr>
    <w:rPr>
      <w:rFonts w:ascii="Arial" w:eastAsia="Calibri" w:hAnsi="Arial" w:cs="Arial"/>
      <w:sz w:val="20"/>
      <w:szCs w:val="20"/>
      <w:lang w:val="en-US" w:bidi="hi-IN"/>
    </w:rPr>
  </w:style>
  <w:style w:type="paragraph" w:customStyle="1" w:styleId="style120">
    <w:name w:val="style120"/>
    <w:basedOn w:val="Normal"/>
    <w:rsid w:val="00C9597C"/>
    <w:pPr>
      <w:spacing w:before="100" w:beforeAutospacing="1" w:after="100" w:afterAutospacing="1"/>
    </w:pPr>
    <w:rPr>
      <w:rFonts w:ascii="Times New Roman" w:eastAsia="Calibri" w:hAnsi="Times New Roman"/>
      <w:sz w:val="20"/>
      <w:szCs w:val="20"/>
      <w:lang w:val="en-US" w:bidi="hi-IN"/>
    </w:rPr>
  </w:style>
  <w:style w:type="character" w:customStyle="1" w:styleId="style1201">
    <w:name w:val="style1201"/>
    <w:rsid w:val="00C9597C"/>
    <w:rPr>
      <w:sz w:val="20"/>
      <w:szCs w:val="20"/>
    </w:rPr>
  </w:style>
  <w:style w:type="character" w:customStyle="1" w:styleId="style1191">
    <w:name w:val="style1191"/>
    <w:rsid w:val="00C9597C"/>
    <w:rPr>
      <w:rFonts w:ascii="Arial" w:hAnsi="Arial" w:cs="Arial" w:hint="default"/>
      <w:sz w:val="20"/>
      <w:szCs w:val="20"/>
    </w:rPr>
  </w:style>
  <w:style w:type="character" w:customStyle="1" w:styleId="Heading1Char1">
    <w:name w:val="Heading 1 Char1"/>
    <w:aliases w:val="Garamond Char1"/>
    <w:uiPriority w:val="9"/>
    <w:rsid w:val="00C9597C"/>
    <w:rPr>
      <w:rFonts w:ascii="Cambria" w:eastAsia="Times New Roman" w:hAnsi="Cambria" w:cs="Times New Roman"/>
      <w:b/>
      <w:bCs/>
      <w:color w:val="365F91"/>
      <w:sz w:val="28"/>
      <w:szCs w:val="28"/>
      <w:lang w:val="en-GB"/>
    </w:rPr>
  </w:style>
  <w:style w:type="table" w:styleId="MediumGrid1-Accent1">
    <w:name w:val="Medium Grid 1 Accent 1"/>
    <w:basedOn w:val="TableNormal"/>
    <w:uiPriority w:val="67"/>
    <w:qFormat/>
    <w:rsid w:val="00C9597C"/>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
    <w:name w:val="Light Grid - Accent 11"/>
    <w:basedOn w:val="TableNormal"/>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5">
    <w:name w:val="Light Grid Accent 5"/>
    <w:basedOn w:val="TableNormal"/>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
    <w:name w:val="Light Grid - Accent 12"/>
    <w:basedOn w:val="TableNormal"/>
    <w:uiPriority w:val="62"/>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List-Accent5">
    <w:name w:val="Light List Accent 5"/>
    <w:basedOn w:val="TableNormal"/>
    <w:uiPriority w:val="61"/>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
    <w:name w:val="Light List - Accent 11"/>
    <w:basedOn w:val="TableNormal"/>
    <w:uiPriority w:val="61"/>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customStyle="1" w:styleId="style14">
    <w:name w:val="style14"/>
    <w:basedOn w:val="Normal"/>
    <w:uiPriority w:val="99"/>
    <w:rsid w:val="00C9597C"/>
    <w:pPr>
      <w:spacing w:before="100" w:beforeAutospacing="1" w:after="100" w:afterAutospacing="1"/>
    </w:pPr>
    <w:rPr>
      <w:rFonts w:ascii="Arial" w:eastAsia="Calibri" w:hAnsi="Arial" w:cs="Arial"/>
      <w:sz w:val="20"/>
      <w:szCs w:val="20"/>
      <w:lang w:val="en-US" w:bidi="hi-IN"/>
    </w:rPr>
  </w:style>
  <w:style w:type="paragraph" w:customStyle="1" w:styleId="style1">
    <w:name w:val="style1"/>
    <w:basedOn w:val="Normal"/>
    <w:uiPriority w:val="99"/>
    <w:rsid w:val="00C9597C"/>
    <w:pPr>
      <w:spacing w:before="100" w:beforeAutospacing="1" w:after="100" w:afterAutospacing="1"/>
    </w:pPr>
    <w:rPr>
      <w:rFonts w:ascii="Arial" w:eastAsia="Calibri" w:hAnsi="Arial" w:cs="Arial"/>
      <w:sz w:val="20"/>
      <w:szCs w:val="20"/>
      <w:lang w:val="en-US"/>
    </w:rPr>
  </w:style>
  <w:style w:type="paragraph" w:customStyle="1" w:styleId="paraattribute2">
    <w:name w:val="paraattribute2"/>
    <w:basedOn w:val="Normal"/>
    <w:rsid w:val="00C9597C"/>
    <w:pPr>
      <w:spacing w:before="100" w:beforeAutospacing="1" w:after="100" w:afterAutospacing="1"/>
    </w:pPr>
    <w:rPr>
      <w:rFonts w:ascii="Times New Roman" w:eastAsia="Times New Roman" w:hAnsi="Times New Roman"/>
      <w:lang w:val="en-US" w:bidi="hi-IN"/>
    </w:rPr>
  </w:style>
  <w:style w:type="paragraph" w:customStyle="1" w:styleId="bodytext20">
    <w:name w:val="bodytext20"/>
    <w:basedOn w:val="Normal"/>
    <w:rsid w:val="00C9597C"/>
    <w:pPr>
      <w:spacing w:before="100" w:beforeAutospacing="1" w:after="100" w:afterAutospacing="1"/>
    </w:pPr>
    <w:rPr>
      <w:rFonts w:ascii="Times New Roman" w:eastAsia="Times New Roman" w:hAnsi="Times New Roman"/>
      <w:lang w:val="en-US" w:bidi="hi-IN"/>
    </w:rPr>
  </w:style>
  <w:style w:type="paragraph" w:customStyle="1" w:styleId="bodytext0">
    <w:name w:val="bodytext0"/>
    <w:basedOn w:val="Normal"/>
    <w:rsid w:val="00C9597C"/>
    <w:pPr>
      <w:spacing w:before="100" w:beforeAutospacing="1" w:after="100" w:afterAutospacing="1"/>
    </w:pPr>
    <w:rPr>
      <w:rFonts w:ascii="Times New Roman" w:eastAsia="Times New Roman" w:hAnsi="Times New Roman"/>
      <w:lang w:val="en-US"/>
    </w:rPr>
  </w:style>
  <w:style w:type="character" w:customStyle="1" w:styleId="style38">
    <w:name w:val="style38"/>
    <w:basedOn w:val="DefaultParagraphFont"/>
    <w:rsid w:val="00C9597C"/>
  </w:style>
  <w:style w:type="paragraph" w:customStyle="1" w:styleId="style49">
    <w:name w:val="style49"/>
    <w:basedOn w:val="Normal"/>
    <w:uiPriority w:val="99"/>
    <w:rsid w:val="00C9597C"/>
    <w:pPr>
      <w:spacing w:before="100" w:beforeAutospacing="1" w:after="100" w:afterAutospacing="1"/>
    </w:pPr>
    <w:rPr>
      <w:rFonts w:ascii="Times New Roman" w:eastAsia="Calibri" w:hAnsi="Times New Roman"/>
      <w:sz w:val="20"/>
      <w:szCs w:val="20"/>
      <w:lang w:val="en-US" w:bidi="hi-IN"/>
    </w:rPr>
  </w:style>
  <w:style w:type="character" w:customStyle="1" w:styleId="style1361">
    <w:name w:val="style1361"/>
    <w:rsid w:val="00C9597C"/>
    <w:rPr>
      <w:b/>
      <w:bCs/>
    </w:rPr>
  </w:style>
  <w:style w:type="character" w:customStyle="1" w:styleId="style1351">
    <w:name w:val="style1351"/>
    <w:rsid w:val="00C9597C"/>
    <w:rPr>
      <w:b/>
      <w:bCs/>
    </w:rPr>
  </w:style>
  <w:style w:type="character" w:customStyle="1" w:styleId="style1341">
    <w:name w:val="style1341"/>
    <w:rsid w:val="00C9597C"/>
    <w:rPr>
      <w:b/>
      <w:bCs/>
    </w:rPr>
  </w:style>
  <w:style w:type="character" w:customStyle="1" w:styleId="style1331">
    <w:name w:val="style1331"/>
    <w:rsid w:val="00C9597C"/>
    <w:rPr>
      <w:b/>
      <w:bCs/>
    </w:rPr>
  </w:style>
  <w:style w:type="character" w:customStyle="1" w:styleId="style1321">
    <w:name w:val="style1321"/>
    <w:qFormat/>
    <w:rsid w:val="00C9597C"/>
    <w:rPr>
      <w:b/>
      <w:bCs/>
    </w:rPr>
  </w:style>
  <w:style w:type="character" w:customStyle="1" w:styleId="style1311">
    <w:name w:val="style1311"/>
    <w:rsid w:val="00C9597C"/>
    <w:rPr>
      <w:b/>
      <w:bCs/>
    </w:rPr>
  </w:style>
  <w:style w:type="character" w:customStyle="1" w:styleId="style201">
    <w:name w:val="style201"/>
    <w:rsid w:val="00C9597C"/>
    <w:rPr>
      <w:b/>
      <w:bCs/>
    </w:rPr>
  </w:style>
  <w:style w:type="character" w:customStyle="1" w:styleId="style191">
    <w:name w:val="style191"/>
    <w:rsid w:val="00C9597C"/>
    <w:rPr>
      <w:b/>
      <w:bCs/>
    </w:rPr>
  </w:style>
  <w:style w:type="character" w:customStyle="1" w:styleId="style181">
    <w:name w:val="style181"/>
    <w:rsid w:val="00C9597C"/>
    <w:rPr>
      <w:b/>
      <w:bCs/>
    </w:rPr>
  </w:style>
  <w:style w:type="table" w:customStyle="1" w:styleId="LightGrid-Accent13">
    <w:name w:val="Light Grid - Accent 1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character" w:customStyle="1" w:styleId="style291">
    <w:name w:val="style291"/>
    <w:rsid w:val="00C9597C"/>
    <w:rPr>
      <w:rFonts w:ascii="Arial" w:hAnsi="Arial" w:cs="Arial" w:hint="default"/>
    </w:rPr>
  </w:style>
  <w:style w:type="paragraph" w:customStyle="1" w:styleId="style2">
    <w:name w:val="style2"/>
    <w:basedOn w:val="Normal"/>
    <w:uiPriority w:val="99"/>
    <w:rsid w:val="00C9597C"/>
    <w:pPr>
      <w:spacing w:before="100" w:beforeAutospacing="1" w:after="100" w:afterAutospacing="1"/>
    </w:pPr>
    <w:rPr>
      <w:rFonts w:ascii="Times New Roman" w:eastAsia="Calibri" w:hAnsi="Times New Roman"/>
      <w:b/>
      <w:bCs/>
      <w:sz w:val="20"/>
      <w:szCs w:val="20"/>
      <w:lang w:val="en-US"/>
    </w:rPr>
  </w:style>
  <w:style w:type="character" w:customStyle="1" w:styleId="ListParagraphChar">
    <w:name w:val="List Paragraph Char"/>
    <w:aliases w:val="lp1 Char,elenco Char"/>
    <w:link w:val="ListParagraph"/>
    <w:uiPriority w:val="34"/>
    <w:locked/>
    <w:rsid w:val="00C9597C"/>
    <w:rPr>
      <w:rFonts w:ascii="Calibri" w:eastAsia="Calibri" w:hAnsi="Calibri"/>
      <w:sz w:val="20"/>
      <w:szCs w:val="20"/>
      <w:lang w:val="en-US"/>
    </w:rPr>
  </w:style>
  <w:style w:type="table" w:styleId="MediumGrid1-Accent3">
    <w:name w:val="Medium Grid 1 Accent 3"/>
    <w:basedOn w:val="TableNormal"/>
    <w:uiPriority w:val="67"/>
    <w:qFormat/>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paragraph" w:customStyle="1" w:styleId="paragraph">
    <w:name w:val="paragraph"/>
    <w:basedOn w:val="Normal"/>
    <w:rsid w:val="00C9597C"/>
    <w:pPr>
      <w:spacing w:before="100" w:beforeAutospacing="1" w:after="100" w:afterAutospacing="1"/>
    </w:pPr>
    <w:rPr>
      <w:rFonts w:ascii="Times New Roman" w:eastAsia="Times New Roman" w:hAnsi="Times New Roman"/>
      <w:lang w:val="en-US"/>
    </w:rPr>
  </w:style>
  <w:style w:type="character" w:customStyle="1" w:styleId="ilad">
    <w:name w:val="il_ad"/>
    <w:basedOn w:val="DefaultParagraphFont"/>
    <w:rsid w:val="00C9597C"/>
  </w:style>
  <w:style w:type="paragraph" w:customStyle="1" w:styleId="s8">
    <w:name w:val="s8"/>
    <w:basedOn w:val="Normal"/>
    <w:rsid w:val="00C9597C"/>
    <w:pPr>
      <w:spacing w:before="100" w:beforeAutospacing="1" w:after="100" w:afterAutospacing="1"/>
    </w:pPr>
    <w:rPr>
      <w:rFonts w:ascii="Times New Roman" w:eastAsia="Times New Roman" w:hAnsi="Times New Roman"/>
      <w:lang w:val="en-US"/>
    </w:rPr>
  </w:style>
  <w:style w:type="character" w:customStyle="1" w:styleId="s7">
    <w:name w:val="s7"/>
    <w:basedOn w:val="DefaultParagraphFont"/>
    <w:rsid w:val="00C9597C"/>
  </w:style>
  <w:style w:type="paragraph" w:customStyle="1" w:styleId="s10">
    <w:name w:val="s10"/>
    <w:basedOn w:val="Normal"/>
    <w:rsid w:val="00C9597C"/>
    <w:pPr>
      <w:spacing w:before="100" w:beforeAutospacing="1" w:after="100" w:afterAutospacing="1"/>
    </w:pPr>
    <w:rPr>
      <w:rFonts w:ascii="Times New Roman" w:eastAsia="Times New Roman" w:hAnsi="Times New Roman"/>
      <w:lang w:val="en-US"/>
    </w:rPr>
  </w:style>
  <w:style w:type="numbering" w:customStyle="1" w:styleId="NoList1">
    <w:name w:val="No List1"/>
    <w:next w:val="NoList"/>
    <w:uiPriority w:val="99"/>
    <w:unhideWhenUsed/>
    <w:rsid w:val="00C9597C"/>
  </w:style>
  <w:style w:type="table" w:customStyle="1" w:styleId="MediumGrid1-Accent11">
    <w:name w:val="Medium Grid 1 - Accent 1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
    <w:name w:val="Light Grid - Accent 1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
    <w:name w:val="Light Grid - Accent 51"/>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
    <w:name w:val="Light Grid - Accent 1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
    <w:name w:val="Light List - Accent 51"/>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
    <w:name w:val="Light List - Accent 11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
    <w:name w:val="Light Grid - Accent 1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
    <w:name w:val="Medium Grid 1 - Accent 31"/>
    <w:basedOn w:val="TableNormal"/>
    <w:next w:val="MediumGrid1-Accent3"/>
    <w:uiPriority w:val="67"/>
    <w:qFormat/>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
    <w:name w:val="Grid Table 4 - Accent 3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paragraph" w:styleId="Revision">
    <w:name w:val="Revision"/>
    <w:hidden/>
    <w:uiPriority w:val="99"/>
    <w:rsid w:val="00C9597C"/>
    <w:rPr>
      <w:rFonts w:ascii="Calibri" w:eastAsia="Calibri" w:hAnsi="Calibri"/>
      <w:sz w:val="22"/>
      <w:szCs w:val="22"/>
      <w:lang w:val="en-US"/>
    </w:rPr>
  </w:style>
  <w:style w:type="numbering" w:customStyle="1" w:styleId="NoList2">
    <w:name w:val="No List2"/>
    <w:next w:val="NoList"/>
    <w:uiPriority w:val="99"/>
    <w:unhideWhenUsed/>
    <w:rsid w:val="00C9597C"/>
  </w:style>
  <w:style w:type="table" w:customStyle="1" w:styleId="MediumGrid1-Accent12">
    <w:name w:val="Medium Grid 1 - Accent 12"/>
    <w:basedOn w:val="TableNormal"/>
    <w:next w:val="MediumGrid1-Accent1"/>
    <w:uiPriority w:val="67"/>
    <w:rsid w:val="00C9597C"/>
    <w:pPr>
      <w:jc w:val="both"/>
    </w:pPr>
    <w:rPr>
      <w:rFonts w:ascii="Times New Roman" w:hAnsi="Times New Roman"/>
      <w:lang w:val="en-IN"/>
    </w:rPr>
    <w:tblPr>
      <w:tblStyleRowBandSize w:val="1"/>
      <w:tblStyleColBandSize w:val="1"/>
      <w:tblInd w:w="0" w:type="dxa"/>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CellMar>
        <w:top w:w="0" w:type="dxa"/>
        <w:left w:w="108" w:type="dxa"/>
        <w:bottom w:w="0" w:type="dxa"/>
        <w:right w:w="108" w:type="dxa"/>
      </w:tblCellMar>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2">
    <w:name w:val="Light Grid - Accent 112"/>
    <w:basedOn w:val="TableNormal"/>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2">
    <w:name w:val="Light Grid - Accent 52"/>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2">
    <w:name w:val="Light Grid - Accent 122"/>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2">
    <w:name w:val="Light List - Accent 52"/>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2">
    <w:name w:val="Light List - Accent 112"/>
    <w:basedOn w:val="TableNormal"/>
    <w:uiPriority w:val="61"/>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2">
    <w:name w:val="Light Grid - Accent 132"/>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2">
    <w:name w:val="Medium Grid 1 - Accent 32"/>
    <w:basedOn w:val="TableNormal"/>
    <w:next w:val="MediumGrid1-Accent3"/>
    <w:uiPriority w:val="67"/>
    <w:rsid w:val="00C9597C"/>
    <w:pPr>
      <w:jc w:val="both"/>
    </w:pPr>
    <w:rPr>
      <w:rFonts w:ascii="Times New Roman" w:hAnsi="Times New Roman"/>
      <w:lang w:val="en-IN"/>
    </w:rPr>
    <w:tblPr>
      <w:tblStyleRowBandSize w:val="1"/>
      <w:tblStyleColBandSize w:val="1"/>
      <w:tblInd w:w="0" w:type="dxa"/>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CellMar>
        <w:top w:w="0" w:type="dxa"/>
        <w:left w:w="108" w:type="dxa"/>
        <w:bottom w:w="0" w:type="dxa"/>
        <w:right w:w="108" w:type="dxa"/>
      </w:tblCellMar>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GridTable4Accent31">
    <w:name w:val="Grid Table 4 Accent 31"/>
    <w:basedOn w:val="TableNormal"/>
    <w:uiPriority w:val="49"/>
    <w:rsid w:val="00C9597C"/>
    <w:pPr>
      <w:jc w:val="both"/>
    </w:pPr>
    <w:rPr>
      <w:rFonts w:ascii="Times New Roman" w:hAnsi="Times New Roman"/>
      <w:lang w:val="en-IN"/>
    </w:rPr>
    <w:tblPr>
      <w:tblStyleRowBandSize w:val="1"/>
      <w:tblStyleColBandSize w:val="1"/>
      <w:tblInd w:w="0" w:type="dxa"/>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numbering" w:customStyle="1" w:styleId="NoList3">
    <w:name w:val="No List3"/>
    <w:next w:val="NoList"/>
    <w:uiPriority w:val="99"/>
    <w:unhideWhenUsed/>
    <w:rsid w:val="00C9597C"/>
  </w:style>
  <w:style w:type="table" w:customStyle="1" w:styleId="MediumGrid1-Accent13">
    <w:name w:val="Medium Grid 1 - Accent 13"/>
    <w:basedOn w:val="TableNormal"/>
    <w:next w:val="MediumGrid1-Accent1"/>
    <w:uiPriority w:val="67"/>
    <w:rsid w:val="00C9597C"/>
    <w:pPr>
      <w:jc w:val="both"/>
    </w:pPr>
    <w:rPr>
      <w:rFonts w:ascii="Times New Roman" w:hAnsi="Times New Roman"/>
      <w:lang w:val="en-IN"/>
    </w:rPr>
    <w:tblPr>
      <w:tblStyleRowBandSize w:val="1"/>
      <w:tblStyleColBandSize w:val="1"/>
      <w:tblInd w:w="0" w:type="dxa"/>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CellMar>
        <w:top w:w="0" w:type="dxa"/>
        <w:left w:w="108" w:type="dxa"/>
        <w:bottom w:w="0" w:type="dxa"/>
        <w:right w:w="108" w:type="dxa"/>
      </w:tblCellMar>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3">
    <w:name w:val="Light Grid - Accent 113"/>
    <w:basedOn w:val="TableNormal"/>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3">
    <w:name w:val="Light Grid - Accent 53"/>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3">
    <w:name w:val="Light Grid - Accent 123"/>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3">
    <w:name w:val="Light List - Accent 53"/>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3">
    <w:name w:val="Light List - Accent 113"/>
    <w:basedOn w:val="TableNormal"/>
    <w:uiPriority w:val="61"/>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3">
    <w:name w:val="Light Grid - Accent 133"/>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3">
    <w:name w:val="Medium Grid 1 - Accent 33"/>
    <w:basedOn w:val="TableNormal"/>
    <w:next w:val="MediumGrid1-Accent3"/>
    <w:uiPriority w:val="67"/>
    <w:rsid w:val="00C9597C"/>
    <w:pPr>
      <w:jc w:val="both"/>
    </w:pPr>
    <w:rPr>
      <w:rFonts w:ascii="Times New Roman" w:hAnsi="Times New Roman"/>
      <w:lang w:val="en-IN"/>
    </w:rPr>
    <w:tblPr>
      <w:tblStyleRowBandSize w:val="1"/>
      <w:tblStyleColBandSize w:val="1"/>
      <w:tblInd w:w="0" w:type="dxa"/>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CellMar>
        <w:top w:w="0" w:type="dxa"/>
        <w:left w:w="108" w:type="dxa"/>
        <w:bottom w:w="0" w:type="dxa"/>
        <w:right w:w="108" w:type="dxa"/>
      </w:tblCellMar>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GridTable4Accent32">
    <w:name w:val="Grid Table 4 Accent 32"/>
    <w:basedOn w:val="TableNormal"/>
    <w:uiPriority w:val="49"/>
    <w:rsid w:val="00C9597C"/>
    <w:pPr>
      <w:jc w:val="both"/>
    </w:pPr>
    <w:rPr>
      <w:rFonts w:ascii="Times New Roman" w:hAnsi="Times New Roman"/>
      <w:lang w:val="en-IN"/>
    </w:rPr>
    <w:tblPr>
      <w:tblStyleRowBandSize w:val="1"/>
      <w:tblStyleColBandSize w:val="1"/>
      <w:tblInd w:w="0" w:type="dxa"/>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HTMLPreformatted">
    <w:name w:val="HTML Preformatted"/>
    <w:basedOn w:val="Normal"/>
    <w:link w:val="HTMLPreformattedChar"/>
    <w:uiPriority w:val="99"/>
    <w:unhideWhenUsed/>
    <w:qFormat/>
    <w:rsid w:val="00C95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rsid w:val="00C9597C"/>
    <w:rPr>
      <w:rFonts w:ascii="Courier New" w:eastAsia="Times New Roman" w:hAnsi="Courier New" w:cs="Courier New"/>
      <w:sz w:val="20"/>
      <w:szCs w:val="20"/>
      <w:lang w:val="en-US"/>
    </w:rPr>
  </w:style>
  <w:style w:type="character" w:customStyle="1" w:styleId="unicode">
    <w:name w:val="unicode"/>
    <w:basedOn w:val="DefaultParagraphFont"/>
    <w:rsid w:val="00C9597C"/>
  </w:style>
  <w:style w:type="character" w:customStyle="1" w:styleId="fn">
    <w:name w:val="fn"/>
    <w:basedOn w:val="DefaultParagraphFont"/>
    <w:rsid w:val="00C9597C"/>
  </w:style>
  <w:style w:type="table" w:customStyle="1" w:styleId="TableGrid1">
    <w:name w:val="Table Grid1"/>
    <w:basedOn w:val="TableNormal"/>
    <w:next w:val="TableGrid"/>
    <w:uiPriority w:val="39"/>
    <w:rsid w:val="00C9597C"/>
    <w:rPr>
      <w:rFonts w:asciiTheme="minorHAnsi" w:hAnsiTheme="minorHAnsi" w:cstheme="minorBidi"/>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bold">
    <w:name w:val="bold"/>
    <w:basedOn w:val="DefaultParagraphFont"/>
    <w:rsid w:val="00C9597C"/>
  </w:style>
  <w:style w:type="character" w:customStyle="1" w:styleId="aqj">
    <w:name w:val="aqj"/>
    <w:basedOn w:val="DefaultParagraphFont"/>
    <w:rsid w:val="00C9597C"/>
  </w:style>
  <w:style w:type="character" w:customStyle="1" w:styleId="slc367992977963056178">
    <w:name w:val="sl_c_36799297_79_63056178"/>
    <w:basedOn w:val="DefaultParagraphFont"/>
    <w:rsid w:val="00C9597C"/>
  </w:style>
  <w:style w:type="character" w:customStyle="1" w:styleId="slc3679929710863056178">
    <w:name w:val="sl_c_36799297_108_63056178"/>
    <w:basedOn w:val="DefaultParagraphFont"/>
    <w:rsid w:val="00C9597C"/>
  </w:style>
  <w:style w:type="paragraph" w:styleId="Subtitle">
    <w:name w:val="Subtitle"/>
    <w:basedOn w:val="Normal"/>
    <w:next w:val="Normal"/>
    <w:link w:val="SubtitleChar"/>
    <w:qFormat/>
    <w:rsid w:val="00C9597C"/>
    <w:pPr>
      <w:keepNext/>
      <w:keepLines/>
      <w:spacing w:before="360" w:after="80"/>
      <w:contextualSpacing/>
      <w:jc w:val="both"/>
    </w:pPr>
    <w:rPr>
      <w:rFonts w:ascii="Georgia" w:eastAsia="Georgia" w:hAnsi="Georgia" w:cs="Georgia"/>
      <w:i/>
      <w:color w:val="666666"/>
      <w:sz w:val="48"/>
      <w:szCs w:val="48"/>
      <w:lang w:val="en-IN" w:eastAsia="en-IN"/>
    </w:rPr>
  </w:style>
  <w:style w:type="character" w:customStyle="1" w:styleId="SubtitleChar">
    <w:name w:val="Subtitle Char"/>
    <w:basedOn w:val="DefaultParagraphFont"/>
    <w:link w:val="Subtitle"/>
    <w:rsid w:val="00C9597C"/>
    <w:rPr>
      <w:rFonts w:ascii="Georgia" w:eastAsia="Georgia" w:hAnsi="Georgia" w:cs="Georgia"/>
      <w:i/>
      <w:color w:val="666666"/>
      <w:sz w:val="48"/>
      <w:szCs w:val="48"/>
      <w:lang w:val="en-IN" w:eastAsia="en-IN"/>
    </w:rPr>
  </w:style>
  <w:style w:type="character" w:customStyle="1" w:styleId="lede-headlinehighlighted">
    <w:name w:val="lede-headline__highlighted"/>
    <w:basedOn w:val="DefaultParagraphFont"/>
    <w:rsid w:val="00C9597C"/>
  </w:style>
  <w:style w:type="character" w:customStyle="1" w:styleId="mfirst-letter">
    <w:name w:val="m_first-letter"/>
    <w:basedOn w:val="DefaultParagraphFont"/>
    <w:rsid w:val="00C9597C"/>
  </w:style>
  <w:style w:type="character" w:customStyle="1" w:styleId="dictionary">
    <w:name w:val="dictionary"/>
    <w:basedOn w:val="DefaultParagraphFont"/>
    <w:rsid w:val="00C9597C"/>
  </w:style>
  <w:style w:type="table" w:customStyle="1" w:styleId="TableGrid2">
    <w:name w:val="Table Grid2"/>
    <w:basedOn w:val="TableNormal"/>
    <w:next w:val="TableGrid"/>
    <w:uiPriority w:val="59"/>
    <w:rsid w:val="00C9597C"/>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
    <w:name w:val="No List4"/>
    <w:next w:val="NoList"/>
    <w:uiPriority w:val="99"/>
    <w:unhideWhenUsed/>
    <w:rsid w:val="00C9597C"/>
  </w:style>
  <w:style w:type="table" w:customStyle="1" w:styleId="MediumGrid1-Accent14">
    <w:name w:val="Medium Grid 1 - Accent 14"/>
    <w:basedOn w:val="TableNormal"/>
    <w:next w:val="MediumGrid1-Accent1"/>
    <w:uiPriority w:val="67"/>
    <w:rsid w:val="00C9597C"/>
    <w:pPr>
      <w:jc w:val="both"/>
    </w:pPr>
    <w:rPr>
      <w:rFonts w:ascii="Times New Roman" w:hAnsi="Times New Roman"/>
      <w:lang w:val="en-IN"/>
    </w:rPr>
    <w:tblPr>
      <w:tblStyleRowBandSize w:val="1"/>
      <w:tblStyleColBandSize w:val="1"/>
      <w:tblInd w:w="0" w:type="dxa"/>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CellMar>
        <w:top w:w="0" w:type="dxa"/>
        <w:left w:w="108" w:type="dxa"/>
        <w:bottom w:w="0" w:type="dxa"/>
        <w:right w:w="108" w:type="dxa"/>
      </w:tblCellMar>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4">
    <w:name w:val="Light Grid - Accent 114"/>
    <w:basedOn w:val="TableNormal"/>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4">
    <w:name w:val="Light Grid - Accent 54"/>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4">
    <w:name w:val="Light Grid - Accent 124"/>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4">
    <w:name w:val="Light List - Accent 54"/>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4">
    <w:name w:val="Light List - Accent 114"/>
    <w:basedOn w:val="TableNormal"/>
    <w:uiPriority w:val="61"/>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4">
    <w:name w:val="Light Grid - Accent 134"/>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4">
    <w:name w:val="Medium Grid 1 - Accent 34"/>
    <w:basedOn w:val="TableNormal"/>
    <w:next w:val="MediumGrid1-Accent3"/>
    <w:uiPriority w:val="67"/>
    <w:rsid w:val="00C9597C"/>
    <w:pPr>
      <w:jc w:val="both"/>
    </w:pPr>
    <w:rPr>
      <w:rFonts w:ascii="Times New Roman" w:hAnsi="Times New Roman"/>
      <w:lang w:val="en-IN"/>
    </w:rPr>
    <w:tblPr>
      <w:tblStyleRowBandSize w:val="1"/>
      <w:tblStyleColBandSize w:val="1"/>
      <w:tblInd w:w="0" w:type="dxa"/>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CellMar>
        <w:top w:w="0" w:type="dxa"/>
        <w:left w:w="108" w:type="dxa"/>
        <w:bottom w:w="0" w:type="dxa"/>
        <w:right w:w="108" w:type="dxa"/>
      </w:tblCellMar>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TableGrid3">
    <w:name w:val="Table Grid3"/>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
    <w:name w:val="Medium Grid 3 - Accent 11"/>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
    <w:name w:val="No List11"/>
    <w:next w:val="NoList"/>
    <w:uiPriority w:val="99"/>
    <w:unhideWhenUsed/>
    <w:rsid w:val="00C9597C"/>
  </w:style>
  <w:style w:type="table" w:customStyle="1" w:styleId="MediumGrid1-Accent111">
    <w:name w:val="Medium Grid 1 - Accent 11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
    <w:name w:val="Light Grid - Accent 11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
    <w:name w:val="Light Grid - Accent 511"/>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
    <w:name w:val="Light Grid - Accent 12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
    <w:name w:val="Light List - Accent 511"/>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
    <w:name w:val="Light List - Accent 111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
    <w:name w:val="Light Grid - Accent 13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
    <w:name w:val="Medium Grid 1 - Accent 31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
    <w:name w:val="Grid Table 4 - Accent 31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
    <w:name w:val="No List21"/>
    <w:next w:val="NoList"/>
    <w:uiPriority w:val="99"/>
    <w:unhideWhenUsed/>
    <w:rsid w:val="00C9597C"/>
  </w:style>
  <w:style w:type="table" w:customStyle="1" w:styleId="MediumGrid1-Accent121">
    <w:name w:val="Medium Grid 1 - Accent 121"/>
    <w:basedOn w:val="TableNormal"/>
    <w:next w:val="MediumGrid1-Accent1"/>
    <w:uiPriority w:val="67"/>
    <w:rsid w:val="00C9597C"/>
    <w:pPr>
      <w:jc w:val="both"/>
    </w:pPr>
    <w:rPr>
      <w:rFonts w:ascii="Times New Roman" w:hAnsi="Times New Roman"/>
      <w:lang w:val="en-IN"/>
    </w:rPr>
    <w:tblPr>
      <w:tblStyleRowBandSize w:val="1"/>
      <w:tblStyleColBandSize w:val="1"/>
      <w:tblInd w:w="0" w:type="dxa"/>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CellMar>
        <w:top w:w="0" w:type="dxa"/>
        <w:left w:w="108" w:type="dxa"/>
        <w:bottom w:w="0" w:type="dxa"/>
        <w:right w:w="108" w:type="dxa"/>
      </w:tblCellMar>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21">
    <w:name w:val="Light Grid - Accent 1121"/>
    <w:basedOn w:val="TableNormal"/>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21">
    <w:name w:val="Light Grid - Accent 521"/>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21">
    <w:name w:val="Light Grid - Accent 1221"/>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21">
    <w:name w:val="Light List - Accent 521"/>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21">
    <w:name w:val="Light List - Accent 1121"/>
    <w:basedOn w:val="TableNormal"/>
    <w:uiPriority w:val="61"/>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21">
    <w:name w:val="Light Grid - Accent 1321"/>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21">
    <w:name w:val="Medium Grid 1 - Accent 321"/>
    <w:basedOn w:val="TableNormal"/>
    <w:next w:val="MediumGrid1-Accent3"/>
    <w:uiPriority w:val="67"/>
    <w:rsid w:val="00C9597C"/>
    <w:pPr>
      <w:jc w:val="both"/>
    </w:pPr>
    <w:rPr>
      <w:rFonts w:ascii="Times New Roman" w:hAnsi="Times New Roman"/>
      <w:lang w:val="en-IN"/>
    </w:rPr>
    <w:tblPr>
      <w:tblStyleRowBandSize w:val="1"/>
      <w:tblStyleColBandSize w:val="1"/>
      <w:tblInd w:w="0" w:type="dxa"/>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CellMar>
        <w:top w:w="0" w:type="dxa"/>
        <w:left w:w="108" w:type="dxa"/>
        <w:bottom w:w="0" w:type="dxa"/>
        <w:right w:w="108" w:type="dxa"/>
      </w:tblCellMar>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GridTable4Accent311">
    <w:name w:val="Grid Table 4 Accent 311"/>
    <w:basedOn w:val="TableNormal"/>
    <w:uiPriority w:val="49"/>
    <w:rsid w:val="00C9597C"/>
    <w:pPr>
      <w:jc w:val="both"/>
    </w:pPr>
    <w:rPr>
      <w:rFonts w:ascii="Times New Roman" w:hAnsi="Times New Roman"/>
      <w:lang w:val="en-IN"/>
    </w:rPr>
    <w:tblPr>
      <w:tblStyleRowBandSize w:val="1"/>
      <w:tblStyleColBandSize w:val="1"/>
      <w:tblInd w:w="0" w:type="dxa"/>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numbering" w:customStyle="1" w:styleId="NoList31">
    <w:name w:val="No List31"/>
    <w:next w:val="NoList"/>
    <w:uiPriority w:val="99"/>
    <w:unhideWhenUsed/>
    <w:rsid w:val="00C9597C"/>
  </w:style>
  <w:style w:type="table" w:customStyle="1" w:styleId="MediumGrid1-Accent131">
    <w:name w:val="Medium Grid 1 - Accent 131"/>
    <w:basedOn w:val="TableNormal"/>
    <w:next w:val="MediumGrid1-Accent1"/>
    <w:uiPriority w:val="67"/>
    <w:rsid w:val="00C9597C"/>
    <w:pPr>
      <w:jc w:val="both"/>
    </w:pPr>
    <w:rPr>
      <w:rFonts w:ascii="Times New Roman" w:hAnsi="Times New Roman"/>
      <w:lang w:val="en-IN"/>
    </w:rPr>
    <w:tblPr>
      <w:tblStyleRowBandSize w:val="1"/>
      <w:tblStyleColBandSize w:val="1"/>
      <w:tblInd w:w="0" w:type="dxa"/>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CellMar>
        <w:top w:w="0" w:type="dxa"/>
        <w:left w:w="108" w:type="dxa"/>
        <w:bottom w:w="0" w:type="dxa"/>
        <w:right w:w="108" w:type="dxa"/>
      </w:tblCellMar>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31">
    <w:name w:val="Light Grid - Accent 1131"/>
    <w:basedOn w:val="TableNormal"/>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31">
    <w:name w:val="Light Grid - Accent 531"/>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31">
    <w:name w:val="Light Grid - Accent 1231"/>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31">
    <w:name w:val="Light List - Accent 531"/>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31">
    <w:name w:val="Light List - Accent 1131"/>
    <w:basedOn w:val="TableNormal"/>
    <w:uiPriority w:val="61"/>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31">
    <w:name w:val="Light Grid - Accent 1331"/>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31">
    <w:name w:val="Medium Grid 1 - Accent 331"/>
    <w:basedOn w:val="TableNormal"/>
    <w:next w:val="MediumGrid1-Accent3"/>
    <w:uiPriority w:val="67"/>
    <w:rsid w:val="00C9597C"/>
    <w:pPr>
      <w:jc w:val="both"/>
    </w:pPr>
    <w:rPr>
      <w:rFonts w:ascii="Times New Roman" w:hAnsi="Times New Roman"/>
      <w:lang w:val="en-IN"/>
    </w:rPr>
    <w:tblPr>
      <w:tblStyleRowBandSize w:val="1"/>
      <w:tblStyleColBandSize w:val="1"/>
      <w:tblInd w:w="0" w:type="dxa"/>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CellMar>
        <w:top w:w="0" w:type="dxa"/>
        <w:left w:w="108" w:type="dxa"/>
        <w:bottom w:w="0" w:type="dxa"/>
        <w:right w:w="108" w:type="dxa"/>
      </w:tblCellMar>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GridTable4Accent321">
    <w:name w:val="Grid Table 4 Accent 321"/>
    <w:basedOn w:val="TableNormal"/>
    <w:uiPriority w:val="49"/>
    <w:rsid w:val="00C9597C"/>
    <w:pPr>
      <w:jc w:val="both"/>
    </w:pPr>
    <w:rPr>
      <w:rFonts w:ascii="Times New Roman" w:hAnsi="Times New Roman"/>
      <w:lang w:val="en-IN"/>
    </w:rPr>
    <w:tblPr>
      <w:tblStyleRowBandSize w:val="1"/>
      <w:tblStyleColBandSize w:val="1"/>
      <w:tblInd w:w="0" w:type="dxa"/>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leGrid11">
    <w:name w:val="Table Grid11"/>
    <w:basedOn w:val="TableNormal"/>
    <w:next w:val="TableGrid"/>
    <w:uiPriority w:val="39"/>
    <w:rsid w:val="00C9597C"/>
    <w:rPr>
      <w:rFonts w:asciiTheme="minorHAnsi" w:hAnsiTheme="minorHAnsi" w:cstheme="minorBidi"/>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
    <w:name w:val="No List5"/>
    <w:next w:val="NoList"/>
    <w:uiPriority w:val="99"/>
    <w:unhideWhenUsed/>
    <w:rsid w:val="00C9597C"/>
  </w:style>
  <w:style w:type="table" w:customStyle="1" w:styleId="TableGrid4">
    <w:name w:val="Table Grid4"/>
    <w:basedOn w:val="TableNormal"/>
    <w:next w:val="TableGrid"/>
    <w:uiPriority w:val="5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2">
    <w:name w:val="Medium Grid 3 - Accent 12"/>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5">
    <w:name w:val="Medium Grid 1 - Accent 15"/>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5">
    <w:name w:val="Light Grid - Accent 115"/>
    <w:basedOn w:val="TableNormal"/>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5">
    <w:name w:val="Light Grid - Accent 55"/>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5">
    <w:name w:val="Light Grid - Accent 125"/>
    <w:basedOn w:val="TableNormal"/>
    <w:uiPriority w:val="62"/>
    <w:qFormat/>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5">
    <w:name w:val="Light List - Accent 55"/>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5">
    <w:name w:val="Light List - Accent 115"/>
    <w:basedOn w:val="TableNormal"/>
    <w:uiPriority w:val="61"/>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5">
    <w:name w:val="Light Grid - Accent 13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5">
    <w:name w:val="Medium Grid 1 - Accent 35"/>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2">
    <w:name w:val="No List12"/>
    <w:next w:val="NoList"/>
    <w:uiPriority w:val="99"/>
    <w:unhideWhenUsed/>
    <w:rsid w:val="00C9597C"/>
  </w:style>
  <w:style w:type="table" w:customStyle="1" w:styleId="MediumGrid1-Accent112">
    <w:name w:val="Medium Grid 1 - Accent 112"/>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2">
    <w:name w:val="Light Grid - Accent 111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
    <w:name w:val="Light Grid - Accent 512"/>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2">
    <w:name w:val="Light Grid - Accent 121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
    <w:name w:val="Light List - Accent 512"/>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2">
    <w:name w:val="Light List - Accent 1112"/>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2">
    <w:name w:val="Light Grid - Accent 131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2">
    <w:name w:val="Medium Grid 1 - Accent 312"/>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2">
    <w:name w:val="Grid Table 4 - Accent 312"/>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2">
    <w:name w:val="No List22"/>
    <w:next w:val="NoList"/>
    <w:uiPriority w:val="99"/>
    <w:unhideWhenUsed/>
    <w:rsid w:val="00C9597C"/>
  </w:style>
  <w:style w:type="table" w:customStyle="1" w:styleId="MediumGrid1-Accent122">
    <w:name w:val="Medium Grid 1 - Accent 122"/>
    <w:basedOn w:val="TableNormal"/>
    <w:next w:val="MediumGrid1-Accent1"/>
    <w:uiPriority w:val="67"/>
    <w:rsid w:val="00C9597C"/>
    <w:pPr>
      <w:jc w:val="both"/>
    </w:pPr>
    <w:rPr>
      <w:rFonts w:ascii="Times New Roman" w:hAnsi="Times New Roman"/>
      <w:lang w:val="en-IN"/>
    </w:rPr>
    <w:tblPr>
      <w:tblStyleRowBandSize w:val="1"/>
      <w:tblStyleColBandSize w:val="1"/>
      <w:tblInd w:w="0" w:type="dxa"/>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CellMar>
        <w:top w:w="0" w:type="dxa"/>
        <w:left w:w="108" w:type="dxa"/>
        <w:bottom w:w="0" w:type="dxa"/>
        <w:right w:w="108" w:type="dxa"/>
      </w:tblCellMar>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22">
    <w:name w:val="Light Grid - Accent 1122"/>
    <w:basedOn w:val="TableNormal"/>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22">
    <w:name w:val="Light Grid - Accent 522"/>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22">
    <w:name w:val="Light Grid - Accent 1222"/>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22">
    <w:name w:val="Light List - Accent 522"/>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22">
    <w:name w:val="Light List - Accent 1122"/>
    <w:basedOn w:val="TableNormal"/>
    <w:uiPriority w:val="61"/>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22">
    <w:name w:val="Light Grid - Accent 1322"/>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22">
    <w:name w:val="Medium Grid 1 - Accent 322"/>
    <w:basedOn w:val="TableNormal"/>
    <w:next w:val="MediumGrid1-Accent3"/>
    <w:uiPriority w:val="67"/>
    <w:rsid w:val="00C9597C"/>
    <w:pPr>
      <w:jc w:val="both"/>
    </w:pPr>
    <w:rPr>
      <w:rFonts w:ascii="Times New Roman" w:hAnsi="Times New Roman"/>
      <w:lang w:val="en-IN"/>
    </w:rPr>
    <w:tblPr>
      <w:tblStyleRowBandSize w:val="1"/>
      <w:tblStyleColBandSize w:val="1"/>
      <w:tblInd w:w="0" w:type="dxa"/>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CellMar>
        <w:top w:w="0" w:type="dxa"/>
        <w:left w:w="108" w:type="dxa"/>
        <w:bottom w:w="0" w:type="dxa"/>
        <w:right w:w="108" w:type="dxa"/>
      </w:tblCellMar>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GridTable4Accent312">
    <w:name w:val="Grid Table 4 Accent 312"/>
    <w:basedOn w:val="TableNormal"/>
    <w:uiPriority w:val="49"/>
    <w:rsid w:val="00C9597C"/>
    <w:pPr>
      <w:jc w:val="both"/>
    </w:pPr>
    <w:rPr>
      <w:rFonts w:ascii="Times New Roman" w:hAnsi="Times New Roman"/>
      <w:lang w:val="en-IN"/>
    </w:rPr>
    <w:tblPr>
      <w:tblStyleRowBandSize w:val="1"/>
      <w:tblStyleColBandSize w:val="1"/>
      <w:tblInd w:w="0" w:type="dxa"/>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numbering" w:customStyle="1" w:styleId="NoList32">
    <w:name w:val="No List32"/>
    <w:next w:val="NoList"/>
    <w:uiPriority w:val="99"/>
    <w:unhideWhenUsed/>
    <w:rsid w:val="00C9597C"/>
  </w:style>
  <w:style w:type="table" w:customStyle="1" w:styleId="MediumGrid1-Accent132">
    <w:name w:val="Medium Grid 1 - Accent 132"/>
    <w:basedOn w:val="TableNormal"/>
    <w:next w:val="MediumGrid1-Accent1"/>
    <w:uiPriority w:val="67"/>
    <w:rsid w:val="00C9597C"/>
    <w:pPr>
      <w:jc w:val="both"/>
    </w:pPr>
    <w:rPr>
      <w:rFonts w:ascii="Times New Roman" w:hAnsi="Times New Roman"/>
      <w:lang w:val="en-IN"/>
    </w:rPr>
    <w:tblPr>
      <w:tblStyleRowBandSize w:val="1"/>
      <w:tblStyleColBandSize w:val="1"/>
      <w:tblInd w:w="0" w:type="dxa"/>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CellMar>
        <w:top w:w="0" w:type="dxa"/>
        <w:left w:w="108" w:type="dxa"/>
        <w:bottom w:w="0" w:type="dxa"/>
        <w:right w:w="108" w:type="dxa"/>
      </w:tblCellMar>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32">
    <w:name w:val="Light Grid - Accent 1132"/>
    <w:basedOn w:val="TableNormal"/>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32">
    <w:name w:val="Light Grid - Accent 532"/>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32">
    <w:name w:val="Light Grid - Accent 1232"/>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32">
    <w:name w:val="Light List - Accent 532"/>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32">
    <w:name w:val="Light List - Accent 1132"/>
    <w:basedOn w:val="TableNormal"/>
    <w:uiPriority w:val="61"/>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32">
    <w:name w:val="Light Grid - Accent 1332"/>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32">
    <w:name w:val="Medium Grid 1 - Accent 332"/>
    <w:basedOn w:val="TableNormal"/>
    <w:next w:val="MediumGrid1-Accent3"/>
    <w:uiPriority w:val="67"/>
    <w:rsid w:val="00C9597C"/>
    <w:pPr>
      <w:jc w:val="both"/>
    </w:pPr>
    <w:rPr>
      <w:rFonts w:ascii="Times New Roman" w:hAnsi="Times New Roman"/>
      <w:lang w:val="en-IN"/>
    </w:rPr>
    <w:tblPr>
      <w:tblStyleRowBandSize w:val="1"/>
      <w:tblStyleColBandSize w:val="1"/>
      <w:tblInd w:w="0" w:type="dxa"/>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CellMar>
        <w:top w:w="0" w:type="dxa"/>
        <w:left w:w="108" w:type="dxa"/>
        <w:bottom w:w="0" w:type="dxa"/>
        <w:right w:w="108" w:type="dxa"/>
      </w:tblCellMar>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GridTable4Accent322">
    <w:name w:val="Grid Table 4 Accent 322"/>
    <w:basedOn w:val="TableNormal"/>
    <w:uiPriority w:val="49"/>
    <w:rsid w:val="00C9597C"/>
    <w:pPr>
      <w:jc w:val="both"/>
    </w:pPr>
    <w:rPr>
      <w:rFonts w:ascii="Times New Roman" w:hAnsi="Times New Roman"/>
      <w:lang w:val="en-IN"/>
    </w:rPr>
    <w:tblPr>
      <w:tblStyleRowBandSize w:val="1"/>
      <w:tblStyleColBandSize w:val="1"/>
      <w:tblInd w:w="0" w:type="dxa"/>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leGrid12">
    <w:name w:val="Table Grid12"/>
    <w:basedOn w:val="TableNormal"/>
    <w:next w:val="TableGrid"/>
    <w:uiPriority w:val="39"/>
    <w:rsid w:val="00C9597C"/>
    <w:rPr>
      <w:rFonts w:asciiTheme="minorHAnsi" w:hAnsiTheme="minorHAnsi" w:cstheme="minorBidi"/>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
    <w:name w:val="Table Grid21"/>
    <w:basedOn w:val="TableNormal"/>
    <w:next w:val="TableGrid"/>
    <w:uiPriority w:val="39"/>
    <w:rsid w:val="00C9597C"/>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
    <w:name w:val="No List6"/>
    <w:next w:val="NoList"/>
    <w:uiPriority w:val="99"/>
    <w:unhideWhenUsed/>
    <w:rsid w:val="00C9597C"/>
  </w:style>
  <w:style w:type="table" w:customStyle="1" w:styleId="MediumGrid1-Accent16">
    <w:name w:val="Medium Grid 1 - Accent 16"/>
    <w:basedOn w:val="TableNormal"/>
    <w:next w:val="MediumGrid1-Accent1"/>
    <w:uiPriority w:val="67"/>
    <w:rsid w:val="00C9597C"/>
    <w:pPr>
      <w:jc w:val="both"/>
    </w:pPr>
    <w:rPr>
      <w:rFonts w:ascii="Times New Roman" w:hAnsi="Times New Roman"/>
      <w:lang w:val="en-IN"/>
    </w:rPr>
    <w:tblPr>
      <w:tblStyleRowBandSize w:val="1"/>
      <w:tblStyleColBandSize w:val="1"/>
      <w:tblInd w:w="0" w:type="dxa"/>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CellMar>
        <w:top w:w="0" w:type="dxa"/>
        <w:left w:w="108" w:type="dxa"/>
        <w:bottom w:w="0" w:type="dxa"/>
        <w:right w:w="108" w:type="dxa"/>
      </w:tblCellMar>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6">
    <w:name w:val="Light Grid - Accent 116"/>
    <w:basedOn w:val="TableNormal"/>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6">
    <w:name w:val="Light Grid - Accent 56"/>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6">
    <w:name w:val="Light Grid - Accent 126"/>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6">
    <w:name w:val="Light List - Accent 56"/>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6">
    <w:name w:val="Light List - Accent 116"/>
    <w:basedOn w:val="TableNormal"/>
    <w:uiPriority w:val="61"/>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6">
    <w:name w:val="Light Grid - Accent 136"/>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6">
    <w:name w:val="Medium Grid 1 - Accent 36"/>
    <w:basedOn w:val="TableNormal"/>
    <w:next w:val="MediumGrid1-Accent3"/>
    <w:uiPriority w:val="67"/>
    <w:rsid w:val="00C9597C"/>
    <w:pPr>
      <w:jc w:val="both"/>
    </w:pPr>
    <w:rPr>
      <w:rFonts w:ascii="Times New Roman" w:hAnsi="Times New Roman"/>
      <w:lang w:val="en-IN"/>
    </w:rPr>
    <w:tblPr>
      <w:tblStyleRowBandSize w:val="1"/>
      <w:tblStyleColBandSize w:val="1"/>
      <w:tblInd w:w="0" w:type="dxa"/>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CellMar>
        <w:top w:w="0" w:type="dxa"/>
        <w:left w:w="108" w:type="dxa"/>
        <w:bottom w:w="0" w:type="dxa"/>
        <w:right w:w="108" w:type="dxa"/>
      </w:tblCellMar>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numbering" w:customStyle="1" w:styleId="NoList13">
    <w:name w:val="No List13"/>
    <w:next w:val="NoList"/>
    <w:uiPriority w:val="99"/>
    <w:unhideWhenUsed/>
    <w:rsid w:val="00C9597C"/>
  </w:style>
  <w:style w:type="numbering" w:customStyle="1" w:styleId="NoList23">
    <w:name w:val="No List23"/>
    <w:next w:val="NoList"/>
    <w:uiPriority w:val="99"/>
    <w:unhideWhenUsed/>
    <w:rsid w:val="00C9597C"/>
  </w:style>
  <w:style w:type="numbering" w:customStyle="1" w:styleId="NoList33">
    <w:name w:val="No List33"/>
    <w:next w:val="NoList"/>
    <w:uiPriority w:val="99"/>
    <w:unhideWhenUsed/>
    <w:rsid w:val="00C9597C"/>
  </w:style>
  <w:style w:type="numbering" w:customStyle="1" w:styleId="NoList7">
    <w:name w:val="No List7"/>
    <w:next w:val="NoList"/>
    <w:uiPriority w:val="99"/>
    <w:unhideWhenUsed/>
    <w:rsid w:val="00C9597C"/>
  </w:style>
  <w:style w:type="table" w:customStyle="1" w:styleId="TableGrid5">
    <w:name w:val="Table Grid5"/>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3">
    <w:name w:val="Medium Grid 3 - Accent 13"/>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7">
    <w:name w:val="Medium Grid 1 - Accent 17"/>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7">
    <w:name w:val="Light Grid - Accent 117"/>
    <w:basedOn w:val="TableNormal"/>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7">
    <w:name w:val="Light Grid - Accent 57"/>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7">
    <w:name w:val="Light Grid - Accent 127"/>
    <w:basedOn w:val="TableNormal"/>
    <w:uiPriority w:val="62"/>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7">
    <w:name w:val="Light List - Accent 57"/>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7">
    <w:name w:val="Light List - Accent 117"/>
    <w:basedOn w:val="TableNormal"/>
    <w:uiPriority w:val="61"/>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7">
    <w:name w:val="Light Grid - Accent 137"/>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7">
    <w:name w:val="Medium Grid 1 - Accent 37"/>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4">
    <w:name w:val="No List14"/>
    <w:next w:val="NoList"/>
    <w:uiPriority w:val="99"/>
    <w:unhideWhenUsed/>
    <w:rsid w:val="00C9597C"/>
  </w:style>
  <w:style w:type="table" w:customStyle="1" w:styleId="MediumGrid1-Accent113">
    <w:name w:val="Medium Grid 1 - Accent 113"/>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3">
    <w:name w:val="Light Grid - Accent 111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3">
    <w:name w:val="Light Grid - Accent 513"/>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3">
    <w:name w:val="Light Grid - Accent 121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3">
    <w:name w:val="Light List - Accent 513"/>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3">
    <w:name w:val="Light List - Accent 1113"/>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3">
    <w:name w:val="Light Grid - Accent 131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3">
    <w:name w:val="Medium Grid 1 - Accent 313"/>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3">
    <w:name w:val="Grid Table 4 - Accent 313"/>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4">
    <w:name w:val="No List24"/>
    <w:next w:val="NoList"/>
    <w:uiPriority w:val="99"/>
    <w:unhideWhenUsed/>
    <w:rsid w:val="00C9597C"/>
  </w:style>
  <w:style w:type="table" w:customStyle="1" w:styleId="MediumGrid1-Accent123">
    <w:name w:val="Medium Grid 1 - Accent 123"/>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3">
    <w:name w:val="Light Grid - Accent 1123"/>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3">
    <w:name w:val="Light Grid - Accent 52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3">
    <w:name w:val="Light Grid - Accent 122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3">
    <w:name w:val="Light List - Accent 52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3">
    <w:name w:val="Light List - Accent 1123"/>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3">
    <w:name w:val="Light Grid - Accent 132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3">
    <w:name w:val="Medium Grid 1 - Accent 323"/>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3">
    <w:name w:val="Grid Table 4 Accent 313"/>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4">
    <w:name w:val="No List34"/>
    <w:next w:val="NoList"/>
    <w:uiPriority w:val="99"/>
    <w:unhideWhenUsed/>
    <w:rsid w:val="00C9597C"/>
  </w:style>
  <w:style w:type="table" w:customStyle="1" w:styleId="MediumGrid1-Accent133">
    <w:name w:val="Medium Grid 1 - Accent 133"/>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3">
    <w:name w:val="Light Grid - Accent 1133"/>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3">
    <w:name w:val="Light Grid - Accent 53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3">
    <w:name w:val="Light Grid - Accent 123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3">
    <w:name w:val="Light List - Accent 53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3">
    <w:name w:val="Light List - Accent 1133"/>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3">
    <w:name w:val="Light Grid - Accent 133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3">
    <w:name w:val="Medium Grid 1 - Accent 333"/>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3">
    <w:name w:val="Grid Table 4 Accent 323"/>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3">
    <w:name w:val="Table Grid13"/>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
    <w:name w:val="Table Grid22"/>
    <w:basedOn w:val="TableNormal"/>
    <w:next w:val="TableGrid"/>
    <w:uiPriority w:val="59"/>
    <w:rsid w:val="00C9597C"/>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1">
    <w:name w:val="No List41"/>
    <w:next w:val="NoList"/>
    <w:uiPriority w:val="99"/>
    <w:unhideWhenUsed/>
    <w:rsid w:val="00C9597C"/>
  </w:style>
  <w:style w:type="table" w:customStyle="1" w:styleId="MediumGrid1-Accent141">
    <w:name w:val="Medium Grid 1 - Accent 14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1">
    <w:name w:val="Light Grid - Accent 114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1">
    <w:name w:val="Light Grid - Accent 5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1">
    <w:name w:val="Light Grid - Accent 12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1">
    <w:name w:val="Light List - Accent 5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1">
    <w:name w:val="Light List - Accent 114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1">
    <w:name w:val="Light Grid - Accent 13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1">
    <w:name w:val="Medium Grid 1 - Accent 34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1">
    <w:name w:val="Table Grid211"/>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1">
    <w:name w:val="Medium Grid 3 - Accent 111"/>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
    <w:name w:val="No List111"/>
    <w:next w:val="NoList"/>
    <w:uiPriority w:val="99"/>
    <w:unhideWhenUsed/>
    <w:rsid w:val="00C9597C"/>
  </w:style>
  <w:style w:type="table" w:customStyle="1" w:styleId="MediumGrid1-Accent1111">
    <w:name w:val="Medium Grid 1 - Accent 111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
    <w:name w:val="Light Grid - Accent 111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
    <w:name w:val="Light Grid - Accent 5111"/>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
    <w:name w:val="Light Grid - Accent 121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
    <w:name w:val="Light List - Accent 5111"/>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
    <w:name w:val="Light List - Accent 1111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
    <w:name w:val="Light Grid - Accent 131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
    <w:name w:val="Medium Grid 1 - Accent 311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1">
    <w:name w:val="Grid Table 4 - Accent 311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1">
    <w:name w:val="No List211"/>
    <w:next w:val="NoList"/>
    <w:uiPriority w:val="99"/>
    <w:unhideWhenUsed/>
    <w:rsid w:val="00C9597C"/>
  </w:style>
  <w:style w:type="table" w:customStyle="1" w:styleId="MediumGrid1-Accent1211">
    <w:name w:val="Medium Grid 1 - Accent 121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1">
    <w:name w:val="Light Grid - Accent 1121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1">
    <w:name w:val="Light Grid - Accent 52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1">
    <w:name w:val="Light Grid - Accent 122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1">
    <w:name w:val="Light List - Accent 52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1">
    <w:name w:val="Light List - Accent 1121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1">
    <w:name w:val="Light Grid - Accent 132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1">
    <w:name w:val="Medium Grid 1 - Accent 321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1">
    <w:name w:val="Grid Table 4 Accent 311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1">
    <w:name w:val="No List311"/>
    <w:next w:val="NoList"/>
    <w:uiPriority w:val="99"/>
    <w:unhideWhenUsed/>
    <w:rsid w:val="00C9597C"/>
  </w:style>
  <w:style w:type="table" w:customStyle="1" w:styleId="MediumGrid1-Accent1311">
    <w:name w:val="Medium Grid 1 - Accent 131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1">
    <w:name w:val="Light Grid - Accent 1131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1">
    <w:name w:val="Light Grid - Accent 53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1">
    <w:name w:val="Light Grid - Accent 123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1">
    <w:name w:val="Light List - Accent 53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1">
    <w:name w:val="Light List - Accent 1131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1">
    <w:name w:val="Light Grid - Accent 133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
    <w:name w:val="Medium Grid 1 - Accent 331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1">
    <w:name w:val="Grid Table 4 Accent 321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1">
    <w:name w:val="Table Grid111"/>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1">
    <w:name w:val="No List51"/>
    <w:next w:val="NoList"/>
    <w:uiPriority w:val="99"/>
    <w:unhideWhenUsed/>
    <w:rsid w:val="00C9597C"/>
  </w:style>
  <w:style w:type="table" w:customStyle="1" w:styleId="MediumGrid1-Accent151">
    <w:name w:val="Medium Grid 1 - Accent 15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1">
    <w:name w:val="Light Grid - Accent 115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1">
    <w:name w:val="Light Grid - Accent 5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1">
    <w:name w:val="Light Grid - Accent 12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1">
    <w:name w:val="Light List - Accent 5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1">
    <w:name w:val="Light List - Accent 115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1">
    <w:name w:val="Light Grid - Accent 13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1">
    <w:name w:val="Medium Grid 1 - Accent 35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1">
    <w:name w:val="No List121"/>
    <w:next w:val="NoList"/>
    <w:uiPriority w:val="99"/>
    <w:unhideWhenUsed/>
    <w:rsid w:val="00C9597C"/>
  </w:style>
  <w:style w:type="numbering" w:customStyle="1" w:styleId="NoList221">
    <w:name w:val="No List221"/>
    <w:next w:val="NoList"/>
    <w:uiPriority w:val="99"/>
    <w:unhideWhenUsed/>
    <w:rsid w:val="00C9597C"/>
  </w:style>
  <w:style w:type="numbering" w:customStyle="1" w:styleId="NoList321">
    <w:name w:val="No List321"/>
    <w:next w:val="NoList"/>
    <w:uiPriority w:val="99"/>
    <w:unhideWhenUsed/>
    <w:rsid w:val="00C9597C"/>
  </w:style>
  <w:style w:type="numbering" w:customStyle="1" w:styleId="NoList61">
    <w:name w:val="No List61"/>
    <w:next w:val="NoList"/>
    <w:uiPriority w:val="99"/>
    <w:unhideWhenUsed/>
    <w:rsid w:val="00C9597C"/>
  </w:style>
  <w:style w:type="table" w:customStyle="1" w:styleId="MediumGrid1-Accent161">
    <w:name w:val="Medium Grid 1 - Accent 16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1">
    <w:name w:val="Light Grid - Accent 116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1">
    <w:name w:val="Light Grid - Accent 56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1">
    <w:name w:val="Light Grid - Accent 126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1">
    <w:name w:val="Light List - Accent 56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1">
    <w:name w:val="Light List - Accent 116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1">
    <w:name w:val="Light Grid - Accent 136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1">
    <w:name w:val="Medium Grid 1 - Accent 36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1">
    <w:name w:val="No List131"/>
    <w:next w:val="NoList"/>
    <w:uiPriority w:val="99"/>
    <w:unhideWhenUsed/>
    <w:rsid w:val="00C9597C"/>
  </w:style>
  <w:style w:type="numbering" w:customStyle="1" w:styleId="NoList231">
    <w:name w:val="No List231"/>
    <w:next w:val="NoList"/>
    <w:uiPriority w:val="99"/>
    <w:unhideWhenUsed/>
    <w:rsid w:val="00C9597C"/>
  </w:style>
  <w:style w:type="numbering" w:customStyle="1" w:styleId="NoList331">
    <w:name w:val="No List331"/>
    <w:next w:val="NoList"/>
    <w:uiPriority w:val="99"/>
    <w:unhideWhenUsed/>
    <w:rsid w:val="00C9597C"/>
  </w:style>
  <w:style w:type="numbering" w:customStyle="1" w:styleId="NoList8">
    <w:name w:val="No List8"/>
    <w:next w:val="NoList"/>
    <w:uiPriority w:val="99"/>
    <w:unhideWhenUsed/>
    <w:rsid w:val="00C9597C"/>
  </w:style>
  <w:style w:type="table" w:customStyle="1" w:styleId="TableGrid6">
    <w:name w:val="Table Grid6"/>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4">
    <w:name w:val="Medium Grid 3 - Accent 14"/>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8">
    <w:name w:val="Medium Grid 1 - Accent 18"/>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8">
    <w:name w:val="Light Grid - Accent 118"/>
    <w:basedOn w:val="TableNormal"/>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8">
    <w:name w:val="Light Grid - Accent 58"/>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8">
    <w:name w:val="Light Grid - Accent 128"/>
    <w:basedOn w:val="TableNormal"/>
    <w:uiPriority w:val="62"/>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8">
    <w:name w:val="Light List - Accent 58"/>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8">
    <w:name w:val="Light List - Accent 118"/>
    <w:basedOn w:val="TableNormal"/>
    <w:uiPriority w:val="61"/>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8">
    <w:name w:val="Light Grid - Accent 138"/>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8">
    <w:name w:val="Medium Grid 1 - Accent 38"/>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5">
    <w:name w:val="No List15"/>
    <w:next w:val="NoList"/>
    <w:uiPriority w:val="99"/>
    <w:unhideWhenUsed/>
    <w:rsid w:val="00C9597C"/>
  </w:style>
  <w:style w:type="table" w:customStyle="1" w:styleId="MediumGrid1-Accent114">
    <w:name w:val="Medium Grid 1 - Accent 114"/>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4">
    <w:name w:val="Light Grid - Accent 111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4">
    <w:name w:val="Light Grid - Accent 514"/>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4">
    <w:name w:val="Light Grid - Accent 121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4">
    <w:name w:val="Light List - Accent 514"/>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4">
    <w:name w:val="Light List - Accent 1114"/>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4">
    <w:name w:val="Light Grid - Accent 131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4">
    <w:name w:val="Medium Grid 1 - Accent 314"/>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4">
    <w:name w:val="Grid Table 4 - Accent 314"/>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5">
    <w:name w:val="No List25"/>
    <w:next w:val="NoList"/>
    <w:uiPriority w:val="99"/>
    <w:unhideWhenUsed/>
    <w:rsid w:val="00C9597C"/>
  </w:style>
  <w:style w:type="table" w:customStyle="1" w:styleId="MediumGrid1-Accent124">
    <w:name w:val="Medium Grid 1 - Accent 124"/>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4">
    <w:name w:val="Light Grid - Accent 1124"/>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4">
    <w:name w:val="Light Grid - Accent 52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4">
    <w:name w:val="Light Grid - Accent 122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4">
    <w:name w:val="Light List - Accent 52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4">
    <w:name w:val="Light List - Accent 1124"/>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4">
    <w:name w:val="Light Grid - Accent 132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4">
    <w:name w:val="Medium Grid 1 - Accent 324"/>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4">
    <w:name w:val="Grid Table 4 Accent 314"/>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5">
    <w:name w:val="No List35"/>
    <w:next w:val="NoList"/>
    <w:uiPriority w:val="99"/>
    <w:unhideWhenUsed/>
    <w:rsid w:val="00C9597C"/>
  </w:style>
  <w:style w:type="table" w:customStyle="1" w:styleId="MediumGrid1-Accent134">
    <w:name w:val="Medium Grid 1 - Accent 134"/>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4">
    <w:name w:val="Light Grid - Accent 1134"/>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4">
    <w:name w:val="Light Grid - Accent 53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4">
    <w:name w:val="Light Grid - Accent 123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4">
    <w:name w:val="Light List - Accent 53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4">
    <w:name w:val="Light List - Accent 1134"/>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4">
    <w:name w:val="Light Grid - Accent 133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4">
    <w:name w:val="Medium Grid 1 - Accent 334"/>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4">
    <w:name w:val="Grid Table 4 Accent 324"/>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4">
    <w:name w:val="Table Grid14"/>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3">
    <w:name w:val="Table Grid23"/>
    <w:basedOn w:val="TableNormal"/>
    <w:next w:val="TableGrid"/>
    <w:uiPriority w:val="59"/>
    <w:rsid w:val="00C9597C"/>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2">
    <w:name w:val="No List42"/>
    <w:next w:val="NoList"/>
    <w:uiPriority w:val="99"/>
    <w:unhideWhenUsed/>
    <w:rsid w:val="00C9597C"/>
  </w:style>
  <w:style w:type="table" w:customStyle="1" w:styleId="MediumGrid1-Accent142">
    <w:name w:val="Medium Grid 1 - Accent 142"/>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2">
    <w:name w:val="Light Grid - Accent 1142"/>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2">
    <w:name w:val="Light Grid - Accent 542"/>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2">
    <w:name w:val="Light Grid - Accent 124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2">
    <w:name w:val="Light List - Accent 542"/>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2">
    <w:name w:val="Light List - Accent 1142"/>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2">
    <w:name w:val="Light Grid - Accent 134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2">
    <w:name w:val="Medium Grid 1 - Accent 342"/>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2">
    <w:name w:val="Table Grid212"/>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2">
    <w:name w:val="Medium Grid 3 - Accent 112"/>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2">
    <w:name w:val="No List112"/>
    <w:next w:val="NoList"/>
    <w:uiPriority w:val="99"/>
    <w:unhideWhenUsed/>
    <w:rsid w:val="00C9597C"/>
  </w:style>
  <w:style w:type="table" w:customStyle="1" w:styleId="MediumGrid1-Accent1112">
    <w:name w:val="Medium Grid 1 - Accent 1112"/>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2">
    <w:name w:val="Light Grid - Accent 1111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2">
    <w:name w:val="Light Grid - Accent 5112"/>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2">
    <w:name w:val="Light Grid - Accent 1211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
    <w:name w:val="Light List - Accent 5112"/>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2">
    <w:name w:val="Light List - Accent 11112"/>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2">
    <w:name w:val="Light Grid - Accent 1311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2">
    <w:name w:val="Medium Grid 1 - Accent 3112"/>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2">
    <w:name w:val="Grid Table 4 - Accent 3112"/>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2">
    <w:name w:val="No List212"/>
    <w:next w:val="NoList"/>
    <w:uiPriority w:val="99"/>
    <w:unhideWhenUsed/>
    <w:rsid w:val="00C9597C"/>
  </w:style>
  <w:style w:type="table" w:customStyle="1" w:styleId="MediumGrid1-Accent1212">
    <w:name w:val="Medium Grid 1 - Accent 1212"/>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2">
    <w:name w:val="Light Grid - Accent 11212"/>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2">
    <w:name w:val="Light Grid - Accent 5212"/>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2">
    <w:name w:val="Light Grid - Accent 1221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2">
    <w:name w:val="Light List - Accent 5212"/>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2">
    <w:name w:val="Light List - Accent 11212"/>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2">
    <w:name w:val="Light Grid - Accent 1321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2">
    <w:name w:val="Medium Grid 1 - Accent 3212"/>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2">
    <w:name w:val="Grid Table 4 Accent 3112"/>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2">
    <w:name w:val="No List312"/>
    <w:next w:val="NoList"/>
    <w:uiPriority w:val="99"/>
    <w:unhideWhenUsed/>
    <w:rsid w:val="00C9597C"/>
  </w:style>
  <w:style w:type="table" w:customStyle="1" w:styleId="MediumGrid1-Accent1312">
    <w:name w:val="Medium Grid 1 - Accent 1312"/>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2">
    <w:name w:val="Light Grid - Accent 11312"/>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2">
    <w:name w:val="Light Grid - Accent 5312"/>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2">
    <w:name w:val="Light Grid - Accent 1231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2">
    <w:name w:val="Light List - Accent 5312"/>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2">
    <w:name w:val="Light List - Accent 11312"/>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2">
    <w:name w:val="Light Grid - Accent 1331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
    <w:name w:val="Medium Grid 1 - Accent 3312"/>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2">
    <w:name w:val="Grid Table 4 Accent 3212"/>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2">
    <w:name w:val="Table Grid112"/>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2">
    <w:name w:val="No List52"/>
    <w:next w:val="NoList"/>
    <w:uiPriority w:val="99"/>
    <w:unhideWhenUsed/>
    <w:rsid w:val="00C9597C"/>
  </w:style>
  <w:style w:type="table" w:customStyle="1" w:styleId="MediumGrid1-Accent152">
    <w:name w:val="Medium Grid 1 - Accent 152"/>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2">
    <w:name w:val="Light Grid - Accent 1152"/>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2">
    <w:name w:val="Light Grid - Accent 552"/>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2">
    <w:name w:val="Light Grid - Accent 125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2">
    <w:name w:val="Light List - Accent 552"/>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2">
    <w:name w:val="Light List - Accent 1152"/>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2">
    <w:name w:val="Light Grid - Accent 135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2">
    <w:name w:val="Medium Grid 1 - Accent 352"/>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2">
    <w:name w:val="No List122"/>
    <w:next w:val="NoList"/>
    <w:uiPriority w:val="99"/>
    <w:unhideWhenUsed/>
    <w:rsid w:val="00C9597C"/>
  </w:style>
  <w:style w:type="numbering" w:customStyle="1" w:styleId="NoList222">
    <w:name w:val="No List222"/>
    <w:next w:val="NoList"/>
    <w:uiPriority w:val="99"/>
    <w:unhideWhenUsed/>
    <w:rsid w:val="00C9597C"/>
  </w:style>
  <w:style w:type="numbering" w:customStyle="1" w:styleId="NoList322">
    <w:name w:val="No List322"/>
    <w:next w:val="NoList"/>
    <w:uiPriority w:val="99"/>
    <w:unhideWhenUsed/>
    <w:rsid w:val="00C9597C"/>
  </w:style>
  <w:style w:type="numbering" w:customStyle="1" w:styleId="NoList62">
    <w:name w:val="No List62"/>
    <w:next w:val="NoList"/>
    <w:uiPriority w:val="99"/>
    <w:unhideWhenUsed/>
    <w:rsid w:val="00C9597C"/>
  </w:style>
  <w:style w:type="table" w:customStyle="1" w:styleId="MediumGrid1-Accent162">
    <w:name w:val="Medium Grid 1 - Accent 162"/>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2">
    <w:name w:val="Light Grid - Accent 1162"/>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2">
    <w:name w:val="Light Grid - Accent 562"/>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2">
    <w:name w:val="Light Grid - Accent 126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2">
    <w:name w:val="Light List - Accent 562"/>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2">
    <w:name w:val="Light List - Accent 1162"/>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2">
    <w:name w:val="Light Grid - Accent 136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2">
    <w:name w:val="Medium Grid 1 - Accent 362"/>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2">
    <w:name w:val="No List132"/>
    <w:next w:val="NoList"/>
    <w:uiPriority w:val="99"/>
    <w:unhideWhenUsed/>
    <w:rsid w:val="00C9597C"/>
  </w:style>
  <w:style w:type="numbering" w:customStyle="1" w:styleId="NoList232">
    <w:name w:val="No List232"/>
    <w:next w:val="NoList"/>
    <w:uiPriority w:val="99"/>
    <w:unhideWhenUsed/>
    <w:rsid w:val="00C9597C"/>
  </w:style>
  <w:style w:type="numbering" w:customStyle="1" w:styleId="NoList332">
    <w:name w:val="No List332"/>
    <w:next w:val="NoList"/>
    <w:uiPriority w:val="99"/>
    <w:unhideWhenUsed/>
    <w:rsid w:val="00C9597C"/>
  </w:style>
  <w:style w:type="numbering" w:customStyle="1" w:styleId="NoList9">
    <w:name w:val="No List9"/>
    <w:next w:val="NoList"/>
    <w:uiPriority w:val="99"/>
    <w:unhideWhenUsed/>
    <w:rsid w:val="00C9597C"/>
  </w:style>
  <w:style w:type="table" w:customStyle="1" w:styleId="TableGrid7">
    <w:name w:val="Table Grid7"/>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5">
    <w:name w:val="Medium Grid 3 - Accent 15"/>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9">
    <w:name w:val="Medium Grid 1 - Accent 19"/>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9">
    <w:name w:val="Light Grid - Accent 119"/>
    <w:basedOn w:val="TableNormal"/>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9">
    <w:name w:val="Light Grid - Accent 59"/>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9">
    <w:name w:val="Light Grid - Accent 129"/>
    <w:basedOn w:val="TableNormal"/>
    <w:uiPriority w:val="62"/>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9">
    <w:name w:val="Light List - Accent 59"/>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9">
    <w:name w:val="Light List - Accent 119"/>
    <w:basedOn w:val="TableNormal"/>
    <w:uiPriority w:val="61"/>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9">
    <w:name w:val="Light Grid - Accent 139"/>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9">
    <w:name w:val="Medium Grid 1 - Accent 39"/>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6">
    <w:name w:val="No List16"/>
    <w:next w:val="NoList"/>
    <w:uiPriority w:val="99"/>
    <w:unhideWhenUsed/>
    <w:rsid w:val="00C9597C"/>
  </w:style>
  <w:style w:type="table" w:customStyle="1" w:styleId="MediumGrid1-Accent115">
    <w:name w:val="Medium Grid 1 - Accent 115"/>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5">
    <w:name w:val="Light Grid - Accent 111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5">
    <w:name w:val="Light Grid - Accent 515"/>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5">
    <w:name w:val="Light Grid - Accent 121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5">
    <w:name w:val="Light List - Accent 515"/>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5">
    <w:name w:val="Light List - Accent 1115"/>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5">
    <w:name w:val="Light Grid - Accent 131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5">
    <w:name w:val="Medium Grid 1 - Accent 315"/>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5">
    <w:name w:val="Grid Table 4 - Accent 315"/>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6">
    <w:name w:val="No List26"/>
    <w:next w:val="NoList"/>
    <w:uiPriority w:val="99"/>
    <w:unhideWhenUsed/>
    <w:rsid w:val="00C9597C"/>
  </w:style>
  <w:style w:type="table" w:customStyle="1" w:styleId="MediumGrid1-Accent125">
    <w:name w:val="Medium Grid 1 - Accent 125"/>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5">
    <w:name w:val="Light Grid - Accent 1125"/>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5">
    <w:name w:val="Light Grid - Accent 52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5">
    <w:name w:val="Light Grid - Accent 122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5">
    <w:name w:val="Light List - Accent 52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5">
    <w:name w:val="Light List - Accent 1125"/>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5">
    <w:name w:val="Light Grid - Accent 132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5">
    <w:name w:val="Medium Grid 1 - Accent 325"/>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5">
    <w:name w:val="Grid Table 4 Accent 315"/>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6">
    <w:name w:val="No List36"/>
    <w:next w:val="NoList"/>
    <w:uiPriority w:val="99"/>
    <w:unhideWhenUsed/>
    <w:rsid w:val="00C9597C"/>
  </w:style>
  <w:style w:type="table" w:customStyle="1" w:styleId="MediumGrid1-Accent135">
    <w:name w:val="Medium Grid 1 - Accent 135"/>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5">
    <w:name w:val="Light Grid - Accent 1135"/>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5">
    <w:name w:val="Light Grid - Accent 53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5">
    <w:name w:val="Light Grid - Accent 123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5">
    <w:name w:val="Light List - Accent 53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5">
    <w:name w:val="Light List - Accent 1135"/>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5">
    <w:name w:val="Light Grid - Accent 133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5">
    <w:name w:val="Medium Grid 1 - Accent 335"/>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5">
    <w:name w:val="Grid Table 4 Accent 325"/>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5">
    <w:name w:val="Table Grid15"/>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4">
    <w:name w:val="Table Grid24"/>
    <w:basedOn w:val="TableNormal"/>
    <w:next w:val="TableGrid"/>
    <w:uiPriority w:val="59"/>
    <w:rsid w:val="00C9597C"/>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3">
    <w:name w:val="No List43"/>
    <w:next w:val="NoList"/>
    <w:uiPriority w:val="99"/>
    <w:unhideWhenUsed/>
    <w:rsid w:val="00C9597C"/>
  </w:style>
  <w:style w:type="table" w:customStyle="1" w:styleId="MediumGrid1-Accent143">
    <w:name w:val="Medium Grid 1 - Accent 143"/>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3">
    <w:name w:val="Light Grid - Accent 1143"/>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3">
    <w:name w:val="Light Grid - Accent 54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3">
    <w:name w:val="Light Grid - Accent 124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3">
    <w:name w:val="Light List - Accent 54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3">
    <w:name w:val="Light List - Accent 1143"/>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3">
    <w:name w:val="Light Grid - Accent 134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3">
    <w:name w:val="Medium Grid 1 - Accent 343"/>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3">
    <w:name w:val="Table Grid213"/>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3">
    <w:name w:val="Medium Grid 3 - Accent 113"/>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3">
    <w:name w:val="No List113"/>
    <w:next w:val="NoList"/>
    <w:uiPriority w:val="99"/>
    <w:unhideWhenUsed/>
    <w:rsid w:val="00C9597C"/>
  </w:style>
  <w:style w:type="table" w:customStyle="1" w:styleId="MediumGrid1-Accent1113">
    <w:name w:val="Medium Grid 1 - Accent 1113"/>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3">
    <w:name w:val="Light Grid - Accent 1111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3">
    <w:name w:val="Light Grid - Accent 5113"/>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3">
    <w:name w:val="Light Grid - Accent 1211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3">
    <w:name w:val="Light List - Accent 5113"/>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3">
    <w:name w:val="Light List - Accent 11113"/>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3">
    <w:name w:val="Light Grid - Accent 1311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3">
    <w:name w:val="Medium Grid 1 - Accent 3113"/>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3">
    <w:name w:val="Grid Table 4 - Accent 3113"/>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3">
    <w:name w:val="No List213"/>
    <w:next w:val="NoList"/>
    <w:uiPriority w:val="99"/>
    <w:unhideWhenUsed/>
    <w:rsid w:val="00C9597C"/>
  </w:style>
  <w:style w:type="table" w:customStyle="1" w:styleId="MediumGrid1-Accent1213">
    <w:name w:val="Medium Grid 1 - Accent 1213"/>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3">
    <w:name w:val="Light Grid - Accent 11213"/>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3">
    <w:name w:val="Light Grid - Accent 521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3">
    <w:name w:val="Light Grid - Accent 1221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3">
    <w:name w:val="Light List - Accent 521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3">
    <w:name w:val="Light List - Accent 11213"/>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3">
    <w:name w:val="Light Grid - Accent 1321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3">
    <w:name w:val="Medium Grid 1 - Accent 3213"/>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3">
    <w:name w:val="Grid Table 4 Accent 3113"/>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3">
    <w:name w:val="No List313"/>
    <w:next w:val="NoList"/>
    <w:uiPriority w:val="99"/>
    <w:unhideWhenUsed/>
    <w:rsid w:val="00C9597C"/>
  </w:style>
  <w:style w:type="table" w:customStyle="1" w:styleId="MediumGrid1-Accent1313">
    <w:name w:val="Medium Grid 1 - Accent 1313"/>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3">
    <w:name w:val="Light Grid - Accent 11313"/>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3">
    <w:name w:val="Light Grid - Accent 531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3">
    <w:name w:val="Light Grid - Accent 1231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3">
    <w:name w:val="Light List - Accent 531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3">
    <w:name w:val="Light List - Accent 11313"/>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3">
    <w:name w:val="Light Grid - Accent 1331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3">
    <w:name w:val="Medium Grid 1 - Accent 3313"/>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3">
    <w:name w:val="Grid Table 4 Accent 3213"/>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3">
    <w:name w:val="Table Grid113"/>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3">
    <w:name w:val="No List53"/>
    <w:next w:val="NoList"/>
    <w:uiPriority w:val="99"/>
    <w:unhideWhenUsed/>
    <w:rsid w:val="00C9597C"/>
  </w:style>
  <w:style w:type="table" w:customStyle="1" w:styleId="MediumGrid1-Accent153">
    <w:name w:val="Medium Grid 1 - Accent 153"/>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3">
    <w:name w:val="Light Grid - Accent 1153"/>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3">
    <w:name w:val="Light Grid - Accent 55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3">
    <w:name w:val="Light Grid - Accent 125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3">
    <w:name w:val="Light List - Accent 55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3">
    <w:name w:val="Light List - Accent 1153"/>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3">
    <w:name w:val="Light Grid - Accent 135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3">
    <w:name w:val="Medium Grid 1 - Accent 353"/>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3">
    <w:name w:val="No List123"/>
    <w:next w:val="NoList"/>
    <w:uiPriority w:val="99"/>
    <w:unhideWhenUsed/>
    <w:rsid w:val="00C9597C"/>
  </w:style>
  <w:style w:type="numbering" w:customStyle="1" w:styleId="NoList223">
    <w:name w:val="No List223"/>
    <w:next w:val="NoList"/>
    <w:uiPriority w:val="99"/>
    <w:unhideWhenUsed/>
    <w:rsid w:val="00C9597C"/>
  </w:style>
  <w:style w:type="numbering" w:customStyle="1" w:styleId="NoList323">
    <w:name w:val="No List323"/>
    <w:next w:val="NoList"/>
    <w:uiPriority w:val="99"/>
    <w:unhideWhenUsed/>
    <w:rsid w:val="00C9597C"/>
  </w:style>
  <w:style w:type="numbering" w:customStyle="1" w:styleId="NoList63">
    <w:name w:val="No List63"/>
    <w:next w:val="NoList"/>
    <w:uiPriority w:val="99"/>
    <w:unhideWhenUsed/>
    <w:rsid w:val="00C9597C"/>
  </w:style>
  <w:style w:type="table" w:customStyle="1" w:styleId="MediumGrid1-Accent163">
    <w:name w:val="Medium Grid 1 - Accent 163"/>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3">
    <w:name w:val="Light Grid - Accent 1163"/>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3">
    <w:name w:val="Light Grid - Accent 56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3">
    <w:name w:val="Light Grid - Accent 126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3">
    <w:name w:val="Light List - Accent 56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3">
    <w:name w:val="Light List - Accent 1163"/>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3">
    <w:name w:val="Light Grid - Accent 136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3">
    <w:name w:val="Medium Grid 1 - Accent 363"/>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3">
    <w:name w:val="No List133"/>
    <w:next w:val="NoList"/>
    <w:uiPriority w:val="99"/>
    <w:unhideWhenUsed/>
    <w:rsid w:val="00C9597C"/>
  </w:style>
  <w:style w:type="numbering" w:customStyle="1" w:styleId="NoList233">
    <w:name w:val="No List233"/>
    <w:next w:val="NoList"/>
    <w:uiPriority w:val="99"/>
    <w:unhideWhenUsed/>
    <w:rsid w:val="00C9597C"/>
  </w:style>
  <w:style w:type="numbering" w:customStyle="1" w:styleId="NoList333">
    <w:name w:val="No List333"/>
    <w:next w:val="NoList"/>
    <w:uiPriority w:val="99"/>
    <w:unhideWhenUsed/>
    <w:rsid w:val="00C9597C"/>
  </w:style>
  <w:style w:type="numbering" w:customStyle="1" w:styleId="NoList10">
    <w:name w:val="No List10"/>
    <w:next w:val="NoList"/>
    <w:uiPriority w:val="99"/>
    <w:unhideWhenUsed/>
    <w:rsid w:val="00C9597C"/>
  </w:style>
  <w:style w:type="table" w:customStyle="1" w:styleId="TableGrid8">
    <w:name w:val="Table Grid8"/>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6">
    <w:name w:val="Medium Grid 3 - Accent 16"/>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0">
    <w:name w:val="Medium Grid 1 - Accent 110"/>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0">
    <w:name w:val="Light Grid - Accent 1110"/>
    <w:basedOn w:val="TableNormal"/>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0">
    <w:name w:val="Light Grid - Accent 510"/>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0">
    <w:name w:val="Light Grid - Accent 1210"/>
    <w:basedOn w:val="TableNormal"/>
    <w:uiPriority w:val="62"/>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0">
    <w:name w:val="Light List - Accent 510"/>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0">
    <w:name w:val="Light List - Accent 1110"/>
    <w:basedOn w:val="TableNormal"/>
    <w:uiPriority w:val="61"/>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0">
    <w:name w:val="Light Grid - Accent 1310"/>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0">
    <w:name w:val="Medium Grid 1 - Accent 310"/>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7">
    <w:name w:val="No List17"/>
    <w:next w:val="NoList"/>
    <w:uiPriority w:val="99"/>
    <w:unhideWhenUsed/>
    <w:rsid w:val="00C9597C"/>
  </w:style>
  <w:style w:type="table" w:customStyle="1" w:styleId="MediumGrid1-Accent116">
    <w:name w:val="Medium Grid 1 - Accent 116"/>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6">
    <w:name w:val="Light Grid - Accent 111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6">
    <w:name w:val="Light Grid - Accent 516"/>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6">
    <w:name w:val="Light Grid - Accent 121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6">
    <w:name w:val="Light List - Accent 516"/>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6">
    <w:name w:val="Light List - Accent 1116"/>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6">
    <w:name w:val="Light Grid - Accent 131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6">
    <w:name w:val="Medium Grid 1 - Accent 316"/>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6">
    <w:name w:val="Grid Table 4 - Accent 316"/>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7">
    <w:name w:val="No List27"/>
    <w:next w:val="NoList"/>
    <w:uiPriority w:val="99"/>
    <w:unhideWhenUsed/>
    <w:rsid w:val="00C9597C"/>
  </w:style>
  <w:style w:type="table" w:customStyle="1" w:styleId="MediumGrid1-Accent126">
    <w:name w:val="Medium Grid 1 - Accent 126"/>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6">
    <w:name w:val="Light Grid - Accent 1126"/>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6">
    <w:name w:val="Light Grid - Accent 526"/>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6">
    <w:name w:val="Light Grid - Accent 122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6">
    <w:name w:val="Light List - Accent 526"/>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6">
    <w:name w:val="Light List - Accent 1126"/>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6">
    <w:name w:val="Light Grid - Accent 132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6">
    <w:name w:val="Medium Grid 1 - Accent 326"/>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6">
    <w:name w:val="Grid Table 4 Accent 316"/>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7">
    <w:name w:val="No List37"/>
    <w:next w:val="NoList"/>
    <w:uiPriority w:val="99"/>
    <w:unhideWhenUsed/>
    <w:rsid w:val="00C9597C"/>
  </w:style>
  <w:style w:type="table" w:customStyle="1" w:styleId="MediumGrid1-Accent136">
    <w:name w:val="Medium Grid 1 - Accent 136"/>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6">
    <w:name w:val="Light Grid - Accent 1136"/>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6">
    <w:name w:val="Light Grid - Accent 536"/>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6">
    <w:name w:val="Light Grid - Accent 123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6">
    <w:name w:val="Light List - Accent 536"/>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6">
    <w:name w:val="Light List - Accent 1136"/>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6">
    <w:name w:val="Light Grid - Accent 133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6">
    <w:name w:val="Medium Grid 1 - Accent 336"/>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6">
    <w:name w:val="Grid Table 4 Accent 326"/>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6">
    <w:name w:val="Table Grid16"/>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5">
    <w:name w:val="Table Grid25"/>
    <w:basedOn w:val="TableNormal"/>
    <w:next w:val="TableGrid"/>
    <w:uiPriority w:val="59"/>
    <w:rsid w:val="00C9597C"/>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4">
    <w:name w:val="No List44"/>
    <w:next w:val="NoList"/>
    <w:uiPriority w:val="99"/>
    <w:unhideWhenUsed/>
    <w:rsid w:val="00C9597C"/>
  </w:style>
  <w:style w:type="table" w:customStyle="1" w:styleId="MediumGrid1-Accent144">
    <w:name w:val="Medium Grid 1 - Accent 144"/>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4">
    <w:name w:val="Light Grid - Accent 1144"/>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4">
    <w:name w:val="Light Grid - Accent 54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4">
    <w:name w:val="Light Grid - Accent 124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4">
    <w:name w:val="Light List - Accent 54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4">
    <w:name w:val="Light List - Accent 1144"/>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4">
    <w:name w:val="Light Grid - Accent 134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4">
    <w:name w:val="Medium Grid 1 - Accent 344"/>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4">
    <w:name w:val="Table Grid214"/>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4">
    <w:name w:val="Medium Grid 3 - Accent 114"/>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4">
    <w:name w:val="No List114"/>
    <w:next w:val="NoList"/>
    <w:uiPriority w:val="99"/>
    <w:unhideWhenUsed/>
    <w:rsid w:val="00C9597C"/>
  </w:style>
  <w:style w:type="table" w:customStyle="1" w:styleId="MediumGrid1-Accent1114">
    <w:name w:val="Medium Grid 1 - Accent 1114"/>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4">
    <w:name w:val="Light Grid - Accent 1111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4">
    <w:name w:val="Light Grid - Accent 5114"/>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4">
    <w:name w:val="Light Grid - Accent 1211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4">
    <w:name w:val="Light List - Accent 5114"/>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4">
    <w:name w:val="Light List - Accent 11114"/>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4">
    <w:name w:val="Light Grid - Accent 1311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4">
    <w:name w:val="Medium Grid 1 - Accent 3114"/>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4">
    <w:name w:val="Grid Table 4 - Accent 3114"/>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4">
    <w:name w:val="No List214"/>
    <w:next w:val="NoList"/>
    <w:uiPriority w:val="99"/>
    <w:unhideWhenUsed/>
    <w:rsid w:val="00C9597C"/>
  </w:style>
  <w:style w:type="table" w:customStyle="1" w:styleId="MediumGrid1-Accent1214">
    <w:name w:val="Medium Grid 1 - Accent 1214"/>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4">
    <w:name w:val="Light Grid - Accent 11214"/>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4">
    <w:name w:val="Light Grid - Accent 521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4">
    <w:name w:val="Light Grid - Accent 1221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4">
    <w:name w:val="Light List - Accent 521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4">
    <w:name w:val="Light List - Accent 11214"/>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4">
    <w:name w:val="Light Grid - Accent 1321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4">
    <w:name w:val="Medium Grid 1 - Accent 3214"/>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4">
    <w:name w:val="Grid Table 4 Accent 3114"/>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4">
    <w:name w:val="No List314"/>
    <w:next w:val="NoList"/>
    <w:uiPriority w:val="99"/>
    <w:unhideWhenUsed/>
    <w:rsid w:val="00C9597C"/>
  </w:style>
  <w:style w:type="table" w:customStyle="1" w:styleId="MediumGrid1-Accent1314">
    <w:name w:val="Medium Grid 1 - Accent 1314"/>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4">
    <w:name w:val="Light Grid - Accent 11314"/>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4">
    <w:name w:val="Light Grid - Accent 531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4">
    <w:name w:val="Light Grid - Accent 1231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4">
    <w:name w:val="Light List - Accent 531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4">
    <w:name w:val="Light List - Accent 11314"/>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4">
    <w:name w:val="Light Grid - Accent 1331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4">
    <w:name w:val="Medium Grid 1 - Accent 3314"/>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4">
    <w:name w:val="Grid Table 4 Accent 3214"/>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4">
    <w:name w:val="Table Grid114"/>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4">
    <w:name w:val="No List54"/>
    <w:next w:val="NoList"/>
    <w:uiPriority w:val="99"/>
    <w:unhideWhenUsed/>
    <w:rsid w:val="00C9597C"/>
  </w:style>
  <w:style w:type="table" w:customStyle="1" w:styleId="MediumGrid1-Accent154">
    <w:name w:val="Medium Grid 1 - Accent 154"/>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4">
    <w:name w:val="Light Grid - Accent 1154"/>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4">
    <w:name w:val="Light Grid - Accent 55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4">
    <w:name w:val="Light Grid - Accent 125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4">
    <w:name w:val="Light List - Accent 55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4">
    <w:name w:val="Light List - Accent 1154"/>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4">
    <w:name w:val="Light Grid - Accent 135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4">
    <w:name w:val="Medium Grid 1 - Accent 354"/>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4">
    <w:name w:val="No List124"/>
    <w:next w:val="NoList"/>
    <w:uiPriority w:val="99"/>
    <w:unhideWhenUsed/>
    <w:rsid w:val="00C9597C"/>
  </w:style>
  <w:style w:type="numbering" w:customStyle="1" w:styleId="NoList224">
    <w:name w:val="No List224"/>
    <w:next w:val="NoList"/>
    <w:uiPriority w:val="99"/>
    <w:unhideWhenUsed/>
    <w:rsid w:val="00C9597C"/>
  </w:style>
  <w:style w:type="numbering" w:customStyle="1" w:styleId="NoList324">
    <w:name w:val="No List324"/>
    <w:next w:val="NoList"/>
    <w:uiPriority w:val="99"/>
    <w:unhideWhenUsed/>
    <w:rsid w:val="00C9597C"/>
  </w:style>
  <w:style w:type="numbering" w:customStyle="1" w:styleId="NoList64">
    <w:name w:val="No List64"/>
    <w:next w:val="NoList"/>
    <w:uiPriority w:val="99"/>
    <w:unhideWhenUsed/>
    <w:rsid w:val="00C9597C"/>
  </w:style>
  <w:style w:type="table" w:customStyle="1" w:styleId="MediumGrid1-Accent164">
    <w:name w:val="Medium Grid 1 - Accent 164"/>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4">
    <w:name w:val="Light Grid - Accent 1164"/>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4">
    <w:name w:val="Light Grid - Accent 56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4">
    <w:name w:val="Light Grid - Accent 126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4">
    <w:name w:val="Light List - Accent 56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4">
    <w:name w:val="Light List - Accent 1164"/>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4">
    <w:name w:val="Light Grid - Accent 136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4">
    <w:name w:val="Medium Grid 1 - Accent 364"/>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4">
    <w:name w:val="No List134"/>
    <w:next w:val="NoList"/>
    <w:uiPriority w:val="99"/>
    <w:unhideWhenUsed/>
    <w:rsid w:val="00C9597C"/>
  </w:style>
  <w:style w:type="numbering" w:customStyle="1" w:styleId="NoList234">
    <w:name w:val="No List234"/>
    <w:next w:val="NoList"/>
    <w:uiPriority w:val="99"/>
    <w:unhideWhenUsed/>
    <w:rsid w:val="00C9597C"/>
  </w:style>
  <w:style w:type="numbering" w:customStyle="1" w:styleId="NoList334">
    <w:name w:val="No List334"/>
    <w:next w:val="NoList"/>
    <w:uiPriority w:val="99"/>
    <w:unhideWhenUsed/>
    <w:rsid w:val="00C9597C"/>
  </w:style>
  <w:style w:type="numbering" w:customStyle="1" w:styleId="NoList18">
    <w:name w:val="No List18"/>
    <w:next w:val="NoList"/>
    <w:uiPriority w:val="99"/>
    <w:unhideWhenUsed/>
    <w:rsid w:val="00C9597C"/>
  </w:style>
  <w:style w:type="table" w:customStyle="1" w:styleId="TableGrid9">
    <w:name w:val="Table Grid9"/>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7">
    <w:name w:val="Medium Grid 3 - Accent 17"/>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7">
    <w:name w:val="Medium Grid 1 - Accent 117"/>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7">
    <w:name w:val="Light Grid - Accent 1117"/>
    <w:basedOn w:val="TableNormal"/>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7">
    <w:name w:val="Light Grid - Accent 517"/>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7">
    <w:name w:val="Light Grid - Accent 1217"/>
    <w:basedOn w:val="TableNormal"/>
    <w:uiPriority w:val="62"/>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7">
    <w:name w:val="Light List - Accent 517"/>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7">
    <w:name w:val="Light List - Accent 1117"/>
    <w:basedOn w:val="TableNormal"/>
    <w:uiPriority w:val="61"/>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7">
    <w:name w:val="Light Grid - Accent 1317"/>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7">
    <w:name w:val="Medium Grid 1 - Accent 317"/>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9">
    <w:name w:val="No List19"/>
    <w:next w:val="NoList"/>
    <w:uiPriority w:val="99"/>
    <w:unhideWhenUsed/>
    <w:rsid w:val="00C9597C"/>
  </w:style>
  <w:style w:type="table" w:customStyle="1" w:styleId="MediumGrid1-Accent118">
    <w:name w:val="Medium Grid 1 - Accent 118"/>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8">
    <w:name w:val="Light Grid - Accent 1118"/>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8">
    <w:name w:val="Light Grid - Accent 518"/>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8">
    <w:name w:val="Light Grid - Accent 1218"/>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8">
    <w:name w:val="Light List - Accent 518"/>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8">
    <w:name w:val="Light List - Accent 1118"/>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8">
    <w:name w:val="Light Grid - Accent 1318"/>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8">
    <w:name w:val="Medium Grid 1 - Accent 318"/>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7">
    <w:name w:val="Grid Table 4 - Accent 317"/>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8">
    <w:name w:val="No List28"/>
    <w:next w:val="NoList"/>
    <w:uiPriority w:val="99"/>
    <w:unhideWhenUsed/>
    <w:rsid w:val="00C9597C"/>
  </w:style>
  <w:style w:type="table" w:customStyle="1" w:styleId="MediumGrid1-Accent127">
    <w:name w:val="Medium Grid 1 - Accent 127"/>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7">
    <w:name w:val="Light Grid - Accent 1127"/>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7">
    <w:name w:val="Light Grid - Accent 527"/>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7">
    <w:name w:val="Light Grid - Accent 1227"/>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7">
    <w:name w:val="Light List - Accent 527"/>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7">
    <w:name w:val="Light List - Accent 1127"/>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7">
    <w:name w:val="Light Grid - Accent 1327"/>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7">
    <w:name w:val="Medium Grid 1 - Accent 327"/>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7">
    <w:name w:val="Grid Table 4 Accent 317"/>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8">
    <w:name w:val="No List38"/>
    <w:next w:val="NoList"/>
    <w:uiPriority w:val="99"/>
    <w:unhideWhenUsed/>
    <w:rsid w:val="00C9597C"/>
  </w:style>
  <w:style w:type="table" w:customStyle="1" w:styleId="MediumGrid1-Accent137">
    <w:name w:val="Medium Grid 1 - Accent 137"/>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7">
    <w:name w:val="Light Grid - Accent 1137"/>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7">
    <w:name w:val="Light Grid - Accent 537"/>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7">
    <w:name w:val="Light Grid - Accent 1237"/>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7">
    <w:name w:val="Light List - Accent 537"/>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7">
    <w:name w:val="Light List - Accent 1137"/>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7">
    <w:name w:val="Light Grid - Accent 1337"/>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7">
    <w:name w:val="Medium Grid 1 - Accent 337"/>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7">
    <w:name w:val="Grid Table 4 Accent 327"/>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7">
    <w:name w:val="Table Grid17"/>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6">
    <w:name w:val="Table Grid26"/>
    <w:basedOn w:val="TableNormal"/>
    <w:next w:val="TableGrid"/>
    <w:uiPriority w:val="59"/>
    <w:rsid w:val="00C9597C"/>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5">
    <w:name w:val="No List45"/>
    <w:next w:val="NoList"/>
    <w:uiPriority w:val="99"/>
    <w:unhideWhenUsed/>
    <w:rsid w:val="00C9597C"/>
  </w:style>
  <w:style w:type="table" w:customStyle="1" w:styleId="MediumGrid1-Accent145">
    <w:name w:val="Medium Grid 1 - Accent 145"/>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5">
    <w:name w:val="Light Grid - Accent 1145"/>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5">
    <w:name w:val="Light Grid - Accent 54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5">
    <w:name w:val="Light Grid - Accent 124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5">
    <w:name w:val="Light List - Accent 54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5">
    <w:name w:val="Light List - Accent 1145"/>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5">
    <w:name w:val="Light Grid - Accent 134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5">
    <w:name w:val="Medium Grid 1 - Accent 345"/>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5">
    <w:name w:val="Table Grid215"/>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5">
    <w:name w:val="Medium Grid 3 - Accent 115"/>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5">
    <w:name w:val="No List115"/>
    <w:next w:val="NoList"/>
    <w:uiPriority w:val="99"/>
    <w:unhideWhenUsed/>
    <w:rsid w:val="00C9597C"/>
  </w:style>
  <w:style w:type="table" w:customStyle="1" w:styleId="MediumGrid1-Accent1115">
    <w:name w:val="Medium Grid 1 - Accent 1115"/>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5">
    <w:name w:val="Light Grid - Accent 1111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5">
    <w:name w:val="Light Grid - Accent 5115"/>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5">
    <w:name w:val="Light Grid - Accent 1211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5">
    <w:name w:val="Light List - Accent 5115"/>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5">
    <w:name w:val="Light List - Accent 11115"/>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5">
    <w:name w:val="Light Grid - Accent 1311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5">
    <w:name w:val="Medium Grid 1 - Accent 3115"/>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5">
    <w:name w:val="Grid Table 4 - Accent 3115"/>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5">
    <w:name w:val="No List215"/>
    <w:next w:val="NoList"/>
    <w:uiPriority w:val="99"/>
    <w:unhideWhenUsed/>
    <w:rsid w:val="00C9597C"/>
  </w:style>
  <w:style w:type="table" w:customStyle="1" w:styleId="MediumGrid1-Accent1215">
    <w:name w:val="Medium Grid 1 - Accent 1215"/>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5">
    <w:name w:val="Light Grid - Accent 11215"/>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5">
    <w:name w:val="Light Grid - Accent 521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5">
    <w:name w:val="Light Grid - Accent 1221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5">
    <w:name w:val="Light List - Accent 521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5">
    <w:name w:val="Light List - Accent 11215"/>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5">
    <w:name w:val="Light Grid - Accent 1321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5">
    <w:name w:val="Medium Grid 1 - Accent 3215"/>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5">
    <w:name w:val="Grid Table 4 Accent 3115"/>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5">
    <w:name w:val="No List315"/>
    <w:next w:val="NoList"/>
    <w:uiPriority w:val="99"/>
    <w:unhideWhenUsed/>
    <w:rsid w:val="00C9597C"/>
  </w:style>
  <w:style w:type="table" w:customStyle="1" w:styleId="MediumGrid1-Accent1315">
    <w:name w:val="Medium Grid 1 - Accent 1315"/>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5">
    <w:name w:val="Light Grid - Accent 11315"/>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5">
    <w:name w:val="Light Grid - Accent 531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5">
    <w:name w:val="Light Grid - Accent 1231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5">
    <w:name w:val="Light List - Accent 531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5">
    <w:name w:val="Light List - Accent 11315"/>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5">
    <w:name w:val="Light Grid - Accent 1331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5">
    <w:name w:val="Medium Grid 1 - Accent 3315"/>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5">
    <w:name w:val="Grid Table 4 Accent 3215"/>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5">
    <w:name w:val="Table Grid115"/>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5">
    <w:name w:val="No List55"/>
    <w:next w:val="NoList"/>
    <w:uiPriority w:val="99"/>
    <w:unhideWhenUsed/>
    <w:rsid w:val="00C9597C"/>
  </w:style>
  <w:style w:type="table" w:customStyle="1" w:styleId="MediumGrid1-Accent155">
    <w:name w:val="Medium Grid 1 - Accent 155"/>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5">
    <w:name w:val="Light Grid - Accent 1155"/>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5">
    <w:name w:val="Light Grid - Accent 55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5">
    <w:name w:val="Light Grid - Accent 125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5">
    <w:name w:val="Light List - Accent 55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5">
    <w:name w:val="Light List - Accent 1155"/>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5">
    <w:name w:val="Light Grid - Accent 135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5">
    <w:name w:val="Medium Grid 1 - Accent 355"/>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5">
    <w:name w:val="No List125"/>
    <w:next w:val="NoList"/>
    <w:uiPriority w:val="99"/>
    <w:unhideWhenUsed/>
    <w:rsid w:val="00C9597C"/>
  </w:style>
  <w:style w:type="numbering" w:customStyle="1" w:styleId="NoList225">
    <w:name w:val="No List225"/>
    <w:next w:val="NoList"/>
    <w:uiPriority w:val="99"/>
    <w:unhideWhenUsed/>
    <w:rsid w:val="00C9597C"/>
  </w:style>
  <w:style w:type="numbering" w:customStyle="1" w:styleId="NoList325">
    <w:name w:val="No List325"/>
    <w:next w:val="NoList"/>
    <w:uiPriority w:val="99"/>
    <w:unhideWhenUsed/>
    <w:rsid w:val="00C9597C"/>
  </w:style>
  <w:style w:type="numbering" w:customStyle="1" w:styleId="NoList65">
    <w:name w:val="No List65"/>
    <w:next w:val="NoList"/>
    <w:uiPriority w:val="99"/>
    <w:unhideWhenUsed/>
    <w:rsid w:val="00C9597C"/>
  </w:style>
  <w:style w:type="table" w:customStyle="1" w:styleId="MediumGrid1-Accent165">
    <w:name w:val="Medium Grid 1 - Accent 165"/>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5">
    <w:name w:val="Light Grid - Accent 1165"/>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5">
    <w:name w:val="Light Grid - Accent 56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5">
    <w:name w:val="Light Grid - Accent 126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5">
    <w:name w:val="Light List - Accent 56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5">
    <w:name w:val="Light List - Accent 1165"/>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5">
    <w:name w:val="Light Grid - Accent 136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5">
    <w:name w:val="Medium Grid 1 - Accent 365"/>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5">
    <w:name w:val="No List135"/>
    <w:next w:val="NoList"/>
    <w:uiPriority w:val="99"/>
    <w:unhideWhenUsed/>
    <w:rsid w:val="00C9597C"/>
  </w:style>
  <w:style w:type="numbering" w:customStyle="1" w:styleId="NoList235">
    <w:name w:val="No List235"/>
    <w:next w:val="NoList"/>
    <w:uiPriority w:val="99"/>
    <w:unhideWhenUsed/>
    <w:rsid w:val="00C9597C"/>
  </w:style>
  <w:style w:type="numbering" w:customStyle="1" w:styleId="NoList335">
    <w:name w:val="No List335"/>
    <w:next w:val="NoList"/>
    <w:uiPriority w:val="99"/>
    <w:unhideWhenUsed/>
    <w:rsid w:val="00C9597C"/>
  </w:style>
  <w:style w:type="numbering" w:customStyle="1" w:styleId="NoList20">
    <w:name w:val="No List20"/>
    <w:next w:val="NoList"/>
    <w:uiPriority w:val="99"/>
    <w:unhideWhenUsed/>
    <w:rsid w:val="00C9597C"/>
  </w:style>
  <w:style w:type="table" w:customStyle="1" w:styleId="TableGrid10">
    <w:name w:val="Table Grid10"/>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8">
    <w:name w:val="Medium Grid 3 - Accent 18"/>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9">
    <w:name w:val="Medium Grid 1 - Accent 119"/>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9">
    <w:name w:val="Light Grid - Accent 1119"/>
    <w:basedOn w:val="TableNormal"/>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9">
    <w:name w:val="Light Grid - Accent 519"/>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9">
    <w:name w:val="Light Grid - Accent 1219"/>
    <w:basedOn w:val="TableNormal"/>
    <w:uiPriority w:val="62"/>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9">
    <w:name w:val="Light List - Accent 519"/>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9">
    <w:name w:val="Light List - Accent 1119"/>
    <w:basedOn w:val="TableNormal"/>
    <w:uiPriority w:val="61"/>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9">
    <w:name w:val="Light Grid - Accent 1319"/>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9">
    <w:name w:val="Medium Grid 1 - Accent 319"/>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10">
    <w:name w:val="No List110"/>
    <w:next w:val="NoList"/>
    <w:uiPriority w:val="99"/>
    <w:unhideWhenUsed/>
    <w:rsid w:val="00C9597C"/>
  </w:style>
  <w:style w:type="table" w:customStyle="1" w:styleId="MediumGrid1-Accent1110">
    <w:name w:val="Medium Grid 1 - Accent 1110"/>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0">
    <w:name w:val="Light Grid - Accent 11110"/>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0">
    <w:name w:val="Light Grid - Accent 5110"/>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0">
    <w:name w:val="Light Grid - Accent 12110"/>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0">
    <w:name w:val="Light List - Accent 5110"/>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0">
    <w:name w:val="Light List - Accent 11110"/>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0">
    <w:name w:val="Light Grid - Accent 13110"/>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0">
    <w:name w:val="Medium Grid 1 - Accent 3110"/>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8">
    <w:name w:val="Grid Table 4 - Accent 318"/>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9">
    <w:name w:val="No List29"/>
    <w:next w:val="NoList"/>
    <w:uiPriority w:val="99"/>
    <w:unhideWhenUsed/>
    <w:rsid w:val="00C9597C"/>
  </w:style>
  <w:style w:type="table" w:customStyle="1" w:styleId="MediumGrid1-Accent128">
    <w:name w:val="Medium Grid 1 - Accent 128"/>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8">
    <w:name w:val="Light Grid - Accent 1128"/>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8">
    <w:name w:val="Light Grid - Accent 528"/>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8">
    <w:name w:val="Light Grid - Accent 1228"/>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8">
    <w:name w:val="Light List - Accent 528"/>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8">
    <w:name w:val="Light List - Accent 1128"/>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8">
    <w:name w:val="Light Grid - Accent 1328"/>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8">
    <w:name w:val="Medium Grid 1 - Accent 328"/>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8">
    <w:name w:val="Grid Table 4 Accent 318"/>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9">
    <w:name w:val="No List39"/>
    <w:next w:val="NoList"/>
    <w:uiPriority w:val="99"/>
    <w:unhideWhenUsed/>
    <w:rsid w:val="00C9597C"/>
  </w:style>
  <w:style w:type="table" w:customStyle="1" w:styleId="MediumGrid1-Accent138">
    <w:name w:val="Medium Grid 1 - Accent 138"/>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8">
    <w:name w:val="Light Grid - Accent 1138"/>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8">
    <w:name w:val="Light Grid - Accent 538"/>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8">
    <w:name w:val="Light Grid - Accent 1238"/>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8">
    <w:name w:val="Light List - Accent 538"/>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8">
    <w:name w:val="Light List - Accent 1138"/>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8">
    <w:name w:val="Light Grid - Accent 1338"/>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8">
    <w:name w:val="Medium Grid 1 - Accent 338"/>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8">
    <w:name w:val="Grid Table 4 Accent 328"/>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8">
    <w:name w:val="Table Grid18"/>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7">
    <w:name w:val="Table Grid27"/>
    <w:basedOn w:val="TableNormal"/>
    <w:next w:val="TableGrid"/>
    <w:uiPriority w:val="59"/>
    <w:rsid w:val="00C9597C"/>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6">
    <w:name w:val="No List46"/>
    <w:next w:val="NoList"/>
    <w:uiPriority w:val="99"/>
    <w:unhideWhenUsed/>
    <w:rsid w:val="00C9597C"/>
  </w:style>
  <w:style w:type="table" w:customStyle="1" w:styleId="MediumGrid1-Accent146">
    <w:name w:val="Medium Grid 1 - Accent 146"/>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6">
    <w:name w:val="Light Grid - Accent 1146"/>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6">
    <w:name w:val="Light Grid - Accent 546"/>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6">
    <w:name w:val="Light Grid - Accent 124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6">
    <w:name w:val="Light List - Accent 546"/>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6">
    <w:name w:val="Light List - Accent 1146"/>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6">
    <w:name w:val="Light Grid - Accent 134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6">
    <w:name w:val="Medium Grid 1 - Accent 346"/>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31">
    <w:name w:val="Table Grid31"/>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6">
    <w:name w:val="Medium Grid 3 - Accent 116"/>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6">
    <w:name w:val="No List116"/>
    <w:next w:val="NoList"/>
    <w:uiPriority w:val="99"/>
    <w:unhideWhenUsed/>
    <w:rsid w:val="00C9597C"/>
  </w:style>
  <w:style w:type="table" w:customStyle="1" w:styleId="MediumGrid1-Accent1116">
    <w:name w:val="Medium Grid 1 - Accent 1116"/>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6">
    <w:name w:val="Light Grid - Accent 1111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6">
    <w:name w:val="Light Grid - Accent 5116"/>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6">
    <w:name w:val="Light Grid - Accent 1211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6">
    <w:name w:val="Light List - Accent 5116"/>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6">
    <w:name w:val="Light List - Accent 11116"/>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6">
    <w:name w:val="Light Grid - Accent 1311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6">
    <w:name w:val="Medium Grid 1 - Accent 3116"/>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6">
    <w:name w:val="Grid Table 4 - Accent 3116"/>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6">
    <w:name w:val="No List216"/>
    <w:next w:val="NoList"/>
    <w:uiPriority w:val="99"/>
    <w:unhideWhenUsed/>
    <w:rsid w:val="00C9597C"/>
  </w:style>
  <w:style w:type="table" w:customStyle="1" w:styleId="MediumGrid1-Accent1216">
    <w:name w:val="Medium Grid 1 - Accent 1216"/>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6">
    <w:name w:val="Light Grid - Accent 11216"/>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6">
    <w:name w:val="Light Grid - Accent 5216"/>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6">
    <w:name w:val="Light Grid - Accent 1221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6">
    <w:name w:val="Light List - Accent 5216"/>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6">
    <w:name w:val="Light List - Accent 11216"/>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6">
    <w:name w:val="Light Grid - Accent 1321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6">
    <w:name w:val="Medium Grid 1 - Accent 3216"/>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6">
    <w:name w:val="Grid Table 4 Accent 3116"/>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6">
    <w:name w:val="No List316"/>
    <w:next w:val="NoList"/>
    <w:uiPriority w:val="99"/>
    <w:unhideWhenUsed/>
    <w:rsid w:val="00C9597C"/>
  </w:style>
  <w:style w:type="table" w:customStyle="1" w:styleId="MediumGrid1-Accent1316">
    <w:name w:val="Medium Grid 1 - Accent 1316"/>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6">
    <w:name w:val="Light Grid - Accent 11316"/>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6">
    <w:name w:val="Light Grid - Accent 5316"/>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6">
    <w:name w:val="Light Grid - Accent 1231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6">
    <w:name w:val="Light List - Accent 5316"/>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6">
    <w:name w:val="Light List - Accent 11316"/>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6">
    <w:name w:val="Light Grid - Accent 1331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6">
    <w:name w:val="Medium Grid 1 - Accent 3316"/>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6">
    <w:name w:val="Grid Table 4 Accent 3216"/>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6">
    <w:name w:val="Table Grid116"/>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6">
    <w:name w:val="No List56"/>
    <w:next w:val="NoList"/>
    <w:uiPriority w:val="99"/>
    <w:unhideWhenUsed/>
    <w:rsid w:val="00C9597C"/>
  </w:style>
  <w:style w:type="table" w:customStyle="1" w:styleId="TableGrid41">
    <w:name w:val="Table Grid41"/>
    <w:basedOn w:val="TableNormal"/>
    <w:next w:val="TableGrid"/>
    <w:uiPriority w:val="5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21">
    <w:name w:val="Medium Grid 3 - Accent 121"/>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56">
    <w:name w:val="Medium Grid 1 - Accent 156"/>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56">
    <w:name w:val="Light Grid - Accent 1156"/>
    <w:basedOn w:val="TableNormal"/>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56">
    <w:name w:val="Light Grid - Accent 556"/>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56">
    <w:name w:val="Light Grid - Accent 1256"/>
    <w:basedOn w:val="TableNormal"/>
    <w:uiPriority w:val="62"/>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56">
    <w:name w:val="Light List - Accent 556"/>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56">
    <w:name w:val="Light List - Accent 1156"/>
    <w:basedOn w:val="TableNormal"/>
    <w:uiPriority w:val="61"/>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56">
    <w:name w:val="Light Grid - Accent 135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56">
    <w:name w:val="Medium Grid 1 - Accent 356"/>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26">
    <w:name w:val="No List126"/>
    <w:next w:val="NoList"/>
    <w:uiPriority w:val="99"/>
    <w:unhideWhenUsed/>
    <w:rsid w:val="00C9597C"/>
  </w:style>
  <w:style w:type="table" w:customStyle="1" w:styleId="MediumGrid1-Accent1121">
    <w:name w:val="Medium Grid 1 - Accent 112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21">
    <w:name w:val="Light Grid - Accent 111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1">
    <w:name w:val="Light Grid - Accent 5121"/>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21">
    <w:name w:val="Light Grid - Accent 121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1">
    <w:name w:val="Light List - Accent 5121"/>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21">
    <w:name w:val="Light List - Accent 1112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21">
    <w:name w:val="Light Grid - Accent 131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21">
    <w:name w:val="Medium Grid 1 - Accent 312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21">
    <w:name w:val="Grid Table 4 - Accent 312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26">
    <w:name w:val="No List226"/>
    <w:next w:val="NoList"/>
    <w:uiPriority w:val="99"/>
    <w:unhideWhenUsed/>
    <w:rsid w:val="00C9597C"/>
  </w:style>
  <w:style w:type="table" w:customStyle="1" w:styleId="MediumGrid1-Accent1221">
    <w:name w:val="Medium Grid 1 - Accent 122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21">
    <w:name w:val="Light Grid - Accent 1122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21">
    <w:name w:val="Light Grid - Accent 52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21">
    <w:name w:val="Light Grid - Accent 122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21">
    <w:name w:val="Light List - Accent 52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21">
    <w:name w:val="Light List - Accent 1122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21">
    <w:name w:val="Light Grid - Accent 132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21">
    <w:name w:val="Medium Grid 1 - Accent 322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21">
    <w:name w:val="Grid Table 4 Accent 312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26">
    <w:name w:val="No List326"/>
    <w:next w:val="NoList"/>
    <w:uiPriority w:val="99"/>
    <w:unhideWhenUsed/>
    <w:rsid w:val="00C9597C"/>
  </w:style>
  <w:style w:type="table" w:customStyle="1" w:styleId="MediumGrid1-Accent1321">
    <w:name w:val="Medium Grid 1 - Accent 132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21">
    <w:name w:val="Light Grid - Accent 1132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21">
    <w:name w:val="Light Grid - Accent 53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21">
    <w:name w:val="Light Grid - Accent 123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21">
    <w:name w:val="Light List - Accent 53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21">
    <w:name w:val="Light List - Accent 1132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21">
    <w:name w:val="Light Grid - Accent 133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21">
    <w:name w:val="Medium Grid 1 - Accent 332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21">
    <w:name w:val="Grid Table 4 Accent 322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21">
    <w:name w:val="Table Grid121"/>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6">
    <w:name w:val="Table Grid216"/>
    <w:basedOn w:val="TableNormal"/>
    <w:next w:val="TableGrid"/>
    <w:uiPriority w:val="39"/>
    <w:rsid w:val="00C9597C"/>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6">
    <w:name w:val="No List66"/>
    <w:next w:val="NoList"/>
    <w:uiPriority w:val="99"/>
    <w:unhideWhenUsed/>
    <w:rsid w:val="00C9597C"/>
  </w:style>
  <w:style w:type="table" w:customStyle="1" w:styleId="MediumGrid1-Accent166">
    <w:name w:val="Medium Grid 1 - Accent 166"/>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6">
    <w:name w:val="Light Grid - Accent 1166"/>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6">
    <w:name w:val="Light Grid - Accent 566"/>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6">
    <w:name w:val="Light Grid - Accent 126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6">
    <w:name w:val="Light List - Accent 566"/>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6">
    <w:name w:val="Light List - Accent 1166"/>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6">
    <w:name w:val="Light Grid - Accent 136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6">
    <w:name w:val="Medium Grid 1 - Accent 366"/>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6">
    <w:name w:val="No List136"/>
    <w:next w:val="NoList"/>
    <w:uiPriority w:val="99"/>
    <w:unhideWhenUsed/>
    <w:rsid w:val="00C9597C"/>
  </w:style>
  <w:style w:type="numbering" w:customStyle="1" w:styleId="NoList236">
    <w:name w:val="No List236"/>
    <w:next w:val="NoList"/>
    <w:uiPriority w:val="99"/>
    <w:unhideWhenUsed/>
    <w:rsid w:val="00C9597C"/>
  </w:style>
  <w:style w:type="numbering" w:customStyle="1" w:styleId="NoList336">
    <w:name w:val="No List336"/>
    <w:next w:val="NoList"/>
    <w:uiPriority w:val="99"/>
    <w:unhideWhenUsed/>
    <w:rsid w:val="00C9597C"/>
  </w:style>
  <w:style w:type="numbering" w:customStyle="1" w:styleId="NoList71">
    <w:name w:val="No List71"/>
    <w:next w:val="NoList"/>
    <w:uiPriority w:val="99"/>
    <w:unhideWhenUsed/>
    <w:rsid w:val="00C9597C"/>
  </w:style>
  <w:style w:type="table" w:customStyle="1" w:styleId="TableGrid51">
    <w:name w:val="Table Grid51"/>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31">
    <w:name w:val="Medium Grid 3 - Accent 131"/>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71">
    <w:name w:val="Medium Grid 1 - Accent 171"/>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71">
    <w:name w:val="Light Grid - Accent 1171"/>
    <w:basedOn w:val="TableNormal"/>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71">
    <w:name w:val="Light Grid - Accent 571"/>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71">
    <w:name w:val="Light Grid - Accent 1271"/>
    <w:basedOn w:val="TableNormal"/>
    <w:uiPriority w:val="62"/>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71">
    <w:name w:val="Light List - Accent 571"/>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71">
    <w:name w:val="Light List - Accent 1171"/>
    <w:basedOn w:val="TableNormal"/>
    <w:uiPriority w:val="61"/>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71">
    <w:name w:val="Light Grid - Accent 137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71">
    <w:name w:val="Medium Grid 1 - Accent 37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41">
    <w:name w:val="No List141"/>
    <w:next w:val="NoList"/>
    <w:uiPriority w:val="99"/>
    <w:unhideWhenUsed/>
    <w:rsid w:val="00C9597C"/>
  </w:style>
  <w:style w:type="table" w:customStyle="1" w:styleId="MediumGrid1-Accent1131">
    <w:name w:val="Medium Grid 1 - Accent 113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31">
    <w:name w:val="Light Grid - Accent 111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31">
    <w:name w:val="Light Grid - Accent 5131"/>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31">
    <w:name w:val="Light Grid - Accent 121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31">
    <w:name w:val="Light List - Accent 5131"/>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31">
    <w:name w:val="Light List - Accent 1113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31">
    <w:name w:val="Light Grid - Accent 131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31">
    <w:name w:val="Medium Grid 1 - Accent 313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31">
    <w:name w:val="Grid Table 4 - Accent 313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41">
    <w:name w:val="No List241"/>
    <w:next w:val="NoList"/>
    <w:uiPriority w:val="99"/>
    <w:unhideWhenUsed/>
    <w:rsid w:val="00C9597C"/>
  </w:style>
  <w:style w:type="table" w:customStyle="1" w:styleId="MediumGrid1-Accent1231">
    <w:name w:val="Medium Grid 1 - Accent 123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31">
    <w:name w:val="Light Grid - Accent 1123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31">
    <w:name w:val="Light Grid - Accent 52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31">
    <w:name w:val="Light Grid - Accent 122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31">
    <w:name w:val="Light List - Accent 52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31">
    <w:name w:val="Light List - Accent 1123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31">
    <w:name w:val="Light Grid - Accent 132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31">
    <w:name w:val="Medium Grid 1 - Accent 323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31">
    <w:name w:val="Grid Table 4 Accent 313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41">
    <w:name w:val="No List341"/>
    <w:next w:val="NoList"/>
    <w:uiPriority w:val="99"/>
    <w:unhideWhenUsed/>
    <w:rsid w:val="00C9597C"/>
  </w:style>
  <w:style w:type="table" w:customStyle="1" w:styleId="MediumGrid1-Accent1331">
    <w:name w:val="Medium Grid 1 - Accent 133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31">
    <w:name w:val="Light Grid - Accent 1133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31">
    <w:name w:val="Light Grid - Accent 53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31">
    <w:name w:val="Light Grid - Accent 123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31">
    <w:name w:val="Light List - Accent 53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31">
    <w:name w:val="Light List - Accent 1133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31">
    <w:name w:val="Light Grid - Accent 133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31">
    <w:name w:val="Medium Grid 1 - Accent 333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31">
    <w:name w:val="Grid Table 4 Accent 323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31">
    <w:name w:val="Table Grid131"/>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1">
    <w:name w:val="Table Grid221"/>
    <w:basedOn w:val="TableNormal"/>
    <w:next w:val="TableGrid"/>
    <w:uiPriority w:val="59"/>
    <w:rsid w:val="00C9597C"/>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11">
    <w:name w:val="No List411"/>
    <w:next w:val="NoList"/>
    <w:uiPriority w:val="99"/>
    <w:unhideWhenUsed/>
    <w:rsid w:val="00C9597C"/>
  </w:style>
  <w:style w:type="table" w:customStyle="1" w:styleId="MediumGrid1-Accent1411">
    <w:name w:val="Medium Grid 1 - Accent 141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11">
    <w:name w:val="Light Grid - Accent 1141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11">
    <w:name w:val="Light Grid - Accent 54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11">
    <w:name w:val="Light Grid - Accent 124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11">
    <w:name w:val="Light List - Accent 54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11">
    <w:name w:val="Light List - Accent 1141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11">
    <w:name w:val="Light Grid - Accent 134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11">
    <w:name w:val="Medium Grid 1 - Accent 341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11">
    <w:name w:val="Table Grid2111"/>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11">
    <w:name w:val="Medium Grid 3 - Accent 1111"/>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1">
    <w:name w:val="No List1111"/>
    <w:next w:val="NoList"/>
    <w:uiPriority w:val="99"/>
    <w:unhideWhenUsed/>
    <w:rsid w:val="00C9597C"/>
  </w:style>
  <w:style w:type="table" w:customStyle="1" w:styleId="MediumGrid1-Accent11111">
    <w:name w:val="Medium Grid 1 - Accent 1111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1">
    <w:name w:val="Light Grid - Accent 1111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1">
    <w:name w:val="Light Grid - Accent 51111"/>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1">
    <w:name w:val="Light Grid - Accent 1211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1">
    <w:name w:val="Light List - Accent 51111"/>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1">
    <w:name w:val="Light List - Accent 11111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1">
    <w:name w:val="Light Grid - Accent 1311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1">
    <w:name w:val="Medium Grid 1 - Accent 3111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11">
    <w:name w:val="Grid Table 4 - Accent 3111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11">
    <w:name w:val="No List2111"/>
    <w:next w:val="NoList"/>
    <w:uiPriority w:val="99"/>
    <w:unhideWhenUsed/>
    <w:rsid w:val="00C9597C"/>
  </w:style>
  <w:style w:type="table" w:customStyle="1" w:styleId="MediumGrid1-Accent12111">
    <w:name w:val="Medium Grid 1 - Accent 1211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11">
    <w:name w:val="Light Grid - Accent 11211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11">
    <w:name w:val="Light Grid - Accent 521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11">
    <w:name w:val="Light Grid - Accent 1221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11">
    <w:name w:val="Light List - Accent 521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11">
    <w:name w:val="Light List - Accent 11211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11">
    <w:name w:val="Light Grid - Accent 1321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11">
    <w:name w:val="Medium Grid 1 - Accent 3211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11">
    <w:name w:val="Grid Table 4 Accent 3111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11">
    <w:name w:val="No List3111"/>
    <w:next w:val="NoList"/>
    <w:uiPriority w:val="99"/>
    <w:unhideWhenUsed/>
    <w:rsid w:val="00C9597C"/>
  </w:style>
  <w:style w:type="table" w:customStyle="1" w:styleId="MediumGrid1-Accent13111">
    <w:name w:val="Medium Grid 1 - Accent 1311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11">
    <w:name w:val="Light Grid - Accent 11311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11">
    <w:name w:val="Light Grid - Accent 531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11">
    <w:name w:val="Light Grid - Accent 1231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11">
    <w:name w:val="Light List - Accent 531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11">
    <w:name w:val="Light List - Accent 11311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11">
    <w:name w:val="Light Grid - Accent 1331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1">
    <w:name w:val="Medium Grid 1 - Accent 3311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11">
    <w:name w:val="Grid Table 4 Accent 3211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11">
    <w:name w:val="Table Grid1111"/>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11">
    <w:name w:val="No List511"/>
    <w:next w:val="NoList"/>
    <w:uiPriority w:val="99"/>
    <w:unhideWhenUsed/>
    <w:rsid w:val="00C9597C"/>
  </w:style>
  <w:style w:type="table" w:customStyle="1" w:styleId="MediumGrid1-Accent1511">
    <w:name w:val="Medium Grid 1 - Accent 151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11">
    <w:name w:val="Light Grid - Accent 1151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11">
    <w:name w:val="Light Grid - Accent 55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11">
    <w:name w:val="Light Grid - Accent 125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11">
    <w:name w:val="Light List - Accent 55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11">
    <w:name w:val="Light List - Accent 1151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11">
    <w:name w:val="Light Grid - Accent 135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11">
    <w:name w:val="Medium Grid 1 - Accent 351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11">
    <w:name w:val="No List1211"/>
    <w:next w:val="NoList"/>
    <w:uiPriority w:val="99"/>
    <w:unhideWhenUsed/>
    <w:rsid w:val="00C9597C"/>
  </w:style>
  <w:style w:type="numbering" w:customStyle="1" w:styleId="NoList2211">
    <w:name w:val="No List2211"/>
    <w:next w:val="NoList"/>
    <w:uiPriority w:val="99"/>
    <w:unhideWhenUsed/>
    <w:rsid w:val="00C9597C"/>
  </w:style>
  <w:style w:type="numbering" w:customStyle="1" w:styleId="NoList3211">
    <w:name w:val="No List3211"/>
    <w:next w:val="NoList"/>
    <w:uiPriority w:val="99"/>
    <w:unhideWhenUsed/>
    <w:rsid w:val="00C9597C"/>
  </w:style>
  <w:style w:type="numbering" w:customStyle="1" w:styleId="NoList611">
    <w:name w:val="No List611"/>
    <w:next w:val="NoList"/>
    <w:uiPriority w:val="99"/>
    <w:unhideWhenUsed/>
    <w:rsid w:val="00C9597C"/>
  </w:style>
  <w:style w:type="table" w:customStyle="1" w:styleId="MediumGrid1-Accent1611">
    <w:name w:val="Medium Grid 1 - Accent 161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11">
    <w:name w:val="Light Grid - Accent 1161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11">
    <w:name w:val="Light Grid - Accent 56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11">
    <w:name w:val="Light Grid - Accent 126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11">
    <w:name w:val="Light List - Accent 56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11">
    <w:name w:val="Light List - Accent 1161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11">
    <w:name w:val="Light Grid - Accent 136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11">
    <w:name w:val="Medium Grid 1 - Accent 361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11">
    <w:name w:val="No List1311"/>
    <w:next w:val="NoList"/>
    <w:uiPriority w:val="99"/>
    <w:unhideWhenUsed/>
    <w:rsid w:val="00C9597C"/>
  </w:style>
  <w:style w:type="numbering" w:customStyle="1" w:styleId="NoList2311">
    <w:name w:val="No List2311"/>
    <w:next w:val="NoList"/>
    <w:uiPriority w:val="99"/>
    <w:unhideWhenUsed/>
    <w:rsid w:val="00C9597C"/>
  </w:style>
  <w:style w:type="numbering" w:customStyle="1" w:styleId="NoList3311">
    <w:name w:val="No List3311"/>
    <w:next w:val="NoList"/>
    <w:uiPriority w:val="99"/>
    <w:unhideWhenUsed/>
    <w:rsid w:val="00C9597C"/>
  </w:style>
  <w:style w:type="numbering" w:customStyle="1" w:styleId="NoList81">
    <w:name w:val="No List81"/>
    <w:next w:val="NoList"/>
    <w:uiPriority w:val="99"/>
    <w:unhideWhenUsed/>
    <w:rsid w:val="00C9597C"/>
  </w:style>
  <w:style w:type="table" w:customStyle="1" w:styleId="TableGrid61">
    <w:name w:val="Table Grid61"/>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41">
    <w:name w:val="Medium Grid 3 - Accent 141"/>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81">
    <w:name w:val="Medium Grid 1 - Accent 181"/>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81">
    <w:name w:val="Light Grid - Accent 1181"/>
    <w:basedOn w:val="TableNormal"/>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81">
    <w:name w:val="Light Grid - Accent 581"/>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81">
    <w:name w:val="Light Grid - Accent 1281"/>
    <w:basedOn w:val="TableNormal"/>
    <w:uiPriority w:val="62"/>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81">
    <w:name w:val="Light List - Accent 581"/>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81">
    <w:name w:val="Light List - Accent 1181"/>
    <w:basedOn w:val="TableNormal"/>
    <w:uiPriority w:val="61"/>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81">
    <w:name w:val="Light Grid - Accent 138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81">
    <w:name w:val="Medium Grid 1 - Accent 38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51">
    <w:name w:val="No List151"/>
    <w:next w:val="NoList"/>
    <w:uiPriority w:val="99"/>
    <w:unhideWhenUsed/>
    <w:rsid w:val="00C9597C"/>
  </w:style>
  <w:style w:type="table" w:customStyle="1" w:styleId="MediumGrid1-Accent1141">
    <w:name w:val="Medium Grid 1 - Accent 114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41">
    <w:name w:val="Light Grid - Accent 111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41">
    <w:name w:val="Light Grid - Accent 5141"/>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41">
    <w:name w:val="Light Grid - Accent 121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41">
    <w:name w:val="Light List - Accent 5141"/>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41">
    <w:name w:val="Light List - Accent 1114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41">
    <w:name w:val="Light Grid - Accent 131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41">
    <w:name w:val="Medium Grid 1 - Accent 314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41">
    <w:name w:val="Grid Table 4 - Accent 314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51">
    <w:name w:val="No List251"/>
    <w:next w:val="NoList"/>
    <w:uiPriority w:val="99"/>
    <w:unhideWhenUsed/>
    <w:rsid w:val="00C9597C"/>
  </w:style>
  <w:style w:type="table" w:customStyle="1" w:styleId="MediumGrid1-Accent1241">
    <w:name w:val="Medium Grid 1 - Accent 124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41">
    <w:name w:val="Light Grid - Accent 1124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41">
    <w:name w:val="Light Grid - Accent 52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41">
    <w:name w:val="Light Grid - Accent 122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41">
    <w:name w:val="Light List - Accent 52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41">
    <w:name w:val="Light List - Accent 1124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41">
    <w:name w:val="Light Grid - Accent 132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41">
    <w:name w:val="Medium Grid 1 - Accent 324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41">
    <w:name w:val="Grid Table 4 Accent 314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51">
    <w:name w:val="No List351"/>
    <w:next w:val="NoList"/>
    <w:uiPriority w:val="99"/>
    <w:unhideWhenUsed/>
    <w:rsid w:val="00C9597C"/>
  </w:style>
  <w:style w:type="table" w:customStyle="1" w:styleId="MediumGrid1-Accent1341">
    <w:name w:val="Medium Grid 1 - Accent 134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41">
    <w:name w:val="Light Grid - Accent 1134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41">
    <w:name w:val="Light Grid - Accent 53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41">
    <w:name w:val="Light Grid - Accent 123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41">
    <w:name w:val="Light List - Accent 53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41">
    <w:name w:val="Light List - Accent 1134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41">
    <w:name w:val="Light Grid - Accent 133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41">
    <w:name w:val="Medium Grid 1 - Accent 334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41">
    <w:name w:val="Grid Table 4 Accent 324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41">
    <w:name w:val="Table Grid141"/>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31">
    <w:name w:val="Table Grid231"/>
    <w:basedOn w:val="TableNormal"/>
    <w:next w:val="TableGrid"/>
    <w:uiPriority w:val="59"/>
    <w:rsid w:val="00C9597C"/>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21">
    <w:name w:val="No List421"/>
    <w:next w:val="NoList"/>
    <w:uiPriority w:val="99"/>
    <w:unhideWhenUsed/>
    <w:rsid w:val="00C9597C"/>
  </w:style>
  <w:style w:type="table" w:customStyle="1" w:styleId="MediumGrid1-Accent1421">
    <w:name w:val="Medium Grid 1 - Accent 142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21">
    <w:name w:val="Light Grid - Accent 1142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21">
    <w:name w:val="Light Grid - Accent 54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21">
    <w:name w:val="Light Grid - Accent 124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21">
    <w:name w:val="Light List - Accent 54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21">
    <w:name w:val="Light List - Accent 1142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21">
    <w:name w:val="Light Grid - Accent 134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21">
    <w:name w:val="Medium Grid 1 - Accent 342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21">
    <w:name w:val="Table Grid2121"/>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21">
    <w:name w:val="Medium Grid 3 - Accent 1121"/>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21">
    <w:name w:val="No List1121"/>
    <w:next w:val="NoList"/>
    <w:uiPriority w:val="99"/>
    <w:unhideWhenUsed/>
    <w:rsid w:val="00C9597C"/>
  </w:style>
  <w:style w:type="table" w:customStyle="1" w:styleId="MediumGrid1-Accent11121">
    <w:name w:val="Medium Grid 1 - Accent 1112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21">
    <w:name w:val="Light Grid - Accent 1111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21">
    <w:name w:val="Light Grid - Accent 51121"/>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21">
    <w:name w:val="Light Grid - Accent 1211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1">
    <w:name w:val="Light List - Accent 51121"/>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21">
    <w:name w:val="Light List - Accent 11112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21">
    <w:name w:val="Light Grid - Accent 1311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21">
    <w:name w:val="Medium Grid 1 - Accent 3112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21">
    <w:name w:val="Grid Table 4 - Accent 3112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21">
    <w:name w:val="No List2121"/>
    <w:next w:val="NoList"/>
    <w:uiPriority w:val="99"/>
    <w:unhideWhenUsed/>
    <w:rsid w:val="00C9597C"/>
  </w:style>
  <w:style w:type="table" w:customStyle="1" w:styleId="MediumGrid1-Accent12121">
    <w:name w:val="Medium Grid 1 - Accent 1212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21">
    <w:name w:val="Light Grid - Accent 11212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21">
    <w:name w:val="Light Grid - Accent 521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21">
    <w:name w:val="Light Grid - Accent 1221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21">
    <w:name w:val="Light List - Accent 521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21">
    <w:name w:val="Light List - Accent 11212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21">
    <w:name w:val="Light Grid - Accent 1321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21">
    <w:name w:val="Medium Grid 1 - Accent 3212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21">
    <w:name w:val="Grid Table 4 Accent 3112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21">
    <w:name w:val="No List3121"/>
    <w:next w:val="NoList"/>
    <w:uiPriority w:val="99"/>
    <w:unhideWhenUsed/>
    <w:rsid w:val="00C9597C"/>
  </w:style>
  <w:style w:type="table" w:customStyle="1" w:styleId="MediumGrid1-Accent13121">
    <w:name w:val="Medium Grid 1 - Accent 1312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21">
    <w:name w:val="Light Grid - Accent 11312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21">
    <w:name w:val="Light Grid - Accent 531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21">
    <w:name w:val="Light Grid - Accent 1231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21">
    <w:name w:val="Light List - Accent 531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21">
    <w:name w:val="Light List - Accent 11312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21">
    <w:name w:val="Light Grid - Accent 1331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1">
    <w:name w:val="Medium Grid 1 - Accent 3312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21">
    <w:name w:val="Grid Table 4 Accent 3212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21">
    <w:name w:val="Table Grid1121"/>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21">
    <w:name w:val="No List521"/>
    <w:next w:val="NoList"/>
    <w:uiPriority w:val="99"/>
    <w:unhideWhenUsed/>
    <w:rsid w:val="00C9597C"/>
  </w:style>
  <w:style w:type="table" w:customStyle="1" w:styleId="MediumGrid1-Accent1521">
    <w:name w:val="Medium Grid 1 - Accent 152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21">
    <w:name w:val="Light Grid - Accent 1152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21">
    <w:name w:val="Light Grid - Accent 55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21">
    <w:name w:val="Light Grid - Accent 125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21">
    <w:name w:val="Light List - Accent 55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21">
    <w:name w:val="Light List - Accent 1152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21">
    <w:name w:val="Light Grid - Accent 135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21">
    <w:name w:val="Medium Grid 1 - Accent 352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21">
    <w:name w:val="No List1221"/>
    <w:next w:val="NoList"/>
    <w:uiPriority w:val="99"/>
    <w:unhideWhenUsed/>
    <w:rsid w:val="00C9597C"/>
  </w:style>
  <w:style w:type="numbering" w:customStyle="1" w:styleId="NoList2221">
    <w:name w:val="No List2221"/>
    <w:next w:val="NoList"/>
    <w:uiPriority w:val="99"/>
    <w:unhideWhenUsed/>
    <w:rsid w:val="00C9597C"/>
  </w:style>
  <w:style w:type="numbering" w:customStyle="1" w:styleId="NoList3221">
    <w:name w:val="No List3221"/>
    <w:next w:val="NoList"/>
    <w:uiPriority w:val="99"/>
    <w:unhideWhenUsed/>
    <w:rsid w:val="00C9597C"/>
  </w:style>
  <w:style w:type="numbering" w:customStyle="1" w:styleId="NoList621">
    <w:name w:val="No List621"/>
    <w:next w:val="NoList"/>
    <w:uiPriority w:val="99"/>
    <w:unhideWhenUsed/>
    <w:rsid w:val="00C9597C"/>
  </w:style>
  <w:style w:type="table" w:customStyle="1" w:styleId="MediumGrid1-Accent1621">
    <w:name w:val="Medium Grid 1 - Accent 162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21">
    <w:name w:val="Light Grid - Accent 1162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21">
    <w:name w:val="Light Grid - Accent 56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21">
    <w:name w:val="Light Grid - Accent 126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21">
    <w:name w:val="Light List - Accent 56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21">
    <w:name w:val="Light List - Accent 1162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21">
    <w:name w:val="Light Grid - Accent 136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21">
    <w:name w:val="Medium Grid 1 - Accent 362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21">
    <w:name w:val="No List1321"/>
    <w:next w:val="NoList"/>
    <w:uiPriority w:val="99"/>
    <w:unhideWhenUsed/>
    <w:rsid w:val="00C9597C"/>
  </w:style>
  <w:style w:type="numbering" w:customStyle="1" w:styleId="NoList2321">
    <w:name w:val="No List2321"/>
    <w:next w:val="NoList"/>
    <w:uiPriority w:val="99"/>
    <w:unhideWhenUsed/>
    <w:rsid w:val="00C9597C"/>
  </w:style>
  <w:style w:type="numbering" w:customStyle="1" w:styleId="NoList3321">
    <w:name w:val="No List3321"/>
    <w:next w:val="NoList"/>
    <w:uiPriority w:val="99"/>
    <w:unhideWhenUsed/>
    <w:rsid w:val="00C9597C"/>
  </w:style>
  <w:style w:type="numbering" w:customStyle="1" w:styleId="NoList91">
    <w:name w:val="No List91"/>
    <w:next w:val="NoList"/>
    <w:uiPriority w:val="99"/>
    <w:unhideWhenUsed/>
    <w:rsid w:val="00C9597C"/>
  </w:style>
  <w:style w:type="table" w:customStyle="1" w:styleId="TableGrid71">
    <w:name w:val="Table Grid71"/>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51">
    <w:name w:val="Medium Grid 3 - Accent 151"/>
    <w:basedOn w:val="TableNormal"/>
    <w:next w:val="MediumGrid3-Accent1"/>
    <w:uiPriority w:val="69"/>
    <w:locked/>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91">
    <w:name w:val="Medium Grid 1 - Accent 191"/>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91">
    <w:name w:val="Light Grid - Accent 1191"/>
    <w:basedOn w:val="TableNormal"/>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91">
    <w:name w:val="Light Grid - Accent 591"/>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91">
    <w:name w:val="Light Grid - Accent 1291"/>
    <w:basedOn w:val="TableNormal"/>
    <w:uiPriority w:val="62"/>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91">
    <w:name w:val="Light List - Accent 591"/>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91">
    <w:name w:val="Light List - Accent 1191"/>
    <w:basedOn w:val="TableNormal"/>
    <w:uiPriority w:val="61"/>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91">
    <w:name w:val="Light Grid - Accent 139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91">
    <w:name w:val="Medium Grid 1 - Accent 39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61">
    <w:name w:val="No List161"/>
    <w:next w:val="NoList"/>
    <w:uiPriority w:val="99"/>
    <w:unhideWhenUsed/>
    <w:rsid w:val="00C9597C"/>
  </w:style>
  <w:style w:type="table" w:customStyle="1" w:styleId="MediumGrid1-Accent1151">
    <w:name w:val="Medium Grid 1 - Accent 115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51">
    <w:name w:val="Light Grid - Accent 111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51">
    <w:name w:val="Light Grid - Accent 5151"/>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51">
    <w:name w:val="Light Grid - Accent 121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51">
    <w:name w:val="Light List - Accent 5151"/>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51">
    <w:name w:val="Light List - Accent 1115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51">
    <w:name w:val="Light Grid - Accent 131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51">
    <w:name w:val="Medium Grid 1 - Accent 315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51">
    <w:name w:val="Grid Table 4 - Accent 315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61">
    <w:name w:val="No List261"/>
    <w:next w:val="NoList"/>
    <w:uiPriority w:val="99"/>
    <w:unhideWhenUsed/>
    <w:rsid w:val="00C9597C"/>
  </w:style>
  <w:style w:type="table" w:customStyle="1" w:styleId="MediumGrid1-Accent1251">
    <w:name w:val="Medium Grid 1 - Accent 1251"/>
    <w:basedOn w:val="TableNormal"/>
    <w:next w:val="MediumGrid1-Accent1"/>
    <w:uiPriority w:val="67"/>
    <w:qFormat/>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51">
    <w:name w:val="Light Grid - Accent 1125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51">
    <w:name w:val="Light Grid - Accent 52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51">
    <w:name w:val="Light Grid - Accent 122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51">
    <w:name w:val="Light List - Accent 52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51">
    <w:name w:val="Light List - Accent 1125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51">
    <w:name w:val="Light Grid - Accent 132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51">
    <w:name w:val="Medium Grid 1 - Accent 325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51">
    <w:name w:val="Grid Table 4 Accent 315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61">
    <w:name w:val="No List361"/>
    <w:next w:val="NoList"/>
    <w:uiPriority w:val="99"/>
    <w:unhideWhenUsed/>
    <w:rsid w:val="00C9597C"/>
  </w:style>
  <w:style w:type="table" w:customStyle="1" w:styleId="MediumGrid1-Accent1351">
    <w:name w:val="Medium Grid 1 - Accent 135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51">
    <w:name w:val="Light Grid - Accent 1135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51">
    <w:name w:val="Light Grid - Accent 53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51">
    <w:name w:val="Light Grid - Accent 123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51">
    <w:name w:val="Light List - Accent 53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51">
    <w:name w:val="Light List - Accent 1135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51">
    <w:name w:val="Light Grid - Accent 133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51">
    <w:name w:val="Medium Grid 1 - Accent 335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51">
    <w:name w:val="Grid Table 4 Accent 325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51">
    <w:name w:val="Table Grid151"/>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41">
    <w:name w:val="Table Grid241"/>
    <w:basedOn w:val="TableNormal"/>
    <w:next w:val="TableGrid"/>
    <w:uiPriority w:val="59"/>
    <w:rsid w:val="00C9597C"/>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31">
    <w:name w:val="No List431"/>
    <w:next w:val="NoList"/>
    <w:uiPriority w:val="99"/>
    <w:unhideWhenUsed/>
    <w:rsid w:val="00C9597C"/>
  </w:style>
  <w:style w:type="table" w:customStyle="1" w:styleId="MediumGrid1-Accent1431">
    <w:name w:val="Medium Grid 1 - Accent 143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31">
    <w:name w:val="Light Grid - Accent 1143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31">
    <w:name w:val="Light Grid - Accent 54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31">
    <w:name w:val="Light Grid - Accent 124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31">
    <w:name w:val="Light List - Accent 54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31">
    <w:name w:val="Light List - Accent 1143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31">
    <w:name w:val="Light Grid - Accent 134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31">
    <w:name w:val="Medium Grid 1 - Accent 343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31">
    <w:name w:val="Table Grid2131"/>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31">
    <w:name w:val="Medium Grid 3 - Accent 1131"/>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31">
    <w:name w:val="No List1131"/>
    <w:next w:val="NoList"/>
    <w:uiPriority w:val="99"/>
    <w:unhideWhenUsed/>
    <w:rsid w:val="00C9597C"/>
  </w:style>
  <w:style w:type="table" w:customStyle="1" w:styleId="MediumGrid1-Accent11131">
    <w:name w:val="Medium Grid 1 - Accent 1113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31">
    <w:name w:val="Light Grid - Accent 1111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31">
    <w:name w:val="Light Grid - Accent 51131"/>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31">
    <w:name w:val="Light Grid - Accent 1211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31">
    <w:name w:val="Light List - Accent 51131"/>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31">
    <w:name w:val="Light List - Accent 11113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31">
    <w:name w:val="Light Grid - Accent 1311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31">
    <w:name w:val="Medium Grid 1 - Accent 3113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31">
    <w:name w:val="Grid Table 4 - Accent 3113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31">
    <w:name w:val="No List2131"/>
    <w:next w:val="NoList"/>
    <w:uiPriority w:val="99"/>
    <w:unhideWhenUsed/>
    <w:rsid w:val="00C9597C"/>
  </w:style>
  <w:style w:type="table" w:customStyle="1" w:styleId="MediumGrid1-Accent12131">
    <w:name w:val="Medium Grid 1 - Accent 1213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31">
    <w:name w:val="Light Grid - Accent 11213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31">
    <w:name w:val="Light Grid - Accent 521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31">
    <w:name w:val="Light Grid - Accent 1221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31">
    <w:name w:val="Light List - Accent 521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31">
    <w:name w:val="Light List - Accent 11213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31">
    <w:name w:val="Light Grid - Accent 1321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31">
    <w:name w:val="Medium Grid 1 - Accent 3213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31">
    <w:name w:val="Grid Table 4 Accent 3113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31">
    <w:name w:val="No List3131"/>
    <w:next w:val="NoList"/>
    <w:uiPriority w:val="99"/>
    <w:unhideWhenUsed/>
    <w:rsid w:val="00C9597C"/>
  </w:style>
  <w:style w:type="table" w:customStyle="1" w:styleId="MediumGrid1-Accent13131">
    <w:name w:val="Medium Grid 1 - Accent 1313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31">
    <w:name w:val="Light Grid - Accent 11313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31">
    <w:name w:val="Light Grid - Accent 531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31">
    <w:name w:val="Light Grid - Accent 1231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31">
    <w:name w:val="Light List - Accent 531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31">
    <w:name w:val="Light List - Accent 11313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31">
    <w:name w:val="Light Grid - Accent 1331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31">
    <w:name w:val="Medium Grid 1 - Accent 3313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31">
    <w:name w:val="Grid Table 4 Accent 3213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31">
    <w:name w:val="Table Grid1131"/>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31">
    <w:name w:val="No List531"/>
    <w:next w:val="NoList"/>
    <w:uiPriority w:val="99"/>
    <w:unhideWhenUsed/>
    <w:rsid w:val="00C9597C"/>
  </w:style>
  <w:style w:type="table" w:customStyle="1" w:styleId="MediumGrid1-Accent1531">
    <w:name w:val="Medium Grid 1 - Accent 153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31">
    <w:name w:val="Light Grid - Accent 1153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31">
    <w:name w:val="Light Grid - Accent 55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31">
    <w:name w:val="Light Grid - Accent 125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31">
    <w:name w:val="Light List - Accent 55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31">
    <w:name w:val="Light List - Accent 1153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31">
    <w:name w:val="Light Grid - Accent 135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31">
    <w:name w:val="Medium Grid 1 - Accent 353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31">
    <w:name w:val="No List1231"/>
    <w:next w:val="NoList"/>
    <w:uiPriority w:val="99"/>
    <w:unhideWhenUsed/>
    <w:rsid w:val="00C9597C"/>
  </w:style>
  <w:style w:type="numbering" w:customStyle="1" w:styleId="NoList2231">
    <w:name w:val="No List2231"/>
    <w:next w:val="NoList"/>
    <w:uiPriority w:val="99"/>
    <w:unhideWhenUsed/>
    <w:rsid w:val="00C9597C"/>
  </w:style>
  <w:style w:type="numbering" w:customStyle="1" w:styleId="NoList3231">
    <w:name w:val="No List3231"/>
    <w:next w:val="NoList"/>
    <w:uiPriority w:val="99"/>
    <w:unhideWhenUsed/>
    <w:rsid w:val="00C9597C"/>
  </w:style>
  <w:style w:type="numbering" w:customStyle="1" w:styleId="NoList631">
    <w:name w:val="No List631"/>
    <w:next w:val="NoList"/>
    <w:uiPriority w:val="99"/>
    <w:unhideWhenUsed/>
    <w:rsid w:val="00C9597C"/>
  </w:style>
  <w:style w:type="table" w:customStyle="1" w:styleId="MediumGrid1-Accent1631">
    <w:name w:val="Medium Grid 1 - Accent 163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31">
    <w:name w:val="Light Grid - Accent 1163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31">
    <w:name w:val="Light Grid - Accent 56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31">
    <w:name w:val="Light Grid - Accent 126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31">
    <w:name w:val="Light List - Accent 56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31">
    <w:name w:val="Light List - Accent 1163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31">
    <w:name w:val="Light Grid - Accent 136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31">
    <w:name w:val="Medium Grid 1 - Accent 363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31">
    <w:name w:val="No List1331"/>
    <w:next w:val="NoList"/>
    <w:uiPriority w:val="99"/>
    <w:unhideWhenUsed/>
    <w:rsid w:val="00C9597C"/>
  </w:style>
  <w:style w:type="numbering" w:customStyle="1" w:styleId="NoList2331">
    <w:name w:val="No List2331"/>
    <w:next w:val="NoList"/>
    <w:uiPriority w:val="99"/>
    <w:unhideWhenUsed/>
    <w:rsid w:val="00C9597C"/>
  </w:style>
  <w:style w:type="numbering" w:customStyle="1" w:styleId="NoList3331">
    <w:name w:val="No List3331"/>
    <w:next w:val="NoList"/>
    <w:uiPriority w:val="99"/>
    <w:unhideWhenUsed/>
    <w:rsid w:val="00C9597C"/>
  </w:style>
  <w:style w:type="numbering" w:customStyle="1" w:styleId="NoList101">
    <w:name w:val="No List101"/>
    <w:next w:val="NoList"/>
    <w:uiPriority w:val="99"/>
    <w:unhideWhenUsed/>
    <w:rsid w:val="00C9597C"/>
  </w:style>
  <w:style w:type="table" w:customStyle="1" w:styleId="TableGrid81">
    <w:name w:val="Table Grid81"/>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61">
    <w:name w:val="Medium Grid 3 - Accent 161"/>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01">
    <w:name w:val="Medium Grid 1 - Accent 1101"/>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01">
    <w:name w:val="Light Grid - Accent 11101"/>
    <w:basedOn w:val="TableNormal"/>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01">
    <w:name w:val="Light Grid - Accent 5101"/>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01">
    <w:name w:val="Light Grid - Accent 12101"/>
    <w:basedOn w:val="TableNormal"/>
    <w:uiPriority w:val="62"/>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01">
    <w:name w:val="Light List - Accent 5101"/>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01">
    <w:name w:val="Light List - Accent 11101"/>
    <w:basedOn w:val="TableNormal"/>
    <w:uiPriority w:val="61"/>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01">
    <w:name w:val="Light Grid - Accent 1310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01">
    <w:name w:val="Medium Grid 1 - Accent 310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71">
    <w:name w:val="No List171"/>
    <w:next w:val="NoList"/>
    <w:uiPriority w:val="99"/>
    <w:unhideWhenUsed/>
    <w:rsid w:val="00C9597C"/>
  </w:style>
  <w:style w:type="table" w:customStyle="1" w:styleId="MediumGrid1-Accent1161">
    <w:name w:val="Medium Grid 1 - Accent 116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61">
    <w:name w:val="Light Grid - Accent 1116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61">
    <w:name w:val="Light Grid - Accent 5161"/>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61">
    <w:name w:val="Light Grid - Accent 1216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61">
    <w:name w:val="Light List - Accent 5161"/>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61">
    <w:name w:val="Light List - Accent 1116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61">
    <w:name w:val="Light Grid - Accent 1316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61">
    <w:name w:val="Medium Grid 1 - Accent 316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61">
    <w:name w:val="Grid Table 4 - Accent 316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71">
    <w:name w:val="No List271"/>
    <w:next w:val="NoList"/>
    <w:uiPriority w:val="99"/>
    <w:unhideWhenUsed/>
    <w:rsid w:val="00C9597C"/>
  </w:style>
  <w:style w:type="table" w:customStyle="1" w:styleId="MediumGrid1-Accent1261">
    <w:name w:val="Medium Grid 1 - Accent 126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61">
    <w:name w:val="Light Grid - Accent 1126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61">
    <w:name w:val="Light Grid - Accent 526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61">
    <w:name w:val="Light Grid - Accent 1226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61">
    <w:name w:val="Light List - Accent 526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61">
    <w:name w:val="Light List - Accent 1126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61">
    <w:name w:val="Light Grid - Accent 1326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61">
    <w:name w:val="Medium Grid 1 - Accent 326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61">
    <w:name w:val="Grid Table 4 Accent 316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71">
    <w:name w:val="No List371"/>
    <w:next w:val="NoList"/>
    <w:uiPriority w:val="99"/>
    <w:unhideWhenUsed/>
    <w:rsid w:val="00C9597C"/>
  </w:style>
  <w:style w:type="table" w:customStyle="1" w:styleId="MediumGrid1-Accent1361">
    <w:name w:val="Medium Grid 1 - Accent 136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61">
    <w:name w:val="Light Grid - Accent 1136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61">
    <w:name w:val="Light Grid - Accent 536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61">
    <w:name w:val="Light Grid - Accent 1236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61">
    <w:name w:val="Light List - Accent 536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61">
    <w:name w:val="Light List - Accent 1136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61">
    <w:name w:val="Light Grid - Accent 1336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61">
    <w:name w:val="Medium Grid 1 - Accent 336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61">
    <w:name w:val="Grid Table 4 Accent 326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61">
    <w:name w:val="Table Grid161"/>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51">
    <w:name w:val="Table Grid251"/>
    <w:basedOn w:val="TableNormal"/>
    <w:next w:val="TableGrid"/>
    <w:uiPriority w:val="59"/>
    <w:rsid w:val="00C9597C"/>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41">
    <w:name w:val="No List441"/>
    <w:next w:val="NoList"/>
    <w:uiPriority w:val="99"/>
    <w:unhideWhenUsed/>
    <w:rsid w:val="00C9597C"/>
  </w:style>
  <w:style w:type="table" w:customStyle="1" w:styleId="MediumGrid1-Accent1441">
    <w:name w:val="Medium Grid 1 - Accent 144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41">
    <w:name w:val="Light Grid - Accent 1144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41">
    <w:name w:val="Light Grid - Accent 54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41">
    <w:name w:val="Light Grid - Accent 124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41">
    <w:name w:val="Light List - Accent 54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41">
    <w:name w:val="Light List - Accent 1144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41">
    <w:name w:val="Light Grid - Accent 134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41">
    <w:name w:val="Medium Grid 1 - Accent 344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41">
    <w:name w:val="Table Grid2141"/>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41">
    <w:name w:val="Medium Grid 3 - Accent 1141"/>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41">
    <w:name w:val="No List1141"/>
    <w:next w:val="NoList"/>
    <w:uiPriority w:val="99"/>
    <w:unhideWhenUsed/>
    <w:rsid w:val="00C9597C"/>
  </w:style>
  <w:style w:type="table" w:customStyle="1" w:styleId="MediumGrid1-Accent11141">
    <w:name w:val="Medium Grid 1 - Accent 1114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41">
    <w:name w:val="Light Grid - Accent 1111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41">
    <w:name w:val="Light Grid - Accent 51141"/>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41">
    <w:name w:val="Light Grid - Accent 1211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41">
    <w:name w:val="Light List - Accent 51141"/>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41">
    <w:name w:val="Light List - Accent 11114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41">
    <w:name w:val="Light Grid - Accent 1311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41">
    <w:name w:val="Medium Grid 1 - Accent 3114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41">
    <w:name w:val="Grid Table 4 - Accent 3114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41">
    <w:name w:val="No List2141"/>
    <w:next w:val="NoList"/>
    <w:uiPriority w:val="99"/>
    <w:unhideWhenUsed/>
    <w:rsid w:val="00C9597C"/>
  </w:style>
  <w:style w:type="table" w:customStyle="1" w:styleId="MediumGrid1-Accent12141">
    <w:name w:val="Medium Grid 1 - Accent 1214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41">
    <w:name w:val="Light Grid - Accent 11214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41">
    <w:name w:val="Light Grid - Accent 521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41">
    <w:name w:val="Light Grid - Accent 1221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41">
    <w:name w:val="Light List - Accent 521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41">
    <w:name w:val="Light List - Accent 11214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41">
    <w:name w:val="Light Grid - Accent 1321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41">
    <w:name w:val="Medium Grid 1 - Accent 3214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41">
    <w:name w:val="Grid Table 4 Accent 3114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41">
    <w:name w:val="No List3141"/>
    <w:next w:val="NoList"/>
    <w:uiPriority w:val="99"/>
    <w:unhideWhenUsed/>
    <w:rsid w:val="00C9597C"/>
  </w:style>
  <w:style w:type="table" w:customStyle="1" w:styleId="MediumGrid1-Accent13141">
    <w:name w:val="Medium Grid 1 - Accent 1314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41">
    <w:name w:val="Light Grid - Accent 11314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41">
    <w:name w:val="Light Grid - Accent 531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41">
    <w:name w:val="Light Grid - Accent 1231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41">
    <w:name w:val="Light List - Accent 531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41">
    <w:name w:val="Light List - Accent 11314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41">
    <w:name w:val="Light Grid - Accent 1331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41">
    <w:name w:val="Medium Grid 1 - Accent 3314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41">
    <w:name w:val="Grid Table 4 Accent 3214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41">
    <w:name w:val="Table Grid1141"/>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41">
    <w:name w:val="No List541"/>
    <w:next w:val="NoList"/>
    <w:uiPriority w:val="99"/>
    <w:unhideWhenUsed/>
    <w:rsid w:val="00C9597C"/>
  </w:style>
  <w:style w:type="table" w:customStyle="1" w:styleId="MediumGrid1-Accent1541">
    <w:name w:val="Medium Grid 1 - Accent 154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41">
    <w:name w:val="Light Grid - Accent 1154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41">
    <w:name w:val="Light Grid - Accent 55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41">
    <w:name w:val="Light Grid - Accent 125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41">
    <w:name w:val="Light List - Accent 55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41">
    <w:name w:val="Light List - Accent 1154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41">
    <w:name w:val="Light Grid - Accent 135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41">
    <w:name w:val="Medium Grid 1 - Accent 354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41">
    <w:name w:val="No List1241"/>
    <w:next w:val="NoList"/>
    <w:uiPriority w:val="99"/>
    <w:unhideWhenUsed/>
    <w:rsid w:val="00C9597C"/>
  </w:style>
  <w:style w:type="numbering" w:customStyle="1" w:styleId="NoList2241">
    <w:name w:val="No List2241"/>
    <w:next w:val="NoList"/>
    <w:uiPriority w:val="99"/>
    <w:unhideWhenUsed/>
    <w:rsid w:val="00C9597C"/>
  </w:style>
  <w:style w:type="numbering" w:customStyle="1" w:styleId="NoList3241">
    <w:name w:val="No List3241"/>
    <w:next w:val="NoList"/>
    <w:uiPriority w:val="99"/>
    <w:unhideWhenUsed/>
    <w:rsid w:val="00C9597C"/>
  </w:style>
  <w:style w:type="numbering" w:customStyle="1" w:styleId="NoList641">
    <w:name w:val="No List641"/>
    <w:next w:val="NoList"/>
    <w:uiPriority w:val="99"/>
    <w:unhideWhenUsed/>
    <w:rsid w:val="00C9597C"/>
  </w:style>
  <w:style w:type="table" w:customStyle="1" w:styleId="MediumGrid1-Accent1641">
    <w:name w:val="Medium Grid 1 - Accent 164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41">
    <w:name w:val="Light Grid - Accent 1164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41">
    <w:name w:val="Light Grid - Accent 56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41">
    <w:name w:val="Light Grid - Accent 126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41">
    <w:name w:val="Light List - Accent 56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41">
    <w:name w:val="Light List - Accent 1164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41">
    <w:name w:val="Light Grid - Accent 136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41">
    <w:name w:val="Medium Grid 1 - Accent 364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41">
    <w:name w:val="No List1341"/>
    <w:next w:val="NoList"/>
    <w:uiPriority w:val="99"/>
    <w:unhideWhenUsed/>
    <w:rsid w:val="00C9597C"/>
  </w:style>
  <w:style w:type="numbering" w:customStyle="1" w:styleId="NoList2341">
    <w:name w:val="No List2341"/>
    <w:next w:val="NoList"/>
    <w:uiPriority w:val="99"/>
    <w:unhideWhenUsed/>
    <w:rsid w:val="00C9597C"/>
  </w:style>
  <w:style w:type="numbering" w:customStyle="1" w:styleId="NoList3341">
    <w:name w:val="No List3341"/>
    <w:next w:val="NoList"/>
    <w:uiPriority w:val="99"/>
    <w:unhideWhenUsed/>
    <w:rsid w:val="00C9597C"/>
  </w:style>
  <w:style w:type="numbering" w:customStyle="1" w:styleId="NoList181">
    <w:name w:val="No List181"/>
    <w:next w:val="NoList"/>
    <w:uiPriority w:val="99"/>
    <w:unhideWhenUsed/>
    <w:rsid w:val="00C9597C"/>
  </w:style>
  <w:style w:type="table" w:customStyle="1" w:styleId="TableGrid91">
    <w:name w:val="Table Grid91"/>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71">
    <w:name w:val="Medium Grid 3 - Accent 171"/>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71">
    <w:name w:val="Medium Grid 1 - Accent 1171"/>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71">
    <w:name w:val="Light Grid - Accent 11171"/>
    <w:basedOn w:val="TableNormal"/>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71">
    <w:name w:val="Light Grid - Accent 5171"/>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71">
    <w:name w:val="Light Grid - Accent 12171"/>
    <w:basedOn w:val="TableNormal"/>
    <w:uiPriority w:val="62"/>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71">
    <w:name w:val="Light List - Accent 5171"/>
    <w:basedOn w:val="TableNormal"/>
    <w:next w:val="LightList-Accent5"/>
    <w:uiPriority w:val="61"/>
    <w:locked/>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71">
    <w:name w:val="Light List - Accent 11171"/>
    <w:basedOn w:val="TableNormal"/>
    <w:uiPriority w:val="61"/>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71">
    <w:name w:val="Light Grid - Accent 1317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71">
    <w:name w:val="Medium Grid 1 - Accent 317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91">
    <w:name w:val="No List191"/>
    <w:next w:val="NoList"/>
    <w:uiPriority w:val="99"/>
    <w:unhideWhenUsed/>
    <w:rsid w:val="00C9597C"/>
  </w:style>
  <w:style w:type="table" w:customStyle="1" w:styleId="MediumGrid1-Accent1181">
    <w:name w:val="Medium Grid 1 - Accent 118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81">
    <w:name w:val="Light Grid - Accent 1118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81">
    <w:name w:val="Light Grid - Accent 5181"/>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81">
    <w:name w:val="Light Grid - Accent 1218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81">
    <w:name w:val="Light List - Accent 5181"/>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81">
    <w:name w:val="Light List - Accent 1118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81">
    <w:name w:val="Light Grid - Accent 1318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81">
    <w:name w:val="Medium Grid 1 - Accent 318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71">
    <w:name w:val="Grid Table 4 - Accent 317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81">
    <w:name w:val="No List281"/>
    <w:next w:val="NoList"/>
    <w:uiPriority w:val="99"/>
    <w:unhideWhenUsed/>
    <w:rsid w:val="00C9597C"/>
  </w:style>
  <w:style w:type="table" w:customStyle="1" w:styleId="MediumGrid1-Accent1271">
    <w:name w:val="Medium Grid 1 - Accent 127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71">
    <w:name w:val="Light Grid - Accent 1127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71">
    <w:name w:val="Light Grid - Accent 527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71">
    <w:name w:val="Light Grid - Accent 1227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71">
    <w:name w:val="Light List - Accent 527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71">
    <w:name w:val="Light List - Accent 1127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71">
    <w:name w:val="Light Grid - Accent 1327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71">
    <w:name w:val="Medium Grid 1 - Accent 327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71">
    <w:name w:val="Grid Table 4 Accent 317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81">
    <w:name w:val="No List381"/>
    <w:next w:val="NoList"/>
    <w:uiPriority w:val="99"/>
    <w:unhideWhenUsed/>
    <w:rsid w:val="00C9597C"/>
  </w:style>
  <w:style w:type="table" w:customStyle="1" w:styleId="MediumGrid1-Accent1371">
    <w:name w:val="Medium Grid 1 - Accent 137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71">
    <w:name w:val="Light Grid - Accent 1137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71">
    <w:name w:val="Light Grid - Accent 537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71">
    <w:name w:val="Light Grid - Accent 1237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71">
    <w:name w:val="Light List - Accent 537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71">
    <w:name w:val="Light List - Accent 1137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71">
    <w:name w:val="Light Grid - Accent 1337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71">
    <w:name w:val="Medium Grid 1 - Accent 337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71">
    <w:name w:val="Grid Table 4 Accent 327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71">
    <w:name w:val="Table Grid171"/>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61">
    <w:name w:val="Table Grid261"/>
    <w:basedOn w:val="TableNormal"/>
    <w:next w:val="TableGrid"/>
    <w:uiPriority w:val="59"/>
    <w:rsid w:val="00C9597C"/>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51">
    <w:name w:val="No List451"/>
    <w:next w:val="NoList"/>
    <w:uiPriority w:val="99"/>
    <w:unhideWhenUsed/>
    <w:rsid w:val="00C9597C"/>
  </w:style>
  <w:style w:type="table" w:customStyle="1" w:styleId="MediumGrid1-Accent1451">
    <w:name w:val="Medium Grid 1 - Accent 145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51">
    <w:name w:val="Light Grid - Accent 1145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51">
    <w:name w:val="Light Grid - Accent 54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51">
    <w:name w:val="Light Grid - Accent 124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51">
    <w:name w:val="Light List - Accent 54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51">
    <w:name w:val="Light List - Accent 1145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51">
    <w:name w:val="Light Grid - Accent 134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51">
    <w:name w:val="Medium Grid 1 - Accent 345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51">
    <w:name w:val="Table Grid2151"/>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51">
    <w:name w:val="Medium Grid 3 - Accent 1151"/>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51">
    <w:name w:val="No List1151"/>
    <w:next w:val="NoList"/>
    <w:uiPriority w:val="99"/>
    <w:unhideWhenUsed/>
    <w:rsid w:val="00C9597C"/>
  </w:style>
  <w:style w:type="table" w:customStyle="1" w:styleId="MediumGrid1-Accent11151">
    <w:name w:val="Medium Grid 1 - Accent 1115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51">
    <w:name w:val="Light Grid - Accent 1111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51">
    <w:name w:val="Light Grid - Accent 51151"/>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51">
    <w:name w:val="Light Grid - Accent 1211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51">
    <w:name w:val="Light List - Accent 51151"/>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51">
    <w:name w:val="Light List - Accent 11115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51">
    <w:name w:val="Light Grid - Accent 1311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51">
    <w:name w:val="Medium Grid 1 - Accent 3115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51">
    <w:name w:val="Grid Table 4 - Accent 3115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51">
    <w:name w:val="No List2151"/>
    <w:next w:val="NoList"/>
    <w:uiPriority w:val="99"/>
    <w:unhideWhenUsed/>
    <w:rsid w:val="00C9597C"/>
  </w:style>
  <w:style w:type="table" w:customStyle="1" w:styleId="MediumGrid1-Accent12151">
    <w:name w:val="Medium Grid 1 - Accent 1215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51">
    <w:name w:val="Light Grid - Accent 11215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51">
    <w:name w:val="Light Grid - Accent 521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51">
    <w:name w:val="Light Grid - Accent 1221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51">
    <w:name w:val="Light List - Accent 521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51">
    <w:name w:val="Light List - Accent 11215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51">
    <w:name w:val="Light Grid - Accent 1321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51">
    <w:name w:val="Medium Grid 1 - Accent 3215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51">
    <w:name w:val="Grid Table 4 Accent 3115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51">
    <w:name w:val="No List3151"/>
    <w:next w:val="NoList"/>
    <w:uiPriority w:val="99"/>
    <w:unhideWhenUsed/>
    <w:rsid w:val="00C9597C"/>
  </w:style>
  <w:style w:type="table" w:customStyle="1" w:styleId="MediumGrid1-Accent13151">
    <w:name w:val="Medium Grid 1 - Accent 1315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51">
    <w:name w:val="Light Grid - Accent 11315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51">
    <w:name w:val="Light Grid - Accent 531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51">
    <w:name w:val="Light Grid - Accent 1231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51">
    <w:name w:val="Light List - Accent 531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51">
    <w:name w:val="Light List - Accent 11315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51">
    <w:name w:val="Light Grid - Accent 1331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51">
    <w:name w:val="Medium Grid 1 - Accent 3315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51">
    <w:name w:val="Grid Table 4 Accent 3215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51">
    <w:name w:val="Table Grid1151"/>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51">
    <w:name w:val="No List551"/>
    <w:next w:val="NoList"/>
    <w:uiPriority w:val="99"/>
    <w:unhideWhenUsed/>
    <w:rsid w:val="00C9597C"/>
  </w:style>
  <w:style w:type="table" w:customStyle="1" w:styleId="MediumGrid1-Accent1551">
    <w:name w:val="Medium Grid 1 - Accent 155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51">
    <w:name w:val="Light Grid - Accent 1155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51">
    <w:name w:val="Light Grid - Accent 55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51">
    <w:name w:val="Light Grid - Accent 125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51">
    <w:name w:val="Light List - Accent 55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51">
    <w:name w:val="Light List - Accent 1155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51">
    <w:name w:val="Light Grid - Accent 135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51">
    <w:name w:val="Medium Grid 1 - Accent 355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51">
    <w:name w:val="No List1251"/>
    <w:next w:val="NoList"/>
    <w:uiPriority w:val="99"/>
    <w:unhideWhenUsed/>
    <w:rsid w:val="00C9597C"/>
  </w:style>
  <w:style w:type="numbering" w:customStyle="1" w:styleId="NoList2251">
    <w:name w:val="No List2251"/>
    <w:next w:val="NoList"/>
    <w:uiPriority w:val="99"/>
    <w:unhideWhenUsed/>
    <w:rsid w:val="00C9597C"/>
  </w:style>
  <w:style w:type="numbering" w:customStyle="1" w:styleId="NoList3251">
    <w:name w:val="No List3251"/>
    <w:next w:val="NoList"/>
    <w:uiPriority w:val="99"/>
    <w:unhideWhenUsed/>
    <w:rsid w:val="00C9597C"/>
  </w:style>
  <w:style w:type="numbering" w:customStyle="1" w:styleId="NoList651">
    <w:name w:val="No List651"/>
    <w:next w:val="NoList"/>
    <w:uiPriority w:val="99"/>
    <w:unhideWhenUsed/>
    <w:rsid w:val="00C9597C"/>
  </w:style>
  <w:style w:type="table" w:customStyle="1" w:styleId="MediumGrid1-Accent1651">
    <w:name w:val="Medium Grid 1 - Accent 165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51">
    <w:name w:val="Light Grid - Accent 1165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51">
    <w:name w:val="Light Grid - Accent 56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51">
    <w:name w:val="Light Grid - Accent 126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51">
    <w:name w:val="Light List - Accent 56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51">
    <w:name w:val="Light List - Accent 1165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51">
    <w:name w:val="Light Grid - Accent 136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51">
    <w:name w:val="Medium Grid 1 - Accent 365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51">
    <w:name w:val="No List1351"/>
    <w:next w:val="NoList"/>
    <w:uiPriority w:val="99"/>
    <w:unhideWhenUsed/>
    <w:rsid w:val="00C9597C"/>
  </w:style>
  <w:style w:type="numbering" w:customStyle="1" w:styleId="NoList2351">
    <w:name w:val="No List2351"/>
    <w:next w:val="NoList"/>
    <w:uiPriority w:val="99"/>
    <w:unhideWhenUsed/>
    <w:rsid w:val="00C9597C"/>
  </w:style>
  <w:style w:type="numbering" w:customStyle="1" w:styleId="NoList3351">
    <w:name w:val="No List3351"/>
    <w:next w:val="NoList"/>
    <w:uiPriority w:val="99"/>
    <w:unhideWhenUsed/>
    <w:rsid w:val="00C9597C"/>
  </w:style>
  <w:style w:type="table" w:styleId="GridTable4-Accent5">
    <w:name w:val="Grid Table 4 Accent 5"/>
    <w:basedOn w:val="TableNormal"/>
    <w:uiPriority w:val="49"/>
    <w:rsid w:val="00B25DA6"/>
    <w:rPr>
      <w:rFonts w:asciiTheme="minorHAnsi" w:hAnsiTheme="minorHAnsi" w:cstheme="minorBidi"/>
      <w:sz w:val="22"/>
      <w:szCs w:val="22"/>
      <w:lang w:val="en-IN"/>
    </w:rPr>
    <w:tblPr>
      <w:tblStyleRowBandSize w:val="1"/>
      <w:tblStyleColBandSize w:val="1"/>
      <w:tblInd w:w="0" w:type="dxa"/>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numbering" w:customStyle="1" w:styleId="NoList30">
    <w:name w:val="No List30"/>
    <w:next w:val="NoList"/>
    <w:uiPriority w:val="99"/>
    <w:unhideWhenUsed/>
    <w:rsid w:val="00C64FC7"/>
  </w:style>
  <w:style w:type="table" w:customStyle="1" w:styleId="TableGrid19">
    <w:name w:val="Table Grid19"/>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9">
    <w:name w:val="Medium Grid 3 - Accent 19"/>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20">
    <w:name w:val="Medium Grid 1 - Accent 120"/>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20">
    <w:name w:val="Light Grid - Accent 1120"/>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20">
    <w:name w:val="Light Grid - Accent 520"/>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20">
    <w:name w:val="Light Grid - Accent 1220"/>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20">
    <w:name w:val="Light List - Accent 520"/>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20">
    <w:name w:val="Light List - Accent 1120"/>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20">
    <w:name w:val="Light Grid - Accent 1320"/>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20">
    <w:name w:val="Medium Grid 1 - Accent 320"/>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17">
    <w:name w:val="No List117"/>
    <w:next w:val="NoList"/>
    <w:uiPriority w:val="99"/>
    <w:unhideWhenUsed/>
    <w:rsid w:val="00C64FC7"/>
  </w:style>
  <w:style w:type="table" w:customStyle="1" w:styleId="MediumGrid1-Accent1117">
    <w:name w:val="Medium Grid 1 - Accent 1117"/>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7">
    <w:name w:val="Light Grid - Accent 11117"/>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7">
    <w:name w:val="Light Grid - Accent 5117"/>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7">
    <w:name w:val="Light Grid - Accent 12117"/>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7">
    <w:name w:val="Light List - Accent 5117"/>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7">
    <w:name w:val="Light List - Accent 11117"/>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7">
    <w:name w:val="Light Grid - Accent 13117"/>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7">
    <w:name w:val="Medium Grid 1 - Accent 3117"/>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9">
    <w:name w:val="Grid Table 4 - Accent 319"/>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0">
    <w:name w:val="No List210"/>
    <w:next w:val="NoList"/>
    <w:uiPriority w:val="99"/>
    <w:unhideWhenUsed/>
    <w:rsid w:val="00C64FC7"/>
  </w:style>
  <w:style w:type="table" w:customStyle="1" w:styleId="MediumGrid1-Accent129">
    <w:name w:val="Medium Grid 1 - Accent 129"/>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9">
    <w:name w:val="Light Grid - Accent 1129"/>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9">
    <w:name w:val="Light Grid - Accent 529"/>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9">
    <w:name w:val="Light Grid - Accent 1229"/>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9">
    <w:name w:val="Light List - Accent 529"/>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9">
    <w:name w:val="Light List - Accent 1129"/>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9">
    <w:name w:val="Light Grid - Accent 1329"/>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9">
    <w:name w:val="Medium Grid 1 - Accent 329"/>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9">
    <w:name w:val="Grid Table 4 Accent 319"/>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0">
    <w:name w:val="No List310"/>
    <w:next w:val="NoList"/>
    <w:uiPriority w:val="99"/>
    <w:unhideWhenUsed/>
    <w:rsid w:val="00C64FC7"/>
  </w:style>
  <w:style w:type="table" w:customStyle="1" w:styleId="MediumGrid1-Accent139">
    <w:name w:val="Medium Grid 1 - Accent 139"/>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9">
    <w:name w:val="Light Grid - Accent 1139"/>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9">
    <w:name w:val="Light Grid - Accent 539"/>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9">
    <w:name w:val="Light Grid - Accent 1239"/>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9">
    <w:name w:val="Light List - Accent 539"/>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9">
    <w:name w:val="Light List - Accent 1139"/>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9">
    <w:name w:val="Light Grid - Accent 1339"/>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9">
    <w:name w:val="Medium Grid 1 - Accent 339"/>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9">
    <w:name w:val="Grid Table 4 Accent 329"/>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0">
    <w:name w:val="Table Grid110"/>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8">
    <w:name w:val="Table Grid28"/>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7">
    <w:name w:val="No List47"/>
    <w:next w:val="NoList"/>
    <w:uiPriority w:val="99"/>
    <w:unhideWhenUsed/>
    <w:rsid w:val="00C64FC7"/>
  </w:style>
  <w:style w:type="table" w:customStyle="1" w:styleId="MediumGrid1-Accent147">
    <w:name w:val="Medium Grid 1 - Accent 147"/>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7">
    <w:name w:val="Light Grid - Accent 1147"/>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7">
    <w:name w:val="Light Grid - Accent 547"/>
    <w:basedOn w:val="TableNormal"/>
    <w:next w:val="LightGrid-Accent5"/>
    <w:uiPriority w:val="62"/>
    <w:qFormat/>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7">
    <w:name w:val="Light Grid - Accent 1247"/>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7">
    <w:name w:val="Light List - Accent 547"/>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7">
    <w:name w:val="Light List - Accent 1147"/>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7">
    <w:name w:val="Light Grid - Accent 1347"/>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7">
    <w:name w:val="Medium Grid 1 - Accent 347"/>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32">
    <w:name w:val="Table Grid3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7">
    <w:name w:val="Medium Grid 3 - Accent 117"/>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8">
    <w:name w:val="No List118"/>
    <w:next w:val="NoList"/>
    <w:uiPriority w:val="99"/>
    <w:unhideWhenUsed/>
    <w:rsid w:val="00C64FC7"/>
  </w:style>
  <w:style w:type="table" w:customStyle="1" w:styleId="MediumGrid1-Accent1118">
    <w:name w:val="Medium Grid 1 - Accent 1118"/>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8">
    <w:name w:val="Light Grid - Accent 11118"/>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8">
    <w:name w:val="Light Grid - Accent 5118"/>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8">
    <w:name w:val="Light Grid - Accent 12118"/>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8">
    <w:name w:val="Light List - Accent 5118"/>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8">
    <w:name w:val="Light List - Accent 11118"/>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8">
    <w:name w:val="Light Grid - Accent 13118"/>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8">
    <w:name w:val="Medium Grid 1 - Accent 3118"/>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7">
    <w:name w:val="Grid Table 4 - Accent 3117"/>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7">
    <w:name w:val="No List217"/>
    <w:next w:val="NoList"/>
    <w:uiPriority w:val="99"/>
    <w:unhideWhenUsed/>
    <w:rsid w:val="00C64FC7"/>
  </w:style>
  <w:style w:type="table" w:customStyle="1" w:styleId="MediumGrid1-Accent1217">
    <w:name w:val="Medium Grid 1 - Accent 1217"/>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7">
    <w:name w:val="Light Grid - Accent 11217"/>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7">
    <w:name w:val="Light Grid - Accent 5217"/>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7">
    <w:name w:val="Light Grid - Accent 12217"/>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7">
    <w:name w:val="Light List - Accent 5217"/>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7">
    <w:name w:val="Light List - Accent 11217"/>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7">
    <w:name w:val="Light Grid - Accent 13217"/>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7">
    <w:name w:val="Medium Grid 1 - Accent 3217"/>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7">
    <w:name w:val="Grid Table 4 Accent 3117"/>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7">
    <w:name w:val="No List317"/>
    <w:next w:val="NoList"/>
    <w:uiPriority w:val="99"/>
    <w:unhideWhenUsed/>
    <w:rsid w:val="00C64FC7"/>
  </w:style>
  <w:style w:type="table" w:customStyle="1" w:styleId="MediumGrid1-Accent1317">
    <w:name w:val="Medium Grid 1 - Accent 1317"/>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7">
    <w:name w:val="Light Grid - Accent 11317"/>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7">
    <w:name w:val="Light Grid - Accent 5317"/>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7">
    <w:name w:val="Light Grid - Accent 12317"/>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7">
    <w:name w:val="Light List - Accent 5317"/>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7">
    <w:name w:val="Light List - Accent 11317"/>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7">
    <w:name w:val="Light Grid - Accent 13317"/>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7">
    <w:name w:val="Medium Grid 1 - Accent 3317"/>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7">
    <w:name w:val="Grid Table 4 Accent 3217"/>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7">
    <w:name w:val="Table Grid117"/>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7">
    <w:name w:val="No List57"/>
    <w:next w:val="NoList"/>
    <w:uiPriority w:val="99"/>
    <w:unhideWhenUsed/>
    <w:rsid w:val="00C64FC7"/>
  </w:style>
  <w:style w:type="table" w:customStyle="1" w:styleId="TableGrid42">
    <w:name w:val="Table Grid42"/>
    <w:basedOn w:val="TableNormal"/>
    <w:next w:val="TableGrid"/>
    <w:uiPriority w:val="5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22">
    <w:name w:val="Medium Grid 3 - Accent 12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57">
    <w:name w:val="Medium Grid 1 - Accent 157"/>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57">
    <w:name w:val="Light Grid - Accent 1157"/>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57">
    <w:name w:val="Light Grid - Accent 557"/>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57">
    <w:name w:val="Light Grid - Accent 1257"/>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57">
    <w:name w:val="Light List - Accent 557"/>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57">
    <w:name w:val="Light List - Accent 1157"/>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57">
    <w:name w:val="Light Grid - Accent 1357"/>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57">
    <w:name w:val="Medium Grid 1 - Accent 357"/>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27">
    <w:name w:val="No List127"/>
    <w:next w:val="NoList"/>
    <w:uiPriority w:val="99"/>
    <w:unhideWhenUsed/>
    <w:rsid w:val="00C64FC7"/>
  </w:style>
  <w:style w:type="table" w:customStyle="1" w:styleId="MediumGrid1-Accent1122">
    <w:name w:val="Medium Grid 1 - Accent 112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22">
    <w:name w:val="Light Grid - Accent 111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2">
    <w:name w:val="Light Grid - Accent 512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22">
    <w:name w:val="Light Grid - Accent 121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2">
    <w:name w:val="Light List - Accent 512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22">
    <w:name w:val="Light List - Accent 1112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22">
    <w:name w:val="Light Grid - Accent 131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22">
    <w:name w:val="Medium Grid 1 - Accent 312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22">
    <w:name w:val="Grid Table 4 - Accent 312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27">
    <w:name w:val="No List227"/>
    <w:next w:val="NoList"/>
    <w:uiPriority w:val="99"/>
    <w:unhideWhenUsed/>
    <w:rsid w:val="00C64FC7"/>
  </w:style>
  <w:style w:type="table" w:customStyle="1" w:styleId="MediumGrid1-Accent1222">
    <w:name w:val="Medium Grid 1 - Accent 122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22">
    <w:name w:val="Light Grid - Accent 1122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22">
    <w:name w:val="Light Grid - Accent 52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22">
    <w:name w:val="Light Grid - Accent 122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22">
    <w:name w:val="Light List - Accent 52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22">
    <w:name w:val="Light List - Accent 1122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22">
    <w:name w:val="Light Grid - Accent 132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22">
    <w:name w:val="Medium Grid 1 - Accent 322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22">
    <w:name w:val="Grid Table 4 Accent 312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27">
    <w:name w:val="No List327"/>
    <w:next w:val="NoList"/>
    <w:uiPriority w:val="99"/>
    <w:unhideWhenUsed/>
    <w:rsid w:val="00C64FC7"/>
  </w:style>
  <w:style w:type="table" w:customStyle="1" w:styleId="MediumGrid1-Accent1322">
    <w:name w:val="Medium Grid 1 - Accent 132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22">
    <w:name w:val="Light Grid - Accent 1132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22">
    <w:name w:val="Light Grid - Accent 53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22">
    <w:name w:val="Light Grid - Accent 123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22">
    <w:name w:val="Light List - Accent 53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22">
    <w:name w:val="Light List - Accent 1132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22">
    <w:name w:val="Light Grid - Accent 133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22">
    <w:name w:val="Medium Grid 1 - Accent 332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22">
    <w:name w:val="Grid Table 4 Accent 322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22">
    <w:name w:val="Table Grid12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7">
    <w:name w:val="Table Grid217"/>
    <w:basedOn w:val="TableNormal"/>
    <w:next w:val="TableGrid"/>
    <w:uiPriority w:val="3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7">
    <w:name w:val="No List67"/>
    <w:next w:val="NoList"/>
    <w:uiPriority w:val="99"/>
    <w:unhideWhenUsed/>
    <w:rsid w:val="00C64FC7"/>
  </w:style>
  <w:style w:type="table" w:customStyle="1" w:styleId="MediumGrid1-Accent167">
    <w:name w:val="Medium Grid 1 - Accent 167"/>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7">
    <w:name w:val="Light Grid - Accent 1167"/>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7">
    <w:name w:val="Light Grid - Accent 567"/>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7">
    <w:name w:val="Light Grid - Accent 1267"/>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7">
    <w:name w:val="Light List - Accent 567"/>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7">
    <w:name w:val="Light List - Accent 1167"/>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7">
    <w:name w:val="Light Grid - Accent 1367"/>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7">
    <w:name w:val="Medium Grid 1 - Accent 367"/>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7">
    <w:name w:val="No List137"/>
    <w:next w:val="NoList"/>
    <w:uiPriority w:val="99"/>
    <w:unhideWhenUsed/>
    <w:rsid w:val="00C64FC7"/>
  </w:style>
  <w:style w:type="numbering" w:customStyle="1" w:styleId="NoList237">
    <w:name w:val="No List237"/>
    <w:next w:val="NoList"/>
    <w:uiPriority w:val="99"/>
    <w:unhideWhenUsed/>
    <w:rsid w:val="00C64FC7"/>
  </w:style>
  <w:style w:type="numbering" w:customStyle="1" w:styleId="NoList337">
    <w:name w:val="No List337"/>
    <w:next w:val="NoList"/>
    <w:uiPriority w:val="99"/>
    <w:unhideWhenUsed/>
    <w:rsid w:val="00C64FC7"/>
  </w:style>
  <w:style w:type="numbering" w:customStyle="1" w:styleId="NoList72">
    <w:name w:val="No List72"/>
    <w:next w:val="NoList"/>
    <w:uiPriority w:val="99"/>
    <w:unhideWhenUsed/>
    <w:rsid w:val="00C64FC7"/>
  </w:style>
  <w:style w:type="table" w:customStyle="1" w:styleId="TableGrid52">
    <w:name w:val="Table Grid5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32">
    <w:name w:val="Medium Grid 3 - Accent 13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72">
    <w:name w:val="Medium Grid 1 - Accent 17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72">
    <w:name w:val="Light Grid - Accent 1172"/>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72">
    <w:name w:val="Light Grid - Accent 57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72">
    <w:name w:val="Light Grid - Accent 1272"/>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72">
    <w:name w:val="Light List - Accent 57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72">
    <w:name w:val="Light List - Accent 1172"/>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72">
    <w:name w:val="Light Grid - Accent 137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72">
    <w:name w:val="Medium Grid 1 - Accent 37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42">
    <w:name w:val="No List142"/>
    <w:next w:val="NoList"/>
    <w:uiPriority w:val="99"/>
    <w:unhideWhenUsed/>
    <w:rsid w:val="00C64FC7"/>
  </w:style>
  <w:style w:type="table" w:customStyle="1" w:styleId="MediumGrid1-Accent1132">
    <w:name w:val="Medium Grid 1 - Accent 113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32">
    <w:name w:val="Light Grid - Accent 111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32">
    <w:name w:val="Light Grid - Accent 513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32">
    <w:name w:val="Light Grid - Accent 121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32">
    <w:name w:val="Light List - Accent 513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32">
    <w:name w:val="Light List - Accent 1113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32">
    <w:name w:val="Light Grid - Accent 131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32">
    <w:name w:val="Medium Grid 1 - Accent 313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32">
    <w:name w:val="Grid Table 4 - Accent 313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42">
    <w:name w:val="No List242"/>
    <w:next w:val="NoList"/>
    <w:uiPriority w:val="99"/>
    <w:unhideWhenUsed/>
    <w:rsid w:val="00C64FC7"/>
  </w:style>
  <w:style w:type="table" w:customStyle="1" w:styleId="MediumGrid1-Accent1232">
    <w:name w:val="Medium Grid 1 - Accent 123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32">
    <w:name w:val="Light Grid - Accent 1123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32">
    <w:name w:val="Light Grid - Accent 52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32">
    <w:name w:val="Light Grid - Accent 122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32">
    <w:name w:val="Light List - Accent 52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32">
    <w:name w:val="Light List - Accent 1123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32">
    <w:name w:val="Light Grid - Accent 132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32">
    <w:name w:val="Medium Grid 1 - Accent 323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32">
    <w:name w:val="Grid Table 4 Accent 313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42">
    <w:name w:val="No List342"/>
    <w:next w:val="NoList"/>
    <w:uiPriority w:val="99"/>
    <w:unhideWhenUsed/>
    <w:rsid w:val="00C64FC7"/>
  </w:style>
  <w:style w:type="table" w:customStyle="1" w:styleId="MediumGrid1-Accent1332">
    <w:name w:val="Medium Grid 1 - Accent 133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32">
    <w:name w:val="Light Grid - Accent 1133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32">
    <w:name w:val="Light Grid - Accent 53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32">
    <w:name w:val="Light Grid - Accent 123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32">
    <w:name w:val="Light List - Accent 53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32">
    <w:name w:val="Light List - Accent 1133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32">
    <w:name w:val="Light Grid - Accent 133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32">
    <w:name w:val="Medium Grid 1 - Accent 333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32">
    <w:name w:val="Grid Table 4 Accent 323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32">
    <w:name w:val="Table Grid13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2">
    <w:name w:val="Table Grid222"/>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12">
    <w:name w:val="No List412"/>
    <w:next w:val="NoList"/>
    <w:uiPriority w:val="99"/>
    <w:unhideWhenUsed/>
    <w:rsid w:val="00C64FC7"/>
  </w:style>
  <w:style w:type="table" w:customStyle="1" w:styleId="MediumGrid1-Accent1412">
    <w:name w:val="Medium Grid 1 - Accent 14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12">
    <w:name w:val="Light Grid - Accent 114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12">
    <w:name w:val="Light Grid - Accent 54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12">
    <w:name w:val="Light Grid - Accent 124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12">
    <w:name w:val="Light List - Accent 54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12">
    <w:name w:val="Light List - Accent 114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12">
    <w:name w:val="Light Grid - Accent 134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12">
    <w:name w:val="Medium Grid 1 - Accent 34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12">
    <w:name w:val="Table Grid211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12">
    <w:name w:val="Medium Grid 3 - Accent 111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2">
    <w:name w:val="No List1112"/>
    <w:next w:val="NoList"/>
    <w:uiPriority w:val="99"/>
    <w:unhideWhenUsed/>
    <w:rsid w:val="00C64FC7"/>
  </w:style>
  <w:style w:type="table" w:customStyle="1" w:styleId="MediumGrid1-Accent11112">
    <w:name w:val="Medium Grid 1 - Accent 111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2">
    <w:name w:val="Light Grid - Accent 111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2">
    <w:name w:val="Light Grid - Accent 5111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2">
    <w:name w:val="Light Grid - Accent 121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2">
    <w:name w:val="Light List - Accent 5111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2">
    <w:name w:val="Light List - Accent 1111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2">
    <w:name w:val="Light Grid - Accent 131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2">
    <w:name w:val="Medium Grid 1 - Accent 311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12">
    <w:name w:val="Grid Table 4 - Accent 311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12">
    <w:name w:val="No List2112"/>
    <w:next w:val="NoList"/>
    <w:uiPriority w:val="99"/>
    <w:unhideWhenUsed/>
    <w:rsid w:val="00C64FC7"/>
  </w:style>
  <w:style w:type="table" w:customStyle="1" w:styleId="MediumGrid1-Accent12112">
    <w:name w:val="Medium Grid 1 - Accent 121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12">
    <w:name w:val="Light Grid - Accent 1121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12">
    <w:name w:val="Light Grid - Accent 52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12">
    <w:name w:val="Light Grid - Accent 122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12">
    <w:name w:val="Light List - Accent 52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12">
    <w:name w:val="Light List - Accent 1121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12">
    <w:name w:val="Light Grid - Accent 132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12">
    <w:name w:val="Medium Grid 1 - Accent 321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12">
    <w:name w:val="Grid Table 4 Accent 311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12">
    <w:name w:val="No List3112"/>
    <w:next w:val="NoList"/>
    <w:uiPriority w:val="99"/>
    <w:unhideWhenUsed/>
    <w:rsid w:val="00C64FC7"/>
  </w:style>
  <w:style w:type="table" w:customStyle="1" w:styleId="MediumGrid1-Accent13112">
    <w:name w:val="Medium Grid 1 - Accent 131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12">
    <w:name w:val="Light Grid - Accent 1131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12">
    <w:name w:val="Light Grid - Accent 53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12">
    <w:name w:val="Light Grid - Accent 123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12">
    <w:name w:val="Light List - Accent 53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12">
    <w:name w:val="Light List - Accent 1131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12">
    <w:name w:val="Light Grid - Accent 133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2">
    <w:name w:val="Medium Grid 1 - Accent 331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12">
    <w:name w:val="Grid Table 4 Accent 321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12">
    <w:name w:val="Table Grid111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12">
    <w:name w:val="No List512"/>
    <w:next w:val="NoList"/>
    <w:uiPriority w:val="99"/>
    <w:unhideWhenUsed/>
    <w:rsid w:val="00C64FC7"/>
  </w:style>
  <w:style w:type="table" w:customStyle="1" w:styleId="MediumGrid1-Accent1512">
    <w:name w:val="Medium Grid 1 - Accent 15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12">
    <w:name w:val="Light Grid - Accent 115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12">
    <w:name w:val="Light Grid - Accent 55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12">
    <w:name w:val="Light Grid - Accent 125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12">
    <w:name w:val="Light List - Accent 55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12">
    <w:name w:val="Light List - Accent 115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12">
    <w:name w:val="Light Grid - Accent 135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12">
    <w:name w:val="Medium Grid 1 - Accent 35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12">
    <w:name w:val="No List1212"/>
    <w:next w:val="NoList"/>
    <w:uiPriority w:val="99"/>
    <w:unhideWhenUsed/>
    <w:rsid w:val="00C64FC7"/>
  </w:style>
  <w:style w:type="numbering" w:customStyle="1" w:styleId="NoList2212">
    <w:name w:val="No List2212"/>
    <w:next w:val="NoList"/>
    <w:uiPriority w:val="99"/>
    <w:unhideWhenUsed/>
    <w:rsid w:val="00C64FC7"/>
  </w:style>
  <w:style w:type="numbering" w:customStyle="1" w:styleId="NoList3212">
    <w:name w:val="No List3212"/>
    <w:next w:val="NoList"/>
    <w:uiPriority w:val="99"/>
    <w:unhideWhenUsed/>
    <w:rsid w:val="00C64FC7"/>
  </w:style>
  <w:style w:type="numbering" w:customStyle="1" w:styleId="NoList612">
    <w:name w:val="No List612"/>
    <w:next w:val="NoList"/>
    <w:uiPriority w:val="99"/>
    <w:unhideWhenUsed/>
    <w:rsid w:val="00C64FC7"/>
  </w:style>
  <w:style w:type="table" w:customStyle="1" w:styleId="MediumGrid1-Accent1612">
    <w:name w:val="Medium Grid 1 - Accent 16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12">
    <w:name w:val="Light Grid - Accent 116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12">
    <w:name w:val="Light Grid - Accent 56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12">
    <w:name w:val="Light Grid - Accent 126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12">
    <w:name w:val="Light List - Accent 56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12">
    <w:name w:val="Light List - Accent 116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12">
    <w:name w:val="Light Grid - Accent 136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12">
    <w:name w:val="Medium Grid 1 - Accent 36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12">
    <w:name w:val="No List1312"/>
    <w:next w:val="NoList"/>
    <w:uiPriority w:val="99"/>
    <w:unhideWhenUsed/>
    <w:rsid w:val="00C64FC7"/>
  </w:style>
  <w:style w:type="numbering" w:customStyle="1" w:styleId="NoList2312">
    <w:name w:val="No List2312"/>
    <w:next w:val="NoList"/>
    <w:uiPriority w:val="99"/>
    <w:unhideWhenUsed/>
    <w:rsid w:val="00C64FC7"/>
  </w:style>
  <w:style w:type="numbering" w:customStyle="1" w:styleId="NoList3312">
    <w:name w:val="No List3312"/>
    <w:next w:val="NoList"/>
    <w:uiPriority w:val="99"/>
    <w:unhideWhenUsed/>
    <w:rsid w:val="00C64FC7"/>
  </w:style>
  <w:style w:type="numbering" w:customStyle="1" w:styleId="NoList82">
    <w:name w:val="No List82"/>
    <w:next w:val="NoList"/>
    <w:uiPriority w:val="99"/>
    <w:unhideWhenUsed/>
    <w:rsid w:val="00C64FC7"/>
  </w:style>
  <w:style w:type="table" w:customStyle="1" w:styleId="TableGrid62">
    <w:name w:val="Table Grid6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42">
    <w:name w:val="Medium Grid 3 - Accent 14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82">
    <w:name w:val="Medium Grid 1 - Accent 18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82">
    <w:name w:val="Light Grid - Accent 1182"/>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82">
    <w:name w:val="Light Grid - Accent 58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82">
    <w:name w:val="Light Grid - Accent 1282"/>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82">
    <w:name w:val="Light List - Accent 58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82">
    <w:name w:val="Light List - Accent 1182"/>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82">
    <w:name w:val="Light Grid - Accent 138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82">
    <w:name w:val="Medium Grid 1 - Accent 38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52">
    <w:name w:val="No List152"/>
    <w:next w:val="NoList"/>
    <w:uiPriority w:val="99"/>
    <w:unhideWhenUsed/>
    <w:rsid w:val="00C64FC7"/>
  </w:style>
  <w:style w:type="table" w:customStyle="1" w:styleId="MediumGrid1-Accent1142">
    <w:name w:val="Medium Grid 1 - Accent 114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42">
    <w:name w:val="Light Grid - Accent 111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42">
    <w:name w:val="Light Grid - Accent 514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42">
    <w:name w:val="Light Grid - Accent 121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42">
    <w:name w:val="Light List - Accent 514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42">
    <w:name w:val="Light List - Accent 1114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42">
    <w:name w:val="Light Grid - Accent 131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42">
    <w:name w:val="Medium Grid 1 - Accent 314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42">
    <w:name w:val="Grid Table 4 - Accent 314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52">
    <w:name w:val="No List252"/>
    <w:next w:val="NoList"/>
    <w:uiPriority w:val="99"/>
    <w:unhideWhenUsed/>
    <w:rsid w:val="00C64FC7"/>
  </w:style>
  <w:style w:type="table" w:customStyle="1" w:styleId="MediumGrid1-Accent1242">
    <w:name w:val="Medium Grid 1 - Accent 124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42">
    <w:name w:val="Light Grid - Accent 1124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42">
    <w:name w:val="Light Grid - Accent 52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42">
    <w:name w:val="Light Grid - Accent 122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42">
    <w:name w:val="Light List - Accent 52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42">
    <w:name w:val="Light List - Accent 1124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42">
    <w:name w:val="Light Grid - Accent 132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42">
    <w:name w:val="Medium Grid 1 - Accent 324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42">
    <w:name w:val="Grid Table 4 Accent 314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52">
    <w:name w:val="No List352"/>
    <w:next w:val="NoList"/>
    <w:uiPriority w:val="99"/>
    <w:unhideWhenUsed/>
    <w:rsid w:val="00C64FC7"/>
  </w:style>
  <w:style w:type="table" w:customStyle="1" w:styleId="MediumGrid1-Accent1342">
    <w:name w:val="Medium Grid 1 - Accent 134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42">
    <w:name w:val="Light Grid - Accent 1134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42">
    <w:name w:val="Light Grid - Accent 53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42">
    <w:name w:val="Light Grid - Accent 123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42">
    <w:name w:val="Light List - Accent 53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42">
    <w:name w:val="Light List - Accent 1134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42">
    <w:name w:val="Light Grid - Accent 133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42">
    <w:name w:val="Medium Grid 1 - Accent 334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42">
    <w:name w:val="Grid Table 4 Accent 324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42">
    <w:name w:val="Table Grid14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32">
    <w:name w:val="Table Grid232"/>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22">
    <w:name w:val="No List422"/>
    <w:next w:val="NoList"/>
    <w:uiPriority w:val="99"/>
    <w:unhideWhenUsed/>
    <w:rsid w:val="00C64FC7"/>
  </w:style>
  <w:style w:type="table" w:customStyle="1" w:styleId="MediumGrid1-Accent1422">
    <w:name w:val="Medium Grid 1 - Accent 142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22">
    <w:name w:val="Light Grid - Accent 1142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22">
    <w:name w:val="Light Grid - Accent 5422"/>
    <w:basedOn w:val="TableNormal"/>
    <w:next w:val="LightGrid-Accent5"/>
    <w:uiPriority w:val="62"/>
    <w:qFormat/>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22">
    <w:name w:val="Light Grid - Accent 124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22">
    <w:name w:val="Light List - Accent 54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22">
    <w:name w:val="Light List - Accent 1142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22">
    <w:name w:val="Light Grid - Accent 134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22">
    <w:name w:val="Medium Grid 1 - Accent 342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22">
    <w:name w:val="Table Grid212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22">
    <w:name w:val="Medium Grid 3 - Accent 112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22">
    <w:name w:val="No List1122"/>
    <w:next w:val="NoList"/>
    <w:uiPriority w:val="99"/>
    <w:unhideWhenUsed/>
    <w:rsid w:val="00C64FC7"/>
  </w:style>
  <w:style w:type="table" w:customStyle="1" w:styleId="MediumGrid1-Accent11122">
    <w:name w:val="Medium Grid 1 - Accent 1112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22">
    <w:name w:val="Light Grid - Accent 1111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22">
    <w:name w:val="Light Grid - Accent 5112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22">
    <w:name w:val="Light Grid - Accent 1211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2">
    <w:name w:val="Light List - Accent 5112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22">
    <w:name w:val="Light List - Accent 11112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22">
    <w:name w:val="Light Grid - Accent 1311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22">
    <w:name w:val="Medium Grid 1 - Accent 3112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22">
    <w:name w:val="Grid Table 4 - Accent 3112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22">
    <w:name w:val="No List2122"/>
    <w:next w:val="NoList"/>
    <w:uiPriority w:val="99"/>
    <w:unhideWhenUsed/>
    <w:rsid w:val="00C64FC7"/>
  </w:style>
  <w:style w:type="table" w:customStyle="1" w:styleId="MediumGrid1-Accent12122">
    <w:name w:val="Medium Grid 1 - Accent 1212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22">
    <w:name w:val="Light Grid - Accent 11212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22">
    <w:name w:val="Light Grid - Accent 521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22">
    <w:name w:val="Light Grid - Accent 1221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22">
    <w:name w:val="Light List - Accent 521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22">
    <w:name w:val="Light List - Accent 11212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22">
    <w:name w:val="Light Grid - Accent 1321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22">
    <w:name w:val="Medium Grid 1 - Accent 3212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22">
    <w:name w:val="Grid Table 4 Accent 3112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22">
    <w:name w:val="No List3122"/>
    <w:next w:val="NoList"/>
    <w:uiPriority w:val="99"/>
    <w:unhideWhenUsed/>
    <w:rsid w:val="00C64FC7"/>
  </w:style>
  <w:style w:type="table" w:customStyle="1" w:styleId="MediumGrid1-Accent13122">
    <w:name w:val="Medium Grid 1 - Accent 1312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22">
    <w:name w:val="Light Grid - Accent 11312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22">
    <w:name w:val="Light Grid - Accent 531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22">
    <w:name w:val="Light Grid - Accent 1231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22">
    <w:name w:val="Light List - Accent 531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22">
    <w:name w:val="Light List - Accent 11312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22">
    <w:name w:val="Light Grid - Accent 1331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2">
    <w:name w:val="Medium Grid 1 - Accent 3312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22">
    <w:name w:val="Grid Table 4 Accent 3212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22">
    <w:name w:val="Table Grid112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22">
    <w:name w:val="No List522"/>
    <w:next w:val="NoList"/>
    <w:uiPriority w:val="99"/>
    <w:unhideWhenUsed/>
    <w:rsid w:val="00C64FC7"/>
  </w:style>
  <w:style w:type="table" w:customStyle="1" w:styleId="MediumGrid1-Accent1522">
    <w:name w:val="Medium Grid 1 - Accent 152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22">
    <w:name w:val="Light Grid - Accent 1152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22">
    <w:name w:val="Light Grid - Accent 55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22">
    <w:name w:val="Light Grid - Accent 125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22">
    <w:name w:val="Light List - Accent 55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22">
    <w:name w:val="Light List - Accent 1152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22">
    <w:name w:val="Light Grid - Accent 135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22">
    <w:name w:val="Medium Grid 1 - Accent 352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22">
    <w:name w:val="No List1222"/>
    <w:next w:val="NoList"/>
    <w:uiPriority w:val="99"/>
    <w:unhideWhenUsed/>
    <w:rsid w:val="00C64FC7"/>
  </w:style>
  <w:style w:type="numbering" w:customStyle="1" w:styleId="NoList2222">
    <w:name w:val="No List2222"/>
    <w:next w:val="NoList"/>
    <w:uiPriority w:val="99"/>
    <w:unhideWhenUsed/>
    <w:rsid w:val="00C64FC7"/>
  </w:style>
  <w:style w:type="numbering" w:customStyle="1" w:styleId="NoList3222">
    <w:name w:val="No List3222"/>
    <w:next w:val="NoList"/>
    <w:uiPriority w:val="99"/>
    <w:unhideWhenUsed/>
    <w:rsid w:val="00C64FC7"/>
  </w:style>
  <w:style w:type="numbering" w:customStyle="1" w:styleId="NoList622">
    <w:name w:val="No List622"/>
    <w:next w:val="NoList"/>
    <w:uiPriority w:val="99"/>
    <w:unhideWhenUsed/>
    <w:rsid w:val="00C64FC7"/>
  </w:style>
  <w:style w:type="table" w:customStyle="1" w:styleId="MediumGrid1-Accent1622">
    <w:name w:val="Medium Grid 1 - Accent 162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22">
    <w:name w:val="Light Grid - Accent 1162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22">
    <w:name w:val="Light Grid - Accent 56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22">
    <w:name w:val="Light Grid - Accent 126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22">
    <w:name w:val="Light List - Accent 56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22">
    <w:name w:val="Light List - Accent 1162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22">
    <w:name w:val="Light Grid - Accent 136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22">
    <w:name w:val="Medium Grid 1 - Accent 362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22">
    <w:name w:val="No List1322"/>
    <w:next w:val="NoList"/>
    <w:uiPriority w:val="99"/>
    <w:unhideWhenUsed/>
    <w:rsid w:val="00C64FC7"/>
  </w:style>
  <w:style w:type="numbering" w:customStyle="1" w:styleId="NoList2322">
    <w:name w:val="No List2322"/>
    <w:next w:val="NoList"/>
    <w:uiPriority w:val="99"/>
    <w:unhideWhenUsed/>
    <w:rsid w:val="00C64FC7"/>
  </w:style>
  <w:style w:type="numbering" w:customStyle="1" w:styleId="NoList3322">
    <w:name w:val="No List3322"/>
    <w:next w:val="NoList"/>
    <w:uiPriority w:val="99"/>
    <w:unhideWhenUsed/>
    <w:rsid w:val="00C64FC7"/>
  </w:style>
  <w:style w:type="numbering" w:customStyle="1" w:styleId="NoList92">
    <w:name w:val="No List92"/>
    <w:next w:val="NoList"/>
    <w:uiPriority w:val="99"/>
    <w:unhideWhenUsed/>
    <w:rsid w:val="00C64FC7"/>
  </w:style>
  <w:style w:type="table" w:customStyle="1" w:styleId="TableGrid72">
    <w:name w:val="Table Grid7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52">
    <w:name w:val="Medium Grid 3 - Accent 15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92">
    <w:name w:val="Medium Grid 1 - Accent 19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92">
    <w:name w:val="Light Grid - Accent 1192"/>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92">
    <w:name w:val="Light Grid - Accent 59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92">
    <w:name w:val="Light Grid - Accent 1292"/>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92">
    <w:name w:val="Light List - Accent 59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92">
    <w:name w:val="Light List - Accent 1192"/>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92">
    <w:name w:val="Light Grid - Accent 139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92">
    <w:name w:val="Medium Grid 1 - Accent 39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62">
    <w:name w:val="No List162"/>
    <w:next w:val="NoList"/>
    <w:uiPriority w:val="99"/>
    <w:unhideWhenUsed/>
    <w:rsid w:val="00C64FC7"/>
  </w:style>
  <w:style w:type="table" w:customStyle="1" w:styleId="MediumGrid1-Accent1152">
    <w:name w:val="Medium Grid 1 - Accent 115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52">
    <w:name w:val="Light Grid - Accent 111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52">
    <w:name w:val="Light Grid - Accent 515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52">
    <w:name w:val="Light Grid - Accent 121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52">
    <w:name w:val="Light List - Accent 515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52">
    <w:name w:val="Light List - Accent 1115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52">
    <w:name w:val="Light Grid - Accent 131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52">
    <w:name w:val="Medium Grid 1 - Accent 315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52">
    <w:name w:val="Grid Table 4 - Accent 315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62">
    <w:name w:val="No List262"/>
    <w:next w:val="NoList"/>
    <w:uiPriority w:val="99"/>
    <w:unhideWhenUsed/>
    <w:rsid w:val="00C64FC7"/>
  </w:style>
  <w:style w:type="table" w:customStyle="1" w:styleId="MediumGrid1-Accent1252">
    <w:name w:val="Medium Grid 1 - Accent 125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52">
    <w:name w:val="Light Grid - Accent 1125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52">
    <w:name w:val="Light Grid - Accent 52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52">
    <w:name w:val="Light Grid - Accent 122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52">
    <w:name w:val="Light List - Accent 52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52">
    <w:name w:val="Light List - Accent 1125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52">
    <w:name w:val="Light Grid - Accent 132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52">
    <w:name w:val="Medium Grid 1 - Accent 325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52">
    <w:name w:val="Grid Table 4 Accent 315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62">
    <w:name w:val="No List362"/>
    <w:next w:val="NoList"/>
    <w:uiPriority w:val="99"/>
    <w:unhideWhenUsed/>
    <w:rsid w:val="00C64FC7"/>
  </w:style>
  <w:style w:type="table" w:customStyle="1" w:styleId="MediumGrid1-Accent1352">
    <w:name w:val="Medium Grid 1 - Accent 135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52">
    <w:name w:val="Light Grid - Accent 1135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52">
    <w:name w:val="Light Grid - Accent 53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52">
    <w:name w:val="Light Grid - Accent 123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52">
    <w:name w:val="Light List - Accent 53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52">
    <w:name w:val="Light List - Accent 1135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52">
    <w:name w:val="Light Grid - Accent 133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52">
    <w:name w:val="Medium Grid 1 - Accent 335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52">
    <w:name w:val="Grid Table 4 Accent 325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52">
    <w:name w:val="Table Grid15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42">
    <w:name w:val="Table Grid242"/>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32">
    <w:name w:val="No List432"/>
    <w:next w:val="NoList"/>
    <w:uiPriority w:val="99"/>
    <w:unhideWhenUsed/>
    <w:rsid w:val="00C64FC7"/>
  </w:style>
  <w:style w:type="table" w:customStyle="1" w:styleId="MediumGrid1-Accent1432">
    <w:name w:val="Medium Grid 1 - Accent 143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32">
    <w:name w:val="Light Grid - Accent 1143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32">
    <w:name w:val="Light Grid - Accent 54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32">
    <w:name w:val="Light Grid - Accent 124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32">
    <w:name w:val="Light List - Accent 54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32">
    <w:name w:val="Light List - Accent 1143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32">
    <w:name w:val="Light Grid - Accent 134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32">
    <w:name w:val="Medium Grid 1 - Accent 343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32">
    <w:name w:val="Table Grid213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32">
    <w:name w:val="Medium Grid 3 - Accent 113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32">
    <w:name w:val="No List1132"/>
    <w:next w:val="NoList"/>
    <w:uiPriority w:val="99"/>
    <w:unhideWhenUsed/>
    <w:rsid w:val="00C64FC7"/>
  </w:style>
  <w:style w:type="table" w:customStyle="1" w:styleId="MediumGrid1-Accent11132">
    <w:name w:val="Medium Grid 1 - Accent 1113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32">
    <w:name w:val="Light Grid - Accent 1111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32">
    <w:name w:val="Light Grid - Accent 5113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32">
    <w:name w:val="Light Grid - Accent 1211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32">
    <w:name w:val="Light List - Accent 5113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32">
    <w:name w:val="Light List - Accent 11113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32">
    <w:name w:val="Light Grid - Accent 1311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32">
    <w:name w:val="Medium Grid 1 - Accent 3113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32">
    <w:name w:val="Grid Table 4 - Accent 3113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32">
    <w:name w:val="No List2132"/>
    <w:next w:val="NoList"/>
    <w:uiPriority w:val="99"/>
    <w:unhideWhenUsed/>
    <w:rsid w:val="00C64FC7"/>
  </w:style>
  <w:style w:type="table" w:customStyle="1" w:styleId="MediumGrid1-Accent12132">
    <w:name w:val="Medium Grid 1 - Accent 1213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32">
    <w:name w:val="Light Grid - Accent 11213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32">
    <w:name w:val="Light Grid - Accent 521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32">
    <w:name w:val="Light Grid - Accent 1221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32">
    <w:name w:val="Light List - Accent 521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32">
    <w:name w:val="Light List - Accent 11213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32">
    <w:name w:val="Light Grid - Accent 1321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32">
    <w:name w:val="Medium Grid 1 - Accent 3213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32">
    <w:name w:val="Grid Table 4 Accent 3113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32">
    <w:name w:val="No List3132"/>
    <w:next w:val="NoList"/>
    <w:uiPriority w:val="99"/>
    <w:unhideWhenUsed/>
    <w:rsid w:val="00C64FC7"/>
  </w:style>
  <w:style w:type="table" w:customStyle="1" w:styleId="MediumGrid1-Accent13132">
    <w:name w:val="Medium Grid 1 - Accent 1313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32">
    <w:name w:val="Light Grid - Accent 11313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32">
    <w:name w:val="Light Grid - Accent 531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32">
    <w:name w:val="Light Grid - Accent 1231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32">
    <w:name w:val="Light List - Accent 531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32">
    <w:name w:val="Light List - Accent 11313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32">
    <w:name w:val="Light Grid - Accent 1331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32">
    <w:name w:val="Medium Grid 1 - Accent 3313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32">
    <w:name w:val="Grid Table 4 Accent 3213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32">
    <w:name w:val="Table Grid113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32">
    <w:name w:val="No List532"/>
    <w:next w:val="NoList"/>
    <w:uiPriority w:val="99"/>
    <w:unhideWhenUsed/>
    <w:rsid w:val="00C64FC7"/>
  </w:style>
  <w:style w:type="table" w:customStyle="1" w:styleId="MediumGrid1-Accent1532">
    <w:name w:val="Medium Grid 1 - Accent 153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32">
    <w:name w:val="Light Grid - Accent 1153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32">
    <w:name w:val="Light Grid - Accent 55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32">
    <w:name w:val="Light Grid - Accent 125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32">
    <w:name w:val="Light List - Accent 55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32">
    <w:name w:val="Light List - Accent 1153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32">
    <w:name w:val="Light Grid - Accent 135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32">
    <w:name w:val="Medium Grid 1 - Accent 353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32">
    <w:name w:val="No List1232"/>
    <w:next w:val="NoList"/>
    <w:uiPriority w:val="99"/>
    <w:unhideWhenUsed/>
    <w:rsid w:val="00C64FC7"/>
  </w:style>
  <w:style w:type="numbering" w:customStyle="1" w:styleId="NoList2232">
    <w:name w:val="No List2232"/>
    <w:next w:val="NoList"/>
    <w:uiPriority w:val="99"/>
    <w:unhideWhenUsed/>
    <w:rsid w:val="00C64FC7"/>
  </w:style>
  <w:style w:type="numbering" w:customStyle="1" w:styleId="NoList3232">
    <w:name w:val="No List3232"/>
    <w:next w:val="NoList"/>
    <w:uiPriority w:val="99"/>
    <w:unhideWhenUsed/>
    <w:rsid w:val="00C64FC7"/>
  </w:style>
  <w:style w:type="numbering" w:customStyle="1" w:styleId="NoList632">
    <w:name w:val="No List632"/>
    <w:next w:val="NoList"/>
    <w:uiPriority w:val="99"/>
    <w:unhideWhenUsed/>
    <w:rsid w:val="00C64FC7"/>
  </w:style>
  <w:style w:type="table" w:customStyle="1" w:styleId="MediumGrid1-Accent1632">
    <w:name w:val="Medium Grid 1 - Accent 163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32">
    <w:name w:val="Light Grid - Accent 1163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32">
    <w:name w:val="Light Grid - Accent 56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32">
    <w:name w:val="Light Grid - Accent 126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32">
    <w:name w:val="Light List - Accent 56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32">
    <w:name w:val="Light List - Accent 1163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32">
    <w:name w:val="Light Grid - Accent 136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32">
    <w:name w:val="Medium Grid 1 - Accent 363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32">
    <w:name w:val="No List1332"/>
    <w:next w:val="NoList"/>
    <w:uiPriority w:val="99"/>
    <w:unhideWhenUsed/>
    <w:rsid w:val="00C64FC7"/>
  </w:style>
  <w:style w:type="numbering" w:customStyle="1" w:styleId="NoList2332">
    <w:name w:val="No List2332"/>
    <w:next w:val="NoList"/>
    <w:uiPriority w:val="99"/>
    <w:unhideWhenUsed/>
    <w:rsid w:val="00C64FC7"/>
  </w:style>
  <w:style w:type="numbering" w:customStyle="1" w:styleId="NoList3332">
    <w:name w:val="No List3332"/>
    <w:next w:val="NoList"/>
    <w:uiPriority w:val="99"/>
    <w:unhideWhenUsed/>
    <w:rsid w:val="00C64FC7"/>
  </w:style>
  <w:style w:type="numbering" w:customStyle="1" w:styleId="NoList102">
    <w:name w:val="No List102"/>
    <w:next w:val="NoList"/>
    <w:uiPriority w:val="99"/>
    <w:unhideWhenUsed/>
    <w:rsid w:val="00C64FC7"/>
  </w:style>
  <w:style w:type="table" w:customStyle="1" w:styleId="TableGrid82">
    <w:name w:val="Table Grid8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62">
    <w:name w:val="Medium Grid 3 - Accent 16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02">
    <w:name w:val="Medium Grid 1 - Accent 110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02">
    <w:name w:val="Light Grid - Accent 11102"/>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02">
    <w:name w:val="Light Grid - Accent 510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02">
    <w:name w:val="Light Grid - Accent 12102"/>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02">
    <w:name w:val="Light List - Accent 510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02">
    <w:name w:val="Light List - Accent 11102"/>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02">
    <w:name w:val="Light Grid - Accent 1310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02">
    <w:name w:val="Medium Grid 1 - Accent 310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72">
    <w:name w:val="No List172"/>
    <w:next w:val="NoList"/>
    <w:uiPriority w:val="99"/>
    <w:unhideWhenUsed/>
    <w:rsid w:val="00C64FC7"/>
  </w:style>
  <w:style w:type="table" w:customStyle="1" w:styleId="MediumGrid1-Accent1162">
    <w:name w:val="Medium Grid 1 - Accent 116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62">
    <w:name w:val="Light Grid - Accent 111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62">
    <w:name w:val="Light Grid - Accent 516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62">
    <w:name w:val="Light Grid - Accent 121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62">
    <w:name w:val="Light List - Accent 516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62">
    <w:name w:val="Light List - Accent 1116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62">
    <w:name w:val="Light Grid - Accent 131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62">
    <w:name w:val="Medium Grid 1 - Accent 316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62">
    <w:name w:val="Grid Table 4 - Accent 316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72">
    <w:name w:val="No List272"/>
    <w:next w:val="NoList"/>
    <w:uiPriority w:val="99"/>
    <w:unhideWhenUsed/>
    <w:rsid w:val="00C64FC7"/>
  </w:style>
  <w:style w:type="table" w:customStyle="1" w:styleId="MediumGrid1-Accent1262">
    <w:name w:val="Medium Grid 1 - Accent 126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62">
    <w:name w:val="Light Grid - Accent 1126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62">
    <w:name w:val="Light Grid - Accent 526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62">
    <w:name w:val="Light Grid - Accent 122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62">
    <w:name w:val="Light List - Accent 526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62">
    <w:name w:val="Light List - Accent 1126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62">
    <w:name w:val="Light Grid - Accent 132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62">
    <w:name w:val="Medium Grid 1 - Accent 326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62">
    <w:name w:val="Grid Table 4 Accent 316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72">
    <w:name w:val="No List372"/>
    <w:next w:val="NoList"/>
    <w:uiPriority w:val="99"/>
    <w:unhideWhenUsed/>
    <w:rsid w:val="00C64FC7"/>
  </w:style>
  <w:style w:type="table" w:customStyle="1" w:styleId="MediumGrid1-Accent1362">
    <w:name w:val="Medium Grid 1 - Accent 136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62">
    <w:name w:val="Light Grid - Accent 1136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62">
    <w:name w:val="Light Grid - Accent 536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62">
    <w:name w:val="Light Grid - Accent 123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62">
    <w:name w:val="Light List - Accent 536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62">
    <w:name w:val="Light List - Accent 1136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62">
    <w:name w:val="Light Grid - Accent 133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62">
    <w:name w:val="Medium Grid 1 - Accent 336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62">
    <w:name w:val="Grid Table 4 Accent 326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62">
    <w:name w:val="Table Grid16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52">
    <w:name w:val="Table Grid252"/>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42">
    <w:name w:val="No List442"/>
    <w:next w:val="NoList"/>
    <w:uiPriority w:val="99"/>
    <w:unhideWhenUsed/>
    <w:rsid w:val="00C64FC7"/>
  </w:style>
  <w:style w:type="table" w:customStyle="1" w:styleId="MediumGrid1-Accent1442">
    <w:name w:val="Medium Grid 1 - Accent 144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42">
    <w:name w:val="Light Grid - Accent 1144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42">
    <w:name w:val="Light Grid - Accent 54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42">
    <w:name w:val="Light Grid - Accent 124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42">
    <w:name w:val="Light List - Accent 54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42">
    <w:name w:val="Light List - Accent 1144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42">
    <w:name w:val="Light Grid - Accent 134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42">
    <w:name w:val="Medium Grid 1 - Accent 344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42">
    <w:name w:val="Table Grid214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42">
    <w:name w:val="Medium Grid 3 - Accent 114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42">
    <w:name w:val="No List1142"/>
    <w:next w:val="NoList"/>
    <w:uiPriority w:val="99"/>
    <w:unhideWhenUsed/>
    <w:rsid w:val="00C64FC7"/>
  </w:style>
  <w:style w:type="table" w:customStyle="1" w:styleId="MediumGrid1-Accent11142">
    <w:name w:val="Medium Grid 1 - Accent 1114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42">
    <w:name w:val="Light Grid - Accent 1111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42">
    <w:name w:val="Light Grid - Accent 5114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42">
    <w:name w:val="Light Grid - Accent 1211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42">
    <w:name w:val="Light List - Accent 5114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42">
    <w:name w:val="Light List - Accent 11114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42">
    <w:name w:val="Light Grid - Accent 1311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42">
    <w:name w:val="Medium Grid 1 - Accent 3114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42">
    <w:name w:val="Grid Table 4 - Accent 3114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42">
    <w:name w:val="No List2142"/>
    <w:next w:val="NoList"/>
    <w:uiPriority w:val="99"/>
    <w:unhideWhenUsed/>
    <w:rsid w:val="00C64FC7"/>
  </w:style>
  <w:style w:type="table" w:customStyle="1" w:styleId="MediumGrid1-Accent12142">
    <w:name w:val="Medium Grid 1 - Accent 1214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42">
    <w:name w:val="Light Grid - Accent 11214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42">
    <w:name w:val="Light Grid - Accent 521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42">
    <w:name w:val="Light Grid - Accent 1221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42">
    <w:name w:val="Light List - Accent 521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42">
    <w:name w:val="Light List - Accent 11214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42">
    <w:name w:val="Light Grid - Accent 1321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42">
    <w:name w:val="Medium Grid 1 - Accent 3214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42">
    <w:name w:val="Grid Table 4 Accent 3114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42">
    <w:name w:val="No List3142"/>
    <w:next w:val="NoList"/>
    <w:uiPriority w:val="99"/>
    <w:unhideWhenUsed/>
    <w:rsid w:val="00C64FC7"/>
  </w:style>
  <w:style w:type="table" w:customStyle="1" w:styleId="MediumGrid1-Accent13142">
    <w:name w:val="Medium Grid 1 - Accent 1314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42">
    <w:name w:val="Light Grid - Accent 11314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42">
    <w:name w:val="Light Grid - Accent 531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42">
    <w:name w:val="Light Grid - Accent 1231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42">
    <w:name w:val="Light List - Accent 531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42">
    <w:name w:val="Light List - Accent 11314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42">
    <w:name w:val="Light Grid - Accent 1331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42">
    <w:name w:val="Medium Grid 1 - Accent 3314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42">
    <w:name w:val="Grid Table 4 Accent 3214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42">
    <w:name w:val="Table Grid114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42">
    <w:name w:val="No List542"/>
    <w:next w:val="NoList"/>
    <w:uiPriority w:val="99"/>
    <w:unhideWhenUsed/>
    <w:rsid w:val="00C64FC7"/>
  </w:style>
  <w:style w:type="table" w:customStyle="1" w:styleId="MediumGrid1-Accent1542">
    <w:name w:val="Medium Grid 1 - Accent 154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42">
    <w:name w:val="Light Grid - Accent 1154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42">
    <w:name w:val="Light Grid - Accent 55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42">
    <w:name w:val="Light Grid - Accent 125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42">
    <w:name w:val="Light List - Accent 55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42">
    <w:name w:val="Light List - Accent 1154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42">
    <w:name w:val="Light Grid - Accent 135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42">
    <w:name w:val="Medium Grid 1 - Accent 354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42">
    <w:name w:val="No List1242"/>
    <w:next w:val="NoList"/>
    <w:uiPriority w:val="99"/>
    <w:unhideWhenUsed/>
    <w:rsid w:val="00C64FC7"/>
  </w:style>
  <w:style w:type="numbering" w:customStyle="1" w:styleId="NoList2242">
    <w:name w:val="No List2242"/>
    <w:next w:val="NoList"/>
    <w:uiPriority w:val="99"/>
    <w:unhideWhenUsed/>
    <w:rsid w:val="00C64FC7"/>
  </w:style>
  <w:style w:type="numbering" w:customStyle="1" w:styleId="NoList3242">
    <w:name w:val="No List3242"/>
    <w:next w:val="NoList"/>
    <w:uiPriority w:val="99"/>
    <w:unhideWhenUsed/>
    <w:rsid w:val="00C64FC7"/>
  </w:style>
  <w:style w:type="numbering" w:customStyle="1" w:styleId="NoList642">
    <w:name w:val="No List642"/>
    <w:next w:val="NoList"/>
    <w:uiPriority w:val="99"/>
    <w:unhideWhenUsed/>
    <w:rsid w:val="00C64FC7"/>
  </w:style>
  <w:style w:type="table" w:customStyle="1" w:styleId="MediumGrid1-Accent1642">
    <w:name w:val="Medium Grid 1 - Accent 164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42">
    <w:name w:val="Light Grid - Accent 1164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42">
    <w:name w:val="Light Grid - Accent 56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42">
    <w:name w:val="Light Grid - Accent 126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42">
    <w:name w:val="Light List - Accent 56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42">
    <w:name w:val="Light List - Accent 1164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42">
    <w:name w:val="Light Grid - Accent 136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42">
    <w:name w:val="Medium Grid 1 - Accent 364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42">
    <w:name w:val="No List1342"/>
    <w:next w:val="NoList"/>
    <w:uiPriority w:val="99"/>
    <w:unhideWhenUsed/>
    <w:rsid w:val="00C64FC7"/>
  </w:style>
  <w:style w:type="numbering" w:customStyle="1" w:styleId="NoList2342">
    <w:name w:val="No List2342"/>
    <w:next w:val="NoList"/>
    <w:uiPriority w:val="99"/>
    <w:unhideWhenUsed/>
    <w:rsid w:val="00C64FC7"/>
  </w:style>
  <w:style w:type="numbering" w:customStyle="1" w:styleId="NoList3342">
    <w:name w:val="No List3342"/>
    <w:next w:val="NoList"/>
    <w:uiPriority w:val="99"/>
    <w:unhideWhenUsed/>
    <w:rsid w:val="00C64FC7"/>
  </w:style>
  <w:style w:type="numbering" w:customStyle="1" w:styleId="NoList182">
    <w:name w:val="No List182"/>
    <w:next w:val="NoList"/>
    <w:uiPriority w:val="99"/>
    <w:unhideWhenUsed/>
    <w:rsid w:val="00C64FC7"/>
  </w:style>
  <w:style w:type="table" w:customStyle="1" w:styleId="TableGrid92">
    <w:name w:val="Table Grid9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72">
    <w:name w:val="Medium Grid 3 - Accent 17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72">
    <w:name w:val="Medium Grid 1 - Accent 117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72">
    <w:name w:val="Light Grid - Accent 11172"/>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72">
    <w:name w:val="Light Grid - Accent 517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72">
    <w:name w:val="Light Grid - Accent 12172"/>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72">
    <w:name w:val="Light List - Accent 517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72">
    <w:name w:val="Light List - Accent 11172"/>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72">
    <w:name w:val="Light Grid - Accent 1317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72">
    <w:name w:val="Medium Grid 1 - Accent 317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92">
    <w:name w:val="No List192"/>
    <w:next w:val="NoList"/>
    <w:uiPriority w:val="99"/>
    <w:unhideWhenUsed/>
    <w:rsid w:val="00C64FC7"/>
  </w:style>
  <w:style w:type="table" w:customStyle="1" w:styleId="MediumGrid1-Accent1182">
    <w:name w:val="Medium Grid 1 - Accent 118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82">
    <w:name w:val="Light Grid - Accent 1118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82">
    <w:name w:val="Light Grid - Accent 518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82">
    <w:name w:val="Light Grid - Accent 1218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82">
    <w:name w:val="Light List - Accent 518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82">
    <w:name w:val="Light List - Accent 1118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82">
    <w:name w:val="Light Grid - Accent 1318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82">
    <w:name w:val="Medium Grid 1 - Accent 318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72">
    <w:name w:val="Grid Table 4 - Accent 317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82">
    <w:name w:val="No List282"/>
    <w:next w:val="NoList"/>
    <w:uiPriority w:val="99"/>
    <w:unhideWhenUsed/>
    <w:rsid w:val="00C64FC7"/>
  </w:style>
  <w:style w:type="table" w:customStyle="1" w:styleId="MediumGrid1-Accent1272">
    <w:name w:val="Medium Grid 1 - Accent 127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72">
    <w:name w:val="Light Grid - Accent 1127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72">
    <w:name w:val="Light Grid - Accent 527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72">
    <w:name w:val="Light Grid - Accent 1227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72">
    <w:name w:val="Light List - Accent 527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72">
    <w:name w:val="Light List - Accent 1127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72">
    <w:name w:val="Light Grid - Accent 1327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72">
    <w:name w:val="Medium Grid 1 - Accent 327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72">
    <w:name w:val="Grid Table 4 Accent 317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82">
    <w:name w:val="No List382"/>
    <w:next w:val="NoList"/>
    <w:uiPriority w:val="99"/>
    <w:unhideWhenUsed/>
    <w:rsid w:val="00C64FC7"/>
  </w:style>
  <w:style w:type="table" w:customStyle="1" w:styleId="MediumGrid1-Accent1372">
    <w:name w:val="Medium Grid 1 - Accent 137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72">
    <w:name w:val="Light Grid - Accent 1137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72">
    <w:name w:val="Light Grid - Accent 537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72">
    <w:name w:val="Light Grid - Accent 1237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72">
    <w:name w:val="Light List - Accent 537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72">
    <w:name w:val="Light List - Accent 1137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72">
    <w:name w:val="Light Grid - Accent 1337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72">
    <w:name w:val="Medium Grid 1 - Accent 337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72">
    <w:name w:val="Grid Table 4 Accent 327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72">
    <w:name w:val="Table Grid17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62">
    <w:name w:val="Table Grid262"/>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52">
    <w:name w:val="No List452"/>
    <w:next w:val="NoList"/>
    <w:uiPriority w:val="99"/>
    <w:unhideWhenUsed/>
    <w:rsid w:val="00C64FC7"/>
  </w:style>
  <w:style w:type="table" w:customStyle="1" w:styleId="MediumGrid1-Accent1452">
    <w:name w:val="Medium Grid 1 - Accent 145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52">
    <w:name w:val="Light Grid - Accent 1145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52">
    <w:name w:val="Light Grid - Accent 54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52">
    <w:name w:val="Light Grid - Accent 124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52">
    <w:name w:val="Light List - Accent 54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52">
    <w:name w:val="Light List - Accent 1145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52">
    <w:name w:val="Light Grid - Accent 134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52">
    <w:name w:val="Medium Grid 1 - Accent 345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52">
    <w:name w:val="Table Grid215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52">
    <w:name w:val="Medium Grid 3 - Accent 115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52">
    <w:name w:val="No List1152"/>
    <w:next w:val="NoList"/>
    <w:uiPriority w:val="99"/>
    <w:unhideWhenUsed/>
    <w:rsid w:val="00C64FC7"/>
  </w:style>
  <w:style w:type="table" w:customStyle="1" w:styleId="MediumGrid1-Accent11152">
    <w:name w:val="Medium Grid 1 - Accent 1115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52">
    <w:name w:val="Light Grid - Accent 1111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52">
    <w:name w:val="Light Grid - Accent 5115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52">
    <w:name w:val="Light Grid - Accent 1211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52">
    <w:name w:val="Light List - Accent 5115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52">
    <w:name w:val="Light List - Accent 11115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52">
    <w:name w:val="Light Grid - Accent 1311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52">
    <w:name w:val="Medium Grid 1 - Accent 3115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52">
    <w:name w:val="Grid Table 4 - Accent 3115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52">
    <w:name w:val="No List2152"/>
    <w:next w:val="NoList"/>
    <w:uiPriority w:val="99"/>
    <w:unhideWhenUsed/>
    <w:rsid w:val="00C64FC7"/>
  </w:style>
  <w:style w:type="table" w:customStyle="1" w:styleId="MediumGrid1-Accent12152">
    <w:name w:val="Medium Grid 1 - Accent 1215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52">
    <w:name w:val="Light Grid - Accent 11215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52">
    <w:name w:val="Light Grid - Accent 521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52">
    <w:name w:val="Light Grid - Accent 1221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52">
    <w:name w:val="Light List - Accent 521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52">
    <w:name w:val="Light List - Accent 11215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52">
    <w:name w:val="Light Grid - Accent 1321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52">
    <w:name w:val="Medium Grid 1 - Accent 3215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52">
    <w:name w:val="Grid Table 4 Accent 3115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52">
    <w:name w:val="No List3152"/>
    <w:next w:val="NoList"/>
    <w:uiPriority w:val="99"/>
    <w:unhideWhenUsed/>
    <w:rsid w:val="00C64FC7"/>
  </w:style>
  <w:style w:type="table" w:customStyle="1" w:styleId="MediumGrid1-Accent13152">
    <w:name w:val="Medium Grid 1 - Accent 1315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52">
    <w:name w:val="Light Grid - Accent 11315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52">
    <w:name w:val="Light Grid - Accent 531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52">
    <w:name w:val="Light Grid - Accent 1231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52">
    <w:name w:val="Light List - Accent 531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52">
    <w:name w:val="Light List - Accent 11315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52">
    <w:name w:val="Light Grid - Accent 1331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52">
    <w:name w:val="Medium Grid 1 - Accent 3315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52">
    <w:name w:val="Grid Table 4 Accent 3215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52">
    <w:name w:val="Table Grid115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52">
    <w:name w:val="No List552"/>
    <w:next w:val="NoList"/>
    <w:uiPriority w:val="99"/>
    <w:unhideWhenUsed/>
    <w:rsid w:val="00C64FC7"/>
  </w:style>
  <w:style w:type="table" w:customStyle="1" w:styleId="MediumGrid1-Accent1552">
    <w:name w:val="Medium Grid 1 - Accent 155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52">
    <w:name w:val="Light Grid - Accent 1155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52">
    <w:name w:val="Light Grid - Accent 55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52">
    <w:name w:val="Light Grid - Accent 125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52">
    <w:name w:val="Light List - Accent 55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52">
    <w:name w:val="Light List - Accent 1155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52">
    <w:name w:val="Light Grid - Accent 135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52">
    <w:name w:val="Medium Grid 1 - Accent 355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52">
    <w:name w:val="No List1252"/>
    <w:next w:val="NoList"/>
    <w:uiPriority w:val="99"/>
    <w:unhideWhenUsed/>
    <w:rsid w:val="00C64FC7"/>
  </w:style>
  <w:style w:type="numbering" w:customStyle="1" w:styleId="NoList2252">
    <w:name w:val="No List2252"/>
    <w:next w:val="NoList"/>
    <w:uiPriority w:val="99"/>
    <w:unhideWhenUsed/>
    <w:rsid w:val="00C64FC7"/>
  </w:style>
  <w:style w:type="numbering" w:customStyle="1" w:styleId="NoList3252">
    <w:name w:val="No List3252"/>
    <w:next w:val="NoList"/>
    <w:uiPriority w:val="99"/>
    <w:unhideWhenUsed/>
    <w:rsid w:val="00C64FC7"/>
  </w:style>
  <w:style w:type="numbering" w:customStyle="1" w:styleId="NoList652">
    <w:name w:val="No List652"/>
    <w:next w:val="NoList"/>
    <w:uiPriority w:val="99"/>
    <w:unhideWhenUsed/>
    <w:rsid w:val="00C64FC7"/>
  </w:style>
  <w:style w:type="table" w:customStyle="1" w:styleId="MediumGrid1-Accent1652">
    <w:name w:val="Medium Grid 1 - Accent 165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52">
    <w:name w:val="Light Grid - Accent 1165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52">
    <w:name w:val="Light Grid - Accent 56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52">
    <w:name w:val="Light Grid - Accent 126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52">
    <w:name w:val="Light List - Accent 56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52">
    <w:name w:val="Light List - Accent 1165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52">
    <w:name w:val="Light Grid - Accent 136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52">
    <w:name w:val="Medium Grid 1 - Accent 365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52">
    <w:name w:val="No List1352"/>
    <w:next w:val="NoList"/>
    <w:uiPriority w:val="99"/>
    <w:unhideWhenUsed/>
    <w:rsid w:val="00C64FC7"/>
  </w:style>
  <w:style w:type="numbering" w:customStyle="1" w:styleId="NoList2352">
    <w:name w:val="No List2352"/>
    <w:next w:val="NoList"/>
    <w:uiPriority w:val="99"/>
    <w:unhideWhenUsed/>
    <w:rsid w:val="00C64FC7"/>
  </w:style>
  <w:style w:type="numbering" w:customStyle="1" w:styleId="NoList3352">
    <w:name w:val="No List3352"/>
    <w:next w:val="NoList"/>
    <w:uiPriority w:val="99"/>
    <w:unhideWhenUsed/>
    <w:rsid w:val="00C64FC7"/>
  </w:style>
  <w:style w:type="numbering" w:customStyle="1" w:styleId="NoList201">
    <w:name w:val="No List201"/>
    <w:next w:val="NoList"/>
    <w:uiPriority w:val="99"/>
    <w:unhideWhenUsed/>
    <w:rsid w:val="00C64FC7"/>
  </w:style>
  <w:style w:type="table" w:customStyle="1" w:styleId="TableGrid101">
    <w:name w:val="Table Grid101"/>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81">
    <w:name w:val="Medium Grid 3 - Accent 181"/>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91">
    <w:name w:val="Medium Grid 1 - Accent 119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91">
    <w:name w:val="Light Grid - Accent 11191"/>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91">
    <w:name w:val="Light Grid - Accent 519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91">
    <w:name w:val="Light Grid - Accent 12191"/>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91">
    <w:name w:val="Light List - Accent 5191"/>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91">
    <w:name w:val="Light List - Accent 11191"/>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91">
    <w:name w:val="Light Grid - Accent 1319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91">
    <w:name w:val="Medium Grid 1 - Accent 319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101">
    <w:name w:val="No List1101"/>
    <w:next w:val="NoList"/>
    <w:uiPriority w:val="99"/>
    <w:unhideWhenUsed/>
    <w:rsid w:val="00C64FC7"/>
  </w:style>
  <w:style w:type="table" w:customStyle="1" w:styleId="MediumGrid1-Accent11101">
    <w:name w:val="Medium Grid 1 - Accent 1110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01">
    <w:name w:val="Light Grid - Accent 11110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01">
    <w:name w:val="Light Grid - Accent 51101"/>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01">
    <w:name w:val="Light Grid - Accent 12110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01">
    <w:name w:val="Light List - Accent 51101"/>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01">
    <w:name w:val="Light List - Accent 11110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01">
    <w:name w:val="Light Grid - Accent 13110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01">
    <w:name w:val="Medium Grid 1 - Accent 3110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81">
    <w:name w:val="Grid Table 4 - Accent 318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91">
    <w:name w:val="No List291"/>
    <w:next w:val="NoList"/>
    <w:uiPriority w:val="99"/>
    <w:unhideWhenUsed/>
    <w:rsid w:val="00C64FC7"/>
  </w:style>
  <w:style w:type="table" w:customStyle="1" w:styleId="MediumGrid1-Accent1281">
    <w:name w:val="Medium Grid 1 - Accent 128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81">
    <w:name w:val="Light Grid - Accent 1128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81">
    <w:name w:val="Light Grid - Accent 528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81">
    <w:name w:val="Light Grid - Accent 1228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81">
    <w:name w:val="Light List - Accent 528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81">
    <w:name w:val="Light List - Accent 1128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81">
    <w:name w:val="Light Grid - Accent 1328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81">
    <w:name w:val="Medium Grid 1 - Accent 328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81">
    <w:name w:val="Grid Table 4 Accent 318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91">
    <w:name w:val="No List391"/>
    <w:next w:val="NoList"/>
    <w:uiPriority w:val="99"/>
    <w:unhideWhenUsed/>
    <w:rsid w:val="00C64FC7"/>
  </w:style>
  <w:style w:type="table" w:customStyle="1" w:styleId="MediumGrid1-Accent1381">
    <w:name w:val="Medium Grid 1 - Accent 138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81">
    <w:name w:val="Light Grid - Accent 1138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81">
    <w:name w:val="Light Grid - Accent 538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81">
    <w:name w:val="Light Grid - Accent 1238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81">
    <w:name w:val="Light List - Accent 538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81">
    <w:name w:val="Light List - Accent 1138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81">
    <w:name w:val="Light Grid - Accent 1338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81">
    <w:name w:val="Medium Grid 1 - Accent 338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81">
    <w:name w:val="Grid Table 4 Accent 328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81">
    <w:name w:val="Table Grid181"/>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71">
    <w:name w:val="Table Grid271"/>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61">
    <w:name w:val="No List461"/>
    <w:next w:val="NoList"/>
    <w:uiPriority w:val="99"/>
    <w:unhideWhenUsed/>
    <w:rsid w:val="00C64FC7"/>
  </w:style>
  <w:style w:type="table" w:customStyle="1" w:styleId="MediumGrid1-Accent1461">
    <w:name w:val="Medium Grid 1 - Accent 146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61">
    <w:name w:val="Light Grid - Accent 1146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61">
    <w:name w:val="Light Grid - Accent 546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61">
    <w:name w:val="Light Grid - Accent 1246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61">
    <w:name w:val="Light List - Accent 546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61">
    <w:name w:val="Light List - Accent 1146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61">
    <w:name w:val="Light Grid - Accent 1346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61">
    <w:name w:val="Medium Grid 1 - Accent 346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311">
    <w:name w:val="Table Grid311"/>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61">
    <w:name w:val="Medium Grid 3 - Accent 1161"/>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61">
    <w:name w:val="No List1161"/>
    <w:next w:val="NoList"/>
    <w:uiPriority w:val="99"/>
    <w:unhideWhenUsed/>
    <w:rsid w:val="00C64FC7"/>
  </w:style>
  <w:style w:type="table" w:customStyle="1" w:styleId="MediumGrid1-Accent11161">
    <w:name w:val="Medium Grid 1 - Accent 1116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61">
    <w:name w:val="Light Grid - Accent 11116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61">
    <w:name w:val="Light Grid - Accent 51161"/>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61">
    <w:name w:val="Light Grid - Accent 12116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61">
    <w:name w:val="Light List - Accent 51161"/>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61">
    <w:name w:val="Light List - Accent 11116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61">
    <w:name w:val="Light Grid - Accent 13116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61">
    <w:name w:val="Medium Grid 1 - Accent 3116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61">
    <w:name w:val="Grid Table 4 - Accent 3116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61">
    <w:name w:val="No List2161"/>
    <w:next w:val="NoList"/>
    <w:uiPriority w:val="99"/>
    <w:unhideWhenUsed/>
    <w:rsid w:val="00C64FC7"/>
  </w:style>
  <w:style w:type="table" w:customStyle="1" w:styleId="MediumGrid1-Accent12161">
    <w:name w:val="Medium Grid 1 - Accent 1216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61">
    <w:name w:val="Light Grid - Accent 11216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61">
    <w:name w:val="Light Grid - Accent 5216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61">
    <w:name w:val="Light Grid - Accent 12216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61">
    <w:name w:val="Light List - Accent 5216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61">
    <w:name w:val="Light List - Accent 11216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61">
    <w:name w:val="Light Grid - Accent 13216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61">
    <w:name w:val="Medium Grid 1 - Accent 3216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61">
    <w:name w:val="Grid Table 4 Accent 3116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61">
    <w:name w:val="No List3161"/>
    <w:next w:val="NoList"/>
    <w:uiPriority w:val="99"/>
    <w:unhideWhenUsed/>
    <w:rsid w:val="00C64FC7"/>
  </w:style>
  <w:style w:type="table" w:customStyle="1" w:styleId="MediumGrid1-Accent13161">
    <w:name w:val="Medium Grid 1 - Accent 1316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61">
    <w:name w:val="Light Grid - Accent 11316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61">
    <w:name w:val="Light Grid - Accent 5316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61">
    <w:name w:val="Light Grid - Accent 12316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61">
    <w:name w:val="Light List - Accent 5316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61">
    <w:name w:val="Light List - Accent 11316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61">
    <w:name w:val="Light Grid - Accent 13316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61">
    <w:name w:val="Medium Grid 1 - Accent 3316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61">
    <w:name w:val="Grid Table 4 Accent 3216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61">
    <w:name w:val="Table Grid1161"/>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61">
    <w:name w:val="No List561"/>
    <w:next w:val="NoList"/>
    <w:uiPriority w:val="99"/>
    <w:unhideWhenUsed/>
    <w:rsid w:val="00C64FC7"/>
  </w:style>
  <w:style w:type="table" w:customStyle="1" w:styleId="TableGrid411">
    <w:name w:val="Table Grid411"/>
    <w:basedOn w:val="TableNormal"/>
    <w:next w:val="TableGrid"/>
    <w:uiPriority w:val="5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211">
    <w:name w:val="Medium Grid 3 - Accent 1211"/>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561">
    <w:name w:val="Medium Grid 1 - Accent 156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561">
    <w:name w:val="Light Grid - Accent 11561"/>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561">
    <w:name w:val="Light Grid - Accent 556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561">
    <w:name w:val="Light Grid - Accent 12561"/>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561">
    <w:name w:val="Light List - Accent 5561"/>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561">
    <w:name w:val="Light List - Accent 11561"/>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561">
    <w:name w:val="Light Grid - Accent 1356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561">
    <w:name w:val="Medium Grid 1 - Accent 356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261">
    <w:name w:val="No List1261"/>
    <w:next w:val="NoList"/>
    <w:uiPriority w:val="99"/>
    <w:unhideWhenUsed/>
    <w:rsid w:val="00C64FC7"/>
  </w:style>
  <w:style w:type="table" w:customStyle="1" w:styleId="MediumGrid1-Accent11211">
    <w:name w:val="Medium Grid 1 - Accent 112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211">
    <w:name w:val="Light Grid - Accent 111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11">
    <w:name w:val="Light Grid - Accent 51211"/>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211">
    <w:name w:val="Light Grid - Accent 121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11">
    <w:name w:val="Light List - Accent 51211"/>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211">
    <w:name w:val="Light List - Accent 1112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211">
    <w:name w:val="Light Grid - Accent 131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211">
    <w:name w:val="Medium Grid 1 - Accent 312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211">
    <w:name w:val="Grid Table 4 - Accent 312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261">
    <w:name w:val="No List2261"/>
    <w:next w:val="NoList"/>
    <w:uiPriority w:val="99"/>
    <w:unhideWhenUsed/>
    <w:rsid w:val="00C64FC7"/>
  </w:style>
  <w:style w:type="table" w:customStyle="1" w:styleId="MediumGrid1-Accent12211">
    <w:name w:val="Medium Grid 1 - Accent 122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211">
    <w:name w:val="Light Grid - Accent 1122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211">
    <w:name w:val="Light Grid - Accent 52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211">
    <w:name w:val="Light Grid - Accent 122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211">
    <w:name w:val="Light List - Accent 52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211">
    <w:name w:val="Light List - Accent 1122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211">
    <w:name w:val="Light Grid - Accent 132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211">
    <w:name w:val="Medium Grid 1 - Accent 322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211">
    <w:name w:val="Grid Table 4 Accent 312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261">
    <w:name w:val="No List3261"/>
    <w:next w:val="NoList"/>
    <w:uiPriority w:val="99"/>
    <w:unhideWhenUsed/>
    <w:rsid w:val="00C64FC7"/>
  </w:style>
  <w:style w:type="table" w:customStyle="1" w:styleId="MediumGrid1-Accent13211">
    <w:name w:val="Medium Grid 1 - Accent 132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211">
    <w:name w:val="Light Grid - Accent 1132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211">
    <w:name w:val="Light Grid - Accent 53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211">
    <w:name w:val="Light Grid - Accent 123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211">
    <w:name w:val="Light List - Accent 53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211">
    <w:name w:val="Light List - Accent 1132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211">
    <w:name w:val="Light Grid - Accent 133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211">
    <w:name w:val="Medium Grid 1 - Accent 332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211">
    <w:name w:val="Grid Table 4 Accent 322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211">
    <w:name w:val="Table Grid1211"/>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61">
    <w:name w:val="Table Grid2161"/>
    <w:basedOn w:val="TableNormal"/>
    <w:next w:val="TableGrid"/>
    <w:uiPriority w:val="3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61">
    <w:name w:val="No List661"/>
    <w:next w:val="NoList"/>
    <w:uiPriority w:val="99"/>
    <w:unhideWhenUsed/>
    <w:rsid w:val="00C64FC7"/>
  </w:style>
  <w:style w:type="table" w:customStyle="1" w:styleId="MediumGrid1-Accent1661">
    <w:name w:val="Medium Grid 1 - Accent 166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61">
    <w:name w:val="Light Grid - Accent 1166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61">
    <w:name w:val="Light Grid - Accent 566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61">
    <w:name w:val="Light Grid - Accent 1266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61">
    <w:name w:val="Light List - Accent 566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61">
    <w:name w:val="Light List - Accent 1166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61">
    <w:name w:val="Light Grid - Accent 1366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61">
    <w:name w:val="Medium Grid 1 - Accent 366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61">
    <w:name w:val="No List1361"/>
    <w:next w:val="NoList"/>
    <w:uiPriority w:val="99"/>
    <w:unhideWhenUsed/>
    <w:rsid w:val="00C64FC7"/>
  </w:style>
  <w:style w:type="numbering" w:customStyle="1" w:styleId="NoList2361">
    <w:name w:val="No List2361"/>
    <w:next w:val="NoList"/>
    <w:uiPriority w:val="99"/>
    <w:unhideWhenUsed/>
    <w:rsid w:val="00C64FC7"/>
  </w:style>
  <w:style w:type="numbering" w:customStyle="1" w:styleId="NoList3361">
    <w:name w:val="No List3361"/>
    <w:next w:val="NoList"/>
    <w:uiPriority w:val="99"/>
    <w:unhideWhenUsed/>
    <w:rsid w:val="00C64FC7"/>
  </w:style>
  <w:style w:type="numbering" w:customStyle="1" w:styleId="NoList711">
    <w:name w:val="No List711"/>
    <w:next w:val="NoList"/>
    <w:uiPriority w:val="99"/>
    <w:unhideWhenUsed/>
    <w:rsid w:val="00C64FC7"/>
  </w:style>
  <w:style w:type="table" w:customStyle="1" w:styleId="TableGrid511">
    <w:name w:val="Table Grid511"/>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311">
    <w:name w:val="Medium Grid 3 - Accent 1311"/>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711">
    <w:name w:val="Medium Grid 1 - Accent 171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711">
    <w:name w:val="Light Grid - Accent 11711"/>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711">
    <w:name w:val="Light Grid - Accent 571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711">
    <w:name w:val="Light Grid - Accent 12711"/>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711">
    <w:name w:val="Light List - Accent 5711"/>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711">
    <w:name w:val="Light List - Accent 11711"/>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711">
    <w:name w:val="Light Grid - Accent 137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711">
    <w:name w:val="Medium Grid 1 - Accent 37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411">
    <w:name w:val="No List1411"/>
    <w:next w:val="NoList"/>
    <w:uiPriority w:val="99"/>
    <w:unhideWhenUsed/>
    <w:rsid w:val="00C64FC7"/>
  </w:style>
  <w:style w:type="table" w:customStyle="1" w:styleId="MediumGrid1-Accent11311">
    <w:name w:val="Medium Grid 1 - Accent 113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311">
    <w:name w:val="Light Grid - Accent 111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311">
    <w:name w:val="Light Grid - Accent 51311"/>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311">
    <w:name w:val="Light Grid - Accent 121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311">
    <w:name w:val="Light List - Accent 51311"/>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311">
    <w:name w:val="Light List - Accent 1113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311">
    <w:name w:val="Light Grid - Accent 131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311">
    <w:name w:val="Medium Grid 1 - Accent 313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311">
    <w:name w:val="Grid Table 4 - Accent 313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411">
    <w:name w:val="No List2411"/>
    <w:next w:val="NoList"/>
    <w:uiPriority w:val="99"/>
    <w:unhideWhenUsed/>
    <w:rsid w:val="00C64FC7"/>
  </w:style>
  <w:style w:type="table" w:customStyle="1" w:styleId="MediumGrid1-Accent12311">
    <w:name w:val="Medium Grid 1 - Accent 123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311">
    <w:name w:val="Light Grid - Accent 1123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311">
    <w:name w:val="Light Grid - Accent 52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311">
    <w:name w:val="Light Grid - Accent 122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311">
    <w:name w:val="Light List - Accent 52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311">
    <w:name w:val="Light List - Accent 1123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311">
    <w:name w:val="Light Grid - Accent 132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311">
    <w:name w:val="Medium Grid 1 - Accent 323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311">
    <w:name w:val="Grid Table 4 Accent 313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411">
    <w:name w:val="No List3411"/>
    <w:next w:val="NoList"/>
    <w:uiPriority w:val="99"/>
    <w:unhideWhenUsed/>
    <w:rsid w:val="00C64FC7"/>
  </w:style>
  <w:style w:type="table" w:customStyle="1" w:styleId="MediumGrid1-Accent13311">
    <w:name w:val="Medium Grid 1 - Accent 133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311">
    <w:name w:val="Light Grid - Accent 1133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311">
    <w:name w:val="Light Grid - Accent 53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311">
    <w:name w:val="Light Grid - Accent 123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311">
    <w:name w:val="Light List - Accent 53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311">
    <w:name w:val="Light List - Accent 1133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311">
    <w:name w:val="Light Grid - Accent 133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311">
    <w:name w:val="Medium Grid 1 - Accent 333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311">
    <w:name w:val="Grid Table 4 Accent 323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311">
    <w:name w:val="Table Grid1311"/>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11">
    <w:name w:val="Table Grid2211"/>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111">
    <w:name w:val="No List4111"/>
    <w:next w:val="NoList"/>
    <w:uiPriority w:val="99"/>
    <w:unhideWhenUsed/>
    <w:rsid w:val="00C64FC7"/>
  </w:style>
  <w:style w:type="table" w:customStyle="1" w:styleId="MediumGrid1-Accent14111">
    <w:name w:val="Medium Grid 1 - Accent 141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111">
    <w:name w:val="Light Grid - Accent 1141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111">
    <w:name w:val="Light Grid - Accent 541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111">
    <w:name w:val="Light Grid - Accent 1241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111">
    <w:name w:val="Light List - Accent 541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111">
    <w:name w:val="Light List - Accent 1141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111">
    <w:name w:val="Light Grid - Accent 1341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111">
    <w:name w:val="Medium Grid 1 - Accent 341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111">
    <w:name w:val="Table Grid21111"/>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111">
    <w:name w:val="Medium Grid 3 - Accent 11111"/>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11">
    <w:name w:val="No List11111"/>
    <w:next w:val="NoList"/>
    <w:uiPriority w:val="99"/>
    <w:unhideWhenUsed/>
    <w:rsid w:val="00C64FC7"/>
  </w:style>
  <w:style w:type="table" w:customStyle="1" w:styleId="MediumGrid1-Accent111111">
    <w:name w:val="Medium Grid 1 - Accent 1111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11">
    <w:name w:val="Light Grid - Accent 11111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11">
    <w:name w:val="Light Grid - Accent 511111"/>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11">
    <w:name w:val="Light Grid - Accent 12111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11">
    <w:name w:val="Light List - Accent 511111"/>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11">
    <w:name w:val="Light List - Accent 11111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11">
    <w:name w:val="Light Grid - Accent 13111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11">
    <w:name w:val="Medium Grid 1 - Accent 3111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111">
    <w:name w:val="Grid Table 4 - Accent 3111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111">
    <w:name w:val="No List21111"/>
    <w:next w:val="NoList"/>
    <w:uiPriority w:val="99"/>
    <w:unhideWhenUsed/>
    <w:rsid w:val="00C64FC7"/>
  </w:style>
  <w:style w:type="table" w:customStyle="1" w:styleId="MediumGrid1-Accent121111">
    <w:name w:val="Medium Grid 1 - Accent 1211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111">
    <w:name w:val="Light Grid - Accent 11211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111">
    <w:name w:val="Light Grid - Accent 5211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111">
    <w:name w:val="Light Grid - Accent 12211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111">
    <w:name w:val="Light List - Accent 5211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111">
    <w:name w:val="Light List - Accent 11211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111">
    <w:name w:val="Light Grid - Accent 13211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111">
    <w:name w:val="Medium Grid 1 - Accent 3211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111">
    <w:name w:val="Grid Table 4 Accent 3111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111">
    <w:name w:val="No List31111"/>
    <w:next w:val="NoList"/>
    <w:uiPriority w:val="99"/>
    <w:unhideWhenUsed/>
    <w:rsid w:val="00C64FC7"/>
  </w:style>
  <w:style w:type="table" w:customStyle="1" w:styleId="MediumGrid1-Accent131111">
    <w:name w:val="Medium Grid 1 - Accent 1311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111">
    <w:name w:val="Light Grid - Accent 11311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111">
    <w:name w:val="Light Grid - Accent 5311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111">
    <w:name w:val="Light Grid - Accent 12311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111">
    <w:name w:val="Light List - Accent 5311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111">
    <w:name w:val="Light List - Accent 11311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111">
    <w:name w:val="Light Grid - Accent 13311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11">
    <w:name w:val="Medium Grid 1 - Accent 3311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111">
    <w:name w:val="Grid Table 4 Accent 3211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111">
    <w:name w:val="Table Grid11111"/>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111">
    <w:name w:val="No List5111"/>
    <w:next w:val="NoList"/>
    <w:uiPriority w:val="99"/>
    <w:unhideWhenUsed/>
    <w:rsid w:val="00C64FC7"/>
  </w:style>
  <w:style w:type="table" w:customStyle="1" w:styleId="MediumGrid1-Accent15111">
    <w:name w:val="Medium Grid 1 - Accent 151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111">
    <w:name w:val="Light Grid - Accent 1151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111">
    <w:name w:val="Light Grid - Accent 551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111">
    <w:name w:val="Light Grid - Accent 1251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111">
    <w:name w:val="Light List - Accent 551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111">
    <w:name w:val="Light List - Accent 1151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111">
    <w:name w:val="Light Grid - Accent 1351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111">
    <w:name w:val="Medium Grid 1 - Accent 351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111">
    <w:name w:val="No List12111"/>
    <w:next w:val="NoList"/>
    <w:uiPriority w:val="99"/>
    <w:unhideWhenUsed/>
    <w:rsid w:val="00C64FC7"/>
  </w:style>
  <w:style w:type="numbering" w:customStyle="1" w:styleId="NoList22111">
    <w:name w:val="No List22111"/>
    <w:next w:val="NoList"/>
    <w:uiPriority w:val="99"/>
    <w:unhideWhenUsed/>
    <w:rsid w:val="00C64FC7"/>
  </w:style>
  <w:style w:type="numbering" w:customStyle="1" w:styleId="NoList32111">
    <w:name w:val="No List32111"/>
    <w:next w:val="NoList"/>
    <w:uiPriority w:val="99"/>
    <w:unhideWhenUsed/>
    <w:rsid w:val="00C64FC7"/>
  </w:style>
  <w:style w:type="numbering" w:customStyle="1" w:styleId="NoList6111">
    <w:name w:val="No List6111"/>
    <w:next w:val="NoList"/>
    <w:uiPriority w:val="99"/>
    <w:unhideWhenUsed/>
    <w:rsid w:val="00C64FC7"/>
  </w:style>
  <w:style w:type="table" w:customStyle="1" w:styleId="MediumGrid1-Accent16111">
    <w:name w:val="Medium Grid 1 - Accent 161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111">
    <w:name w:val="Light Grid - Accent 1161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111">
    <w:name w:val="Light Grid - Accent 561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111">
    <w:name w:val="Light Grid - Accent 1261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111">
    <w:name w:val="Light List - Accent 561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111">
    <w:name w:val="Light List - Accent 1161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111">
    <w:name w:val="Light Grid - Accent 1361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111">
    <w:name w:val="Medium Grid 1 - Accent 361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111">
    <w:name w:val="No List13111"/>
    <w:next w:val="NoList"/>
    <w:uiPriority w:val="99"/>
    <w:unhideWhenUsed/>
    <w:rsid w:val="00C64FC7"/>
  </w:style>
  <w:style w:type="numbering" w:customStyle="1" w:styleId="NoList23111">
    <w:name w:val="No List23111"/>
    <w:next w:val="NoList"/>
    <w:uiPriority w:val="99"/>
    <w:unhideWhenUsed/>
    <w:rsid w:val="00C64FC7"/>
  </w:style>
  <w:style w:type="numbering" w:customStyle="1" w:styleId="NoList33111">
    <w:name w:val="No List33111"/>
    <w:next w:val="NoList"/>
    <w:uiPriority w:val="99"/>
    <w:unhideWhenUsed/>
    <w:rsid w:val="00C64FC7"/>
  </w:style>
  <w:style w:type="numbering" w:customStyle="1" w:styleId="NoList811">
    <w:name w:val="No List811"/>
    <w:next w:val="NoList"/>
    <w:uiPriority w:val="99"/>
    <w:unhideWhenUsed/>
    <w:rsid w:val="00C64FC7"/>
  </w:style>
  <w:style w:type="table" w:customStyle="1" w:styleId="TableGrid611">
    <w:name w:val="Table Grid611"/>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411">
    <w:name w:val="Medium Grid 3 - Accent 1411"/>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811">
    <w:name w:val="Medium Grid 1 - Accent 181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811">
    <w:name w:val="Light Grid - Accent 11811"/>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811">
    <w:name w:val="Light Grid - Accent 581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811">
    <w:name w:val="Light Grid - Accent 12811"/>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811">
    <w:name w:val="Light List - Accent 5811"/>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811">
    <w:name w:val="Light List - Accent 11811"/>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811">
    <w:name w:val="Light Grid - Accent 138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811">
    <w:name w:val="Medium Grid 1 - Accent 38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511">
    <w:name w:val="No List1511"/>
    <w:next w:val="NoList"/>
    <w:uiPriority w:val="99"/>
    <w:unhideWhenUsed/>
    <w:rsid w:val="00C64FC7"/>
  </w:style>
  <w:style w:type="table" w:customStyle="1" w:styleId="MediumGrid1-Accent11411">
    <w:name w:val="Medium Grid 1 - Accent 114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411">
    <w:name w:val="Light Grid - Accent 111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411">
    <w:name w:val="Light Grid - Accent 51411"/>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411">
    <w:name w:val="Light Grid - Accent 121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411">
    <w:name w:val="Light List - Accent 51411"/>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411">
    <w:name w:val="Light List - Accent 1114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411">
    <w:name w:val="Light Grid - Accent 131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411">
    <w:name w:val="Medium Grid 1 - Accent 314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411">
    <w:name w:val="Grid Table 4 - Accent 314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511">
    <w:name w:val="No List2511"/>
    <w:next w:val="NoList"/>
    <w:uiPriority w:val="99"/>
    <w:unhideWhenUsed/>
    <w:rsid w:val="00C64FC7"/>
  </w:style>
  <w:style w:type="table" w:customStyle="1" w:styleId="MediumGrid1-Accent12411">
    <w:name w:val="Medium Grid 1 - Accent 124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411">
    <w:name w:val="Light Grid - Accent 1124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411">
    <w:name w:val="Light Grid - Accent 52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411">
    <w:name w:val="Light Grid - Accent 122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411">
    <w:name w:val="Light List - Accent 52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411">
    <w:name w:val="Light List - Accent 1124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411">
    <w:name w:val="Light Grid - Accent 132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411">
    <w:name w:val="Medium Grid 1 - Accent 324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411">
    <w:name w:val="Grid Table 4 Accent 314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511">
    <w:name w:val="No List3511"/>
    <w:next w:val="NoList"/>
    <w:uiPriority w:val="99"/>
    <w:unhideWhenUsed/>
    <w:rsid w:val="00C64FC7"/>
  </w:style>
  <w:style w:type="table" w:customStyle="1" w:styleId="MediumGrid1-Accent13411">
    <w:name w:val="Medium Grid 1 - Accent 134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411">
    <w:name w:val="Light Grid - Accent 1134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411">
    <w:name w:val="Light Grid - Accent 53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411">
    <w:name w:val="Light Grid - Accent 123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411">
    <w:name w:val="Light List - Accent 53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411">
    <w:name w:val="Light List - Accent 1134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411">
    <w:name w:val="Light Grid - Accent 133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411">
    <w:name w:val="Medium Grid 1 - Accent 334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411">
    <w:name w:val="Grid Table 4 Accent 324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411">
    <w:name w:val="Table Grid1411"/>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311">
    <w:name w:val="Table Grid2311"/>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211">
    <w:name w:val="No List4211"/>
    <w:next w:val="NoList"/>
    <w:uiPriority w:val="99"/>
    <w:unhideWhenUsed/>
    <w:rsid w:val="00C64FC7"/>
  </w:style>
  <w:style w:type="table" w:customStyle="1" w:styleId="MediumGrid1-Accent14211">
    <w:name w:val="Medium Grid 1 - Accent 142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211">
    <w:name w:val="Light Grid - Accent 1142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211">
    <w:name w:val="Light Grid - Accent 54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211">
    <w:name w:val="Light Grid - Accent 124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211">
    <w:name w:val="Light List - Accent 54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211">
    <w:name w:val="Light List - Accent 1142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211">
    <w:name w:val="Light Grid - Accent 134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211">
    <w:name w:val="Medium Grid 1 - Accent 342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211">
    <w:name w:val="Table Grid21211"/>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211">
    <w:name w:val="Medium Grid 3 - Accent 11211"/>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211">
    <w:name w:val="No List11211"/>
    <w:next w:val="NoList"/>
    <w:uiPriority w:val="99"/>
    <w:unhideWhenUsed/>
    <w:rsid w:val="00C64FC7"/>
  </w:style>
  <w:style w:type="table" w:customStyle="1" w:styleId="MediumGrid1-Accent111211">
    <w:name w:val="Medium Grid 1 - Accent 1112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211">
    <w:name w:val="Light Grid - Accent 1111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211">
    <w:name w:val="Light Grid - Accent 511211"/>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211">
    <w:name w:val="Light Grid - Accent 1211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11">
    <w:name w:val="Light List - Accent 511211"/>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211">
    <w:name w:val="Light List - Accent 11112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211">
    <w:name w:val="Light Grid - Accent 1311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211">
    <w:name w:val="Medium Grid 1 - Accent 3112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211">
    <w:name w:val="Grid Table 4 - Accent 3112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211">
    <w:name w:val="No List21211"/>
    <w:next w:val="NoList"/>
    <w:uiPriority w:val="99"/>
    <w:unhideWhenUsed/>
    <w:rsid w:val="00C64FC7"/>
  </w:style>
  <w:style w:type="table" w:customStyle="1" w:styleId="MediumGrid1-Accent121211">
    <w:name w:val="Medium Grid 1 - Accent 1212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211">
    <w:name w:val="Light Grid - Accent 11212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211">
    <w:name w:val="Light Grid - Accent 521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211">
    <w:name w:val="Light Grid - Accent 1221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211">
    <w:name w:val="Light List - Accent 521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211">
    <w:name w:val="Light List - Accent 11212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211">
    <w:name w:val="Light Grid - Accent 1321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211">
    <w:name w:val="Medium Grid 1 - Accent 3212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211">
    <w:name w:val="Grid Table 4 Accent 3112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211">
    <w:name w:val="No List31211"/>
    <w:next w:val="NoList"/>
    <w:uiPriority w:val="99"/>
    <w:unhideWhenUsed/>
    <w:rsid w:val="00C64FC7"/>
  </w:style>
  <w:style w:type="table" w:customStyle="1" w:styleId="MediumGrid1-Accent131211">
    <w:name w:val="Medium Grid 1 - Accent 1312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211">
    <w:name w:val="Light Grid - Accent 11312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211">
    <w:name w:val="Light Grid - Accent 531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211">
    <w:name w:val="Light Grid - Accent 1231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211">
    <w:name w:val="Light List - Accent 531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211">
    <w:name w:val="Light List - Accent 11312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211">
    <w:name w:val="Light Grid - Accent 1331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11">
    <w:name w:val="Medium Grid 1 - Accent 3312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211">
    <w:name w:val="Grid Table 4 Accent 3212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211">
    <w:name w:val="Table Grid11211"/>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211">
    <w:name w:val="No List5211"/>
    <w:next w:val="NoList"/>
    <w:uiPriority w:val="99"/>
    <w:unhideWhenUsed/>
    <w:rsid w:val="00C64FC7"/>
  </w:style>
  <w:style w:type="table" w:customStyle="1" w:styleId="MediumGrid1-Accent15211">
    <w:name w:val="Medium Grid 1 - Accent 152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211">
    <w:name w:val="Light Grid - Accent 1152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211">
    <w:name w:val="Light Grid - Accent 55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211">
    <w:name w:val="Light Grid - Accent 125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211">
    <w:name w:val="Light List - Accent 55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211">
    <w:name w:val="Light List - Accent 1152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211">
    <w:name w:val="Light Grid - Accent 135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211">
    <w:name w:val="Medium Grid 1 - Accent 352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211">
    <w:name w:val="No List12211"/>
    <w:next w:val="NoList"/>
    <w:uiPriority w:val="99"/>
    <w:unhideWhenUsed/>
    <w:rsid w:val="00C64FC7"/>
  </w:style>
  <w:style w:type="numbering" w:customStyle="1" w:styleId="NoList22211">
    <w:name w:val="No List22211"/>
    <w:next w:val="NoList"/>
    <w:uiPriority w:val="99"/>
    <w:unhideWhenUsed/>
    <w:rsid w:val="00C64FC7"/>
  </w:style>
  <w:style w:type="numbering" w:customStyle="1" w:styleId="NoList32211">
    <w:name w:val="No List32211"/>
    <w:next w:val="NoList"/>
    <w:uiPriority w:val="99"/>
    <w:unhideWhenUsed/>
    <w:rsid w:val="00C64FC7"/>
  </w:style>
  <w:style w:type="numbering" w:customStyle="1" w:styleId="NoList6211">
    <w:name w:val="No List6211"/>
    <w:next w:val="NoList"/>
    <w:uiPriority w:val="99"/>
    <w:unhideWhenUsed/>
    <w:rsid w:val="00C64FC7"/>
  </w:style>
  <w:style w:type="table" w:customStyle="1" w:styleId="MediumGrid1-Accent16211">
    <w:name w:val="Medium Grid 1 - Accent 162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211">
    <w:name w:val="Light Grid - Accent 1162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211">
    <w:name w:val="Light Grid - Accent 56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211">
    <w:name w:val="Light Grid - Accent 126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211">
    <w:name w:val="Light List - Accent 56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211">
    <w:name w:val="Light List - Accent 1162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211">
    <w:name w:val="Light Grid - Accent 136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211">
    <w:name w:val="Medium Grid 1 - Accent 362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211">
    <w:name w:val="No List13211"/>
    <w:next w:val="NoList"/>
    <w:uiPriority w:val="99"/>
    <w:unhideWhenUsed/>
    <w:rsid w:val="00C64FC7"/>
  </w:style>
  <w:style w:type="numbering" w:customStyle="1" w:styleId="NoList23211">
    <w:name w:val="No List23211"/>
    <w:next w:val="NoList"/>
    <w:uiPriority w:val="99"/>
    <w:unhideWhenUsed/>
    <w:rsid w:val="00C64FC7"/>
  </w:style>
  <w:style w:type="numbering" w:customStyle="1" w:styleId="NoList33211">
    <w:name w:val="No List33211"/>
    <w:next w:val="NoList"/>
    <w:uiPriority w:val="99"/>
    <w:unhideWhenUsed/>
    <w:rsid w:val="00C64FC7"/>
  </w:style>
  <w:style w:type="numbering" w:customStyle="1" w:styleId="NoList911">
    <w:name w:val="No List911"/>
    <w:next w:val="NoList"/>
    <w:uiPriority w:val="99"/>
    <w:unhideWhenUsed/>
    <w:rsid w:val="00C64FC7"/>
  </w:style>
  <w:style w:type="table" w:customStyle="1" w:styleId="TableGrid711">
    <w:name w:val="Table Grid711"/>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511">
    <w:name w:val="Medium Grid 3 - Accent 1511"/>
    <w:basedOn w:val="TableNormal"/>
    <w:next w:val="MediumGrid3-Accent1"/>
    <w:uiPriority w:val="69"/>
    <w:locked/>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911">
    <w:name w:val="Medium Grid 1 - Accent 191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911">
    <w:name w:val="Light Grid - Accent 11911"/>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911">
    <w:name w:val="Light Grid - Accent 591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911">
    <w:name w:val="Light Grid - Accent 12911"/>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911">
    <w:name w:val="Light List - Accent 5911"/>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911">
    <w:name w:val="Light List - Accent 11911"/>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911">
    <w:name w:val="Light Grid - Accent 139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911">
    <w:name w:val="Medium Grid 1 - Accent 39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611">
    <w:name w:val="No List1611"/>
    <w:next w:val="NoList"/>
    <w:uiPriority w:val="99"/>
    <w:unhideWhenUsed/>
    <w:rsid w:val="00C64FC7"/>
  </w:style>
  <w:style w:type="table" w:customStyle="1" w:styleId="MediumGrid1-Accent11511">
    <w:name w:val="Medium Grid 1 - Accent 115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511">
    <w:name w:val="Light Grid - Accent 111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511">
    <w:name w:val="Light Grid - Accent 51511"/>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511">
    <w:name w:val="Light Grid - Accent 121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511">
    <w:name w:val="Light List - Accent 51511"/>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511">
    <w:name w:val="Light List - Accent 1115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511">
    <w:name w:val="Light Grid - Accent 131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511">
    <w:name w:val="Medium Grid 1 - Accent 315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511">
    <w:name w:val="Grid Table 4 - Accent 315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611">
    <w:name w:val="No List2611"/>
    <w:next w:val="NoList"/>
    <w:uiPriority w:val="99"/>
    <w:unhideWhenUsed/>
    <w:rsid w:val="00C64FC7"/>
  </w:style>
  <w:style w:type="table" w:customStyle="1" w:styleId="MediumGrid1-Accent12511">
    <w:name w:val="Medium Grid 1 - Accent 125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511">
    <w:name w:val="Light Grid - Accent 1125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511">
    <w:name w:val="Light Grid - Accent 52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511">
    <w:name w:val="Light Grid - Accent 122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511">
    <w:name w:val="Light List - Accent 52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511">
    <w:name w:val="Light List - Accent 1125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511">
    <w:name w:val="Light Grid - Accent 132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511">
    <w:name w:val="Medium Grid 1 - Accent 325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511">
    <w:name w:val="Grid Table 4 Accent 315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611">
    <w:name w:val="No List3611"/>
    <w:next w:val="NoList"/>
    <w:uiPriority w:val="99"/>
    <w:unhideWhenUsed/>
    <w:rsid w:val="00C64FC7"/>
  </w:style>
  <w:style w:type="table" w:customStyle="1" w:styleId="MediumGrid1-Accent13511">
    <w:name w:val="Medium Grid 1 - Accent 135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511">
    <w:name w:val="Light Grid - Accent 1135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511">
    <w:name w:val="Light Grid - Accent 53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511">
    <w:name w:val="Light Grid - Accent 123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511">
    <w:name w:val="Light List - Accent 53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511">
    <w:name w:val="Light List - Accent 1135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511">
    <w:name w:val="Light Grid - Accent 133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511">
    <w:name w:val="Medium Grid 1 - Accent 335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511">
    <w:name w:val="Grid Table 4 Accent 325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511">
    <w:name w:val="Table Grid1511"/>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411">
    <w:name w:val="Table Grid2411"/>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311">
    <w:name w:val="No List4311"/>
    <w:next w:val="NoList"/>
    <w:uiPriority w:val="99"/>
    <w:unhideWhenUsed/>
    <w:rsid w:val="00C64FC7"/>
  </w:style>
  <w:style w:type="table" w:customStyle="1" w:styleId="MediumGrid1-Accent14311">
    <w:name w:val="Medium Grid 1 - Accent 143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311">
    <w:name w:val="Light Grid - Accent 1143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311">
    <w:name w:val="Light Grid - Accent 54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311">
    <w:name w:val="Light Grid - Accent 124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311">
    <w:name w:val="Light List - Accent 54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311">
    <w:name w:val="Light List - Accent 1143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311">
    <w:name w:val="Light Grid - Accent 134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311">
    <w:name w:val="Medium Grid 1 - Accent 343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311">
    <w:name w:val="Table Grid21311"/>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311">
    <w:name w:val="Medium Grid 3 - Accent 11311"/>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311">
    <w:name w:val="No List11311"/>
    <w:next w:val="NoList"/>
    <w:uiPriority w:val="99"/>
    <w:unhideWhenUsed/>
    <w:rsid w:val="00C64FC7"/>
  </w:style>
  <w:style w:type="table" w:customStyle="1" w:styleId="MediumGrid1-Accent111311">
    <w:name w:val="Medium Grid 1 - Accent 1113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311">
    <w:name w:val="Light Grid - Accent 1111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311">
    <w:name w:val="Light Grid - Accent 511311"/>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311">
    <w:name w:val="Light Grid - Accent 1211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311">
    <w:name w:val="Light List - Accent 511311"/>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311">
    <w:name w:val="Light List - Accent 11113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311">
    <w:name w:val="Light Grid - Accent 1311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311">
    <w:name w:val="Medium Grid 1 - Accent 3113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311">
    <w:name w:val="Grid Table 4 - Accent 3113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311">
    <w:name w:val="No List21311"/>
    <w:next w:val="NoList"/>
    <w:uiPriority w:val="99"/>
    <w:unhideWhenUsed/>
    <w:rsid w:val="00C64FC7"/>
  </w:style>
  <w:style w:type="table" w:customStyle="1" w:styleId="MediumGrid1-Accent121311">
    <w:name w:val="Medium Grid 1 - Accent 1213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311">
    <w:name w:val="Light Grid - Accent 11213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311">
    <w:name w:val="Light Grid - Accent 521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311">
    <w:name w:val="Light Grid - Accent 1221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311">
    <w:name w:val="Light List - Accent 521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311">
    <w:name w:val="Light List - Accent 11213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311">
    <w:name w:val="Light Grid - Accent 1321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311">
    <w:name w:val="Medium Grid 1 - Accent 3213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311">
    <w:name w:val="Grid Table 4 Accent 3113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311">
    <w:name w:val="No List31311"/>
    <w:next w:val="NoList"/>
    <w:uiPriority w:val="99"/>
    <w:unhideWhenUsed/>
    <w:rsid w:val="00C64FC7"/>
  </w:style>
  <w:style w:type="table" w:customStyle="1" w:styleId="MediumGrid1-Accent131311">
    <w:name w:val="Medium Grid 1 - Accent 1313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311">
    <w:name w:val="Light Grid - Accent 11313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311">
    <w:name w:val="Light Grid - Accent 531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311">
    <w:name w:val="Light Grid - Accent 1231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311">
    <w:name w:val="Light List - Accent 531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311">
    <w:name w:val="Light List - Accent 11313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311">
    <w:name w:val="Light Grid - Accent 1331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311">
    <w:name w:val="Medium Grid 1 - Accent 3313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311">
    <w:name w:val="Grid Table 4 Accent 3213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311">
    <w:name w:val="Table Grid11311"/>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311">
    <w:name w:val="No List5311"/>
    <w:next w:val="NoList"/>
    <w:uiPriority w:val="99"/>
    <w:unhideWhenUsed/>
    <w:rsid w:val="00C64FC7"/>
  </w:style>
  <w:style w:type="table" w:customStyle="1" w:styleId="MediumGrid1-Accent15311">
    <w:name w:val="Medium Grid 1 - Accent 153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311">
    <w:name w:val="Light Grid - Accent 1153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311">
    <w:name w:val="Light Grid - Accent 55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311">
    <w:name w:val="Light Grid - Accent 125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311">
    <w:name w:val="Light List - Accent 55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311">
    <w:name w:val="Light List - Accent 1153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311">
    <w:name w:val="Light Grid - Accent 135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311">
    <w:name w:val="Medium Grid 1 - Accent 353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311">
    <w:name w:val="No List12311"/>
    <w:next w:val="NoList"/>
    <w:uiPriority w:val="99"/>
    <w:unhideWhenUsed/>
    <w:rsid w:val="00C64FC7"/>
  </w:style>
  <w:style w:type="numbering" w:customStyle="1" w:styleId="NoList22311">
    <w:name w:val="No List22311"/>
    <w:next w:val="NoList"/>
    <w:uiPriority w:val="99"/>
    <w:unhideWhenUsed/>
    <w:rsid w:val="00C64FC7"/>
  </w:style>
  <w:style w:type="numbering" w:customStyle="1" w:styleId="NoList32311">
    <w:name w:val="No List32311"/>
    <w:next w:val="NoList"/>
    <w:uiPriority w:val="99"/>
    <w:unhideWhenUsed/>
    <w:rsid w:val="00C64FC7"/>
  </w:style>
  <w:style w:type="numbering" w:customStyle="1" w:styleId="NoList6311">
    <w:name w:val="No List6311"/>
    <w:next w:val="NoList"/>
    <w:uiPriority w:val="99"/>
    <w:unhideWhenUsed/>
    <w:rsid w:val="00C64FC7"/>
  </w:style>
  <w:style w:type="table" w:customStyle="1" w:styleId="MediumGrid1-Accent16311">
    <w:name w:val="Medium Grid 1 - Accent 163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311">
    <w:name w:val="Light Grid - Accent 1163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311">
    <w:name w:val="Light Grid - Accent 56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311">
    <w:name w:val="Light Grid - Accent 126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311">
    <w:name w:val="Light List - Accent 56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311">
    <w:name w:val="Light List - Accent 1163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311">
    <w:name w:val="Light Grid - Accent 136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311">
    <w:name w:val="Medium Grid 1 - Accent 363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311">
    <w:name w:val="No List13311"/>
    <w:next w:val="NoList"/>
    <w:uiPriority w:val="99"/>
    <w:unhideWhenUsed/>
    <w:rsid w:val="00C64FC7"/>
  </w:style>
  <w:style w:type="numbering" w:customStyle="1" w:styleId="NoList23311">
    <w:name w:val="No List23311"/>
    <w:next w:val="NoList"/>
    <w:uiPriority w:val="99"/>
    <w:unhideWhenUsed/>
    <w:rsid w:val="00C64FC7"/>
  </w:style>
  <w:style w:type="numbering" w:customStyle="1" w:styleId="NoList33311">
    <w:name w:val="No List33311"/>
    <w:next w:val="NoList"/>
    <w:uiPriority w:val="99"/>
    <w:unhideWhenUsed/>
    <w:rsid w:val="00C64FC7"/>
  </w:style>
  <w:style w:type="numbering" w:customStyle="1" w:styleId="NoList1011">
    <w:name w:val="No List1011"/>
    <w:next w:val="NoList"/>
    <w:uiPriority w:val="99"/>
    <w:unhideWhenUsed/>
    <w:rsid w:val="00C64FC7"/>
  </w:style>
  <w:style w:type="table" w:customStyle="1" w:styleId="TableGrid811">
    <w:name w:val="Table Grid811"/>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611">
    <w:name w:val="Medium Grid 3 - Accent 1611"/>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011">
    <w:name w:val="Medium Grid 1 - Accent 1101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011">
    <w:name w:val="Light Grid - Accent 111011"/>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011">
    <w:name w:val="Light Grid - Accent 5101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011">
    <w:name w:val="Light Grid - Accent 121011"/>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011">
    <w:name w:val="Light List - Accent 51011"/>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011">
    <w:name w:val="Light List - Accent 111011"/>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011">
    <w:name w:val="Light Grid - Accent 1310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011">
    <w:name w:val="Medium Grid 1 - Accent 310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711">
    <w:name w:val="No List1711"/>
    <w:next w:val="NoList"/>
    <w:uiPriority w:val="99"/>
    <w:unhideWhenUsed/>
    <w:rsid w:val="00C64FC7"/>
  </w:style>
  <w:style w:type="table" w:customStyle="1" w:styleId="MediumGrid1-Accent11611">
    <w:name w:val="Medium Grid 1 - Accent 116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611">
    <w:name w:val="Light Grid - Accent 1116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611">
    <w:name w:val="Light Grid - Accent 51611"/>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611">
    <w:name w:val="Light Grid - Accent 1216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611">
    <w:name w:val="Light List - Accent 51611"/>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611">
    <w:name w:val="Light List - Accent 1116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611">
    <w:name w:val="Light Grid - Accent 1316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611">
    <w:name w:val="Medium Grid 1 - Accent 316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611">
    <w:name w:val="Grid Table 4 - Accent 316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711">
    <w:name w:val="No List2711"/>
    <w:next w:val="NoList"/>
    <w:uiPriority w:val="99"/>
    <w:unhideWhenUsed/>
    <w:rsid w:val="00C64FC7"/>
  </w:style>
  <w:style w:type="table" w:customStyle="1" w:styleId="MediumGrid1-Accent12611">
    <w:name w:val="Medium Grid 1 - Accent 126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611">
    <w:name w:val="Light Grid - Accent 1126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611">
    <w:name w:val="Light Grid - Accent 526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611">
    <w:name w:val="Light Grid - Accent 1226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611">
    <w:name w:val="Light List - Accent 526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611">
    <w:name w:val="Light List - Accent 1126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611">
    <w:name w:val="Light Grid - Accent 1326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611">
    <w:name w:val="Medium Grid 1 - Accent 326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611">
    <w:name w:val="Grid Table 4 Accent 316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711">
    <w:name w:val="No List3711"/>
    <w:next w:val="NoList"/>
    <w:uiPriority w:val="99"/>
    <w:unhideWhenUsed/>
    <w:rsid w:val="00C64FC7"/>
  </w:style>
  <w:style w:type="table" w:customStyle="1" w:styleId="MediumGrid1-Accent13611">
    <w:name w:val="Medium Grid 1 - Accent 136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611">
    <w:name w:val="Light Grid - Accent 1136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611">
    <w:name w:val="Light Grid - Accent 536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611">
    <w:name w:val="Light Grid - Accent 1236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611">
    <w:name w:val="Light List - Accent 536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611">
    <w:name w:val="Light List - Accent 1136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611">
    <w:name w:val="Light Grid - Accent 1336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611">
    <w:name w:val="Medium Grid 1 - Accent 336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611">
    <w:name w:val="Grid Table 4 Accent 326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611">
    <w:name w:val="Table Grid1611"/>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511">
    <w:name w:val="Table Grid2511"/>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411">
    <w:name w:val="No List4411"/>
    <w:next w:val="NoList"/>
    <w:uiPriority w:val="99"/>
    <w:unhideWhenUsed/>
    <w:rsid w:val="00C64FC7"/>
  </w:style>
  <w:style w:type="table" w:customStyle="1" w:styleId="MediumGrid1-Accent14411">
    <w:name w:val="Medium Grid 1 - Accent 144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411">
    <w:name w:val="Light Grid - Accent 1144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411">
    <w:name w:val="Light Grid - Accent 54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411">
    <w:name w:val="Light Grid - Accent 124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411">
    <w:name w:val="Light List - Accent 54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411">
    <w:name w:val="Light List - Accent 1144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411">
    <w:name w:val="Light Grid - Accent 134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411">
    <w:name w:val="Medium Grid 1 - Accent 344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411">
    <w:name w:val="Table Grid21411"/>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411">
    <w:name w:val="Medium Grid 3 - Accent 11411"/>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411">
    <w:name w:val="No List11411"/>
    <w:next w:val="NoList"/>
    <w:uiPriority w:val="99"/>
    <w:unhideWhenUsed/>
    <w:rsid w:val="00C64FC7"/>
  </w:style>
  <w:style w:type="table" w:customStyle="1" w:styleId="MediumGrid1-Accent111411">
    <w:name w:val="Medium Grid 1 - Accent 1114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411">
    <w:name w:val="Light Grid - Accent 1111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411">
    <w:name w:val="Light Grid - Accent 511411"/>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411">
    <w:name w:val="Light Grid - Accent 1211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411">
    <w:name w:val="Light List - Accent 511411"/>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411">
    <w:name w:val="Light List - Accent 11114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411">
    <w:name w:val="Light Grid - Accent 1311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411">
    <w:name w:val="Medium Grid 1 - Accent 3114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411">
    <w:name w:val="Grid Table 4 - Accent 3114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411">
    <w:name w:val="No List21411"/>
    <w:next w:val="NoList"/>
    <w:uiPriority w:val="99"/>
    <w:unhideWhenUsed/>
    <w:rsid w:val="00C64FC7"/>
  </w:style>
  <w:style w:type="table" w:customStyle="1" w:styleId="MediumGrid1-Accent121411">
    <w:name w:val="Medium Grid 1 - Accent 1214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411">
    <w:name w:val="Light Grid - Accent 11214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411">
    <w:name w:val="Light Grid - Accent 521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411">
    <w:name w:val="Light Grid - Accent 1221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411">
    <w:name w:val="Light List - Accent 521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411">
    <w:name w:val="Light List - Accent 11214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411">
    <w:name w:val="Light Grid - Accent 1321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411">
    <w:name w:val="Medium Grid 1 - Accent 3214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411">
    <w:name w:val="Grid Table 4 Accent 3114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411">
    <w:name w:val="No List31411"/>
    <w:next w:val="NoList"/>
    <w:uiPriority w:val="99"/>
    <w:unhideWhenUsed/>
    <w:rsid w:val="00C64FC7"/>
  </w:style>
  <w:style w:type="table" w:customStyle="1" w:styleId="MediumGrid1-Accent131411">
    <w:name w:val="Medium Grid 1 - Accent 1314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411">
    <w:name w:val="Light Grid - Accent 11314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411">
    <w:name w:val="Light Grid - Accent 531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411">
    <w:name w:val="Light Grid - Accent 1231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411">
    <w:name w:val="Light List - Accent 531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411">
    <w:name w:val="Light List - Accent 11314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411">
    <w:name w:val="Light Grid - Accent 1331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411">
    <w:name w:val="Medium Grid 1 - Accent 3314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411">
    <w:name w:val="Grid Table 4 Accent 3214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411">
    <w:name w:val="Table Grid11411"/>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411">
    <w:name w:val="No List5411"/>
    <w:next w:val="NoList"/>
    <w:uiPriority w:val="99"/>
    <w:unhideWhenUsed/>
    <w:rsid w:val="00C64FC7"/>
  </w:style>
  <w:style w:type="table" w:customStyle="1" w:styleId="MediumGrid1-Accent15411">
    <w:name w:val="Medium Grid 1 - Accent 154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411">
    <w:name w:val="Light Grid - Accent 1154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411">
    <w:name w:val="Light Grid - Accent 55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411">
    <w:name w:val="Light Grid - Accent 125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411">
    <w:name w:val="Light List - Accent 55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411">
    <w:name w:val="Light List - Accent 1154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411">
    <w:name w:val="Light Grid - Accent 135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411">
    <w:name w:val="Medium Grid 1 - Accent 354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411">
    <w:name w:val="No List12411"/>
    <w:next w:val="NoList"/>
    <w:uiPriority w:val="99"/>
    <w:unhideWhenUsed/>
    <w:rsid w:val="00C64FC7"/>
  </w:style>
  <w:style w:type="numbering" w:customStyle="1" w:styleId="NoList22411">
    <w:name w:val="No List22411"/>
    <w:next w:val="NoList"/>
    <w:uiPriority w:val="99"/>
    <w:unhideWhenUsed/>
    <w:rsid w:val="00C64FC7"/>
  </w:style>
  <w:style w:type="numbering" w:customStyle="1" w:styleId="NoList32411">
    <w:name w:val="No List32411"/>
    <w:next w:val="NoList"/>
    <w:uiPriority w:val="99"/>
    <w:unhideWhenUsed/>
    <w:rsid w:val="00C64FC7"/>
  </w:style>
  <w:style w:type="numbering" w:customStyle="1" w:styleId="NoList6411">
    <w:name w:val="No List6411"/>
    <w:next w:val="NoList"/>
    <w:uiPriority w:val="99"/>
    <w:unhideWhenUsed/>
    <w:rsid w:val="00C64FC7"/>
  </w:style>
  <w:style w:type="table" w:customStyle="1" w:styleId="MediumGrid1-Accent16411">
    <w:name w:val="Medium Grid 1 - Accent 164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411">
    <w:name w:val="Light Grid - Accent 1164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411">
    <w:name w:val="Light Grid - Accent 56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411">
    <w:name w:val="Light Grid - Accent 126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411">
    <w:name w:val="Light List - Accent 56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411">
    <w:name w:val="Light List - Accent 1164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411">
    <w:name w:val="Light Grid - Accent 136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411">
    <w:name w:val="Medium Grid 1 - Accent 364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411">
    <w:name w:val="No List13411"/>
    <w:next w:val="NoList"/>
    <w:uiPriority w:val="99"/>
    <w:unhideWhenUsed/>
    <w:rsid w:val="00C64FC7"/>
  </w:style>
  <w:style w:type="numbering" w:customStyle="1" w:styleId="NoList23411">
    <w:name w:val="No List23411"/>
    <w:next w:val="NoList"/>
    <w:uiPriority w:val="99"/>
    <w:unhideWhenUsed/>
    <w:rsid w:val="00C64FC7"/>
  </w:style>
  <w:style w:type="numbering" w:customStyle="1" w:styleId="NoList33411">
    <w:name w:val="No List33411"/>
    <w:next w:val="NoList"/>
    <w:uiPriority w:val="99"/>
    <w:unhideWhenUsed/>
    <w:rsid w:val="00C64FC7"/>
  </w:style>
  <w:style w:type="numbering" w:customStyle="1" w:styleId="NoList1811">
    <w:name w:val="No List1811"/>
    <w:next w:val="NoList"/>
    <w:uiPriority w:val="99"/>
    <w:unhideWhenUsed/>
    <w:rsid w:val="00C64FC7"/>
  </w:style>
  <w:style w:type="table" w:customStyle="1" w:styleId="TableGrid911">
    <w:name w:val="Table Grid911"/>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711">
    <w:name w:val="Medium Grid 3 - Accent 1711"/>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711">
    <w:name w:val="Medium Grid 1 - Accent 1171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711">
    <w:name w:val="Light Grid - Accent 111711"/>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711">
    <w:name w:val="Light Grid - Accent 5171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711">
    <w:name w:val="Light Grid - Accent 121711"/>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711">
    <w:name w:val="Light List - Accent 51711"/>
    <w:basedOn w:val="TableNormal"/>
    <w:next w:val="LightList-Accent5"/>
    <w:uiPriority w:val="61"/>
    <w:locked/>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711">
    <w:name w:val="Light List - Accent 111711"/>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711">
    <w:name w:val="Light Grid - Accent 1317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711">
    <w:name w:val="Medium Grid 1 - Accent 317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911">
    <w:name w:val="No List1911"/>
    <w:next w:val="NoList"/>
    <w:uiPriority w:val="99"/>
    <w:unhideWhenUsed/>
    <w:rsid w:val="00C64FC7"/>
  </w:style>
  <w:style w:type="table" w:customStyle="1" w:styleId="MediumGrid1-Accent11811">
    <w:name w:val="Medium Grid 1 - Accent 118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811">
    <w:name w:val="Light Grid - Accent 1118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811">
    <w:name w:val="Light Grid - Accent 51811"/>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811">
    <w:name w:val="Light Grid - Accent 1218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811">
    <w:name w:val="Light List - Accent 51811"/>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811">
    <w:name w:val="Light List - Accent 1118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811">
    <w:name w:val="Light Grid - Accent 1318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811">
    <w:name w:val="Medium Grid 1 - Accent 318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711">
    <w:name w:val="Grid Table 4 - Accent 317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811">
    <w:name w:val="No List2811"/>
    <w:next w:val="NoList"/>
    <w:uiPriority w:val="99"/>
    <w:unhideWhenUsed/>
    <w:rsid w:val="00C64FC7"/>
  </w:style>
  <w:style w:type="table" w:customStyle="1" w:styleId="MediumGrid1-Accent12711">
    <w:name w:val="Medium Grid 1 - Accent 127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711">
    <w:name w:val="Light Grid - Accent 1127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711">
    <w:name w:val="Light Grid - Accent 527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711">
    <w:name w:val="Light Grid - Accent 1227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711">
    <w:name w:val="Light List - Accent 527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711">
    <w:name w:val="Light List - Accent 1127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711">
    <w:name w:val="Light Grid - Accent 1327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711">
    <w:name w:val="Medium Grid 1 - Accent 327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711">
    <w:name w:val="Grid Table 4 Accent 317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811">
    <w:name w:val="No List3811"/>
    <w:next w:val="NoList"/>
    <w:uiPriority w:val="99"/>
    <w:unhideWhenUsed/>
    <w:rsid w:val="00C64FC7"/>
  </w:style>
  <w:style w:type="table" w:customStyle="1" w:styleId="MediumGrid1-Accent13711">
    <w:name w:val="Medium Grid 1 - Accent 137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711">
    <w:name w:val="Light Grid - Accent 1137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711">
    <w:name w:val="Light Grid - Accent 537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711">
    <w:name w:val="Light Grid - Accent 1237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711">
    <w:name w:val="Light List - Accent 537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711">
    <w:name w:val="Light List - Accent 1137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711">
    <w:name w:val="Light Grid - Accent 1337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711">
    <w:name w:val="Medium Grid 1 - Accent 337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711">
    <w:name w:val="Grid Table 4 Accent 327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711">
    <w:name w:val="Table Grid1711"/>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611">
    <w:name w:val="Table Grid2611"/>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511">
    <w:name w:val="No List4511"/>
    <w:next w:val="NoList"/>
    <w:uiPriority w:val="99"/>
    <w:unhideWhenUsed/>
    <w:rsid w:val="00C64FC7"/>
  </w:style>
  <w:style w:type="table" w:customStyle="1" w:styleId="MediumGrid1-Accent14511">
    <w:name w:val="Medium Grid 1 - Accent 145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511">
    <w:name w:val="Light Grid - Accent 1145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511">
    <w:name w:val="Light Grid - Accent 54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511">
    <w:name w:val="Light Grid - Accent 124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511">
    <w:name w:val="Light List - Accent 54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511">
    <w:name w:val="Light List - Accent 1145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511">
    <w:name w:val="Light Grid - Accent 134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511">
    <w:name w:val="Medium Grid 1 - Accent 345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511">
    <w:name w:val="Table Grid21511"/>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511">
    <w:name w:val="Medium Grid 3 - Accent 11511"/>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511">
    <w:name w:val="No List11511"/>
    <w:next w:val="NoList"/>
    <w:uiPriority w:val="99"/>
    <w:unhideWhenUsed/>
    <w:rsid w:val="00C64FC7"/>
  </w:style>
  <w:style w:type="table" w:customStyle="1" w:styleId="MediumGrid1-Accent111511">
    <w:name w:val="Medium Grid 1 - Accent 1115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511">
    <w:name w:val="Light Grid - Accent 1111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511">
    <w:name w:val="Light Grid - Accent 511511"/>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511">
    <w:name w:val="Light Grid - Accent 1211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511">
    <w:name w:val="Light List - Accent 511511"/>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511">
    <w:name w:val="Light List - Accent 11115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511">
    <w:name w:val="Light Grid - Accent 1311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511">
    <w:name w:val="Medium Grid 1 - Accent 3115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511">
    <w:name w:val="Grid Table 4 - Accent 3115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511">
    <w:name w:val="No List21511"/>
    <w:next w:val="NoList"/>
    <w:uiPriority w:val="99"/>
    <w:unhideWhenUsed/>
    <w:rsid w:val="00C64FC7"/>
  </w:style>
  <w:style w:type="table" w:customStyle="1" w:styleId="MediumGrid1-Accent121511">
    <w:name w:val="Medium Grid 1 - Accent 1215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511">
    <w:name w:val="Light Grid - Accent 11215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511">
    <w:name w:val="Light Grid - Accent 521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511">
    <w:name w:val="Light Grid - Accent 1221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511">
    <w:name w:val="Light List - Accent 521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511">
    <w:name w:val="Light List - Accent 11215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511">
    <w:name w:val="Light Grid - Accent 1321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511">
    <w:name w:val="Medium Grid 1 - Accent 3215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511">
    <w:name w:val="Grid Table 4 Accent 3115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511">
    <w:name w:val="No List31511"/>
    <w:next w:val="NoList"/>
    <w:uiPriority w:val="99"/>
    <w:unhideWhenUsed/>
    <w:rsid w:val="00C64FC7"/>
  </w:style>
  <w:style w:type="table" w:customStyle="1" w:styleId="MediumGrid1-Accent131511">
    <w:name w:val="Medium Grid 1 - Accent 1315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511">
    <w:name w:val="Light Grid - Accent 11315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511">
    <w:name w:val="Light Grid - Accent 531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511">
    <w:name w:val="Light Grid - Accent 1231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511">
    <w:name w:val="Light List - Accent 531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511">
    <w:name w:val="Light List - Accent 11315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511">
    <w:name w:val="Light Grid - Accent 1331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511">
    <w:name w:val="Medium Grid 1 - Accent 3315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511">
    <w:name w:val="Grid Table 4 Accent 3215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511">
    <w:name w:val="Table Grid11511"/>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511">
    <w:name w:val="No List5511"/>
    <w:next w:val="NoList"/>
    <w:uiPriority w:val="99"/>
    <w:unhideWhenUsed/>
    <w:rsid w:val="00C64FC7"/>
  </w:style>
  <w:style w:type="table" w:customStyle="1" w:styleId="MediumGrid1-Accent15511">
    <w:name w:val="Medium Grid 1 - Accent 155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511">
    <w:name w:val="Light Grid - Accent 1155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511">
    <w:name w:val="Light Grid - Accent 55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511">
    <w:name w:val="Light Grid - Accent 125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511">
    <w:name w:val="Light List - Accent 55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511">
    <w:name w:val="Light List - Accent 1155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511">
    <w:name w:val="Light Grid - Accent 135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511">
    <w:name w:val="Medium Grid 1 - Accent 355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511">
    <w:name w:val="No List12511"/>
    <w:next w:val="NoList"/>
    <w:uiPriority w:val="99"/>
    <w:unhideWhenUsed/>
    <w:rsid w:val="00C64FC7"/>
  </w:style>
  <w:style w:type="numbering" w:customStyle="1" w:styleId="NoList22511">
    <w:name w:val="No List22511"/>
    <w:next w:val="NoList"/>
    <w:uiPriority w:val="99"/>
    <w:unhideWhenUsed/>
    <w:rsid w:val="00C64FC7"/>
  </w:style>
  <w:style w:type="numbering" w:customStyle="1" w:styleId="NoList32511">
    <w:name w:val="No List32511"/>
    <w:next w:val="NoList"/>
    <w:uiPriority w:val="99"/>
    <w:unhideWhenUsed/>
    <w:rsid w:val="00C64FC7"/>
  </w:style>
  <w:style w:type="numbering" w:customStyle="1" w:styleId="NoList6511">
    <w:name w:val="No List6511"/>
    <w:next w:val="NoList"/>
    <w:uiPriority w:val="99"/>
    <w:unhideWhenUsed/>
    <w:rsid w:val="00C64FC7"/>
  </w:style>
  <w:style w:type="table" w:customStyle="1" w:styleId="MediumGrid1-Accent16511">
    <w:name w:val="Medium Grid 1 - Accent 165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511">
    <w:name w:val="Light Grid - Accent 1165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511">
    <w:name w:val="Light Grid - Accent 56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511">
    <w:name w:val="Light Grid - Accent 126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511">
    <w:name w:val="Light List - Accent 56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511">
    <w:name w:val="Light List - Accent 1165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511">
    <w:name w:val="Light Grid - Accent 136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511">
    <w:name w:val="Medium Grid 1 - Accent 365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511">
    <w:name w:val="No List13511"/>
    <w:next w:val="NoList"/>
    <w:uiPriority w:val="99"/>
    <w:unhideWhenUsed/>
    <w:rsid w:val="00C64FC7"/>
  </w:style>
  <w:style w:type="numbering" w:customStyle="1" w:styleId="NoList23511">
    <w:name w:val="No List23511"/>
    <w:next w:val="NoList"/>
    <w:uiPriority w:val="99"/>
    <w:unhideWhenUsed/>
    <w:rsid w:val="00C64FC7"/>
  </w:style>
  <w:style w:type="numbering" w:customStyle="1" w:styleId="NoList33511">
    <w:name w:val="No List33511"/>
    <w:next w:val="NoList"/>
    <w:uiPriority w:val="99"/>
    <w:unhideWhenUsed/>
    <w:rsid w:val="00C64FC7"/>
  </w:style>
  <w:style w:type="numbering" w:customStyle="1" w:styleId="NoList40">
    <w:name w:val="No List40"/>
    <w:next w:val="NoList"/>
    <w:uiPriority w:val="99"/>
    <w:unhideWhenUsed/>
    <w:rsid w:val="00C64FC7"/>
  </w:style>
  <w:style w:type="table" w:customStyle="1" w:styleId="TableGrid20">
    <w:name w:val="Table Grid20"/>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0">
    <w:name w:val="Medium Grid 3 - Accent 110"/>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30">
    <w:name w:val="Medium Grid 1 - Accent 130"/>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30">
    <w:name w:val="Light Grid - Accent 1130"/>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30">
    <w:name w:val="Light Grid - Accent 530"/>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30">
    <w:name w:val="Light Grid - Accent 1230"/>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30">
    <w:name w:val="Light List - Accent 530"/>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30">
    <w:name w:val="Light List - Accent 1130"/>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30">
    <w:name w:val="Light Grid - Accent 1330"/>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30">
    <w:name w:val="Medium Grid 1 - Accent 330"/>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19">
    <w:name w:val="No List119"/>
    <w:next w:val="NoList"/>
    <w:uiPriority w:val="99"/>
    <w:unhideWhenUsed/>
    <w:rsid w:val="00C64FC7"/>
  </w:style>
  <w:style w:type="table" w:customStyle="1" w:styleId="MediumGrid1-Accent1119">
    <w:name w:val="Medium Grid 1 - Accent 1119"/>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9">
    <w:name w:val="Light Grid - Accent 11119"/>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9">
    <w:name w:val="Light Grid - Accent 5119"/>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9">
    <w:name w:val="Light Grid - Accent 12119"/>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9">
    <w:name w:val="Light List - Accent 5119"/>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9">
    <w:name w:val="Light List - Accent 11119"/>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9">
    <w:name w:val="Light Grid - Accent 13119"/>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9">
    <w:name w:val="Medium Grid 1 - Accent 3119"/>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0">
    <w:name w:val="Grid Table 4 - Accent 3110"/>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8">
    <w:name w:val="No List218"/>
    <w:next w:val="NoList"/>
    <w:uiPriority w:val="99"/>
    <w:unhideWhenUsed/>
    <w:rsid w:val="00C64FC7"/>
  </w:style>
  <w:style w:type="table" w:customStyle="1" w:styleId="MediumGrid1-Accent1210">
    <w:name w:val="Medium Grid 1 - Accent 1210"/>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0">
    <w:name w:val="Light Grid - Accent 11210"/>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0">
    <w:name w:val="Light Grid - Accent 5210"/>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0">
    <w:name w:val="Light Grid - Accent 12210"/>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0">
    <w:name w:val="Light List - Accent 5210"/>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0">
    <w:name w:val="Light List - Accent 11210"/>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0">
    <w:name w:val="Light Grid - Accent 13210"/>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0">
    <w:name w:val="Medium Grid 1 - Accent 3210"/>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0">
    <w:name w:val="Grid Table 4 Accent 3110"/>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8">
    <w:name w:val="No List318"/>
    <w:next w:val="NoList"/>
    <w:uiPriority w:val="99"/>
    <w:unhideWhenUsed/>
    <w:rsid w:val="00C64FC7"/>
  </w:style>
  <w:style w:type="table" w:customStyle="1" w:styleId="MediumGrid1-Accent1310">
    <w:name w:val="Medium Grid 1 - Accent 1310"/>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0">
    <w:name w:val="Light Grid - Accent 11310"/>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0">
    <w:name w:val="Light Grid - Accent 5310"/>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0">
    <w:name w:val="Light Grid - Accent 12310"/>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0">
    <w:name w:val="Light List - Accent 5310"/>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0">
    <w:name w:val="Light List - Accent 11310"/>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0">
    <w:name w:val="Light Grid - Accent 13310"/>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0">
    <w:name w:val="Medium Grid 1 - Accent 3310"/>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0">
    <w:name w:val="Grid Table 4 Accent 3210"/>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8">
    <w:name w:val="Table Grid118"/>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9">
    <w:name w:val="Table Grid29"/>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8">
    <w:name w:val="No List48"/>
    <w:next w:val="NoList"/>
    <w:uiPriority w:val="99"/>
    <w:unhideWhenUsed/>
    <w:rsid w:val="00C64FC7"/>
  </w:style>
  <w:style w:type="table" w:customStyle="1" w:styleId="MediumGrid1-Accent148">
    <w:name w:val="Medium Grid 1 - Accent 148"/>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8">
    <w:name w:val="Light Grid - Accent 1148"/>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8">
    <w:name w:val="Light Grid - Accent 548"/>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8">
    <w:name w:val="Light Grid - Accent 1248"/>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8">
    <w:name w:val="Light List - Accent 548"/>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8">
    <w:name w:val="Light List - Accent 1148"/>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8">
    <w:name w:val="Light Grid - Accent 1348"/>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8">
    <w:name w:val="Medium Grid 1 - Accent 348"/>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33">
    <w:name w:val="Table Grid33"/>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8">
    <w:name w:val="Medium Grid 3 - Accent 118"/>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0">
    <w:name w:val="No List1110"/>
    <w:next w:val="NoList"/>
    <w:uiPriority w:val="99"/>
    <w:unhideWhenUsed/>
    <w:rsid w:val="00C64FC7"/>
  </w:style>
  <w:style w:type="table" w:customStyle="1" w:styleId="MediumGrid1-Accent11110">
    <w:name w:val="Medium Grid 1 - Accent 11110"/>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0">
    <w:name w:val="Light Grid - Accent 111110"/>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0">
    <w:name w:val="Light Grid - Accent 51110"/>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0">
    <w:name w:val="Light Grid - Accent 121110"/>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0">
    <w:name w:val="Light List - Accent 51110"/>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0">
    <w:name w:val="Light List - Accent 111110"/>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0">
    <w:name w:val="Light Grid - Accent 131110"/>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0">
    <w:name w:val="Medium Grid 1 - Accent 31110"/>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8">
    <w:name w:val="Grid Table 4 - Accent 3118"/>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9">
    <w:name w:val="No List219"/>
    <w:next w:val="NoList"/>
    <w:uiPriority w:val="99"/>
    <w:unhideWhenUsed/>
    <w:rsid w:val="00C64FC7"/>
  </w:style>
  <w:style w:type="table" w:customStyle="1" w:styleId="MediumGrid1-Accent1218">
    <w:name w:val="Medium Grid 1 - Accent 1218"/>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8">
    <w:name w:val="Light Grid - Accent 11218"/>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8">
    <w:name w:val="Light Grid - Accent 5218"/>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8">
    <w:name w:val="Light Grid - Accent 12218"/>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8">
    <w:name w:val="Light List - Accent 5218"/>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8">
    <w:name w:val="Light List - Accent 11218"/>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8">
    <w:name w:val="Light Grid - Accent 13218"/>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8">
    <w:name w:val="Medium Grid 1 - Accent 3218"/>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8">
    <w:name w:val="Grid Table 4 Accent 3118"/>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9">
    <w:name w:val="No List319"/>
    <w:next w:val="NoList"/>
    <w:uiPriority w:val="99"/>
    <w:unhideWhenUsed/>
    <w:rsid w:val="00C64FC7"/>
  </w:style>
  <w:style w:type="table" w:customStyle="1" w:styleId="MediumGrid1-Accent1318">
    <w:name w:val="Medium Grid 1 - Accent 1318"/>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8">
    <w:name w:val="Light Grid - Accent 11318"/>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8">
    <w:name w:val="Light Grid - Accent 5318"/>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8">
    <w:name w:val="Light Grid - Accent 12318"/>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8">
    <w:name w:val="Light List - Accent 5318"/>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8">
    <w:name w:val="Light List - Accent 11318"/>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8">
    <w:name w:val="Light Grid - Accent 13318"/>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8">
    <w:name w:val="Medium Grid 1 - Accent 3318"/>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8">
    <w:name w:val="Grid Table 4 Accent 3218"/>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9">
    <w:name w:val="Table Grid119"/>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8">
    <w:name w:val="No List58"/>
    <w:next w:val="NoList"/>
    <w:uiPriority w:val="99"/>
    <w:unhideWhenUsed/>
    <w:rsid w:val="00C64FC7"/>
  </w:style>
  <w:style w:type="table" w:customStyle="1" w:styleId="TableGrid43">
    <w:name w:val="Table Grid43"/>
    <w:basedOn w:val="TableNormal"/>
    <w:next w:val="TableGrid"/>
    <w:uiPriority w:val="5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23">
    <w:name w:val="Medium Grid 3 - Accent 123"/>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58">
    <w:name w:val="Medium Grid 1 - Accent 158"/>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58">
    <w:name w:val="Light Grid - Accent 1158"/>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58">
    <w:name w:val="Light Grid - Accent 558"/>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58">
    <w:name w:val="Light Grid - Accent 1258"/>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58">
    <w:name w:val="Light List - Accent 558"/>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58">
    <w:name w:val="Light List - Accent 1158"/>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58">
    <w:name w:val="Light Grid - Accent 1358"/>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58">
    <w:name w:val="Medium Grid 1 - Accent 358"/>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28">
    <w:name w:val="No List128"/>
    <w:next w:val="NoList"/>
    <w:uiPriority w:val="99"/>
    <w:unhideWhenUsed/>
    <w:rsid w:val="00C64FC7"/>
  </w:style>
  <w:style w:type="table" w:customStyle="1" w:styleId="MediumGrid1-Accent1123">
    <w:name w:val="Medium Grid 1 - Accent 112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23">
    <w:name w:val="Light Grid - Accent 111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3">
    <w:name w:val="Light Grid - Accent 5123"/>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23">
    <w:name w:val="Light Grid - Accent 121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3">
    <w:name w:val="Light List - Accent 5123"/>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23">
    <w:name w:val="Light List - Accent 1112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23">
    <w:name w:val="Light Grid - Accent 131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23">
    <w:name w:val="Medium Grid 1 - Accent 312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23">
    <w:name w:val="Grid Table 4 - Accent 312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28">
    <w:name w:val="No List228"/>
    <w:next w:val="NoList"/>
    <w:uiPriority w:val="99"/>
    <w:unhideWhenUsed/>
    <w:rsid w:val="00C64FC7"/>
  </w:style>
  <w:style w:type="table" w:customStyle="1" w:styleId="MediumGrid1-Accent1223">
    <w:name w:val="Medium Grid 1 - Accent 122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23">
    <w:name w:val="Light Grid - Accent 1122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23">
    <w:name w:val="Light Grid - Accent 52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23">
    <w:name w:val="Light Grid - Accent 122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23">
    <w:name w:val="Light List - Accent 52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23">
    <w:name w:val="Light List - Accent 1122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23">
    <w:name w:val="Light Grid - Accent 132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23">
    <w:name w:val="Medium Grid 1 - Accent 322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23">
    <w:name w:val="Grid Table 4 Accent 312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28">
    <w:name w:val="No List328"/>
    <w:next w:val="NoList"/>
    <w:uiPriority w:val="99"/>
    <w:unhideWhenUsed/>
    <w:rsid w:val="00C64FC7"/>
  </w:style>
  <w:style w:type="table" w:customStyle="1" w:styleId="MediumGrid1-Accent1323">
    <w:name w:val="Medium Grid 1 - Accent 132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23">
    <w:name w:val="Light Grid - Accent 1132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23">
    <w:name w:val="Light Grid - Accent 53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23">
    <w:name w:val="Light Grid - Accent 123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23">
    <w:name w:val="Light List - Accent 53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23">
    <w:name w:val="Light List - Accent 1132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23">
    <w:name w:val="Light Grid - Accent 133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23">
    <w:name w:val="Medium Grid 1 - Accent 332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23">
    <w:name w:val="Grid Table 4 Accent 322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23">
    <w:name w:val="Table Grid123"/>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8">
    <w:name w:val="Table Grid218"/>
    <w:basedOn w:val="TableNormal"/>
    <w:next w:val="TableGrid"/>
    <w:uiPriority w:val="3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8">
    <w:name w:val="No List68"/>
    <w:next w:val="NoList"/>
    <w:uiPriority w:val="99"/>
    <w:unhideWhenUsed/>
    <w:rsid w:val="00C64FC7"/>
  </w:style>
  <w:style w:type="table" w:customStyle="1" w:styleId="MediumGrid1-Accent168">
    <w:name w:val="Medium Grid 1 - Accent 168"/>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8">
    <w:name w:val="Light Grid - Accent 1168"/>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8">
    <w:name w:val="Light Grid - Accent 568"/>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8">
    <w:name w:val="Light Grid - Accent 1268"/>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8">
    <w:name w:val="Light List - Accent 568"/>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8">
    <w:name w:val="Light List - Accent 1168"/>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8">
    <w:name w:val="Light Grid - Accent 1368"/>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8">
    <w:name w:val="Medium Grid 1 - Accent 368"/>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8">
    <w:name w:val="No List138"/>
    <w:next w:val="NoList"/>
    <w:uiPriority w:val="99"/>
    <w:unhideWhenUsed/>
    <w:rsid w:val="00C64FC7"/>
  </w:style>
  <w:style w:type="numbering" w:customStyle="1" w:styleId="NoList238">
    <w:name w:val="No List238"/>
    <w:next w:val="NoList"/>
    <w:uiPriority w:val="99"/>
    <w:unhideWhenUsed/>
    <w:rsid w:val="00C64FC7"/>
  </w:style>
  <w:style w:type="numbering" w:customStyle="1" w:styleId="NoList338">
    <w:name w:val="No List338"/>
    <w:next w:val="NoList"/>
    <w:uiPriority w:val="99"/>
    <w:unhideWhenUsed/>
    <w:rsid w:val="00C64FC7"/>
  </w:style>
  <w:style w:type="numbering" w:customStyle="1" w:styleId="NoList73">
    <w:name w:val="No List73"/>
    <w:next w:val="NoList"/>
    <w:uiPriority w:val="99"/>
    <w:unhideWhenUsed/>
    <w:rsid w:val="00C64FC7"/>
  </w:style>
  <w:style w:type="table" w:customStyle="1" w:styleId="TableGrid53">
    <w:name w:val="Table Grid53"/>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33">
    <w:name w:val="Medium Grid 3 - Accent 133"/>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73">
    <w:name w:val="Medium Grid 1 - Accent 173"/>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73">
    <w:name w:val="Light Grid - Accent 1173"/>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73">
    <w:name w:val="Light Grid - Accent 573"/>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73">
    <w:name w:val="Light Grid - Accent 1273"/>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73">
    <w:name w:val="Light List - Accent 573"/>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73">
    <w:name w:val="Light List - Accent 1173"/>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73">
    <w:name w:val="Light Grid - Accent 137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73">
    <w:name w:val="Medium Grid 1 - Accent 37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43">
    <w:name w:val="No List143"/>
    <w:next w:val="NoList"/>
    <w:uiPriority w:val="99"/>
    <w:unhideWhenUsed/>
    <w:rsid w:val="00C64FC7"/>
  </w:style>
  <w:style w:type="table" w:customStyle="1" w:styleId="MediumGrid1-Accent1133">
    <w:name w:val="Medium Grid 1 - Accent 113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33">
    <w:name w:val="Light Grid - Accent 111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33">
    <w:name w:val="Light Grid - Accent 5133"/>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33">
    <w:name w:val="Light Grid - Accent 121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33">
    <w:name w:val="Light List - Accent 5133"/>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33">
    <w:name w:val="Light List - Accent 1113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33">
    <w:name w:val="Light Grid - Accent 131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33">
    <w:name w:val="Medium Grid 1 - Accent 313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33">
    <w:name w:val="Grid Table 4 - Accent 313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43">
    <w:name w:val="No List243"/>
    <w:next w:val="NoList"/>
    <w:uiPriority w:val="99"/>
    <w:unhideWhenUsed/>
    <w:rsid w:val="00C64FC7"/>
  </w:style>
  <w:style w:type="table" w:customStyle="1" w:styleId="MediumGrid1-Accent1233">
    <w:name w:val="Medium Grid 1 - Accent 123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33">
    <w:name w:val="Light Grid - Accent 1123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33">
    <w:name w:val="Light Grid - Accent 52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33">
    <w:name w:val="Light Grid - Accent 122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33">
    <w:name w:val="Light List - Accent 52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33">
    <w:name w:val="Light List - Accent 1123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33">
    <w:name w:val="Light Grid - Accent 132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33">
    <w:name w:val="Medium Grid 1 - Accent 323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33">
    <w:name w:val="Grid Table 4 Accent 313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43">
    <w:name w:val="No List343"/>
    <w:next w:val="NoList"/>
    <w:uiPriority w:val="99"/>
    <w:unhideWhenUsed/>
    <w:rsid w:val="00C64FC7"/>
  </w:style>
  <w:style w:type="table" w:customStyle="1" w:styleId="MediumGrid1-Accent1333">
    <w:name w:val="Medium Grid 1 - Accent 133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33">
    <w:name w:val="Light Grid - Accent 1133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33">
    <w:name w:val="Light Grid - Accent 53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33">
    <w:name w:val="Light Grid - Accent 123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33">
    <w:name w:val="Light List - Accent 53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33">
    <w:name w:val="Light List - Accent 1133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33">
    <w:name w:val="Light Grid - Accent 133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33">
    <w:name w:val="Medium Grid 1 - Accent 333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33">
    <w:name w:val="Grid Table 4 Accent 323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33">
    <w:name w:val="Table Grid133"/>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3">
    <w:name w:val="Table Grid223"/>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13">
    <w:name w:val="No List413"/>
    <w:next w:val="NoList"/>
    <w:uiPriority w:val="99"/>
    <w:unhideWhenUsed/>
    <w:rsid w:val="00C64FC7"/>
  </w:style>
  <w:style w:type="table" w:customStyle="1" w:styleId="MediumGrid1-Accent1413">
    <w:name w:val="Medium Grid 1 - Accent 141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13">
    <w:name w:val="Light Grid - Accent 1141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13">
    <w:name w:val="Light Grid - Accent 541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13">
    <w:name w:val="Light Grid - Accent 1241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13">
    <w:name w:val="Light List - Accent 541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13">
    <w:name w:val="Light List - Accent 1141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13">
    <w:name w:val="Light Grid - Accent 1341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13">
    <w:name w:val="Medium Grid 1 - Accent 341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13">
    <w:name w:val="Table Grid2113"/>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13">
    <w:name w:val="Medium Grid 3 - Accent 1113"/>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3">
    <w:name w:val="No List1113"/>
    <w:next w:val="NoList"/>
    <w:uiPriority w:val="99"/>
    <w:unhideWhenUsed/>
    <w:rsid w:val="00C64FC7"/>
  </w:style>
  <w:style w:type="table" w:customStyle="1" w:styleId="MediumGrid1-Accent11113">
    <w:name w:val="Medium Grid 1 - Accent 1111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3">
    <w:name w:val="Light Grid - Accent 11111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3">
    <w:name w:val="Light Grid - Accent 51113"/>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3">
    <w:name w:val="Light Grid - Accent 12111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3">
    <w:name w:val="Light List - Accent 51113"/>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3">
    <w:name w:val="Light List - Accent 11111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3">
    <w:name w:val="Light Grid - Accent 13111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3">
    <w:name w:val="Medium Grid 1 - Accent 3111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13">
    <w:name w:val="Grid Table 4 - Accent 3111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13">
    <w:name w:val="No List2113"/>
    <w:next w:val="NoList"/>
    <w:uiPriority w:val="99"/>
    <w:unhideWhenUsed/>
    <w:rsid w:val="00C64FC7"/>
  </w:style>
  <w:style w:type="table" w:customStyle="1" w:styleId="MediumGrid1-Accent12113">
    <w:name w:val="Medium Grid 1 - Accent 1211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13">
    <w:name w:val="Light Grid - Accent 11211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13">
    <w:name w:val="Light Grid - Accent 5211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13">
    <w:name w:val="Light Grid - Accent 12211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13">
    <w:name w:val="Light List - Accent 5211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13">
    <w:name w:val="Light List - Accent 11211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13">
    <w:name w:val="Light Grid - Accent 13211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13">
    <w:name w:val="Medium Grid 1 - Accent 3211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13">
    <w:name w:val="Grid Table 4 Accent 3111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13">
    <w:name w:val="No List3113"/>
    <w:next w:val="NoList"/>
    <w:uiPriority w:val="99"/>
    <w:unhideWhenUsed/>
    <w:rsid w:val="00C64FC7"/>
  </w:style>
  <w:style w:type="table" w:customStyle="1" w:styleId="MediumGrid1-Accent13113">
    <w:name w:val="Medium Grid 1 - Accent 1311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13">
    <w:name w:val="Light Grid - Accent 11311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13">
    <w:name w:val="Light Grid - Accent 5311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13">
    <w:name w:val="Light Grid - Accent 12311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13">
    <w:name w:val="Light List - Accent 5311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13">
    <w:name w:val="Light List - Accent 11311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13">
    <w:name w:val="Light Grid - Accent 13311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3">
    <w:name w:val="Medium Grid 1 - Accent 3311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13">
    <w:name w:val="Grid Table 4 Accent 3211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13">
    <w:name w:val="Table Grid1113"/>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13">
    <w:name w:val="No List513"/>
    <w:next w:val="NoList"/>
    <w:uiPriority w:val="99"/>
    <w:unhideWhenUsed/>
    <w:rsid w:val="00C64FC7"/>
  </w:style>
  <w:style w:type="table" w:customStyle="1" w:styleId="MediumGrid1-Accent1513">
    <w:name w:val="Medium Grid 1 - Accent 151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13">
    <w:name w:val="Light Grid - Accent 1151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13">
    <w:name w:val="Light Grid - Accent 551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13">
    <w:name w:val="Light Grid - Accent 1251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13">
    <w:name w:val="Light List - Accent 551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13">
    <w:name w:val="Light List - Accent 1151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13">
    <w:name w:val="Light Grid - Accent 1351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13">
    <w:name w:val="Medium Grid 1 - Accent 351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13">
    <w:name w:val="No List1213"/>
    <w:next w:val="NoList"/>
    <w:uiPriority w:val="99"/>
    <w:unhideWhenUsed/>
    <w:rsid w:val="00C64FC7"/>
  </w:style>
  <w:style w:type="numbering" w:customStyle="1" w:styleId="NoList2213">
    <w:name w:val="No List2213"/>
    <w:next w:val="NoList"/>
    <w:uiPriority w:val="99"/>
    <w:unhideWhenUsed/>
    <w:rsid w:val="00C64FC7"/>
  </w:style>
  <w:style w:type="numbering" w:customStyle="1" w:styleId="NoList3213">
    <w:name w:val="No List3213"/>
    <w:next w:val="NoList"/>
    <w:uiPriority w:val="99"/>
    <w:unhideWhenUsed/>
    <w:rsid w:val="00C64FC7"/>
  </w:style>
  <w:style w:type="numbering" w:customStyle="1" w:styleId="NoList613">
    <w:name w:val="No List613"/>
    <w:next w:val="NoList"/>
    <w:uiPriority w:val="99"/>
    <w:unhideWhenUsed/>
    <w:rsid w:val="00C64FC7"/>
  </w:style>
  <w:style w:type="table" w:customStyle="1" w:styleId="MediumGrid1-Accent1613">
    <w:name w:val="Medium Grid 1 - Accent 161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13">
    <w:name w:val="Light Grid - Accent 1161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13">
    <w:name w:val="Light Grid - Accent 561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13">
    <w:name w:val="Light Grid - Accent 1261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13">
    <w:name w:val="Light List - Accent 561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13">
    <w:name w:val="Light List - Accent 1161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13">
    <w:name w:val="Light Grid - Accent 1361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13">
    <w:name w:val="Medium Grid 1 - Accent 361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13">
    <w:name w:val="No List1313"/>
    <w:next w:val="NoList"/>
    <w:uiPriority w:val="99"/>
    <w:unhideWhenUsed/>
    <w:rsid w:val="00C64FC7"/>
  </w:style>
  <w:style w:type="numbering" w:customStyle="1" w:styleId="NoList2313">
    <w:name w:val="No List2313"/>
    <w:next w:val="NoList"/>
    <w:uiPriority w:val="99"/>
    <w:unhideWhenUsed/>
    <w:rsid w:val="00C64FC7"/>
  </w:style>
  <w:style w:type="numbering" w:customStyle="1" w:styleId="NoList3313">
    <w:name w:val="No List3313"/>
    <w:next w:val="NoList"/>
    <w:uiPriority w:val="99"/>
    <w:unhideWhenUsed/>
    <w:rsid w:val="00C64FC7"/>
  </w:style>
  <w:style w:type="numbering" w:customStyle="1" w:styleId="NoList83">
    <w:name w:val="No List83"/>
    <w:next w:val="NoList"/>
    <w:uiPriority w:val="99"/>
    <w:unhideWhenUsed/>
    <w:rsid w:val="00C64FC7"/>
  </w:style>
  <w:style w:type="table" w:customStyle="1" w:styleId="TableGrid63">
    <w:name w:val="Table Grid63"/>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43">
    <w:name w:val="Medium Grid 3 - Accent 143"/>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83">
    <w:name w:val="Medium Grid 1 - Accent 183"/>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83">
    <w:name w:val="Light Grid - Accent 1183"/>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83">
    <w:name w:val="Light Grid - Accent 583"/>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83">
    <w:name w:val="Light Grid - Accent 1283"/>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83">
    <w:name w:val="Light List - Accent 583"/>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83">
    <w:name w:val="Light List - Accent 1183"/>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83">
    <w:name w:val="Light Grid - Accent 138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83">
    <w:name w:val="Medium Grid 1 - Accent 38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53">
    <w:name w:val="No List153"/>
    <w:next w:val="NoList"/>
    <w:uiPriority w:val="99"/>
    <w:unhideWhenUsed/>
    <w:rsid w:val="00C64FC7"/>
  </w:style>
  <w:style w:type="table" w:customStyle="1" w:styleId="MediumGrid1-Accent1143">
    <w:name w:val="Medium Grid 1 - Accent 114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43">
    <w:name w:val="Light Grid - Accent 111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43">
    <w:name w:val="Light Grid - Accent 5143"/>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43">
    <w:name w:val="Light Grid - Accent 121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43">
    <w:name w:val="Light List - Accent 5143"/>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43">
    <w:name w:val="Light List - Accent 1114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43">
    <w:name w:val="Light Grid - Accent 131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43">
    <w:name w:val="Medium Grid 1 - Accent 314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43">
    <w:name w:val="Grid Table 4 - Accent 314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53">
    <w:name w:val="No List253"/>
    <w:next w:val="NoList"/>
    <w:uiPriority w:val="99"/>
    <w:unhideWhenUsed/>
    <w:rsid w:val="00C64FC7"/>
  </w:style>
  <w:style w:type="table" w:customStyle="1" w:styleId="MediumGrid1-Accent1243">
    <w:name w:val="Medium Grid 1 - Accent 124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43">
    <w:name w:val="Light Grid - Accent 1124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43">
    <w:name w:val="Light Grid - Accent 52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43">
    <w:name w:val="Light Grid - Accent 122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43">
    <w:name w:val="Light List - Accent 52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43">
    <w:name w:val="Light List - Accent 1124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43">
    <w:name w:val="Light Grid - Accent 132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43">
    <w:name w:val="Medium Grid 1 - Accent 324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43">
    <w:name w:val="Grid Table 4 Accent 314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53">
    <w:name w:val="No List353"/>
    <w:next w:val="NoList"/>
    <w:uiPriority w:val="99"/>
    <w:unhideWhenUsed/>
    <w:rsid w:val="00C64FC7"/>
  </w:style>
  <w:style w:type="table" w:customStyle="1" w:styleId="MediumGrid1-Accent1343">
    <w:name w:val="Medium Grid 1 - Accent 134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43">
    <w:name w:val="Light Grid - Accent 1134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43">
    <w:name w:val="Light Grid - Accent 53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43">
    <w:name w:val="Light Grid - Accent 123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43">
    <w:name w:val="Light List - Accent 53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43">
    <w:name w:val="Light List - Accent 1134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43">
    <w:name w:val="Light Grid - Accent 133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43">
    <w:name w:val="Medium Grid 1 - Accent 334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43">
    <w:name w:val="Grid Table 4 Accent 324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43">
    <w:name w:val="Table Grid143"/>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33">
    <w:name w:val="Table Grid233"/>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23">
    <w:name w:val="No List423"/>
    <w:next w:val="NoList"/>
    <w:uiPriority w:val="99"/>
    <w:unhideWhenUsed/>
    <w:rsid w:val="00C64FC7"/>
  </w:style>
  <w:style w:type="table" w:customStyle="1" w:styleId="MediumGrid1-Accent1423">
    <w:name w:val="Medium Grid 1 - Accent 142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23">
    <w:name w:val="Light Grid - Accent 1142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23">
    <w:name w:val="Light Grid - Accent 54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23">
    <w:name w:val="Light Grid - Accent 124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23">
    <w:name w:val="Light List - Accent 54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23">
    <w:name w:val="Light List - Accent 1142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23">
    <w:name w:val="Light Grid - Accent 134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23">
    <w:name w:val="Medium Grid 1 - Accent 342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23">
    <w:name w:val="Table Grid2123"/>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23">
    <w:name w:val="Medium Grid 3 - Accent 1123"/>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23">
    <w:name w:val="No List1123"/>
    <w:next w:val="NoList"/>
    <w:uiPriority w:val="99"/>
    <w:unhideWhenUsed/>
    <w:rsid w:val="00C64FC7"/>
  </w:style>
  <w:style w:type="table" w:customStyle="1" w:styleId="MediumGrid1-Accent11123">
    <w:name w:val="Medium Grid 1 - Accent 1112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23">
    <w:name w:val="Light Grid - Accent 1111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23">
    <w:name w:val="Light Grid - Accent 51123"/>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23">
    <w:name w:val="Light Grid - Accent 1211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3">
    <w:name w:val="Light List - Accent 51123"/>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23">
    <w:name w:val="Light List - Accent 11112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23">
    <w:name w:val="Light Grid - Accent 1311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23">
    <w:name w:val="Medium Grid 1 - Accent 3112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23">
    <w:name w:val="Grid Table 4 - Accent 3112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23">
    <w:name w:val="No List2123"/>
    <w:next w:val="NoList"/>
    <w:uiPriority w:val="99"/>
    <w:unhideWhenUsed/>
    <w:rsid w:val="00C64FC7"/>
  </w:style>
  <w:style w:type="table" w:customStyle="1" w:styleId="MediumGrid1-Accent12123">
    <w:name w:val="Medium Grid 1 - Accent 1212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23">
    <w:name w:val="Light Grid - Accent 11212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23">
    <w:name w:val="Light Grid - Accent 521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23">
    <w:name w:val="Light Grid - Accent 1221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23">
    <w:name w:val="Light List - Accent 521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23">
    <w:name w:val="Light List - Accent 11212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23">
    <w:name w:val="Light Grid - Accent 1321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23">
    <w:name w:val="Medium Grid 1 - Accent 3212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23">
    <w:name w:val="Grid Table 4 Accent 3112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23">
    <w:name w:val="No List3123"/>
    <w:next w:val="NoList"/>
    <w:uiPriority w:val="99"/>
    <w:unhideWhenUsed/>
    <w:rsid w:val="00C64FC7"/>
  </w:style>
  <w:style w:type="table" w:customStyle="1" w:styleId="MediumGrid1-Accent13123">
    <w:name w:val="Medium Grid 1 - Accent 1312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23">
    <w:name w:val="Light Grid - Accent 11312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23">
    <w:name w:val="Light Grid - Accent 531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23">
    <w:name w:val="Light Grid - Accent 1231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23">
    <w:name w:val="Light List - Accent 531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23">
    <w:name w:val="Light List - Accent 11312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23">
    <w:name w:val="Light Grid - Accent 1331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3">
    <w:name w:val="Medium Grid 1 - Accent 3312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23">
    <w:name w:val="Grid Table 4 Accent 3212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23">
    <w:name w:val="Table Grid1123"/>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23">
    <w:name w:val="No List523"/>
    <w:next w:val="NoList"/>
    <w:uiPriority w:val="99"/>
    <w:unhideWhenUsed/>
    <w:rsid w:val="00C64FC7"/>
  </w:style>
  <w:style w:type="table" w:customStyle="1" w:styleId="MediumGrid1-Accent1523">
    <w:name w:val="Medium Grid 1 - Accent 152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23">
    <w:name w:val="Light Grid - Accent 1152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23">
    <w:name w:val="Light Grid - Accent 55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23">
    <w:name w:val="Light Grid - Accent 125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23">
    <w:name w:val="Light List - Accent 55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23">
    <w:name w:val="Light List - Accent 1152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23">
    <w:name w:val="Light Grid - Accent 135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23">
    <w:name w:val="Medium Grid 1 - Accent 352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23">
    <w:name w:val="No List1223"/>
    <w:next w:val="NoList"/>
    <w:uiPriority w:val="99"/>
    <w:unhideWhenUsed/>
    <w:rsid w:val="00C64FC7"/>
  </w:style>
  <w:style w:type="numbering" w:customStyle="1" w:styleId="NoList2223">
    <w:name w:val="No List2223"/>
    <w:next w:val="NoList"/>
    <w:uiPriority w:val="99"/>
    <w:unhideWhenUsed/>
    <w:rsid w:val="00C64FC7"/>
  </w:style>
  <w:style w:type="numbering" w:customStyle="1" w:styleId="NoList3223">
    <w:name w:val="No List3223"/>
    <w:next w:val="NoList"/>
    <w:uiPriority w:val="99"/>
    <w:unhideWhenUsed/>
    <w:rsid w:val="00C64FC7"/>
  </w:style>
  <w:style w:type="numbering" w:customStyle="1" w:styleId="NoList623">
    <w:name w:val="No List623"/>
    <w:next w:val="NoList"/>
    <w:uiPriority w:val="99"/>
    <w:unhideWhenUsed/>
    <w:rsid w:val="00C64FC7"/>
  </w:style>
  <w:style w:type="table" w:customStyle="1" w:styleId="MediumGrid1-Accent1623">
    <w:name w:val="Medium Grid 1 - Accent 162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23">
    <w:name w:val="Light Grid - Accent 1162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23">
    <w:name w:val="Light Grid - Accent 56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23">
    <w:name w:val="Light Grid - Accent 126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23">
    <w:name w:val="Light List - Accent 56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23">
    <w:name w:val="Light List - Accent 1162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23">
    <w:name w:val="Light Grid - Accent 136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23">
    <w:name w:val="Medium Grid 1 - Accent 362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23">
    <w:name w:val="No List1323"/>
    <w:next w:val="NoList"/>
    <w:uiPriority w:val="99"/>
    <w:unhideWhenUsed/>
    <w:rsid w:val="00C64FC7"/>
  </w:style>
  <w:style w:type="numbering" w:customStyle="1" w:styleId="NoList2323">
    <w:name w:val="No List2323"/>
    <w:next w:val="NoList"/>
    <w:uiPriority w:val="99"/>
    <w:unhideWhenUsed/>
    <w:rsid w:val="00C64FC7"/>
  </w:style>
  <w:style w:type="numbering" w:customStyle="1" w:styleId="NoList3323">
    <w:name w:val="No List3323"/>
    <w:next w:val="NoList"/>
    <w:uiPriority w:val="99"/>
    <w:unhideWhenUsed/>
    <w:rsid w:val="00C64FC7"/>
  </w:style>
  <w:style w:type="numbering" w:customStyle="1" w:styleId="NoList93">
    <w:name w:val="No List93"/>
    <w:next w:val="NoList"/>
    <w:uiPriority w:val="99"/>
    <w:unhideWhenUsed/>
    <w:rsid w:val="00C64FC7"/>
  </w:style>
  <w:style w:type="table" w:customStyle="1" w:styleId="TableGrid73">
    <w:name w:val="Table Grid73"/>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53">
    <w:name w:val="Medium Grid 3 - Accent 153"/>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93">
    <w:name w:val="Medium Grid 1 - Accent 193"/>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93">
    <w:name w:val="Light Grid - Accent 1193"/>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93">
    <w:name w:val="Light Grid - Accent 593"/>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93">
    <w:name w:val="Light Grid - Accent 1293"/>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93">
    <w:name w:val="Light List - Accent 593"/>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93">
    <w:name w:val="Light List - Accent 1193"/>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93">
    <w:name w:val="Light Grid - Accent 139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93">
    <w:name w:val="Medium Grid 1 - Accent 39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63">
    <w:name w:val="No List163"/>
    <w:next w:val="NoList"/>
    <w:uiPriority w:val="99"/>
    <w:unhideWhenUsed/>
    <w:rsid w:val="00C64FC7"/>
  </w:style>
  <w:style w:type="table" w:customStyle="1" w:styleId="MediumGrid1-Accent1153">
    <w:name w:val="Medium Grid 1 - Accent 115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53">
    <w:name w:val="Light Grid - Accent 111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53">
    <w:name w:val="Light Grid - Accent 5153"/>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53">
    <w:name w:val="Light Grid - Accent 121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53">
    <w:name w:val="Light List - Accent 5153"/>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53">
    <w:name w:val="Light List - Accent 1115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53">
    <w:name w:val="Light Grid - Accent 131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53">
    <w:name w:val="Medium Grid 1 - Accent 315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53">
    <w:name w:val="Grid Table 4 - Accent 315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63">
    <w:name w:val="No List263"/>
    <w:next w:val="NoList"/>
    <w:uiPriority w:val="99"/>
    <w:unhideWhenUsed/>
    <w:rsid w:val="00C64FC7"/>
  </w:style>
  <w:style w:type="table" w:customStyle="1" w:styleId="MediumGrid1-Accent1253">
    <w:name w:val="Medium Grid 1 - Accent 125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53">
    <w:name w:val="Light Grid - Accent 1125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53">
    <w:name w:val="Light Grid - Accent 52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53">
    <w:name w:val="Light Grid - Accent 122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53">
    <w:name w:val="Light List - Accent 52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53">
    <w:name w:val="Light List - Accent 1125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53">
    <w:name w:val="Light Grid - Accent 132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53">
    <w:name w:val="Medium Grid 1 - Accent 325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53">
    <w:name w:val="Grid Table 4 Accent 315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63">
    <w:name w:val="No List363"/>
    <w:next w:val="NoList"/>
    <w:uiPriority w:val="99"/>
    <w:unhideWhenUsed/>
    <w:rsid w:val="00C64FC7"/>
  </w:style>
  <w:style w:type="table" w:customStyle="1" w:styleId="MediumGrid1-Accent1353">
    <w:name w:val="Medium Grid 1 - Accent 135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53">
    <w:name w:val="Light Grid - Accent 1135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53">
    <w:name w:val="Light Grid - Accent 53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53">
    <w:name w:val="Light Grid - Accent 123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53">
    <w:name w:val="Light List - Accent 53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53">
    <w:name w:val="Light List - Accent 1135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53">
    <w:name w:val="Light Grid - Accent 133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53">
    <w:name w:val="Medium Grid 1 - Accent 335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53">
    <w:name w:val="Grid Table 4 Accent 325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53">
    <w:name w:val="Table Grid153"/>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43">
    <w:name w:val="Table Grid243"/>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33">
    <w:name w:val="No List433"/>
    <w:next w:val="NoList"/>
    <w:uiPriority w:val="99"/>
    <w:unhideWhenUsed/>
    <w:rsid w:val="00C64FC7"/>
  </w:style>
  <w:style w:type="table" w:customStyle="1" w:styleId="MediumGrid1-Accent1433">
    <w:name w:val="Medium Grid 1 - Accent 143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33">
    <w:name w:val="Light Grid - Accent 1143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33">
    <w:name w:val="Light Grid - Accent 54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33">
    <w:name w:val="Light Grid - Accent 124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33">
    <w:name w:val="Light List - Accent 54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33">
    <w:name w:val="Light List - Accent 1143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33">
    <w:name w:val="Light Grid - Accent 134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33">
    <w:name w:val="Medium Grid 1 - Accent 343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33">
    <w:name w:val="Table Grid2133"/>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33">
    <w:name w:val="Medium Grid 3 - Accent 1133"/>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33">
    <w:name w:val="No List1133"/>
    <w:next w:val="NoList"/>
    <w:uiPriority w:val="99"/>
    <w:unhideWhenUsed/>
    <w:rsid w:val="00C64FC7"/>
  </w:style>
  <w:style w:type="table" w:customStyle="1" w:styleId="MediumGrid1-Accent11133">
    <w:name w:val="Medium Grid 1 - Accent 1113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33">
    <w:name w:val="Light Grid - Accent 1111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33">
    <w:name w:val="Light Grid - Accent 51133"/>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33">
    <w:name w:val="Light Grid - Accent 1211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33">
    <w:name w:val="Light List - Accent 51133"/>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33">
    <w:name w:val="Light List - Accent 11113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33">
    <w:name w:val="Light Grid - Accent 1311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33">
    <w:name w:val="Medium Grid 1 - Accent 3113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33">
    <w:name w:val="Grid Table 4 - Accent 3113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33">
    <w:name w:val="No List2133"/>
    <w:next w:val="NoList"/>
    <w:uiPriority w:val="99"/>
    <w:unhideWhenUsed/>
    <w:rsid w:val="00C64FC7"/>
  </w:style>
  <w:style w:type="table" w:customStyle="1" w:styleId="MediumGrid1-Accent12133">
    <w:name w:val="Medium Grid 1 - Accent 1213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33">
    <w:name w:val="Light Grid - Accent 11213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33">
    <w:name w:val="Light Grid - Accent 521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33">
    <w:name w:val="Light Grid - Accent 1221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33">
    <w:name w:val="Light List - Accent 521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33">
    <w:name w:val="Light List - Accent 11213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33">
    <w:name w:val="Light Grid - Accent 1321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33">
    <w:name w:val="Medium Grid 1 - Accent 3213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33">
    <w:name w:val="Grid Table 4 Accent 3113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33">
    <w:name w:val="No List3133"/>
    <w:next w:val="NoList"/>
    <w:uiPriority w:val="99"/>
    <w:unhideWhenUsed/>
    <w:rsid w:val="00C64FC7"/>
  </w:style>
  <w:style w:type="table" w:customStyle="1" w:styleId="MediumGrid1-Accent13133">
    <w:name w:val="Medium Grid 1 - Accent 1313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33">
    <w:name w:val="Light Grid - Accent 11313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33">
    <w:name w:val="Light Grid - Accent 531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33">
    <w:name w:val="Light Grid - Accent 1231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33">
    <w:name w:val="Light List - Accent 531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33">
    <w:name w:val="Light List - Accent 11313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33">
    <w:name w:val="Light Grid - Accent 1331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33">
    <w:name w:val="Medium Grid 1 - Accent 3313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33">
    <w:name w:val="Grid Table 4 Accent 3213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33">
    <w:name w:val="Table Grid1133"/>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33">
    <w:name w:val="No List533"/>
    <w:next w:val="NoList"/>
    <w:uiPriority w:val="99"/>
    <w:unhideWhenUsed/>
    <w:rsid w:val="00C64FC7"/>
  </w:style>
  <w:style w:type="table" w:customStyle="1" w:styleId="MediumGrid1-Accent1533">
    <w:name w:val="Medium Grid 1 - Accent 153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33">
    <w:name w:val="Light Grid - Accent 1153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33">
    <w:name w:val="Light Grid - Accent 55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33">
    <w:name w:val="Light Grid - Accent 125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33">
    <w:name w:val="Light List - Accent 55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33">
    <w:name w:val="Light List - Accent 1153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33">
    <w:name w:val="Light Grid - Accent 135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33">
    <w:name w:val="Medium Grid 1 - Accent 353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33">
    <w:name w:val="No List1233"/>
    <w:next w:val="NoList"/>
    <w:uiPriority w:val="99"/>
    <w:unhideWhenUsed/>
    <w:rsid w:val="00C64FC7"/>
  </w:style>
  <w:style w:type="numbering" w:customStyle="1" w:styleId="NoList2233">
    <w:name w:val="No List2233"/>
    <w:next w:val="NoList"/>
    <w:uiPriority w:val="99"/>
    <w:unhideWhenUsed/>
    <w:rsid w:val="00C64FC7"/>
  </w:style>
  <w:style w:type="numbering" w:customStyle="1" w:styleId="NoList3233">
    <w:name w:val="No List3233"/>
    <w:next w:val="NoList"/>
    <w:uiPriority w:val="99"/>
    <w:unhideWhenUsed/>
    <w:rsid w:val="00C64FC7"/>
  </w:style>
  <w:style w:type="numbering" w:customStyle="1" w:styleId="NoList633">
    <w:name w:val="No List633"/>
    <w:next w:val="NoList"/>
    <w:uiPriority w:val="99"/>
    <w:unhideWhenUsed/>
    <w:rsid w:val="00C64FC7"/>
  </w:style>
  <w:style w:type="table" w:customStyle="1" w:styleId="MediumGrid1-Accent1633">
    <w:name w:val="Medium Grid 1 - Accent 163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33">
    <w:name w:val="Light Grid - Accent 1163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33">
    <w:name w:val="Light Grid - Accent 56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33">
    <w:name w:val="Light Grid - Accent 126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33">
    <w:name w:val="Light List - Accent 56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33">
    <w:name w:val="Light List - Accent 1163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33">
    <w:name w:val="Light Grid - Accent 136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33">
    <w:name w:val="Medium Grid 1 - Accent 363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33">
    <w:name w:val="No List1333"/>
    <w:next w:val="NoList"/>
    <w:uiPriority w:val="99"/>
    <w:unhideWhenUsed/>
    <w:rsid w:val="00C64FC7"/>
  </w:style>
  <w:style w:type="numbering" w:customStyle="1" w:styleId="NoList2333">
    <w:name w:val="No List2333"/>
    <w:next w:val="NoList"/>
    <w:uiPriority w:val="99"/>
    <w:unhideWhenUsed/>
    <w:rsid w:val="00C64FC7"/>
  </w:style>
  <w:style w:type="numbering" w:customStyle="1" w:styleId="NoList3333">
    <w:name w:val="No List3333"/>
    <w:next w:val="NoList"/>
    <w:uiPriority w:val="99"/>
    <w:unhideWhenUsed/>
    <w:rsid w:val="00C64FC7"/>
  </w:style>
  <w:style w:type="numbering" w:customStyle="1" w:styleId="NoList103">
    <w:name w:val="No List103"/>
    <w:next w:val="NoList"/>
    <w:uiPriority w:val="99"/>
    <w:unhideWhenUsed/>
    <w:rsid w:val="00C64FC7"/>
  </w:style>
  <w:style w:type="table" w:customStyle="1" w:styleId="TableGrid83">
    <w:name w:val="Table Grid83"/>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63">
    <w:name w:val="Medium Grid 3 - Accent 163"/>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03">
    <w:name w:val="Medium Grid 1 - Accent 1103"/>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03">
    <w:name w:val="Light Grid - Accent 11103"/>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03">
    <w:name w:val="Light Grid - Accent 5103"/>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03">
    <w:name w:val="Light Grid - Accent 12103"/>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03">
    <w:name w:val="Light List - Accent 5103"/>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03">
    <w:name w:val="Light List - Accent 11103"/>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03">
    <w:name w:val="Light Grid - Accent 1310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03">
    <w:name w:val="Medium Grid 1 - Accent 310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73">
    <w:name w:val="No List173"/>
    <w:next w:val="NoList"/>
    <w:uiPriority w:val="99"/>
    <w:unhideWhenUsed/>
    <w:rsid w:val="00C64FC7"/>
  </w:style>
  <w:style w:type="table" w:customStyle="1" w:styleId="MediumGrid1-Accent1163">
    <w:name w:val="Medium Grid 1 - Accent 116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63">
    <w:name w:val="Light Grid - Accent 1116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63">
    <w:name w:val="Light Grid - Accent 5163"/>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63">
    <w:name w:val="Light Grid - Accent 1216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63">
    <w:name w:val="Light List - Accent 5163"/>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63">
    <w:name w:val="Light List - Accent 1116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63">
    <w:name w:val="Light Grid - Accent 1316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63">
    <w:name w:val="Medium Grid 1 - Accent 316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63">
    <w:name w:val="Grid Table 4 - Accent 316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73">
    <w:name w:val="No List273"/>
    <w:next w:val="NoList"/>
    <w:uiPriority w:val="99"/>
    <w:unhideWhenUsed/>
    <w:rsid w:val="00C64FC7"/>
  </w:style>
  <w:style w:type="table" w:customStyle="1" w:styleId="MediumGrid1-Accent1263">
    <w:name w:val="Medium Grid 1 - Accent 126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63">
    <w:name w:val="Light Grid - Accent 1126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63">
    <w:name w:val="Light Grid - Accent 526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63">
    <w:name w:val="Light Grid - Accent 1226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63">
    <w:name w:val="Light List - Accent 526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63">
    <w:name w:val="Light List - Accent 1126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63">
    <w:name w:val="Light Grid - Accent 1326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63">
    <w:name w:val="Medium Grid 1 - Accent 326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63">
    <w:name w:val="Grid Table 4 Accent 316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73">
    <w:name w:val="No List373"/>
    <w:next w:val="NoList"/>
    <w:uiPriority w:val="99"/>
    <w:unhideWhenUsed/>
    <w:rsid w:val="00C64FC7"/>
  </w:style>
  <w:style w:type="table" w:customStyle="1" w:styleId="MediumGrid1-Accent1363">
    <w:name w:val="Medium Grid 1 - Accent 136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63">
    <w:name w:val="Light Grid - Accent 1136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63">
    <w:name w:val="Light Grid - Accent 536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63">
    <w:name w:val="Light Grid - Accent 1236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63">
    <w:name w:val="Light List - Accent 536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63">
    <w:name w:val="Light List - Accent 1136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63">
    <w:name w:val="Light Grid - Accent 1336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63">
    <w:name w:val="Medium Grid 1 - Accent 336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63">
    <w:name w:val="Grid Table 4 Accent 326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63">
    <w:name w:val="Table Grid163"/>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53">
    <w:name w:val="Table Grid253"/>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43">
    <w:name w:val="No List443"/>
    <w:next w:val="NoList"/>
    <w:uiPriority w:val="99"/>
    <w:unhideWhenUsed/>
    <w:rsid w:val="00C64FC7"/>
  </w:style>
  <w:style w:type="table" w:customStyle="1" w:styleId="MediumGrid1-Accent1443">
    <w:name w:val="Medium Grid 1 - Accent 144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43">
    <w:name w:val="Light Grid - Accent 1144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43">
    <w:name w:val="Light Grid - Accent 54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43">
    <w:name w:val="Light Grid - Accent 124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43">
    <w:name w:val="Light List - Accent 54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43">
    <w:name w:val="Light List - Accent 1144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43">
    <w:name w:val="Light Grid - Accent 134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43">
    <w:name w:val="Medium Grid 1 - Accent 344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43">
    <w:name w:val="Table Grid2143"/>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43">
    <w:name w:val="Medium Grid 3 - Accent 1143"/>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43">
    <w:name w:val="No List1143"/>
    <w:next w:val="NoList"/>
    <w:uiPriority w:val="99"/>
    <w:unhideWhenUsed/>
    <w:rsid w:val="00C64FC7"/>
  </w:style>
  <w:style w:type="table" w:customStyle="1" w:styleId="MediumGrid1-Accent11143">
    <w:name w:val="Medium Grid 1 - Accent 1114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43">
    <w:name w:val="Light Grid - Accent 1111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43">
    <w:name w:val="Light Grid - Accent 51143"/>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43">
    <w:name w:val="Light Grid - Accent 1211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43">
    <w:name w:val="Light List - Accent 51143"/>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43">
    <w:name w:val="Light List - Accent 11114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43">
    <w:name w:val="Light Grid - Accent 1311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43">
    <w:name w:val="Medium Grid 1 - Accent 3114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43">
    <w:name w:val="Grid Table 4 - Accent 3114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43">
    <w:name w:val="No List2143"/>
    <w:next w:val="NoList"/>
    <w:uiPriority w:val="99"/>
    <w:unhideWhenUsed/>
    <w:rsid w:val="00C64FC7"/>
  </w:style>
  <w:style w:type="table" w:customStyle="1" w:styleId="MediumGrid1-Accent12143">
    <w:name w:val="Medium Grid 1 - Accent 1214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43">
    <w:name w:val="Light Grid - Accent 11214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43">
    <w:name w:val="Light Grid - Accent 521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43">
    <w:name w:val="Light Grid - Accent 1221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43">
    <w:name w:val="Light List - Accent 521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43">
    <w:name w:val="Light List - Accent 11214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43">
    <w:name w:val="Light Grid - Accent 1321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43">
    <w:name w:val="Medium Grid 1 - Accent 3214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43">
    <w:name w:val="Grid Table 4 Accent 3114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43">
    <w:name w:val="No List3143"/>
    <w:next w:val="NoList"/>
    <w:uiPriority w:val="99"/>
    <w:unhideWhenUsed/>
    <w:rsid w:val="00C64FC7"/>
  </w:style>
  <w:style w:type="table" w:customStyle="1" w:styleId="MediumGrid1-Accent13143">
    <w:name w:val="Medium Grid 1 - Accent 1314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43">
    <w:name w:val="Light Grid - Accent 11314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43">
    <w:name w:val="Light Grid - Accent 531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43">
    <w:name w:val="Light Grid - Accent 1231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43">
    <w:name w:val="Light List - Accent 531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43">
    <w:name w:val="Light List - Accent 11314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43">
    <w:name w:val="Light Grid - Accent 1331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43">
    <w:name w:val="Medium Grid 1 - Accent 3314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43">
    <w:name w:val="Grid Table 4 Accent 3214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43">
    <w:name w:val="Table Grid1143"/>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43">
    <w:name w:val="No List543"/>
    <w:next w:val="NoList"/>
    <w:uiPriority w:val="99"/>
    <w:unhideWhenUsed/>
    <w:rsid w:val="00C64FC7"/>
  </w:style>
  <w:style w:type="table" w:customStyle="1" w:styleId="MediumGrid1-Accent1543">
    <w:name w:val="Medium Grid 1 - Accent 154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43">
    <w:name w:val="Light Grid - Accent 1154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43">
    <w:name w:val="Light Grid - Accent 55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43">
    <w:name w:val="Light Grid - Accent 125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43">
    <w:name w:val="Light List - Accent 55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43">
    <w:name w:val="Light List - Accent 1154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43">
    <w:name w:val="Light Grid - Accent 135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43">
    <w:name w:val="Medium Grid 1 - Accent 354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43">
    <w:name w:val="No List1243"/>
    <w:next w:val="NoList"/>
    <w:uiPriority w:val="99"/>
    <w:unhideWhenUsed/>
    <w:rsid w:val="00C64FC7"/>
  </w:style>
  <w:style w:type="numbering" w:customStyle="1" w:styleId="NoList2243">
    <w:name w:val="No List2243"/>
    <w:next w:val="NoList"/>
    <w:uiPriority w:val="99"/>
    <w:unhideWhenUsed/>
    <w:rsid w:val="00C64FC7"/>
  </w:style>
  <w:style w:type="numbering" w:customStyle="1" w:styleId="NoList3243">
    <w:name w:val="No List3243"/>
    <w:next w:val="NoList"/>
    <w:uiPriority w:val="99"/>
    <w:unhideWhenUsed/>
    <w:rsid w:val="00C64FC7"/>
  </w:style>
  <w:style w:type="numbering" w:customStyle="1" w:styleId="NoList643">
    <w:name w:val="No List643"/>
    <w:next w:val="NoList"/>
    <w:uiPriority w:val="99"/>
    <w:unhideWhenUsed/>
    <w:rsid w:val="00C64FC7"/>
  </w:style>
  <w:style w:type="table" w:customStyle="1" w:styleId="MediumGrid1-Accent1643">
    <w:name w:val="Medium Grid 1 - Accent 164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43">
    <w:name w:val="Light Grid - Accent 1164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43">
    <w:name w:val="Light Grid - Accent 56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43">
    <w:name w:val="Light Grid - Accent 126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43">
    <w:name w:val="Light List - Accent 56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43">
    <w:name w:val="Light List - Accent 1164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43">
    <w:name w:val="Light Grid - Accent 136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43">
    <w:name w:val="Medium Grid 1 - Accent 364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43">
    <w:name w:val="No List1343"/>
    <w:next w:val="NoList"/>
    <w:uiPriority w:val="99"/>
    <w:unhideWhenUsed/>
    <w:rsid w:val="00C64FC7"/>
  </w:style>
  <w:style w:type="numbering" w:customStyle="1" w:styleId="NoList2343">
    <w:name w:val="No List2343"/>
    <w:next w:val="NoList"/>
    <w:uiPriority w:val="99"/>
    <w:unhideWhenUsed/>
    <w:rsid w:val="00C64FC7"/>
  </w:style>
  <w:style w:type="numbering" w:customStyle="1" w:styleId="NoList3343">
    <w:name w:val="No List3343"/>
    <w:next w:val="NoList"/>
    <w:uiPriority w:val="99"/>
    <w:unhideWhenUsed/>
    <w:rsid w:val="00C64FC7"/>
  </w:style>
  <w:style w:type="numbering" w:customStyle="1" w:styleId="NoList183">
    <w:name w:val="No List183"/>
    <w:next w:val="NoList"/>
    <w:uiPriority w:val="99"/>
    <w:unhideWhenUsed/>
    <w:rsid w:val="00C64FC7"/>
  </w:style>
  <w:style w:type="table" w:customStyle="1" w:styleId="TableGrid93">
    <w:name w:val="Table Grid93"/>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73">
    <w:name w:val="Medium Grid 3 - Accent 173"/>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73">
    <w:name w:val="Medium Grid 1 - Accent 1173"/>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73">
    <w:name w:val="Light Grid - Accent 11173"/>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73">
    <w:name w:val="Light Grid - Accent 5173"/>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73">
    <w:name w:val="Light Grid - Accent 12173"/>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73">
    <w:name w:val="Light List - Accent 5173"/>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73">
    <w:name w:val="Light List - Accent 11173"/>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73">
    <w:name w:val="Light Grid - Accent 1317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73">
    <w:name w:val="Medium Grid 1 - Accent 317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93">
    <w:name w:val="No List193"/>
    <w:next w:val="NoList"/>
    <w:uiPriority w:val="99"/>
    <w:unhideWhenUsed/>
    <w:rsid w:val="00C64FC7"/>
  </w:style>
  <w:style w:type="table" w:customStyle="1" w:styleId="MediumGrid1-Accent1183">
    <w:name w:val="Medium Grid 1 - Accent 118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83">
    <w:name w:val="Light Grid - Accent 1118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83">
    <w:name w:val="Light Grid - Accent 5183"/>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83">
    <w:name w:val="Light Grid - Accent 1218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83">
    <w:name w:val="Light List - Accent 5183"/>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83">
    <w:name w:val="Light List - Accent 1118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83">
    <w:name w:val="Light Grid - Accent 1318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83">
    <w:name w:val="Medium Grid 1 - Accent 318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73">
    <w:name w:val="Grid Table 4 - Accent 317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83">
    <w:name w:val="No List283"/>
    <w:next w:val="NoList"/>
    <w:uiPriority w:val="99"/>
    <w:unhideWhenUsed/>
    <w:rsid w:val="00C64FC7"/>
  </w:style>
  <w:style w:type="table" w:customStyle="1" w:styleId="MediumGrid1-Accent1273">
    <w:name w:val="Medium Grid 1 - Accent 127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73">
    <w:name w:val="Light Grid - Accent 1127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73">
    <w:name w:val="Light Grid - Accent 527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73">
    <w:name w:val="Light Grid - Accent 1227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73">
    <w:name w:val="Light List - Accent 527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73">
    <w:name w:val="Light List - Accent 1127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73">
    <w:name w:val="Light Grid - Accent 1327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73">
    <w:name w:val="Medium Grid 1 - Accent 327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73">
    <w:name w:val="Grid Table 4 Accent 317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83">
    <w:name w:val="No List383"/>
    <w:next w:val="NoList"/>
    <w:uiPriority w:val="99"/>
    <w:unhideWhenUsed/>
    <w:rsid w:val="00C64FC7"/>
  </w:style>
  <w:style w:type="table" w:customStyle="1" w:styleId="MediumGrid1-Accent1373">
    <w:name w:val="Medium Grid 1 - Accent 137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73">
    <w:name w:val="Light Grid - Accent 1137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73">
    <w:name w:val="Light Grid - Accent 537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73">
    <w:name w:val="Light Grid - Accent 1237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73">
    <w:name w:val="Light List - Accent 537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73">
    <w:name w:val="Light List - Accent 1137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73">
    <w:name w:val="Light Grid - Accent 1337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73">
    <w:name w:val="Medium Grid 1 - Accent 337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73">
    <w:name w:val="Grid Table 4 Accent 327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73">
    <w:name w:val="Table Grid173"/>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63">
    <w:name w:val="Table Grid263"/>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53">
    <w:name w:val="No List453"/>
    <w:next w:val="NoList"/>
    <w:uiPriority w:val="99"/>
    <w:unhideWhenUsed/>
    <w:rsid w:val="00C64FC7"/>
  </w:style>
  <w:style w:type="table" w:customStyle="1" w:styleId="MediumGrid1-Accent1453">
    <w:name w:val="Medium Grid 1 - Accent 145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53">
    <w:name w:val="Light Grid - Accent 1145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53">
    <w:name w:val="Light Grid - Accent 54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53">
    <w:name w:val="Light Grid - Accent 124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53">
    <w:name w:val="Light List - Accent 54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53">
    <w:name w:val="Light List - Accent 1145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53">
    <w:name w:val="Light Grid - Accent 134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53">
    <w:name w:val="Medium Grid 1 - Accent 345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53">
    <w:name w:val="Table Grid2153"/>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53">
    <w:name w:val="Medium Grid 3 - Accent 1153"/>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53">
    <w:name w:val="No List1153"/>
    <w:next w:val="NoList"/>
    <w:uiPriority w:val="99"/>
    <w:unhideWhenUsed/>
    <w:rsid w:val="00C64FC7"/>
  </w:style>
  <w:style w:type="table" w:customStyle="1" w:styleId="MediumGrid1-Accent11153">
    <w:name w:val="Medium Grid 1 - Accent 1115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53">
    <w:name w:val="Light Grid - Accent 1111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53">
    <w:name w:val="Light Grid - Accent 51153"/>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53">
    <w:name w:val="Light Grid - Accent 1211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53">
    <w:name w:val="Light List - Accent 51153"/>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53">
    <w:name w:val="Light List - Accent 11115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53">
    <w:name w:val="Light Grid - Accent 1311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53">
    <w:name w:val="Medium Grid 1 - Accent 3115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53">
    <w:name w:val="Grid Table 4 - Accent 3115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53">
    <w:name w:val="No List2153"/>
    <w:next w:val="NoList"/>
    <w:uiPriority w:val="99"/>
    <w:unhideWhenUsed/>
    <w:rsid w:val="00C64FC7"/>
  </w:style>
  <w:style w:type="table" w:customStyle="1" w:styleId="MediumGrid1-Accent12153">
    <w:name w:val="Medium Grid 1 - Accent 1215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53">
    <w:name w:val="Light Grid - Accent 11215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53">
    <w:name w:val="Light Grid - Accent 521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53">
    <w:name w:val="Light Grid - Accent 1221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53">
    <w:name w:val="Light List - Accent 521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53">
    <w:name w:val="Light List - Accent 11215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53">
    <w:name w:val="Light Grid - Accent 1321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53">
    <w:name w:val="Medium Grid 1 - Accent 3215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53">
    <w:name w:val="Grid Table 4 Accent 3115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53">
    <w:name w:val="No List3153"/>
    <w:next w:val="NoList"/>
    <w:uiPriority w:val="99"/>
    <w:unhideWhenUsed/>
    <w:rsid w:val="00C64FC7"/>
  </w:style>
  <w:style w:type="table" w:customStyle="1" w:styleId="MediumGrid1-Accent13153">
    <w:name w:val="Medium Grid 1 - Accent 1315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53">
    <w:name w:val="Light Grid - Accent 11315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53">
    <w:name w:val="Light Grid - Accent 531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53">
    <w:name w:val="Light Grid - Accent 1231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53">
    <w:name w:val="Light List - Accent 531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53">
    <w:name w:val="Light List - Accent 11315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53">
    <w:name w:val="Light Grid - Accent 1331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53">
    <w:name w:val="Medium Grid 1 - Accent 3315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53">
    <w:name w:val="Grid Table 4 Accent 3215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53">
    <w:name w:val="Table Grid1153"/>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53">
    <w:name w:val="No List553"/>
    <w:next w:val="NoList"/>
    <w:uiPriority w:val="99"/>
    <w:unhideWhenUsed/>
    <w:rsid w:val="00C64FC7"/>
  </w:style>
  <w:style w:type="table" w:customStyle="1" w:styleId="MediumGrid1-Accent1553">
    <w:name w:val="Medium Grid 1 - Accent 155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53">
    <w:name w:val="Light Grid - Accent 1155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53">
    <w:name w:val="Light Grid - Accent 55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53">
    <w:name w:val="Light Grid - Accent 125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53">
    <w:name w:val="Light List - Accent 55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53">
    <w:name w:val="Light List - Accent 1155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53">
    <w:name w:val="Light Grid - Accent 135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53">
    <w:name w:val="Medium Grid 1 - Accent 355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53">
    <w:name w:val="No List1253"/>
    <w:next w:val="NoList"/>
    <w:uiPriority w:val="99"/>
    <w:unhideWhenUsed/>
    <w:rsid w:val="00C64FC7"/>
  </w:style>
  <w:style w:type="numbering" w:customStyle="1" w:styleId="NoList2253">
    <w:name w:val="No List2253"/>
    <w:next w:val="NoList"/>
    <w:uiPriority w:val="99"/>
    <w:unhideWhenUsed/>
    <w:rsid w:val="00C64FC7"/>
  </w:style>
  <w:style w:type="numbering" w:customStyle="1" w:styleId="NoList3253">
    <w:name w:val="No List3253"/>
    <w:next w:val="NoList"/>
    <w:uiPriority w:val="99"/>
    <w:unhideWhenUsed/>
    <w:rsid w:val="00C64FC7"/>
  </w:style>
  <w:style w:type="numbering" w:customStyle="1" w:styleId="NoList653">
    <w:name w:val="No List653"/>
    <w:next w:val="NoList"/>
    <w:uiPriority w:val="99"/>
    <w:unhideWhenUsed/>
    <w:rsid w:val="00C64FC7"/>
  </w:style>
  <w:style w:type="table" w:customStyle="1" w:styleId="MediumGrid1-Accent1653">
    <w:name w:val="Medium Grid 1 - Accent 165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53">
    <w:name w:val="Light Grid - Accent 1165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53">
    <w:name w:val="Light Grid - Accent 56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53">
    <w:name w:val="Light Grid - Accent 126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53">
    <w:name w:val="Light List - Accent 56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53">
    <w:name w:val="Light List - Accent 1165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53">
    <w:name w:val="Light Grid - Accent 136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53">
    <w:name w:val="Medium Grid 1 - Accent 365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53">
    <w:name w:val="No List1353"/>
    <w:next w:val="NoList"/>
    <w:uiPriority w:val="99"/>
    <w:unhideWhenUsed/>
    <w:rsid w:val="00C64FC7"/>
  </w:style>
  <w:style w:type="numbering" w:customStyle="1" w:styleId="NoList2353">
    <w:name w:val="No List2353"/>
    <w:next w:val="NoList"/>
    <w:uiPriority w:val="99"/>
    <w:unhideWhenUsed/>
    <w:rsid w:val="00C64FC7"/>
  </w:style>
  <w:style w:type="numbering" w:customStyle="1" w:styleId="NoList3353">
    <w:name w:val="No List3353"/>
    <w:next w:val="NoList"/>
    <w:uiPriority w:val="99"/>
    <w:unhideWhenUsed/>
    <w:rsid w:val="00C64FC7"/>
  </w:style>
  <w:style w:type="numbering" w:customStyle="1" w:styleId="NoList202">
    <w:name w:val="No List202"/>
    <w:next w:val="NoList"/>
    <w:uiPriority w:val="99"/>
    <w:unhideWhenUsed/>
    <w:rsid w:val="00C64FC7"/>
  </w:style>
  <w:style w:type="table" w:customStyle="1" w:styleId="TableGrid102">
    <w:name w:val="Table Grid10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82">
    <w:name w:val="Medium Grid 3 - Accent 18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92">
    <w:name w:val="Medium Grid 1 - Accent 119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92">
    <w:name w:val="Light Grid - Accent 11192"/>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92">
    <w:name w:val="Light Grid - Accent 519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92">
    <w:name w:val="Light Grid - Accent 12192"/>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92">
    <w:name w:val="Light List - Accent 519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92">
    <w:name w:val="Light List - Accent 11192"/>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92">
    <w:name w:val="Light Grid - Accent 1319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92">
    <w:name w:val="Medium Grid 1 - Accent 319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102">
    <w:name w:val="No List1102"/>
    <w:next w:val="NoList"/>
    <w:uiPriority w:val="99"/>
    <w:unhideWhenUsed/>
    <w:rsid w:val="00C64FC7"/>
  </w:style>
  <w:style w:type="table" w:customStyle="1" w:styleId="MediumGrid1-Accent11102">
    <w:name w:val="Medium Grid 1 - Accent 1110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02">
    <w:name w:val="Light Grid - Accent 11110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02">
    <w:name w:val="Light Grid - Accent 5110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02">
    <w:name w:val="Light Grid - Accent 12110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02">
    <w:name w:val="Light List - Accent 5110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02">
    <w:name w:val="Light List - Accent 11110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02">
    <w:name w:val="Light Grid - Accent 13110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02">
    <w:name w:val="Medium Grid 1 - Accent 3110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82">
    <w:name w:val="Grid Table 4 - Accent 318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92">
    <w:name w:val="No List292"/>
    <w:next w:val="NoList"/>
    <w:uiPriority w:val="99"/>
    <w:unhideWhenUsed/>
    <w:rsid w:val="00C64FC7"/>
  </w:style>
  <w:style w:type="table" w:customStyle="1" w:styleId="MediumGrid1-Accent1282">
    <w:name w:val="Medium Grid 1 - Accent 128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82">
    <w:name w:val="Light Grid - Accent 1128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82">
    <w:name w:val="Light Grid - Accent 528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82">
    <w:name w:val="Light Grid - Accent 1228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82">
    <w:name w:val="Light List - Accent 528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82">
    <w:name w:val="Light List - Accent 1128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82">
    <w:name w:val="Light Grid - Accent 1328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82">
    <w:name w:val="Medium Grid 1 - Accent 328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82">
    <w:name w:val="Grid Table 4 Accent 318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92">
    <w:name w:val="No List392"/>
    <w:next w:val="NoList"/>
    <w:uiPriority w:val="99"/>
    <w:unhideWhenUsed/>
    <w:rsid w:val="00C64FC7"/>
  </w:style>
  <w:style w:type="table" w:customStyle="1" w:styleId="MediumGrid1-Accent1382">
    <w:name w:val="Medium Grid 1 - Accent 138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82">
    <w:name w:val="Light Grid - Accent 1138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82">
    <w:name w:val="Light Grid - Accent 538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82">
    <w:name w:val="Light Grid - Accent 1238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82">
    <w:name w:val="Light List - Accent 538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82">
    <w:name w:val="Light List - Accent 1138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82">
    <w:name w:val="Light Grid - Accent 1338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82">
    <w:name w:val="Medium Grid 1 - Accent 338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82">
    <w:name w:val="Grid Table 4 Accent 328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82">
    <w:name w:val="Table Grid18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72">
    <w:name w:val="Table Grid272"/>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62">
    <w:name w:val="No List462"/>
    <w:next w:val="NoList"/>
    <w:uiPriority w:val="99"/>
    <w:unhideWhenUsed/>
    <w:rsid w:val="00C64FC7"/>
  </w:style>
  <w:style w:type="table" w:customStyle="1" w:styleId="MediumGrid1-Accent1462">
    <w:name w:val="Medium Grid 1 - Accent 146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62">
    <w:name w:val="Light Grid - Accent 1146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62">
    <w:name w:val="Light Grid - Accent 546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62">
    <w:name w:val="Light Grid - Accent 124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62">
    <w:name w:val="Light List - Accent 546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62">
    <w:name w:val="Light List - Accent 1146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62">
    <w:name w:val="Light Grid - Accent 134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62">
    <w:name w:val="Medium Grid 1 - Accent 346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312">
    <w:name w:val="Table Grid31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62">
    <w:name w:val="Medium Grid 3 - Accent 116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62">
    <w:name w:val="No List1162"/>
    <w:next w:val="NoList"/>
    <w:uiPriority w:val="99"/>
    <w:unhideWhenUsed/>
    <w:rsid w:val="00C64FC7"/>
  </w:style>
  <w:style w:type="table" w:customStyle="1" w:styleId="MediumGrid1-Accent11162">
    <w:name w:val="Medium Grid 1 - Accent 1116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62">
    <w:name w:val="Light Grid - Accent 1111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62">
    <w:name w:val="Light Grid - Accent 5116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62">
    <w:name w:val="Light Grid - Accent 1211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62">
    <w:name w:val="Light List - Accent 5116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62">
    <w:name w:val="Light List - Accent 11116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62">
    <w:name w:val="Light Grid - Accent 1311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62">
    <w:name w:val="Medium Grid 1 - Accent 3116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62">
    <w:name w:val="Grid Table 4 - Accent 3116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62">
    <w:name w:val="No List2162"/>
    <w:next w:val="NoList"/>
    <w:uiPriority w:val="99"/>
    <w:unhideWhenUsed/>
    <w:rsid w:val="00C64FC7"/>
  </w:style>
  <w:style w:type="table" w:customStyle="1" w:styleId="MediumGrid1-Accent12162">
    <w:name w:val="Medium Grid 1 - Accent 1216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62">
    <w:name w:val="Light Grid - Accent 11216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62">
    <w:name w:val="Light Grid - Accent 5216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62">
    <w:name w:val="Light Grid - Accent 1221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62">
    <w:name w:val="Light List - Accent 5216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62">
    <w:name w:val="Light List - Accent 11216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62">
    <w:name w:val="Light Grid - Accent 1321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62">
    <w:name w:val="Medium Grid 1 - Accent 3216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62">
    <w:name w:val="Grid Table 4 Accent 3116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62">
    <w:name w:val="No List3162"/>
    <w:next w:val="NoList"/>
    <w:uiPriority w:val="99"/>
    <w:unhideWhenUsed/>
    <w:rsid w:val="00C64FC7"/>
  </w:style>
  <w:style w:type="table" w:customStyle="1" w:styleId="MediumGrid1-Accent13162">
    <w:name w:val="Medium Grid 1 - Accent 1316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62">
    <w:name w:val="Light Grid - Accent 11316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62">
    <w:name w:val="Light Grid - Accent 5316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62">
    <w:name w:val="Light Grid - Accent 1231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62">
    <w:name w:val="Light List - Accent 5316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62">
    <w:name w:val="Light List - Accent 11316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62">
    <w:name w:val="Light Grid - Accent 1331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62">
    <w:name w:val="Medium Grid 1 - Accent 3316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62">
    <w:name w:val="Grid Table 4 Accent 3216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62">
    <w:name w:val="Table Grid116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62">
    <w:name w:val="No List562"/>
    <w:next w:val="NoList"/>
    <w:uiPriority w:val="99"/>
    <w:unhideWhenUsed/>
    <w:rsid w:val="00C64FC7"/>
  </w:style>
  <w:style w:type="table" w:customStyle="1" w:styleId="TableGrid412">
    <w:name w:val="Table Grid412"/>
    <w:basedOn w:val="TableNormal"/>
    <w:next w:val="TableGrid"/>
    <w:uiPriority w:val="5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212">
    <w:name w:val="Medium Grid 3 - Accent 121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562">
    <w:name w:val="Medium Grid 1 - Accent 156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562">
    <w:name w:val="Light Grid - Accent 11562"/>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562">
    <w:name w:val="Light Grid - Accent 556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562">
    <w:name w:val="Light Grid - Accent 12562"/>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562">
    <w:name w:val="Light List - Accent 556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562">
    <w:name w:val="Light List - Accent 11562"/>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562">
    <w:name w:val="Light Grid - Accent 135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562">
    <w:name w:val="Medium Grid 1 - Accent 356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262">
    <w:name w:val="No List1262"/>
    <w:next w:val="NoList"/>
    <w:uiPriority w:val="99"/>
    <w:unhideWhenUsed/>
    <w:rsid w:val="00C64FC7"/>
  </w:style>
  <w:style w:type="table" w:customStyle="1" w:styleId="MediumGrid1-Accent11212">
    <w:name w:val="Medium Grid 1 - Accent 112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212">
    <w:name w:val="Light Grid - Accent 111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12">
    <w:name w:val="Light Grid - Accent 5121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212">
    <w:name w:val="Light Grid - Accent 121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12">
    <w:name w:val="Light List - Accent 5121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212">
    <w:name w:val="Light List - Accent 1112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212">
    <w:name w:val="Light Grid - Accent 131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212">
    <w:name w:val="Medium Grid 1 - Accent 312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212">
    <w:name w:val="Grid Table 4 - Accent 312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262">
    <w:name w:val="No List2262"/>
    <w:next w:val="NoList"/>
    <w:uiPriority w:val="99"/>
    <w:unhideWhenUsed/>
    <w:rsid w:val="00C64FC7"/>
  </w:style>
  <w:style w:type="table" w:customStyle="1" w:styleId="MediumGrid1-Accent12212">
    <w:name w:val="Medium Grid 1 - Accent 122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212">
    <w:name w:val="Light Grid - Accent 1122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212">
    <w:name w:val="Light Grid - Accent 52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212">
    <w:name w:val="Light Grid - Accent 122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212">
    <w:name w:val="Light List - Accent 52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212">
    <w:name w:val="Light List - Accent 1122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212">
    <w:name w:val="Light Grid - Accent 132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212">
    <w:name w:val="Medium Grid 1 - Accent 322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212">
    <w:name w:val="Grid Table 4 Accent 312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262">
    <w:name w:val="No List3262"/>
    <w:next w:val="NoList"/>
    <w:uiPriority w:val="99"/>
    <w:unhideWhenUsed/>
    <w:rsid w:val="00C64FC7"/>
  </w:style>
  <w:style w:type="table" w:customStyle="1" w:styleId="MediumGrid1-Accent13212">
    <w:name w:val="Medium Grid 1 - Accent 132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212">
    <w:name w:val="Light Grid - Accent 1132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212">
    <w:name w:val="Light Grid - Accent 53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212">
    <w:name w:val="Light Grid - Accent 123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212">
    <w:name w:val="Light List - Accent 53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212">
    <w:name w:val="Light List - Accent 1132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212">
    <w:name w:val="Light Grid - Accent 133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212">
    <w:name w:val="Medium Grid 1 - Accent 332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212">
    <w:name w:val="Grid Table 4 Accent 322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212">
    <w:name w:val="Table Grid121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62">
    <w:name w:val="Table Grid2162"/>
    <w:basedOn w:val="TableNormal"/>
    <w:next w:val="TableGrid"/>
    <w:uiPriority w:val="3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62">
    <w:name w:val="No List662"/>
    <w:next w:val="NoList"/>
    <w:uiPriority w:val="99"/>
    <w:unhideWhenUsed/>
    <w:rsid w:val="00C64FC7"/>
  </w:style>
  <w:style w:type="table" w:customStyle="1" w:styleId="MediumGrid1-Accent1662">
    <w:name w:val="Medium Grid 1 - Accent 166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62">
    <w:name w:val="Light Grid - Accent 1166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62">
    <w:name w:val="Light Grid - Accent 566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62">
    <w:name w:val="Light Grid - Accent 126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62">
    <w:name w:val="Light List - Accent 566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62">
    <w:name w:val="Light List - Accent 1166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62">
    <w:name w:val="Light Grid - Accent 136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62">
    <w:name w:val="Medium Grid 1 - Accent 366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62">
    <w:name w:val="No List1362"/>
    <w:next w:val="NoList"/>
    <w:uiPriority w:val="99"/>
    <w:unhideWhenUsed/>
    <w:rsid w:val="00C64FC7"/>
  </w:style>
  <w:style w:type="numbering" w:customStyle="1" w:styleId="NoList2362">
    <w:name w:val="No List2362"/>
    <w:next w:val="NoList"/>
    <w:uiPriority w:val="99"/>
    <w:unhideWhenUsed/>
    <w:rsid w:val="00C64FC7"/>
  </w:style>
  <w:style w:type="numbering" w:customStyle="1" w:styleId="NoList3362">
    <w:name w:val="No List3362"/>
    <w:next w:val="NoList"/>
    <w:uiPriority w:val="99"/>
    <w:unhideWhenUsed/>
    <w:rsid w:val="00C64FC7"/>
  </w:style>
  <w:style w:type="numbering" w:customStyle="1" w:styleId="NoList712">
    <w:name w:val="No List712"/>
    <w:next w:val="NoList"/>
    <w:uiPriority w:val="99"/>
    <w:unhideWhenUsed/>
    <w:rsid w:val="00C64FC7"/>
  </w:style>
  <w:style w:type="table" w:customStyle="1" w:styleId="TableGrid512">
    <w:name w:val="Table Grid51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312">
    <w:name w:val="Medium Grid 3 - Accent 131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712">
    <w:name w:val="Medium Grid 1 - Accent 171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712">
    <w:name w:val="Light Grid - Accent 11712"/>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712">
    <w:name w:val="Light Grid - Accent 571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712">
    <w:name w:val="Light Grid - Accent 12712"/>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712">
    <w:name w:val="Light List - Accent 571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712">
    <w:name w:val="Light List - Accent 11712"/>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712">
    <w:name w:val="Light Grid - Accent 137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712">
    <w:name w:val="Medium Grid 1 - Accent 37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412">
    <w:name w:val="No List1412"/>
    <w:next w:val="NoList"/>
    <w:uiPriority w:val="99"/>
    <w:unhideWhenUsed/>
    <w:rsid w:val="00C64FC7"/>
  </w:style>
  <w:style w:type="table" w:customStyle="1" w:styleId="MediumGrid1-Accent11312">
    <w:name w:val="Medium Grid 1 - Accent 113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312">
    <w:name w:val="Light Grid - Accent 111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312">
    <w:name w:val="Light Grid - Accent 5131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312">
    <w:name w:val="Light Grid - Accent 121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312">
    <w:name w:val="Light List - Accent 5131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312">
    <w:name w:val="Light List - Accent 1113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312">
    <w:name w:val="Light Grid - Accent 131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312">
    <w:name w:val="Medium Grid 1 - Accent 313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312">
    <w:name w:val="Grid Table 4 - Accent 313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412">
    <w:name w:val="No List2412"/>
    <w:next w:val="NoList"/>
    <w:uiPriority w:val="99"/>
    <w:unhideWhenUsed/>
    <w:rsid w:val="00C64FC7"/>
  </w:style>
  <w:style w:type="table" w:customStyle="1" w:styleId="MediumGrid1-Accent12312">
    <w:name w:val="Medium Grid 1 - Accent 123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312">
    <w:name w:val="Light Grid - Accent 1123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312">
    <w:name w:val="Light Grid - Accent 52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312">
    <w:name w:val="Light Grid - Accent 122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312">
    <w:name w:val="Light List - Accent 52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312">
    <w:name w:val="Light List - Accent 1123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312">
    <w:name w:val="Light Grid - Accent 132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312">
    <w:name w:val="Medium Grid 1 - Accent 323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312">
    <w:name w:val="Grid Table 4 Accent 313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412">
    <w:name w:val="No List3412"/>
    <w:next w:val="NoList"/>
    <w:uiPriority w:val="99"/>
    <w:unhideWhenUsed/>
    <w:rsid w:val="00C64FC7"/>
  </w:style>
  <w:style w:type="table" w:customStyle="1" w:styleId="MediumGrid1-Accent13312">
    <w:name w:val="Medium Grid 1 - Accent 133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312">
    <w:name w:val="Light Grid - Accent 1133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312">
    <w:name w:val="Light Grid - Accent 53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312">
    <w:name w:val="Light Grid - Accent 123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312">
    <w:name w:val="Light List - Accent 53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312">
    <w:name w:val="Light List - Accent 1133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312">
    <w:name w:val="Light Grid - Accent 133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312">
    <w:name w:val="Medium Grid 1 - Accent 333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312">
    <w:name w:val="Grid Table 4 Accent 323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312">
    <w:name w:val="Table Grid131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12">
    <w:name w:val="Table Grid2212"/>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112">
    <w:name w:val="No List4112"/>
    <w:next w:val="NoList"/>
    <w:uiPriority w:val="99"/>
    <w:unhideWhenUsed/>
    <w:rsid w:val="00C64FC7"/>
  </w:style>
  <w:style w:type="table" w:customStyle="1" w:styleId="MediumGrid1-Accent14112">
    <w:name w:val="Medium Grid 1 - Accent 141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112">
    <w:name w:val="Light Grid - Accent 1141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112">
    <w:name w:val="Light Grid - Accent 54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112">
    <w:name w:val="Light Grid - Accent 124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112">
    <w:name w:val="Light List - Accent 54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112">
    <w:name w:val="Light List - Accent 1141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112">
    <w:name w:val="Light Grid - Accent 134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112">
    <w:name w:val="Medium Grid 1 - Accent 341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112">
    <w:name w:val="Table Grid2111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112">
    <w:name w:val="Medium Grid 3 - Accent 1111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12">
    <w:name w:val="No List11112"/>
    <w:next w:val="NoList"/>
    <w:uiPriority w:val="99"/>
    <w:unhideWhenUsed/>
    <w:rsid w:val="00C64FC7"/>
  </w:style>
  <w:style w:type="table" w:customStyle="1" w:styleId="MediumGrid1-Accent111112">
    <w:name w:val="Medium Grid 1 - Accent 1111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12">
    <w:name w:val="Light Grid - Accent 1111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12">
    <w:name w:val="Light Grid - Accent 51111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12">
    <w:name w:val="Light Grid - Accent 1211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12">
    <w:name w:val="Light List - Accent 51111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12">
    <w:name w:val="Light List - Accent 11111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12">
    <w:name w:val="Light Grid - Accent 1311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12">
    <w:name w:val="Medium Grid 1 - Accent 3111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112">
    <w:name w:val="Grid Table 4 - Accent 3111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112">
    <w:name w:val="No List21112"/>
    <w:next w:val="NoList"/>
    <w:uiPriority w:val="99"/>
    <w:unhideWhenUsed/>
    <w:rsid w:val="00C64FC7"/>
  </w:style>
  <w:style w:type="table" w:customStyle="1" w:styleId="MediumGrid1-Accent121112">
    <w:name w:val="Medium Grid 1 - Accent 1211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112">
    <w:name w:val="Light Grid - Accent 11211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112">
    <w:name w:val="Light Grid - Accent 521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112">
    <w:name w:val="Light Grid - Accent 1221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112">
    <w:name w:val="Light List - Accent 521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112">
    <w:name w:val="Light List - Accent 11211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112">
    <w:name w:val="Light Grid - Accent 1321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112">
    <w:name w:val="Medium Grid 1 - Accent 3211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112">
    <w:name w:val="Grid Table 4 Accent 3111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112">
    <w:name w:val="No List31112"/>
    <w:next w:val="NoList"/>
    <w:uiPriority w:val="99"/>
    <w:unhideWhenUsed/>
    <w:rsid w:val="00C64FC7"/>
  </w:style>
  <w:style w:type="table" w:customStyle="1" w:styleId="MediumGrid1-Accent131112">
    <w:name w:val="Medium Grid 1 - Accent 1311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112">
    <w:name w:val="Light Grid - Accent 11311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112">
    <w:name w:val="Light Grid - Accent 531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112">
    <w:name w:val="Light Grid - Accent 1231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112">
    <w:name w:val="Light List - Accent 531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112">
    <w:name w:val="Light List - Accent 11311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112">
    <w:name w:val="Light Grid - Accent 1331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12">
    <w:name w:val="Medium Grid 1 - Accent 3311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112">
    <w:name w:val="Grid Table 4 Accent 3211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112">
    <w:name w:val="Table Grid1111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112">
    <w:name w:val="No List5112"/>
    <w:next w:val="NoList"/>
    <w:uiPriority w:val="99"/>
    <w:unhideWhenUsed/>
    <w:rsid w:val="00C64FC7"/>
  </w:style>
  <w:style w:type="table" w:customStyle="1" w:styleId="MediumGrid1-Accent15112">
    <w:name w:val="Medium Grid 1 - Accent 151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112">
    <w:name w:val="Light Grid - Accent 1151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112">
    <w:name w:val="Light Grid - Accent 55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112">
    <w:name w:val="Light Grid - Accent 125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112">
    <w:name w:val="Light List - Accent 55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112">
    <w:name w:val="Light List - Accent 1151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112">
    <w:name w:val="Light Grid - Accent 135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112">
    <w:name w:val="Medium Grid 1 - Accent 351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112">
    <w:name w:val="No List12112"/>
    <w:next w:val="NoList"/>
    <w:uiPriority w:val="99"/>
    <w:unhideWhenUsed/>
    <w:rsid w:val="00C64FC7"/>
  </w:style>
  <w:style w:type="numbering" w:customStyle="1" w:styleId="NoList22112">
    <w:name w:val="No List22112"/>
    <w:next w:val="NoList"/>
    <w:uiPriority w:val="99"/>
    <w:unhideWhenUsed/>
    <w:rsid w:val="00C64FC7"/>
  </w:style>
  <w:style w:type="numbering" w:customStyle="1" w:styleId="NoList32112">
    <w:name w:val="No List32112"/>
    <w:next w:val="NoList"/>
    <w:uiPriority w:val="99"/>
    <w:unhideWhenUsed/>
    <w:rsid w:val="00C64FC7"/>
  </w:style>
  <w:style w:type="numbering" w:customStyle="1" w:styleId="NoList6112">
    <w:name w:val="No List6112"/>
    <w:next w:val="NoList"/>
    <w:uiPriority w:val="99"/>
    <w:unhideWhenUsed/>
    <w:rsid w:val="00C64FC7"/>
  </w:style>
  <w:style w:type="table" w:customStyle="1" w:styleId="MediumGrid1-Accent16112">
    <w:name w:val="Medium Grid 1 - Accent 161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112">
    <w:name w:val="Light Grid - Accent 1161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112">
    <w:name w:val="Light Grid - Accent 56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112">
    <w:name w:val="Light Grid - Accent 126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112">
    <w:name w:val="Light List - Accent 56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112">
    <w:name w:val="Light List - Accent 1161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112">
    <w:name w:val="Light Grid - Accent 136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112">
    <w:name w:val="Medium Grid 1 - Accent 361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112">
    <w:name w:val="No List13112"/>
    <w:next w:val="NoList"/>
    <w:uiPriority w:val="99"/>
    <w:unhideWhenUsed/>
    <w:rsid w:val="00C64FC7"/>
  </w:style>
  <w:style w:type="numbering" w:customStyle="1" w:styleId="NoList23112">
    <w:name w:val="No List23112"/>
    <w:next w:val="NoList"/>
    <w:uiPriority w:val="99"/>
    <w:unhideWhenUsed/>
    <w:rsid w:val="00C64FC7"/>
  </w:style>
  <w:style w:type="numbering" w:customStyle="1" w:styleId="NoList33112">
    <w:name w:val="No List33112"/>
    <w:next w:val="NoList"/>
    <w:uiPriority w:val="99"/>
    <w:unhideWhenUsed/>
    <w:rsid w:val="00C64FC7"/>
  </w:style>
  <w:style w:type="numbering" w:customStyle="1" w:styleId="NoList812">
    <w:name w:val="No List812"/>
    <w:next w:val="NoList"/>
    <w:uiPriority w:val="99"/>
    <w:unhideWhenUsed/>
    <w:rsid w:val="00C64FC7"/>
  </w:style>
  <w:style w:type="table" w:customStyle="1" w:styleId="TableGrid612">
    <w:name w:val="Table Grid61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412">
    <w:name w:val="Medium Grid 3 - Accent 141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812">
    <w:name w:val="Medium Grid 1 - Accent 181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812">
    <w:name w:val="Light Grid - Accent 11812"/>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812">
    <w:name w:val="Light Grid - Accent 581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812">
    <w:name w:val="Light Grid - Accent 12812"/>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812">
    <w:name w:val="Light List - Accent 581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812">
    <w:name w:val="Light List - Accent 11812"/>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812">
    <w:name w:val="Light Grid - Accent 138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812">
    <w:name w:val="Medium Grid 1 - Accent 38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512">
    <w:name w:val="No List1512"/>
    <w:next w:val="NoList"/>
    <w:uiPriority w:val="99"/>
    <w:unhideWhenUsed/>
    <w:rsid w:val="00C64FC7"/>
  </w:style>
  <w:style w:type="table" w:customStyle="1" w:styleId="MediumGrid1-Accent11412">
    <w:name w:val="Medium Grid 1 - Accent 114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412">
    <w:name w:val="Light Grid - Accent 1114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412">
    <w:name w:val="Light Grid - Accent 5141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412">
    <w:name w:val="Light Grid - Accent 1214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412">
    <w:name w:val="Light List - Accent 5141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412">
    <w:name w:val="Light List - Accent 1114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412">
    <w:name w:val="Light Grid - Accent 1314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412">
    <w:name w:val="Medium Grid 1 - Accent 314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412">
    <w:name w:val="Grid Table 4 - Accent 314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512">
    <w:name w:val="No List2512"/>
    <w:next w:val="NoList"/>
    <w:uiPriority w:val="99"/>
    <w:unhideWhenUsed/>
    <w:rsid w:val="00C64FC7"/>
  </w:style>
  <w:style w:type="table" w:customStyle="1" w:styleId="MediumGrid1-Accent12412">
    <w:name w:val="Medium Grid 1 - Accent 124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412">
    <w:name w:val="Light Grid - Accent 1124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412">
    <w:name w:val="Light Grid - Accent 524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412">
    <w:name w:val="Light Grid - Accent 1224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412">
    <w:name w:val="Light List - Accent 524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412">
    <w:name w:val="Light List - Accent 1124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412">
    <w:name w:val="Light Grid - Accent 1324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412">
    <w:name w:val="Medium Grid 1 - Accent 324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412">
    <w:name w:val="Grid Table 4 Accent 314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512">
    <w:name w:val="No List3512"/>
    <w:next w:val="NoList"/>
    <w:uiPriority w:val="99"/>
    <w:unhideWhenUsed/>
    <w:rsid w:val="00C64FC7"/>
  </w:style>
  <w:style w:type="table" w:customStyle="1" w:styleId="MediumGrid1-Accent13412">
    <w:name w:val="Medium Grid 1 - Accent 134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412">
    <w:name w:val="Light Grid - Accent 1134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412">
    <w:name w:val="Light Grid - Accent 534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412">
    <w:name w:val="Light Grid - Accent 1234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412">
    <w:name w:val="Light List - Accent 534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412">
    <w:name w:val="Light List - Accent 1134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412">
    <w:name w:val="Light Grid - Accent 1334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412">
    <w:name w:val="Medium Grid 1 - Accent 334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412">
    <w:name w:val="Grid Table 4 Accent 324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412">
    <w:name w:val="Table Grid141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312">
    <w:name w:val="Table Grid2312"/>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212">
    <w:name w:val="No List4212"/>
    <w:next w:val="NoList"/>
    <w:uiPriority w:val="99"/>
    <w:unhideWhenUsed/>
    <w:rsid w:val="00C64FC7"/>
  </w:style>
  <w:style w:type="table" w:customStyle="1" w:styleId="MediumGrid1-Accent14212">
    <w:name w:val="Medium Grid 1 - Accent 142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212">
    <w:name w:val="Light Grid - Accent 1142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212">
    <w:name w:val="Light Grid - Accent 54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212">
    <w:name w:val="Light Grid - Accent 124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212">
    <w:name w:val="Light List - Accent 54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212">
    <w:name w:val="Light List - Accent 1142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212">
    <w:name w:val="Light Grid - Accent 134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212">
    <w:name w:val="Medium Grid 1 - Accent 342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212">
    <w:name w:val="Table Grid2121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212">
    <w:name w:val="Medium Grid 3 - Accent 1121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212">
    <w:name w:val="No List11212"/>
    <w:next w:val="NoList"/>
    <w:uiPriority w:val="99"/>
    <w:unhideWhenUsed/>
    <w:rsid w:val="00C64FC7"/>
  </w:style>
  <w:style w:type="table" w:customStyle="1" w:styleId="MediumGrid1-Accent111212">
    <w:name w:val="Medium Grid 1 - Accent 1112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212">
    <w:name w:val="Light Grid - Accent 1111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212">
    <w:name w:val="Light Grid - Accent 51121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212">
    <w:name w:val="Light Grid - Accent 1211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12">
    <w:name w:val="Light List - Accent 51121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212">
    <w:name w:val="Light List - Accent 11112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212">
    <w:name w:val="Light Grid - Accent 1311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212">
    <w:name w:val="Medium Grid 1 - Accent 3112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212">
    <w:name w:val="Grid Table 4 - Accent 3112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212">
    <w:name w:val="No List21212"/>
    <w:next w:val="NoList"/>
    <w:uiPriority w:val="99"/>
    <w:unhideWhenUsed/>
    <w:rsid w:val="00C64FC7"/>
  </w:style>
  <w:style w:type="table" w:customStyle="1" w:styleId="MediumGrid1-Accent121212">
    <w:name w:val="Medium Grid 1 - Accent 1212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212">
    <w:name w:val="Light Grid - Accent 11212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212">
    <w:name w:val="Light Grid - Accent 521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212">
    <w:name w:val="Light Grid - Accent 1221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212">
    <w:name w:val="Light List - Accent 521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212">
    <w:name w:val="Light List - Accent 11212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212">
    <w:name w:val="Light Grid - Accent 1321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212">
    <w:name w:val="Medium Grid 1 - Accent 3212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212">
    <w:name w:val="Grid Table 4 Accent 3112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212">
    <w:name w:val="No List31212"/>
    <w:next w:val="NoList"/>
    <w:uiPriority w:val="99"/>
    <w:unhideWhenUsed/>
    <w:rsid w:val="00C64FC7"/>
  </w:style>
  <w:style w:type="table" w:customStyle="1" w:styleId="MediumGrid1-Accent131212">
    <w:name w:val="Medium Grid 1 - Accent 1312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212">
    <w:name w:val="Light Grid - Accent 11312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212">
    <w:name w:val="Light Grid - Accent 531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212">
    <w:name w:val="Light Grid - Accent 1231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212">
    <w:name w:val="Light List - Accent 531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212">
    <w:name w:val="Light List - Accent 11312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212">
    <w:name w:val="Light Grid - Accent 1331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12">
    <w:name w:val="Medium Grid 1 - Accent 3312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212">
    <w:name w:val="Grid Table 4 Accent 3212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212">
    <w:name w:val="Table Grid1121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212">
    <w:name w:val="No List5212"/>
    <w:next w:val="NoList"/>
    <w:uiPriority w:val="99"/>
    <w:unhideWhenUsed/>
    <w:rsid w:val="00C64FC7"/>
  </w:style>
  <w:style w:type="table" w:customStyle="1" w:styleId="MediumGrid1-Accent15212">
    <w:name w:val="Medium Grid 1 - Accent 152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212">
    <w:name w:val="Light Grid - Accent 1152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212">
    <w:name w:val="Light Grid - Accent 55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212">
    <w:name w:val="Light Grid - Accent 125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212">
    <w:name w:val="Light List - Accent 55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212">
    <w:name w:val="Light List - Accent 1152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212">
    <w:name w:val="Light Grid - Accent 135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212">
    <w:name w:val="Medium Grid 1 - Accent 352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212">
    <w:name w:val="No List12212"/>
    <w:next w:val="NoList"/>
    <w:uiPriority w:val="99"/>
    <w:unhideWhenUsed/>
    <w:rsid w:val="00C64FC7"/>
  </w:style>
  <w:style w:type="numbering" w:customStyle="1" w:styleId="NoList22212">
    <w:name w:val="No List22212"/>
    <w:next w:val="NoList"/>
    <w:uiPriority w:val="99"/>
    <w:unhideWhenUsed/>
    <w:rsid w:val="00C64FC7"/>
  </w:style>
  <w:style w:type="numbering" w:customStyle="1" w:styleId="NoList32212">
    <w:name w:val="No List32212"/>
    <w:next w:val="NoList"/>
    <w:uiPriority w:val="99"/>
    <w:unhideWhenUsed/>
    <w:rsid w:val="00C64FC7"/>
  </w:style>
  <w:style w:type="numbering" w:customStyle="1" w:styleId="NoList6212">
    <w:name w:val="No List6212"/>
    <w:next w:val="NoList"/>
    <w:uiPriority w:val="99"/>
    <w:unhideWhenUsed/>
    <w:rsid w:val="00C64FC7"/>
  </w:style>
  <w:style w:type="table" w:customStyle="1" w:styleId="MediumGrid1-Accent16212">
    <w:name w:val="Medium Grid 1 - Accent 162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212">
    <w:name w:val="Light Grid - Accent 1162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212">
    <w:name w:val="Light Grid - Accent 56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212">
    <w:name w:val="Light Grid - Accent 126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212">
    <w:name w:val="Light List - Accent 56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212">
    <w:name w:val="Light List - Accent 1162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212">
    <w:name w:val="Light Grid - Accent 136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212">
    <w:name w:val="Medium Grid 1 - Accent 362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212">
    <w:name w:val="No List13212"/>
    <w:next w:val="NoList"/>
    <w:uiPriority w:val="99"/>
    <w:unhideWhenUsed/>
    <w:rsid w:val="00C64FC7"/>
  </w:style>
  <w:style w:type="numbering" w:customStyle="1" w:styleId="NoList23212">
    <w:name w:val="No List23212"/>
    <w:next w:val="NoList"/>
    <w:uiPriority w:val="99"/>
    <w:unhideWhenUsed/>
    <w:rsid w:val="00C64FC7"/>
  </w:style>
  <w:style w:type="numbering" w:customStyle="1" w:styleId="NoList33212">
    <w:name w:val="No List33212"/>
    <w:next w:val="NoList"/>
    <w:uiPriority w:val="99"/>
    <w:unhideWhenUsed/>
    <w:rsid w:val="00C64FC7"/>
  </w:style>
  <w:style w:type="numbering" w:customStyle="1" w:styleId="NoList912">
    <w:name w:val="No List912"/>
    <w:next w:val="NoList"/>
    <w:uiPriority w:val="99"/>
    <w:unhideWhenUsed/>
    <w:rsid w:val="00C64FC7"/>
  </w:style>
  <w:style w:type="table" w:customStyle="1" w:styleId="TableGrid712">
    <w:name w:val="Table Grid71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512">
    <w:name w:val="Medium Grid 3 - Accent 1512"/>
    <w:basedOn w:val="TableNormal"/>
    <w:next w:val="MediumGrid3-Accent1"/>
    <w:uiPriority w:val="69"/>
    <w:locked/>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912">
    <w:name w:val="Medium Grid 1 - Accent 191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912">
    <w:name w:val="Light Grid - Accent 11912"/>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912">
    <w:name w:val="Light Grid - Accent 591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912">
    <w:name w:val="Light Grid - Accent 12912"/>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912">
    <w:name w:val="Light List - Accent 591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912">
    <w:name w:val="Light List - Accent 11912"/>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912">
    <w:name w:val="Light Grid - Accent 139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912">
    <w:name w:val="Medium Grid 1 - Accent 39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612">
    <w:name w:val="No List1612"/>
    <w:next w:val="NoList"/>
    <w:uiPriority w:val="99"/>
    <w:unhideWhenUsed/>
    <w:rsid w:val="00C64FC7"/>
  </w:style>
  <w:style w:type="table" w:customStyle="1" w:styleId="MediumGrid1-Accent11512">
    <w:name w:val="Medium Grid 1 - Accent 115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512">
    <w:name w:val="Light Grid - Accent 1115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512">
    <w:name w:val="Light Grid - Accent 5151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512">
    <w:name w:val="Light Grid - Accent 1215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512">
    <w:name w:val="Light List - Accent 5151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512">
    <w:name w:val="Light List - Accent 1115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512">
    <w:name w:val="Light Grid - Accent 1315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512">
    <w:name w:val="Medium Grid 1 - Accent 315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512">
    <w:name w:val="Grid Table 4 - Accent 315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612">
    <w:name w:val="No List2612"/>
    <w:next w:val="NoList"/>
    <w:uiPriority w:val="99"/>
    <w:unhideWhenUsed/>
    <w:rsid w:val="00C64FC7"/>
  </w:style>
  <w:style w:type="table" w:customStyle="1" w:styleId="MediumGrid1-Accent12512">
    <w:name w:val="Medium Grid 1 - Accent 125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512">
    <w:name w:val="Light Grid - Accent 1125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512">
    <w:name w:val="Light Grid - Accent 525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512">
    <w:name w:val="Light Grid - Accent 1225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512">
    <w:name w:val="Light List - Accent 525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512">
    <w:name w:val="Light List - Accent 1125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512">
    <w:name w:val="Light Grid - Accent 1325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512">
    <w:name w:val="Medium Grid 1 - Accent 325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512">
    <w:name w:val="Grid Table 4 Accent 315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612">
    <w:name w:val="No List3612"/>
    <w:next w:val="NoList"/>
    <w:uiPriority w:val="99"/>
    <w:unhideWhenUsed/>
    <w:rsid w:val="00C64FC7"/>
  </w:style>
  <w:style w:type="table" w:customStyle="1" w:styleId="MediumGrid1-Accent13512">
    <w:name w:val="Medium Grid 1 - Accent 135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512">
    <w:name w:val="Light Grid - Accent 1135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512">
    <w:name w:val="Light Grid - Accent 535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512">
    <w:name w:val="Light Grid - Accent 1235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512">
    <w:name w:val="Light List - Accent 535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512">
    <w:name w:val="Light List - Accent 1135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512">
    <w:name w:val="Light Grid - Accent 1335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512">
    <w:name w:val="Medium Grid 1 - Accent 335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512">
    <w:name w:val="Grid Table 4 Accent 325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512">
    <w:name w:val="Table Grid151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412">
    <w:name w:val="Table Grid2412"/>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312">
    <w:name w:val="No List4312"/>
    <w:next w:val="NoList"/>
    <w:uiPriority w:val="99"/>
    <w:unhideWhenUsed/>
    <w:rsid w:val="00C64FC7"/>
  </w:style>
  <w:style w:type="table" w:customStyle="1" w:styleId="MediumGrid1-Accent14312">
    <w:name w:val="Medium Grid 1 - Accent 143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312">
    <w:name w:val="Light Grid - Accent 1143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312">
    <w:name w:val="Light Grid - Accent 54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312">
    <w:name w:val="Light Grid - Accent 124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312">
    <w:name w:val="Light List - Accent 54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312">
    <w:name w:val="Light List - Accent 1143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312">
    <w:name w:val="Light Grid - Accent 134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312">
    <w:name w:val="Medium Grid 1 - Accent 343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312">
    <w:name w:val="Table Grid2131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312">
    <w:name w:val="Medium Grid 3 - Accent 1131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312">
    <w:name w:val="No List11312"/>
    <w:next w:val="NoList"/>
    <w:uiPriority w:val="99"/>
    <w:unhideWhenUsed/>
    <w:rsid w:val="00C64FC7"/>
  </w:style>
  <w:style w:type="table" w:customStyle="1" w:styleId="MediumGrid1-Accent111312">
    <w:name w:val="Medium Grid 1 - Accent 1113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312">
    <w:name w:val="Light Grid - Accent 1111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312">
    <w:name w:val="Light Grid - Accent 51131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312">
    <w:name w:val="Light Grid - Accent 1211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312">
    <w:name w:val="Light List - Accent 51131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312">
    <w:name w:val="Light List - Accent 11113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312">
    <w:name w:val="Light Grid - Accent 1311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312">
    <w:name w:val="Medium Grid 1 - Accent 3113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312">
    <w:name w:val="Grid Table 4 - Accent 3113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312">
    <w:name w:val="No List21312"/>
    <w:next w:val="NoList"/>
    <w:uiPriority w:val="99"/>
    <w:unhideWhenUsed/>
    <w:rsid w:val="00C64FC7"/>
  </w:style>
  <w:style w:type="table" w:customStyle="1" w:styleId="MediumGrid1-Accent121312">
    <w:name w:val="Medium Grid 1 - Accent 1213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312">
    <w:name w:val="Light Grid - Accent 11213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312">
    <w:name w:val="Light Grid - Accent 521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312">
    <w:name w:val="Light Grid - Accent 1221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312">
    <w:name w:val="Light List - Accent 521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312">
    <w:name w:val="Light List - Accent 11213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312">
    <w:name w:val="Light Grid - Accent 1321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312">
    <w:name w:val="Medium Grid 1 - Accent 3213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312">
    <w:name w:val="Grid Table 4 Accent 3113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312">
    <w:name w:val="No List31312"/>
    <w:next w:val="NoList"/>
    <w:uiPriority w:val="99"/>
    <w:unhideWhenUsed/>
    <w:rsid w:val="00C64FC7"/>
  </w:style>
  <w:style w:type="table" w:customStyle="1" w:styleId="MediumGrid1-Accent131312">
    <w:name w:val="Medium Grid 1 - Accent 1313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312">
    <w:name w:val="Light Grid - Accent 11313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312">
    <w:name w:val="Light Grid - Accent 531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312">
    <w:name w:val="Light Grid - Accent 1231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312">
    <w:name w:val="Light List - Accent 531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312">
    <w:name w:val="Light List - Accent 11313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312">
    <w:name w:val="Light Grid - Accent 1331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312">
    <w:name w:val="Medium Grid 1 - Accent 3313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312">
    <w:name w:val="Grid Table 4 Accent 3213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312">
    <w:name w:val="Table Grid1131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312">
    <w:name w:val="No List5312"/>
    <w:next w:val="NoList"/>
    <w:uiPriority w:val="99"/>
    <w:unhideWhenUsed/>
    <w:rsid w:val="00C64FC7"/>
  </w:style>
  <w:style w:type="table" w:customStyle="1" w:styleId="MediumGrid1-Accent15312">
    <w:name w:val="Medium Grid 1 - Accent 153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312">
    <w:name w:val="Light Grid - Accent 1153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312">
    <w:name w:val="Light Grid - Accent 55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312">
    <w:name w:val="Light Grid - Accent 125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312">
    <w:name w:val="Light List - Accent 55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312">
    <w:name w:val="Light List - Accent 1153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312">
    <w:name w:val="Light Grid - Accent 135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312">
    <w:name w:val="Medium Grid 1 - Accent 353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312">
    <w:name w:val="No List12312"/>
    <w:next w:val="NoList"/>
    <w:uiPriority w:val="99"/>
    <w:unhideWhenUsed/>
    <w:rsid w:val="00C64FC7"/>
  </w:style>
  <w:style w:type="numbering" w:customStyle="1" w:styleId="NoList22312">
    <w:name w:val="No List22312"/>
    <w:next w:val="NoList"/>
    <w:uiPriority w:val="99"/>
    <w:unhideWhenUsed/>
    <w:rsid w:val="00C64FC7"/>
  </w:style>
  <w:style w:type="numbering" w:customStyle="1" w:styleId="NoList32312">
    <w:name w:val="No List32312"/>
    <w:next w:val="NoList"/>
    <w:uiPriority w:val="99"/>
    <w:unhideWhenUsed/>
    <w:rsid w:val="00C64FC7"/>
  </w:style>
  <w:style w:type="numbering" w:customStyle="1" w:styleId="NoList6312">
    <w:name w:val="No List6312"/>
    <w:next w:val="NoList"/>
    <w:uiPriority w:val="99"/>
    <w:unhideWhenUsed/>
    <w:rsid w:val="00C64FC7"/>
  </w:style>
  <w:style w:type="table" w:customStyle="1" w:styleId="MediumGrid1-Accent16312">
    <w:name w:val="Medium Grid 1 - Accent 163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312">
    <w:name w:val="Light Grid - Accent 1163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312">
    <w:name w:val="Light Grid - Accent 56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312">
    <w:name w:val="Light Grid - Accent 126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312">
    <w:name w:val="Light List - Accent 56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312">
    <w:name w:val="Light List - Accent 1163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312">
    <w:name w:val="Light Grid - Accent 136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312">
    <w:name w:val="Medium Grid 1 - Accent 363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312">
    <w:name w:val="No List13312"/>
    <w:next w:val="NoList"/>
    <w:uiPriority w:val="99"/>
    <w:unhideWhenUsed/>
    <w:rsid w:val="00C64FC7"/>
  </w:style>
  <w:style w:type="numbering" w:customStyle="1" w:styleId="NoList23312">
    <w:name w:val="No List23312"/>
    <w:next w:val="NoList"/>
    <w:uiPriority w:val="99"/>
    <w:unhideWhenUsed/>
    <w:rsid w:val="00C64FC7"/>
  </w:style>
  <w:style w:type="numbering" w:customStyle="1" w:styleId="NoList33312">
    <w:name w:val="No List33312"/>
    <w:next w:val="NoList"/>
    <w:uiPriority w:val="99"/>
    <w:unhideWhenUsed/>
    <w:rsid w:val="00C64FC7"/>
  </w:style>
  <w:style w:type="numbering" w:customStyle="1" w:styleId="NoList1012">
    <w:name w:val="No List1012"/>
    <w:next w:val="NoList"/>
    <w:uiPriority w:val="99"/>
    <w:unhideWhenUsed/>
    <w:rsid w:val="00C64FC7"/>
  </w:style>
  <w:style w:type="table" w:customStyle="1" w:styleId="TableGrid812">
    <w:name w:val="Table Grid81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612">
    <w:name w:val="Medium Grid 3 - Accent 161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012">
    <w:name w:val="Medium Grid 1 - Accent 1101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012">
    <w:name w:val="Light Grid - Accent 111012"/>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012">
    <w:name w:val="Light Grid - Accent 5101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012">
    <w:name w:val="Light Grid - Accent 121012"/>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012">
    <w:name w:val="Light List - Accent 5101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012">
    <w:name w:val="Light List - Accent 111012"/>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012">
    <w:name w:val="Light Grid - Accent 1310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012">
    <w:name w:val="Medium Grid 1 - Accent 310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712">
    <w:name w:val="No List1712"/>
    <w:next w:val="NoList"/>
    <w:uiPriority w:val="99"/>
    <w:unhideWhenUsed/>
    <w:rsid w:val="00C64FC7"/>
  </w:style>
  <w:style w:type="table" w:customStyle="1" w:styleId="MediumGrid1-Accent11612">
    <w:name w:val="Medium Grid 1 - Accent 116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612">
    <w:name w:val="Light Grid - Accent 1116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612">
    <w:name w:val="Light Grid - Accent 5161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612">
    <w:name w:val="Light Grid - Accent 1216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612">
    <w:name w:val="Light List - Accent 5161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612">
    <w:name w:val="Light List - Accent 1116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612">
    <w:name w:val="Light Grid - Accent 1316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612">
    <w:name w:val="Medium Grid 1 - Accent 316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612">
    <w:name w:val="Grid Table 4 - Accent 316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712">
    <w:name w:val="No List2712"/>
    <w:next w:val="NoList"/>
    <w:uiPriority w:val="99"/>
    <w:unhideWhenUsed/>
    <w:rsid w:val="00C64FC7"/>
  </w:style>
  <w:style w:type="table" w:customStyle="1" w:styleId="MediumGrid1-Accent12612">
    <w:name w:val="Medium Grid 1 - Accent 126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612">
    <w:name w:val="Light Grid - Accent 1126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612">
    <w:name w:val="Light Grid - Accent 526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612">
    <w:name w:val="Light Grid - Accent 1226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612">
    <w:name w:val="Light List - Accent 526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612">
    <w:name w:val="Light List - Accent 1126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612">
    <w:name w:val="Light Grid - Accent 1326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612">
    <w:name w:val="Medium Grid 1 - Accent 326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612">
    <w:name w:val="Grid Table 4 Accent 316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712">
    <w:name w:val="No List3712"/>
    <w:next w:val="NoList"/>
    <w:uiPriority w:val="99"/>
    <w:unhideWhenUsed/>
    <w:rsid w:val="00C64FC7"/>
  </w:style>
  <w:style w:type="table" w:customStyle="1" w:styleId="MediumGrid1-Accent13612">
    <w:name w:val="Medium Grid 1 - Accent 136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612">
    <w:name w:val="Light Grid - Accent 1136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612">
    <w:name w:val="Light Grid - Accent 536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612">
    <w:name w:val="Light Grid - Accent 1236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612">
    <w:name w:val="Light List - Accent 536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612">
    <w:name w:val="Light List - Accent 1136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612">
    <w:name w:val="Light Grid - Accent 1336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612">
    <w:name w:val="Medium Grid 1 - Accent 336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612">
    <w:name w:val="Grid Table 4 Accent 326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612">
    <w:name w:val="Table Grid161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512">
    <w:name w:val="Table Grid2512"/>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412">
    <w:name w:val="No List4412"/>
    <w:next w:val="NoList"/>
    <w:uiPriority w:val="99"/>
    <w:unhideWhenUsed/>
    <w:rsid w:val="00C64FC7"/>
  </w:style>
  <w:style w:type="table" w:customStyle="1" w:styleId="MediumGrid1-Accent14412">
    <w:name w:val="Medium Grid 1 - Accent 144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412">
    <w:name w:val="Light Grid - Accent 1144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412">
    <w:name w:val="Light Grid - Accent 544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412">
    <w:name w:val="Light Grid - Accent 1244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412">
    <w:name w:val="Light List - Accent 544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412">
    <w:name w:val="Light List - Accent 1144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412">
    <w:name w:val="Light Grid - Accent 1344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412">
    <w:name w:val="Medium Grid 1 - Accent 344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412">
    <w:name w:val="Table Grid2141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412">
    <w:name w:val="Medium Grid 3 - Accent 1141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412">
    <w:name w:val="No List11412"/>
    <w:next w:val="NoList"/>
    <w:uiPriority w:val="99"/>
    <w:unhideWhenUsed/>
    <w:rsid w:val="00C64FC7"/>
  </w:style>
  <w:style w:type="table" w:customStyle="1" w:styleId="MediumGrid1-Accent111412">
    <w:name w:val="Medium Grid 1 - Accent 1114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412">
    <w:name w:val="Light Grid - Accent 11114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412">
    <w:name w:val="Light Grid - Accent 51141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412">
    <w:name w:val="Light Grid - Accent 12114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412">
    <w:name w:val="Light List - Accent 51141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412">
    <w:name w:val="Light List - Accent 11114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412">
    <w:name w:val="Light Grid - Accent 13114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412">
    <w:name w:val="Medium Grid 1 - Accent 3114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412">
    <w:name w:val="Grid Table 4 - Accent 3114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412">
    <w:name w:val="No List21412"/>
    <w:next w:val="NoList"/>
    <w:uiPriority w:val="99"/>
    <w:semiHidden/>
    <w:unhideWhenUsed/>
    <w:rsid w:val="00C64FC7"/>
  </w:style>
  <w:style w:type="table" w:customStyle="1" w:styleId="MediumGrid1-Accent121412">
    <w:name w:val="Medium Grid 1 - Accent 1214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412">
    <w:name w:val="Light Grid - Accent 11214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412">
    <w:name w:val="Light Grid - Accent 5214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412">
    <w:name w:val="Light Grid - Accent 12214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412">
    <w:name w:val="Light List - Accent 5214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388553">
      <w:bodyDiv w:val="1"/>
      <w:marLeft w:val="0"/>
      <w:marRight w:val="0"/>
      <w:marTop w:val="0"/>
      <w:marBottom w:val="0"/>
      <w:divBdr>
        <w:top w:val="none" w:sz="0" w:space="0" w:color="auto"/>
        <w:left w:val="none" w:sz="0" w:space="0" w:color="auto"/>
        <w:bottom w:val="none" w:sz="0" w:space="0" w:color="auto"/>
        <w:right w:val="none" w:sz="0" w:space="0" w:color="auto"/>
      </w:divBdr>
    </w:div>
    <w:div w:id="13310316">
      <w:bodyDiv w:val="1"/>
      <w:marLeft w:val="0"/>
      <w:marRight w:val="0"/>
      <w:marTop w:val="0"/>
      <w:marBottom w:val="0"/>
      <w:divBdr>
        <w:top w:val="none" w:sz="0" w:space="0" w:color="auto"/>
        <w:left w:val="none" w:sz="0" w:space="0" w:color="auto"/>
        <w:bottom w:val="none" w:sz="0" w:space="0" w:color="auto"/>
        <w:right w:val="none" w:sz="0" w:space="0" w:color="auto"/>
      </w:divBdr>
    </w:div>
    <w:div w:id="13578146">
      <w:bodyDiv w:val="1"/>
      <w:marLeft w:val="0"/>
      <w:marRight w:val="0"/>
      <w:marTop w:val="0"/>
      <w:marBottom w:val="0"/>
      <w:divBdr>
        <w:top w:val="none" w:sz="0" w:space="0" w:color="auto"/>
        <w:left w:val="none" w:sz="0" w:space="0" w:color="auto"/>
        <w:bottom w:val="none" w:sz="0" w:space="0" w:color="auto"/>
        <w:right w:val="none" w:sz="0" w:space="0" w:color="auto"/>
      </w:divBdr>
      <w:divsChild>
        <w:div w:id="2105369961">
          <w:marLeft w:val="0"/>
          <w:marRight w:val="0"/>
          <w:marTop w:val="0"/>
          <w:marBottom w:val="0"/>
          <w:divBdr>
            <w:top w:val="none" w:sz="0" w:space="0" w:color="auto"/>
            <w:left w:val="none" w:sz="0" w:space="0" w:color="auto"/>
            <w:bottom w:val="none" w:sz="0" w:space="0" w:color="auto"/>
            <w:right w:val="none" w:sz="0" w:space="0" w:color="auto"/>
          </w:divBdr>
        </w:div>
      </w:divsChild>
    </w:div>
    <w:div w:id="19207987">
      <w:bodyDiv w:val="1"/>
      <w:marLeft w:val="0"/>
      <w:marRight w:val="0"/>
      <w:marTop w:val="0"/>
      <w:marBottom w:val="0"/>
      <w:divBdr>
        <w:top w:val="none" w:sz="0" w:space="0" w:color="auto"/>
        <w:left w:val="none" w:sz="0" w:space="0" w:color="auto"/>
        <w:bottom w:val="none" w:sz="0" w:space="0" w:color="auto"/>
        <w:right w:val="none" w:sz="0" w:space="0" w:color="auto"/>
      </w:divBdr>
    </w:div>
    <w:div w:id="19475855">
      <w:bodyDiv w:val="1"/>
      <w:marLeft w:val="0"/>
      <w:marRight w:val="0"/>
      <w:marTop w:val="0"/>
      <w:marBottom w:val="0"/>
      <w:divBdr>
        <w:top w:val="none" w:sz="0" w:space="0" w:color="auto"/>
        <w:left w:val="none" w:sz="0" w:space="0" w:color="auto"/>
        <w:bottom w:val="none" w:sz="0" w:space="0" w:color="auto"/>
        <w:right w:val="none" w:sz="0" w:space="0" w:color="auto"/>
      </w:divBdr>
    </w:div>
    <w:div w:id="28579509">
      <w:bodyDiv w:val="1"/>
      <w:marLeft w:val="0"/>
      <w:marRight w:val="0"/>
      <w:marTop w:val="0"/>
      <w:marBottom w:val="0"/>
      <w:divBdr>
        <w:top w:val="none" w:sz="0" w:space="0" w:color="auto"/>
        <w:left w:val="none" w:sz="0" w:space="0" w:color="auto"/>
        <w:bottom w:val="none" w:sz="0" w:space="0" w:color="auto"/>
        <w:right w:val="none" w:sz="0" w:space="0" w:color="auto"/>
      </w:divBdr>
    </w:div>
    <w:div w:id="30688402">
      <w:bodyDiv w:val="1"/>
      <w:marLeft w:val="0"/>
      <w:marRight w:val="0"/>
      <w:marTop w:val="0"/>
      <w:marBottom w:val="0"/>
      <w:divBdr>
        <w:top w:val="none" w:sz="0" w:space="0" w:color="auto"/>
        <w:left w:val="none" w:sz="0" w:space="0" w:color="auto"/>
        <w:bottom w:val="none" w:sz="0" w:space="0" w:color="auto"/>
        <w:right w:val="none" w:sz="0" w:space="0" w:color="auto"/>
      </w:divBdr>
    </w:div>
    <w:div w:id="31350755">
      <w:bodyDiv w:val="1"/>
      <w:marLeft w:val="0"/>
      <w:marRight w:val="0"/>
      <w:marTop w:val="0"/>
      <w:marBottom w:val="0"/>
      <w:divBdr>
        <w:top w:val="none" w:sz="0" w:space="0" w:color="auto"/>
        <w:left w:val="none" w:sz="0" w:space="0" w:color="auto"/>
        <w:bottom w:val="none" w:sz="0" w:space="0" w:color="auto"/>
        <w:right w:val="none" w:sz="0" w:space="0" w:color="auto"/>
      </w:divBdr>
    </w:div>
    <w:div w:id="33315537">
      <w:bodyDiv w:val="1"/>
      <w:marLeft w:val="0"/>
      <w:marRight w:val="0"/>
      <w:marTop w:val="0"/>
      <w:marBottom w:val="0"/>
      <w:divBdr>
        <w:top w:val="none" w:sz="0" w:space="0" w:color="auto"/>
        <w:left w:val="none" w:sz="0" w:space="0" w:color="auto"/>
        <w:bottom w:val="none" w:sz="0" w:space="0" w:color="auto"/>
        <w:right w:val="none" w:sz="0" w:space="0" w:color="auto"/>
      </w:divBdr>
      <w:divsChild>
        <w:div w:id="1843623163">
          <w:marLeft w:val="0"/>
          <w:marRight w:val="0"/>
          <w:marTop w:val="0"/>
          <w:marBottom w:val="0"/>
          <w:divBdr>
            <w:top w:val="none" w:sz="0" w:space="0" w:color="auto"/>
            <w:left w:val="none" w:sz="0" w:space="0" w:color="auto"/>
            <w:bottom w:val="none" w:sz="0" w:space="0" w:color="auto"/>
            <w:right w:val="none" w:sz="0" w:space="0" w:color="auto"/>
          </w:divBdr>
        </w:div>
        <w:div w:id="1726680702">
          <w:marLeft w:val="0"/>
          <w:marRight w:val="0"/>
          <w:marTop w:val="0"/>
          <w:marBottom w:val="0"/>
          <w:divBdr>
            <w:top w:val="none" w:sz="0" w:space="0" w:color="auto"/>
            <w:left w:val="none" w:sz="0" w:space="0" w:color="auto"/>
            <w:bottom w:val="none" w:sz="0" w:space="0" w:color="auto"/>
            <w:right w:val="none" w:sz="0" w:space="0" w:color="auto"/>
          </w:divBdr>
        </w:div>
        <w:div w:id="1944070104">
          <w:marLeft w:val="0"/>
          <w:marRight w:val="0"/>
          <w:marTop w:val="0"/>
          <w:marBottom w:val="0"/>
          <w:divBdr>
            <w:top w:val="none" w:sz="0" w:space="0" w:color="auto"/>
            <w:left w:val="none" w:sz="0" w:space="0" w:color="auto"/>
            <w:bottom w:val="none" w:sz="0" w:space="0" w:color="auto"/>
            <w:right w:val="none" w:sz="0" w:space="0" w:color="auto"/>
          </w:divBdr>
        </w:div>
        <w:div w:id="413475020">
          <w:marLeft w:val="0"/>
          <w:marRight w:val="0"/>
          <w:marTop w:val="0"/>
          <w:marBottom w:val="0"/>
          <w:divBdr>
            <w:top w:val="none" w:sz="0" w:space="0" w:color="auto"/>
            <w:left w:val="none" w:sz="0" w:space="0" w:color="auto"/>
            <w:bottom w:val="none" w:sz="0" w:space="0" w:color="auto"/>
            <w:right w:val="none" w:sz="0" w:space="0" w:color="auto"/>
          </w:divBdr>
        </w:div>
        <w:div w:id="1132092421">
          <w:marLeft w:val="0"/>
          <w:marRight w:val="0"/>
          <w:marTop w:val="0"/>
          <w:marBottom w:val="0"/>
          <w:divBdr>
            <w:top w:val="none" w:sz="0" w:space="0" w:color="auto"/>
            <w:left w:val="none" w:sz="0" w:space="0" w:color="auto"/>
            <w:bottom w:val="none" w:sz="0" w:space="0" w:color="auto"/>
            <w:right w:val="none" w:sz="0" w:space="0" w:color="auto"/>
          </w:divBdr>
        </w:div>
        <w:div w:id="1569459871">
          <w:marLeft w:val="0"/>
          <w:marRight w:val="0"/>
          <w:marTop w:val="0"/>
          <w:marBottom w:val="0"/>
          <w:divBdr>
            <w:top w:val="none" w:sz="0" w:space="0" w:color="auto"/>
            <w:left w:val="none" w:sz="0" w:space="0" w:color="auto"/>
            <w:bottom w:val="none" w:sz="0" w:space="0" w:color="auto"/>
            <w:right w:val="none" w:sz="0" w:space="0" w:color="auto"/>
          </w:divBdr>
        </w:div>
        <w:div w:id="2123573788">
          <w:marLeft w:val="0"/>
          <w:marRight w:val="0"/>
          <w:marTop w:val="0"/>
          <w:marBottom w:val="0"/>
          <w:divBdr>
            <w:top w:val="none" w:sz="0" w:space="0" w:color="auto"/>
            <w:left w:val="none" w:sz="0" w:space="0" w:color="auto"/>
            <w:bottom w:val="none" w:sz="0" w:space="0" w:color="auto"/>
            <w:right w:val="none" w:sz="0" w:space="0" w:color="auto"/>
          </w:divBdr>
        </w:div>
        <w:div w:id="463542758">
          <w:marLeft w:val="0"/>
          <w:marRight w:val="0"/>
          <w:marTop w:val="0"/>
          <w:marBottom w:val="0"/>
          <w:divBdr>
            <w:top w:val="none" w:sz="0" w:space="0" w:color="auto"/>
            <w:left w:val="none" w:sz="0" w:space="0" w:color="auto"/>
            <w:bottom w:val="none" w:sz="0" w:space="0" w:color="auto"/>
            <w:right w:val="none" w:sz="0" w:space="0" w:color="auto"/>
          </w:divBdr>
        </w:div>
        <w:div w:id="767821550">
          <w:marLeft w:val="0"/>
          <w:marRight w:val="0"/>
          <w:marTop w:val="0"/>
          <w:marBottom w:val="0"/>
          <w:divBdr>
            <w:top w:val="none" w:sz="0" w:space="0" w:color="auto"/>
            <w:left w:val="none" w:sz="0" w:space="0" w:color="auto"/>
            <w:bottom w:val="none" w:sz="0" w:space="0" w:color="auto"/>
            <w:right w:val="none" w:sz="0" w:space="0" w:color="auto"/>
          </w:divBdr>
        </w:div>
        <w:div w:id="1386640956">
          <w:marLeft w:val="0"/>
          <w:marRight w:val="0"/>
          <w:marTop w:val="0"/>
          <w:marBottom w:val="0"/>
          <w:divBdr>
            <w:top w:val="none" w:sz="0" w:space="0" w:color="auto"/>
            <w:left w:val="none" w:sz="0" w:space="0" w:color="auto"/>
            <w:bottom w:val="none" w:sz="0" w:space="0" w:color="auto"/>
            <w:right w:val="none" w:sz="0" w:space="0" w:color="auto"/>
          </w:divBdr>
        </w:div>
        <w:div w:id="304824829">
          <w:marLeft w:val="0"/>
          <w:marRight w:val="0"/>
          <w:marTop w:val="0"/>
          <w:marBottom w:val="0"/>
          <w:divBdr>
            <w:top w:val="none" w:sz="0" w:space="0" w:color="auto"/>
            <w:left w:val="none" w:sz="0" w:space="0" w:color="auto"/>
            <w:bottom w:val="none" w:sz="0" w:space="0" w:color="auto"/>
            <w:right w:val="none" w:sz="0" w:space="0" w:color="auto"/>
          </w:divBdr>
        </w:div>
        <w:div w:id="764770610">
          <w:marLeft w:val="0"/>
          <w:marRight w:val="0"/>
          <w:marTop w:val="0"/>
          <w:marBottom w:val="0"/>
          <w:divBdr>
            <w:top w:val="none" w:sz="0" w:space="0" w:color="auto"/>
            <w:left w:val="none" w:sz="0" w:space="0" w:color="auto"/>
            <w:bottom w:val="none" w:sz="0" w:space="0" w:color="auto"/>
            <w:right w:val="none" w:sz="0" w:space="0" w:color="auto"/>
          </w:divBdr>
        </w:div>
        <w:div w:id="847597016">
          <w:marLeft w:val="0"/>
          <w:marRight w:val="0"/>
          <w:marTop w:val="0"/>
          <w:marBottom w:val="0"/>
          <w:divBdr>
            <w:top w:val="none" w:sz="0" w:space="0" w:color="auto"/>
            <w:left w:val="none" w:sz="0" w:space="0" w:color="auto"/>
            <w:bottom w:val="none" w:sz="0" w:space="0" w:color="auto"/>
            <w:right w:val="none" w:sz="0" w:space="0" w:color="auto"/>
          </w:divBdr>
        </w:div>
        <w:div w:id="2015722103">
          <w:marLeft w:val="0"/>
          <w:marRight w:val="0"/>
          <w:marTop w:val="0"/>
          <w:marBottom w:val="0"/>
          <w:divBdr>
            <w:top w:val="none" w:sz="0" w:space="0" w:color="auto"/>
            <w:left w:val="none" w:sz="0" w:space="0" w:color="auto"/>
            <w:bottom w:val="none" w:sz="0" w:space="0" w:color="auto"/>
            <w:right w:val="none" w:sz="0" w:space="0" w:color="auto"/>
          </w:divBdr>
        </w:div>
        <w:div w:id="1180465105">
          <w:marLeft w:val="0"/>
          <w:marRight w:val="0"/>
          <w:marTop w:val="0"/>
          <w:marBottom w:val="0"/>
          <w:divBdr>
            <w:top w:val="none" w:sz="0" w:space="0" w:color="auto"/>
            <w:left w:val="none" w:sz="0" w:space="0" w:color="auto"/>
            <w:bottom w:val="none" w:sz="0" w:space="0" w:color="auto"/>
            <w:right w:val="none" w:sz="0" w:space="0" w:color="auto"/>
          </w:divBdr>
        </w:div>
        <w:div w:id="827667789">
          <w:marLeft w:val="0"/>
          <w:marRight w:val="0"/>
          <w:marTop w:val="0"/>
          <w:marBottom w:val="0"/>
          <w:divBdr>
            <w:top w:val="none" w:sz="0" w:space="0" w:color="auto"/>
            <w:left w:val="none" w:sz="0" w:space="0" w:color="auto"/>
            <w:bottom w:val="none" w:sz="0" w:space="0" w:color="auto"/>
            <w:right w:val="none" w:sz="0" w:space="0" w:color="auto"/>
          </w:divBdr>
        </w:div>
        <w:div w:id="1385062433">
          <w:marLeft w:val="0"/>
          <w:marRight w:val="0"/>
          <w:marTop w:val="0"/>
          <w:marBottom w:val="0"/>
          <w:divBdr>
            <w:top w:val="none" w:sz="0" w:space="0" w:color="auto"/>
            <w:left w:val="none" w:sz="0" w:space="0" w:color="auto"/>
            <w:bottom w:val="none" w:sz="0" w:space="0" w:color="auto"/>
            <w:right w:val="none" w:sz="0" w:space="0" w:color="auto"/>
          </w:divBdr>
        </w:div>
        <w:div w:id="1688943621">
          <w:marLeft w:val="0"/>
          <w:marRight w:val="0"/>
          <w:marTop w:val="0"/>
          <w:marBottom w:val="0"/>
          <w:divBdr>
            <w:top w:val="none" w:sz="0" w:space="0" w:color="auto"/>
            <w:left w:val="none" w:sz="0" w:space="0" w:color="auto"/>
            <w:bottom w:val="none" w:sz="0" w:space="0" w:color="auto"/>
            <w:right w:val="none" w:sz="0" w:space="0" w:color="auto"/>
          </w:divBdr>
        </w:div>
        <w:div w:id="831024916">
          <w:marLeft w:val="0"/>
          <w:marRight w:val="0"/>
          <w:marTop w:val="0"/>
          <w:marBottom w:val="0"/>
          <w:divBdr>
            <w:top w:val="none" w:sz="0" w:space="0" w:color="auto"/>
            <w:left w:val="none" w:sz="0" w:space="0" w:color="auto"/>
            <w:bottom w:val="none" w:sz="0" w:space="0" w:color="auto"/>
            <w:right w:val="none" w:sz="0" w:space="0" w:color="auto"/>
          </w:divBdr>
        </w:div>
        <w:div w:id="58554659">
          <w:marLeft w:val="0"/>
          <w:marRight w:val="0"/>
          <w:marTop w:val="0"/>
          <w:marBottom w:val="0"/>
          <w:divBdr>
            <w:top w:val="none" w:sz="0" w:space="0" w:color="auto"/>
            <w:left w:val="none" w:sz="0" w:space="0" w:color="auto"/>
            <w:bottom w:val="none" w:sz="0" w:space="0" w:color="auto"/>
            <w:right w:val="none" w:sz="0" w:space="0" w:color="auto"/>
          </w:divBdr>
        </w:div>
        <w:div w:id="1780366795">
          <w:marLeft w:val="0"/>
          <w:marRight w:val="0"/>
          <w:marTop w:val="0"/>
          <w:marBottom w:val="0"/>
          <w:divBdr>
            <w:top w:val="none" w:sz="0" w:space="0" w:color="auto"/>
            <w:left w:val="none" w:sz="0" w:space="0" w:color="auto"/>
            <w:bottom w:val="none" w:sz="0" w:space="0" w:color="auto"/>
            <w:right w:val="none" w:sz="0" w:space="0" w:color="auto"/>
          </w:divBdr>
        </w:div>
        <w:div w:id="670988903">
          <w:marLeft w:val="0"/>
          <w:marRight w:val="0"/>
          <w:marTop w:val="0"/>
          <w:marBottom w:val="0"/>
          <w:divBdr>
            <w:top w:val="none" w:sz="0" w:space="0" w:color="auto"/>
            <w:left w:val="none" w:sz="0" w:space="0" w:color="auto"/>
            <w:bottom w:val="none" w:sz="0" w:space="0" w:color="auto"/>
            <w:right w:val="none" w:sz="0" w:space="0" w:color="auto"/>
          </w:divBdr>
        </w:div>
        <w:div w:id="1650010697">
          <w:marLeft w:val="0"/>
          <w:marRight w:val="0"/>
          <w:marTop w:val="0"/>
          <w:marBottom w:val="0"/>
          <w:divBdr>
            <w:top w:val="none" w:sz="0" w:space="0" w:color="auto"/>
            <w:left w:val="none" w:sz="0" w:space="0" w:color="auto"/>
            <w:bottom w:val="none" w:sz="0" w:space="0" w:color="auto"/>
            <w:right w:val="none" w:sz="0" w:space="0" w:color="auto"/>
          </w:divBdr>
        </w:div>
        <w:div w:id="1285037378">
          <w:marLeft w:val="0"/>
          <w:marRight w:val="0"/>
          <w:marTop w:val="0"/>
          <w:marBottom w:val="0"/>
          <w:divBdr>
            <w:top w:val="none" w:sz="0" w:space="0" w:color="auto"/>
            <w:left w:val="none" w:sz="0" w:space="0" w:color="auto"/>
            <w:bottom w:val="none" w:sz="0" w:space="0" w:color="auto"/>
            <w:right w:val="none" w:sz="0" w:space="0" w:color="auto"/>
          </w:divBdr>
        </w:div>
      </w:divsChild>
    </w:div>
    <w:div w:id="38748654">
      <w:bodyDiv w:val="1"/>
      <w:marLeft w:val="0"/>
      <w:marRight w:val="0"/>
      <w:marTop w:val="0"/>
      <w:marBottom w:val="0"/>
      <w:divBdr>
        <w:top w:val="none" w:sz="0" w:space="0" w:color="auto"/>
        <w:left w:val="none" w:sz="0" w:space="0" w:color="auto"/>
        <w:bottom w:val="none" w:sz="0" w:space="0" w:color="auto"/>
        <w:right w:val="none" w:sz="0" w:space="0" w:color="auto"/>
      </w:divBdr>
    </w:div>
    <w:div w:id="42826555">
      <w:bodyDiv w:val="1"/>
      <w:marLeft w:val="0"/>
      <w:marRight w:val="0"/>
      <w:marTop w:val="0"/>
      <w:marBottom w:val="0"/>
      <w:divBdr>
        <w:top w:val="none" w:sz="0" w:space="0" w:color="auto"/>
        <w:left w:val="none" w:sz="0" w:space="0" w:color="auto"/>
        <w:bottom w:val="none" w:sz="0" w:space="0" w:color="auto"/>
        <w:right w:val="none" w:sz="0" w:space="0" w:color="auto"/>
      </w:divBdr>
    </w:div>
    <w:div w:id="44527007">
      <w:bodyDiv w:val="1"/>
      <w:marLeft w:val="0"/>
      <w:marRight w:val="0"/>
      <w:marTop w:val="0"/>
      <w:marBottom w:val="0"/>
      <w:divBdr>
        <w:top w:val="none" w:sz="0" w:space="0" w:color="auto"/>
        <w:left w:val="none" w:sz="0" w:space="0" w:color="auto"/>
        <w:bottom w:val="none" w:sz="0" w:space="0" w:color="auto"/>
        <w:right w:val="none" w:sz="0" w:space="0" w:color="auto"/>
      </w:divBdr>
    </w:div>
    <w:div w:id="51082171">
      <w:bodyDiv w:val="1"/>
      <w:marLeft w:val="0"/>
      <w:marRight w:val="0"/>
      <w:marTop w:val="0"/>
      <w:marBottom w:val="0"/>
      <w:divBdr>
        <w:top w:val="none" w:sz="0" w:space="0" w:color="auto"/>
        <w:left w:val="none" w:sz="0" w:space="0" w:color="auto"/>
        <w:bottom w:val="none" w:sz="0" w:space="0" w:color="auto"/>
        <w:right w:val="none" w:sz="0" w:space="0" w:color="auto"/>
      </w:divBdr>
    </w:div>
    <w:div w:id="54356867">
      <w:bodyDiv w:val="1"/>
      <w:marLeft w:val="0"/>
      <w:marRight w:val="0"/>
      <w:marTop w:val="0"/>
      <w:marBottom w:val="0"/>
      <w:divBdr>
        <w:top w:val="none" w:sz="0" w:space="0" w:color="auto"/>
        <w:left w:val="none" w:sz="0" w:space="0" w:color="auto"/>
        <w:bottom w:val="none" w:sz="0" w:space="0" w:color="auto"/>
        <w:right w:val="none" w:sz="0" w:space="0" w:color="auto"/>
      </w:divBdr>
    </w:div>
    <w:div w:id="58673668">
      <w:bodyDiv w:val="1"/>
      <w:marLeft w:val="0"/>
      <w:marRight w:val="0"/>
      <w:marTop w:val="0"/>
      <w:marBottom w:val="0"/>
      <w:divBdr>
        <w:top w:val="none" w:sz="0" w:space="0" w:color="auto"/>
        <w:left w:val="none" w:sz="0" w:space="0" w:color="auto"/>
        <w:bottom w:val="none" w:sz="0" w:space="0" w:color="auto"/>
        <w:right w:val="none" w:sz="0" w:space="0" w:color="auto"/>
      </w:divBdr>
    </w:div>
    <w:div w:id="64572798">
      <w:bodyDiv w:val="1"/>
      <w:marLeft w:val="0"/>
      <w:marRight w:val="0"/>
      <w:marTop w:val="0"/>
      <w:marBottom w:val="0"/>
      <w:divBdr>
        <w:top w:val="none" w:sz="0" w:space="0" w:color="auto"/>
        <w:left w:val="none" w:sz="0" w:space="0" w:color="auto"/>
        <w:bottom w:val="none" w:sz="0" w:space="0" w:color="auto"/>
        <w:right w:val="none" w:sz="0" w:space="0" w:color="auto"/>
      </w:divBdr>
    </w:div>
    <w:div w:id="64762157">
      <w:bodyDiv w:val="1"/>
      <w:marLeft w:val="0"/>
      <w:marRight w:val="0"/>
      <w:marTop w:val="0"/>
      <w:marBottom w:val="0"/>
      <w:divBdr>
        <w:top w:val="none" w:sz="0" w:space="0" w:color="auto"/>
        <w:left w:val="none" w:sz="0" w:space="0" w:color="auto"/>
        <w:bottom w:val="none" w:sz="0" w:space="0" w:color="auto"/>
        <w:right w:val="none" w:sz="0" w:space="0" w:color="auto"/>
      </w:divBdr>
      <w:divsChild>
        <w:div w:id="1615012710">
          <w:marLeft w:val="0"/>
          <w:marRight w:val="0"/>
          <w:marTop w:val="0"/>
          <w:marBottom w:val="0"/>
          <w:divBdr>
            <w:top w:val="none" w:sz="0" w:space="0" w:color="auto"/>
            <w:left w:val="none" w:sz="0" w:space="0" w:color="auto"/>
            <w:bottom w:val="none" w:sz="0" w:space="0" w:color="auto"/>
            <w:right w:val="none" w:sz="0" w:space="0" w:color="auto"/>
          </w:divBdr>
        </w:div>
      </w:divsChild>
    </w:div>
    <w:div w:id="66343589">
      <w:bodyDiv w:val="1"/>
      <w:marLeft w:val="0"/>
      <w:marRight w:val="0"/>
      <w:marTop w:val="0"/>
      <w:marBottom w:val="0"/>
      <w:divBdr>
        <w:top w:val="none" w:sz="0" w:space="0" w:color="auto"/>
        <w:left w:val="none" w:sz="0" w:space="0" w:color="auto"/>
        <w:bottom w:val="none" w:sz="0" w:space="0" w:color="auto"/>
        <w:right w:val="none" w:sz="0" w:space="0" w:color="auto"/>
      </w:divBdr>
    </w:div>
    <w:div w:id="71195577">
      <w:bodyDiv w:val="1"/>
      <w:marLeft w:val="0"/>
      <w:marRight w:val="0"/>
      <w:marTop w:val="0"/>
      <w:marBottom w:val="0"/>
      <w:divBdr>
        <w:top w:val="none" w:sz="0" w:space="0" w:color="auto"/>
        <w:left w:val="none" w:sz="0" w:space="0" w:color="auto"/>
        <w:bottom w:val="none" w:sz="0" w:space="0" w:color="auto"/>
        <w:right w:val="none" w:sz="0" w:space="0" w:color="auto"/>
      </w:divBdr>
    </w:div>
    <w:div w:id="73279492">
      <w:bodyDiv w:val="1"/>
      <w:marLeft w:val="0"/>
      <w:marRight w:val="0"/>
      <w:marTop w:val="0"/>
      <w:marBottom w:val="0"/>
      <w:divBdr>
        <w:top w:val="none" w:sz="0" w:space="0" w:color="auto"/>
        <w:left w:val="none" w:sz="0" w:space="0" w:color="auto"/>
        <w:bottom w:val="none" w:sz="0" w:space="0" w:color="auto"/>
        <w:right w:val="none" w:sz="0" w:space="0" w:color="auto"/>
      </w:divBdr>
    </w:div>
    <w:div w:id="74254284">
      <w:bodyDiv w:val="1"/>
      <w:marLeft w:val="0"/>
      <w:marRight w:val="0"/>
      <w:marTop w:val="0"/>
      <w:marBottom w:val="0"/>
      <w:divBdr>
        <w:top w:val="none" w:sz="0" w:space="0" w:color="auto"/>
        <w:left w:val="none" w:sz="0" w:space="0" w:color="auto"/>
        <w:bottom w:val="none" w:sz="0" w:space="0" w:color="auto"/>
        <w:right w:val="none" w:sz="0" w:space="0" w:color="auto"/>
      </w:divBdr>
    </w:div>
    <w:div w:id="74280638">
      <w:bodyDiv w:val="1"/>
      <w:marLeft w:val="0"/>
      <w:marRight w:val="0"/>
      <w:marTop w:val="0"/>
      <w:marBottom w:val="0"/>
      <w:divBdr>
        <w:top w:val="none" w:sz="0" w:space="0" w:color="auto"/>
        <w:left w:val="none" w:sz="0" w:space="0" w:color="auto"/>
        <w:bottom w:val="none" w:sz="0" w:space="0" w:color="auto"/>
        <w:right w:val="none" w:sz="0" w:space="0" w:color="auto"/>
      </w:divBdr>
    </w:div>
    <w:div w:id="78141133">
      <w:bodyDiv w:val="1"/>
      <w:marLeft w:val="0"/>
      <w:marRight w:val="0"/>
      <w:marTop w:val="0"/>
      <w:marBottom w:val="0"/>
      <w:divBdr>
        <w:top w:val="none" w:sz="0" w:space="0" w:color="auto"/>
        <w:left w:val="none" w:sz="0" w:space="0" w:color="auto"/>
        <w:bottom w:val="none" w:sz="0" w:space="0" w:color="auto"/>
        <w:right w:val="none" w:sz="0" w:space="0" w:color="auto"/>
      </w:divBdr>
    </w:div>
    <w:div w:id="78143174">
      <w:bodyDiv w:val="1"/>
      <w:marLeft w:val="0"/>
      <w:marRight w:val="0"/>
      <w:marTop w:val="0"/>
      <w:marBottom w:val="0"/>
      <w:divBdr>
        <w:top w:val="none" w:sz="0" w:space="0" w:color="auto"/>
        <w:left w:val="none" w:sz="0" w:space="0" w:color="auto"/>
        <w:bottom w:val="none" w:sz="0" w:space="0" w:color="auto"/>
        <w:right w:val="none" w:sz="0" w:space="0" w:color="auto"/>
      </w:divBdr>
    </w:div>
    <w:div w:id="83497711">
      <w:bodyDiv w:val="1"/>
      <w:marLeft w:val="0"/>
      <w:marRight w:val="0"/>
      <w:marTop w:val="0"/>
      <w:marBottom w:val="0"/>
      <w:divBdr>
        <w:top w:val="none" w:sz="0" w:space="0" w:color="auto"/>
        <w:left w:val="none" w:sz="0" w:space="0" w:color="auto"/>
        <w:bottom w:val="none" w:sz="0" w:space="0" w:color="auto"/>
        <w:right w:val="none" w:sz="0" w:space="0" w:color="auto"/>
      </w:divBdr>
    </w:div>
    <w:div w:id="86271895">
      <w:bodyDiv w:val="1"/>
      <w:marLeft w:val="0"/>
      <w:marRight w:val="0"/>
      <w:marTop w:val="0"/>
      <w:marBottom w:val="0"/>
      <w:divBdr>
        <w:top w:val="none" w:sz="0" w:space="0" w:color="auto"/>
        <w:left w:val="none" w:sz="0" w:space="0" w:color="auto"/>
        <w:bottom w:val="none" w:sz="0" w:space="0" w:color="auto"/>
        <w:right w:val="none" w:sz="0" w:space="0" w:color="auto"/>
      </w:divBdr>
    </w:div>
    <w:div w:id="87847649">
      <w:bodyDiv w:val="1"/>
      <w:marLeft w:val="0"/>
      <w:marRight w:val="0"/>
      <w:marTop w:val="0"/>
      <w:marBottom w:val="0"/>
      <w:divBdr>
        <w:top w:val="none" w:sz="0" w:space="0" w:color="auto"/>
        <w:left w:val="none" w:sz="0" w:space="0" w:color="auto"/>
        <w:bottom w:val="none" w:sz="0" w:space="0" w:color="auto"/>
        <w:right w:val="none" w:sz="0" w:space="0" w:color="auto"/>
      </w:divBdr>
    </w:div>
    <w:div w:id="91901644">
      <w:bodyDiv w:val="1"/>
      <w:marLeft w:val="0"/>
      <w:marRight w:val="0"/>
      <w:marTop w:val="0"/>
      <w:marBottom w:val="0"/>
      <w:divBdr>
        <w:top w:val="none" w:sz="0" w:space="0" w:color="auto"/>
        <w:left w:val="none" w:sz="0" w:space="0" w:color="auto"/>
        <w:bottom w:val="none" w:sz="0" w:space="0" w:color="auto"/>
        <w:right w:val="none" w:sz="0" w:space="0" w:color="auto"/>
      </w:divBdr>
    </w:div>
    <w:div w:id="94207537">
      <w:bodyDiv w:val="1"/>
      <w:marLeft w:val="0"/>
      <w:marRight w:val="0"/>
      <w:marTop w:val="0"/>
      <w:marBottom w:val="0"/>
      <w:divBdr>
        <w:top w:val="none" w:sz="0" w:space="0" w:color="auto"/>
        <w:left w:val="none" w:sz="0" w:space="0" w:color="auto"/>
        <w:bottom w:val="none" w:sz="0" w:space="0" w:color="auto"/>
        <w:right w:val="none" w:sz="0" w:space="0" w:color="auto"/>
      </w:divBdr>
    </w:div>
    <w:div w:id="95370907">
      <w:bodyDiv w:val="1"/>
      <w:marLeft w:val="0"/>
      <w:marRight w:val="0"/>
      <w:marTop w:val="0"/>
      <w:marBottom w:val="0"/>
      <w:divBdr>
        <w:top w:val="none" w:sz="0" w:space="0" w:color="auto"/>
        <w:left w:val="none" w:sz="0" w:space="0" w:color="auto"/>
        <w:bottom w:val="none" w:sz="0" w:space="0" w:color="auto"/>
        <w:right w:val="none" w:sz="0" w:space="0" w:color="auto"/>
      </w:divBdr>
    </w:div>
    <w:div w:id="96216600">
      <w:bodyDiv w:val="1"/>
      <w:marLeft w:val="0"/>
      <w:marRight w:val="0"/>
      <w:marTop w:val="0"/>
      <w:marBottom w:val="0"/>
      <w:divBdr>
        <w:top w:val="none" w:sz="0" w:space="0" w:color="auto"/>
        <w:left w:val="none" w:sz="0" w:space="0" w:color="auto"/>
        <w:bottom w:val="none" w:sz="0" w:space="0" w:color="auto"/>
        <w:right w:val="none" w:sz="0" w:space="0" w:color="auto"/>
      </w:divBdr>
    </w:div>
    <w:div w:id="102119371">
      <w:bodyDiv w:val="1"/>
      <w:marLeft w:val="0"/>
      <w:marRight w:val="0"/>
      <w:marTop w:val="0"/>
      <w:marBottom w:val="0"/>
      <w:divBdr>
        <w:top w:val="none" w:sz="0" w:space="0" w:color="auto"/>
        <w:left w:val="none" w:sz="0" w:space="0" w:color="auto"/>
        <w:bottom w:val="none" w:sz="0" w:space="0" w:color="auto"/>
        <w:right w:val="none" w:sz="0" w:space="0" w:color="auto"/>
      </w:divBdr>
    </w:div>
    <w:div w:id="104859289">
      <w:bodyDiv w:val="1"/>
      <w:marLeft w:val="0"/>
      <w:marRight w:val="0"/>
      <w:marTop w:val="0"/>
      <w:marBottom w:val="0"/>
      <w:divBdr>
        <w:top w:val="none" w:sz="0" w:space="0" w:color="auto"/>
        <w:left w:val="none" w:sz="0" w:space="0" w:color="auto"/>
        <w:bottom w:val="none" w:sz="0" w:space="0" w:color="auto"/>
        <w:right w:val="none" w:sz="0" w:space="0" w:color="auto"/>
      </w:divBdr>
    </w:div>
    <w:div w:id="108210149">
      <w:bodyDiv w:val="1"/>
      <w:marLeft w:val="0"/>
      <w:marRight w:val="0"/>
      <w:marTop w:val="0"/>
      <w:marBottom w:val="0"/>
      <w:divBdr>
        <w:top w:val="none" w:sz="0" w:space="0" w:color="auto"/>
        <w:left w:val="none" w:sz="0" w:space="0" w:color="auto"/>
        <w:bottom w:val="none" w:sz="0" w:space="0" w:color="auto"/>
        <w:right w:val="none" w:sz="0" w:space="0" w:color="auto"/>
      </w:divBdr>
    </w:div>
    <w:div w:id="116459435">
      <w:bodyDiv w:val="1"/>
      <w:marLeft w:val="0"/>
      <w:marRight w:val="0"/>
      <w:marTop w:val="0"/>
      <w:marBottom w:val="0"/>
      <w:divBdr>
        <w:top w:val="none" w:sz="0" w:space="0" w:color="auto"/>
        <w:left w:val="none" w:sz="0" w:space="0" w:color="auto"/>
        <w:bottom w:val="none" w:sz="0" w:space="0" w:color="auto"/>
        <w:right w:val="none" w:sz="0" w:space="0" w:color="auto"/>
      </w:divBdr>
    </w:div>
    <w:div w:id="121578532">
      <w:bodyDiv w:val="1"/>
      <w:marLeft w:val="0"/>
      <w:marRight w:val="0"/>
      <w:marTop w:val="0"/>
      <w:marBottom w:val="0"/>
      <w:divBdr>
        <w:top w:val="none" w:sz="0" w:space="0" w:color="auto"/>
        <w:left w:val="none" w:sz="0" w:space="0" w:color="auto"/>
        <w:bottom w:val="none" w:sz="0" w:space="0" w:color="auto"/>
        <w:right w:val="none" w:sz="0" w:space="0" w:color="auto"/>
      </w:divBdr>
    </w:div>
    <w:div w:id="123541782">
      <w:bodyDiv w:val="1"/>
      <w:marLeft w:val="0"/>
      <w:marRight w:val="0"/>
      <w:marTop w:val="0"/>
      <w:marBottom w:val="0"/>
      <w:divBdr>
        <w:top w:val="none" w:sz="0" w:space="0" w:color="auto"/>
        <w:left w:val="none" w:sz="0" w:space="0" w:color="auto"/>
        <w:bottom w:val="none" w:sz="0" w:space="0" w:color="auto"/>
        <w:right w:val="none" w:sz="0" w:space="0" w:color="auto"/>
      </w:divBdr>
    </w:div>
    <w:div w:id="127213224">
      <w:bodyDiv w:val="1"/>
      <w:marLeft w:val="0"/>
      <w:marRight w:val="0"/>
      <w:marTop w:val="0"/>
      <w:marBottom w:val="0"/>
      <w:divBdr>
        <w:top w:val="none" w:sz="0" w:space="0" w:color="auto"/>
        <w:left w:val="none" w:sz="0" w:space="0" w:color="auto"/>
        <w:bottom w:val="none" w:sz="0" w:space="0" w:color="auto"/>
        <w:right w:val="none" w:sz="0" w:space="0" w:color="auto"/>
      </w:divBdr>
    </w:div>
    <w:div w:id="127403914">
      <w:bodyDiv w:val="1"/>
      <w:marLeft w:val="0"/>
      <w:marRight w:val="0"/>
      <w:marTop w:val="0"/>
      <w:marBottom w:val="0"/>
      <w:divBdr>
        <w:top w:val="none" w:sz="0" w:space="0" w:color="auto"/>
        <w:left w:val="none" w:sz="0" w:space="0" w:color="auto"/>
        <w:bottom w:val="none" w:sz="0" w:space="0" w:color="auto"/>
        <w:right w:val="none" w:sz="0" w:space="0" w:color="auto"/>
      </w:divBdr>
    </w:div>
    <w:div w:id="131095717">
      <w:bodyDiv w:val="1"/>
      <w:marLeft w:val="0"/>
      <w:marRight w:val="0"/>
      <w:marTop w:val="0"/>
      <w:marBottom w:val="0"/>
      <w:divBdr>
        <w:top w:val="none" w:sz="0" w:space="0" w:color="auto"/>
        <w:left w:val="none" w:sz="0" w:space="0" w:color="auto"/>
        <w:bottom w:val="none" w:sz="0" w:space="0" w:color="auto"/>
        <w:right w:val="none" w:sz="0" w:space="0" w:color="auto"/>
      </w:divBdr>
    </w:div>
    <w:div w:id="133067749">
      <w:bodyDiv w:val="1"/>
      <w:marLeft w:val="0"/>
      <w:marRight w:val="0"/>
      <w:marTop w:val="0"/>
      <w:marBottom w:val="0"/>
      <w:divBdr>
        <w:top w:val="none" w:sz="0" w:space="0" w:color="auto"/>
        <w:left w:val="none" w:sz="0" w:space="0" w:color="auto"/>
        <w:bottom w:val="none" w:sz="0" w:space="0" w:color="auto"/>
        <w:right w:val="none" w:sz="0" w:space="0" w:color="auto"/>
      </w:divBdr>
    </w:div>
    <w:div w:id="134763259">
      <w:bodyDiv w:val="1"/>
      <w:marLeft w:val="0"/>
      <w:marRight w:val="0"/>
      <w:marTop w:val="0"/>
      <w:marBottom w:val="0"/>
      <w:divBdr>
        <w:top w:val="none" w:sz="0" w:space="0" w:color="auto"/>
        <w:left w:val="none" w:sz="0" w:space="0" w:color="auto"/>
        <w:bottom w:val="none" w:sz="0" w:space="0" w:color="auto"/>
        <w:right w:val="none" w:sz="0" w:space="0" w:color="auto"/>
      </w:divBdr>
      <w:divsChild>
        <w:div w:id="170611104">
          <w:marLeft w:val="0"/>
          <w:marRight w:val="83"/>
          <w:marTop w:val="0"/>
          <w:marBottom w:val="0"/>
          <w:divBdr>
            <w:top w:val="none" w:sz="0" w:space="0" w:color="auto"/>
            <w:left w:val="none" w:sz="0" w:space="0" w:color="auto"/>
            <w:bottom w:val="none" w:sz="0" w:space="0" w:color="auto"/>
            <w:right w:val="none" w:sz="0" w:space="0" w:color="auto"/>
          </w:divBdr>
        </w:div>
        <w:div w:id="1727146921">
          <w:marLeft w:val="0"/>
          <w:marRight w:val="0"/>
          <w:marTop w:val="0"/>
          <w:marBottom w:val="0"/>
          <w:divBdr>
            <w:top w:val="none" w:sz="0" w:space="0" w:color="auto"/>
            <w:left w:val="none" w:sz="0" w:space="0" w:color="auto"/>
            <w:bottom w:val="none" w:sz="0" w:space="0" w:color="auto"/>
            <w:right w:val="none" w:sz="0" w:space="0" w:color="auto"/>
          </w:divBdr>
          <w:divsChild>
            <w:div w:id="1770270629">
              <w:marLeft w:val="0"/>
              <w:marRight w:val="0"/>
              <w:marTop w:val="0"/>
              <w:marBottom w:val="0"/>
              <w:divBdr>
                <w:top w:val="none" w:sz="0" w:space="0" w:color="auto"/>
                <w:left w:val="none" w:sz="0" w:space="0" w:color="auto"/>
                <w:bottom w:val="none" w:sz="0" w:space="0" w:color="auto"/>
                <w:right w:val="none" w:sz="0" w:space="0" w:color="auto"/>
              </w:divBdr>
              <w:divsChild>
                <w:div w:id="1938443985">
                  <w:marLeft w:val="0"/>
                  <w:marRight w:val="0"/>
                  <w:marTop w:val="0"/>
                  <w:marBottom w:val="0"/>
                  <w:divBdr>
                    <w:top w:val="none" w:sz="0" w:space="0" w:color="auto"/>
                    <w:left w:val="none" w:sz="0" w:space="0" w:color="auto"/>
                    <w:bottom w:val="none" w:sz="0" w:space="0" w:color="auto"/>
                    <w:right w:val="none" w:sz="0" w:space="0" w:color="auto"/>
                  </w:divBdr>
                  <w:divsChild>
                    <w:div w:id="187302444">
                      <w:marLeft w:val="0"/>
                      <w:marRight w:val="0"/>
                      <w:marTop w:val="0"/>
                      <w:marBottom w:val="0"/>
                      <w:divBdr>
                        <w:top w:val="none" w:sz="0" w:space="0" w:color="auto"/>
                        <w:left w:val="none" w:sz="0" w:space="0" w:color="auto"/>
                        <w:bottom w:val="none" w:sz="0" w:space="0" w:color="auto"/>
                        <w:right w:val="none" w:sz="0" w:space="0" w:color="auto"/>
                      </w:divBdr>
                    </w:div>
                    <w:div w:id="1297759539">
                      <w:marLeft w:val="0"/>
                      <w:marRight w:val="0"/>
                      <w:marTop w:val="0"/>
                      <w:marBottom w:val="0"/>
                      <w:divBdr>
                        <w:top w:val="none" w:sz="0" w:space="0" w:color="auto"/>
                        <w:left w:val="none" w:sz="0" w:space="0" w:color="auto"/>
                        <w:bottom w:val="none" w:sz="0" w:space="0" w:color="auto"/>
                        <w:right w:val="none" w:sz="0" w:space="0" w:color="auto"/>
                      </w:divBdr>
                    </w:div>
                  </w:divsChild>
                </w:div>
                <w:div w:id="1221552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269101">
      <w:bodyDiv w:val="1"/>
      <w:marLeft w:val="0"/>
      <w:marRight w:val="0"/>
      <w:marTop w:val="0"/>
      <w:marBottom w:val="0"/>
      <w:divBdr>
        <w:top w:val="none" w:sz="0" w:space="0" w:color="auto"/>
        <w:left w:val="none" w:sz="0" w:space="0" w:color="auto"/>
        <w:bottom w:val="none" w:sz="0" w:space="0" w:color="auto"/>
        <w:right w:val="none" w:sz="0" w:space="0" w:color="auto"/>
      </w:divBdr>
    </w:div>
    <w:div w:id="137772914">
      <w:bodyDiv w:val="1"/>
      <w:marLeft w:val="0"/>
      <w:marRight w:val="0"/>
      <w:marTop w:val="0"/>
      <w:marBottom w:val="0"/>
      <w:divBdr>
        <w:top w:val="none" w:sz="0" w:space="0" w:color="auto"/>
        <w:left w:val="none" w:sz="0" w:space="0" w:color="auto"/>
        <w:bottom w:val="none" w:sz="0" w:space="0" w:color="auto"/>
        <w:right w:val="none" w:sz="0" w:space="0" w:color="auto"/>
      </w:divBdr>
    </w:div>
    <w:div w:id="142477579">
      <w:bodyDiv w:val="1"/>
      <w:marLeft w:val="0"/>
      <w:marRight w:val="0"/>
      <w:marTop w:val="0"/>
      <w:marBottom w:val="0"/>
      <w:divBdr>
        <w:top w:val="none" w:sz="0" w:space="0" w:color="auto"/>
        <w:left w:val="none" w:sz="0" w:space="0" w:color="auto"/>
        <w:bottom w:val="none" w:sz="0" w:space="0" w:color="auto"/>
        <w:right w:val="none" w:sz="0" w:space="0" w:color="auto"/>
      </w:divBdr>
    </w:div>
    <w:div w:id="142619773">
      <w:bodyDiv w:val="1"/>
      <w:marLeft w:val="0"/>
      <w:marRight w:val="0"/>
      <w:marTop w:val="0"/>
      <w:marBottom w:val="0"/>
      <w:divBdr>
        <w:top w:val="none" w:sz="0" w:space="0" w:color="auto"/>
        <w:left w:val="none" w:sz="0" w:space="0" w:color="auto"/>
        <w:bottom w:val="none" w:sz="0" w:space="0" w:color="auto"/>
        <w:right w:val="none" w:sz="0" w:space="0" w:color="auto"/>
      </w:divBdr>
    </w:div>
    <w:div w:id="145169973">
      <w:bodyDiv w:val="1"/>
      <w:marLeft w:val="0"/>
      <w:marRight w:val="0"/>
      <w:marTop w:val="0"/>
      <w:marBottom w:val="0"/>
      <w:divBdr>
        <w:top w:val="none" w:sz="0" w:space="0" w:color="auto"/>
        <w:left w:val="none" w:sz="0" w:space="0" w:color="auto"/>
        <w:bottom w:val="none" w:sz="0" w:space="0" w:color="auto"/>
        <w:right w:val="none" w:sz="0" w:space="0" w:color="auto"/>
      </w:divBdr>
    </w:div>
    <w:div w:id="145899346">
      <w:bodyDiv w:val="1"/>
      <w:marLeft w:val="0"/>
      <w:marRight w:val="0"/>
      <w:marTop w:val="0"/>
      <w:marBottom w:val="0"/>
      <w:divBdr>
        <w:top w:val="none" w:sz="0" w:space="0" w:color="auto"/>
        <w:left w:val="none" w:sz="0" w:space="0" w:color="auto"/>
        <w:bottom w:val="none" w:sz="0" w:space="0" w:color="auto"/>
        <w:right w:val="none" w:sz="0" w:space="0" w:color="auto"/>
      </w:divBdr>
    </w:div>
    <w:div w:id="146362950">
      <w:bodyDiv w:val="1"/>
      <w:marLeft w:val="0"/>
      <w:marRight w:val="0"/>
      <w:marTop w:val="0"/>
      <w:marBottom w:val="0"/>
      <w:divBdr>
        <w:top w:val="none" w:sz="0" w:space="0" w:color="auto"/>
        <w:left w:val="none" w:sz="0" w:space="0" w:color="auto"/>
        <w:bottom w:val="none" w:sz="0" w:space="0" w:color="auto"/>
        <w:right w:val="none" w:sz="0" w:space="0" w:color="auto"/>
      </w:divBdr>
    </w:div>
    <w:div w:id="152071680">
      <w:bodyDiv w:val="1"/>
      <w:marLeft w:val="0"/>
      <w:marRight w:val="0"/>
      <w:marTop w:val="0"/>
      <w:marBottom w:val="0"/>
      <w:divBdr>
        <w:top w:val="none" w:sz="0" w:space="0" w:color="auto"/>
        <w:left w:val="none" w:sz="0" w:space="0" w:color="auto"/>
        <w:bottom w:val="none" w:sz="0" w:space="0" w:color="auto"/>
        <w:right w:val="none" w:sz="0" w:space="0" w:color="auto"/>
      </w:divBdr>
    </w:div>
    <w:div w:id="153306833">
      <w:bodyDiv w:val="1"/>
      <w:marLeft w:val="0"/>
      <w:marRight w:val="0"/>
      <w:marTop w:val="0"/>
      <w:marBottom w:val="0"/>
      <w:divBdr>
        <w:top w:val="none" w:sz="0" w:space="0" w:color="auto"/>
        <w:left w:val="none" w:sz="0" w:space="0" w:color="auto"/>
        <w:bottom w:val="none" w:sz="0" w:space="0" w:color="auto"/>
        <w:right w:val="none" w:sz="0" w:space="0" w:color="auto"/>
      </w:divBdr>
    </w:div>
    <w:div w:id="159851390">
      <w:bodyDiv w:val="1"/>
      <w:marLeft w:val="0"/>
      <w:marRight w:val="0"/>
      <w:marTop w:val="0"/>
      <w:marBottom w:val="0"/>
      <w:divBdr>
        <w:top w:val="none" w:sz="0" w:space="0" w:color="auto"/>
        <w:left w:val="none" w:sz="0" w:space="0" w:color="auto"/>
        <w:bottom w:val="none" w:sz="0" w:space="0" w:color="auto"/>
        <w:right w:val="none" w:sz="0" w:space="0" w:color="auto"/>
      </w:divBdr>
    </w:div>
    <w:div w:id="160778333">
      <w:bodyDiv w:val="1"/>
      <w:marLeft w:val="0"/>
      <w:marRight w:val="0"/>
      <w:marTop w:val="0"/>
      <w:marBottom w:val="0"/>
      <w:divBdr>
        <w:top w:val="none" w:sz="0" w:space="0" w:color="auto"/>
        <w:left w:val="none" w:sz="0" w:space="0" w:color="auto"/>
        <w:bottom w:val="none" w:sz="0" w:space="0" w:color="auto"/>
        <w:right w:val="none" w:sz="0" w:space="0" w:color="auto"/>
      </w:divBdr>
    </w:div>
    <w:div w:id="163521453">
      <w:bodyDiv w:val="1"/>
      <w:marLeft w:val="0"/>
      <w:marRight w:val="0"/>
      <w:marTop w:val="0"/>
      <w:marBottom w:val="0"/>
      <w:divBdr>
        <w:top w:val="none" w:sz="0" w:space="0" w:color="auto"/>
        <w:left w:val="none" w:sz="0" w:space="0" w:color="auto"/>
        <w:bottom w:val="none" w:sz="0" w:space="0" w:color="auto"/>
        <w:right w:val="none" w:sz="0" w:space="0" w:color="auto"/>
      </w:divBdr>
    </w:div>
    <w:div w:id="166291667">
      <w:bodyDiv w:val="1"/>
      <w:marLeft w:val="0"/>
      <w:marRight w:val="0"/>
      <w:marTop w:val="0"/>
      <w:marBottom w:val="0"/>
      <w:divBdr>
        <w:top w:val="none" w:sz="0" w:space="0" w:color="auto"/>
        <w:left w:val="none" w:sz="0" w:space="0" w:color="auto"/>
        <w:bottom w:val="none" w:sz="0" w:space="0" w:color="auto"/>
        <w:right w:val="none" w:sz="0" w:space="0" w:color="auto"/>
      </w:divBdr>
    </w:div>
    <w:div w:id="173305058">
      <w:bodyDiv w:val="1"/>
      <w:marLeft w:val="0"/>
      <w:marRight w:val="0"/>
      <w:marTop w:val="0"/>
      <w:marBottom w:val="0"/>
      <w:divBdr>
        <w:top w:val="none" w:sz="0" w:space="0" w:color="auto"/>
        <w:left w:val="none" w:sz="0" w:space="0" w:color="auto"/>
        <w:bottom w:val="none" w:sz="0" w:space="0" w:color="auto"/>
        <w:right w:val="none" w:sz="0" w:space="0" w:color="auto"/>
      </w:divBdr>
    </w:div>
    <w:div w:id="179665496">
      <w:bodyDiv w:val="1"/>
      <w:marLeft w:val="0"/>
      <w:marRight w:val="0"/>
      <w:marTop w:val="0"/>
      <w:marBottom w:val="0"/>
      <w:divBdr>
        <w:top w:val="none" w:sz="0" w:space="0" w:color="auto"/>
        <w:left w:val="none" w:sz="0" w:space="0" w:color="auto"/>
        <w:bottom w:val="none" w:sz="0" w:space="0" w:color="auto"/>
        <w:right w:val="none" w:sz="0" w:space="0" w:color="auto"/>
      </w:divBdr>
    </w:div>
    <w:div w:id="184055054">
      <w:bodyDiv w:val="1"/>
      <w:marLeft w:val="0"/>
      <w:marRight w:val="0"/>
      <w:marTop w:val="0"/>
      <w:marBottom w:val="0"/>
      <w:divBdr>
        <w:top w:val="none" w:sz="0" w:space="0" w:color="auto"/>
        <w:left w:val="none" w:sz="0" w:space="0" w:color="auto"/>
        <w:bottom w:val="none" w:sz="0" w:space="0" w:color="auto"/>
        <w:right w:val="none" w:sz="0" w:space="0" w:color="auto"/>
      </w:divBdr>
    </w:div>
    <w:div w:id="185217778">
      <w:bodyDiv w:val="1"/>
      <w:marLeft w:val="0"/>
      <w:marRight w:val="0"/>
      <w:marTop w:val="0"/>
      <w:marBottom w:val="0"/>
      <w:divBdr>
        <w:top w:val="none" w:sz="0" w:space="0" w:color="auto"/>
        <w:left w:val="none" w:sz="0" w:space="0" w:color="auto"/>
        <w:bottom w:val="none" w:sz="0" w:space="0" w:color="auto"/>
        <w:right w:val="none" w:sz="0" w:space="0" w:color="auto"/>
      </w:divBdr>
    </w:div>
    <w:div w:id="188374425">
      <w:bodyDiv w:val="1"/>
      <w:marLeft w:val="0"/>
      <w:marRight w:val="0"/>
      <w:marTop w:val="0"/>
      <w:marBottom w:val="0"/>
      <w:divBdr>
        <w:top w:val="none" w:sz="0" w:space="0" w:color="auto"/>
        <w:left w:val="none" w:sz="0" w:space="0" w:color="auto"/>
        <w:bottom w:val="none" w:sz="0" w:space="0" w:color="auto"/>
        <w:right w:val="none" w:sz="0" w:space="0" w:color="auto"/>
      </w:divBdr>
    </w:div>
    <w:div w:id="189295252">
      <w:bodyDiv w:val="1"/>
      <w:marLeft w:val="0"/>
      <w:marRight w:val="0"/>
      <w:marTop w:val="0"/>
      <w:marBottom w:val="0"/>
      <w:divBdr>
        <w:top w:val="none" w:sz="0" w:space="0" w:color="auto"/>
        <w:left w:val="none" w:sz="0" w:space="0" w:color="auto"/>
        <w:bottom w:val="none" w:sz="0" w:space="0" w:color="auto"/>
        <w:right w:val="none" w:sz="0" w:space="0" w:color="auto"/>
      </w:divBdr>
    </w:div>
    <w:div w:id="191503146">
      <w:bodyDiv w:val="1"/>
      <w:marLeft w:val="0"/>
      <w:marRight w:val="0"/>
      <w:marTop w:val="0"/>
      <w:marBottom w:val="0"/>
      <w:divBdr>
        <w:top w:val="none" w:sz="0" w:space="0" w:color="auto"/>
        <w:left w:val="none" w:sz="0" w:space="0" w:color="auto"/>
        <w:bottom w:val="none" w:sz="0" w:space="0" w:color="auto"/>
        <w:right w:val="none" w:sz="0" w:space="0" w:color="auto"/>
      </w:divBdr>
    </w:div>
    <w:div w:id="193346049">
      <w:bodyDiv w:val="1"/>
      <w:marLeft w:val="0"/>
      <w:marRight w:val="0"/>
      <w:marTop w:val="0"/>
      <w:marBottom w:val="0"/>
      <w:divBdr>
        <w:top w:val="none" w:sz="0" w:space="0" w:color="auto"/>
        <w:left w:val="none" w:sz="0" w:space="0" w:color="auto"/>
        <w:bottom w:val="none" w:sz="0" w:space="0" w:color="auto"/>
        <w:right w:val="none" w:sz="0" w:space="0" w:color="auto"/>
      </w:divBdr>
    </w:div>
    <w:div w:id="193882987">
      <w:bodyDiv w:val="1"/>
      <w:marLeft w:val="0"/>
      <w:marRight w:val="0"/>
      <w:marTop w:val="0"/>
      <w:marBottom w:val="0"/>
      <w:divBdr>
        <w:top w:val="none" w:sz="0" w:space="0" w:color="auto"/>
        <w:left w:val="none" w:sz="0" w:space="0" w:color="auto"/>
        <w:bottom w:val="none" w:sz="0" w:space="0" w:color="auto"/>
        <w:right w:val="none" w:sz="0" w:space="0" w:color="auto"/>
      </w:divBdr>
      <w:divsChild>
        <w:div w:id="1632318501">
          <w:marLeft w:val="0"/>
          <w:marRight w:val="0"/>
          <w:marTop w:val="0"/>
          <w:marBottom w:val="0"/>
          <w:divBdr>
            <w:top w:val="none" w:sz="0" w:space="0" w:color="auto"/>
            <w:left w:val="none" w:sz="0" w:space="0" w:color="auto"/>
            <w:bottom w:val="none" w:sz="0" w:space="0" w:color="auto"/>
            <w:right w:val="none" w:sz="0" w:space="0" w:color="auto"/>
          </w:divBdr>
        </w:div>
      </w:divsChild>
    </w:div>
    <w:div w:id="199828448">
      <w:bodyDiv w:val="1"/>
      <w:marLeft w:val="0"/>
      <w:marRight w:val="0"/>
      <w:marTop w:val="0"/>
      <w:marBottom w:val="0"/>
      <w:divBdr>
        <w:top w:val="none" w:sz="0" w:space="0" w:color="auto"/>
        <w:left w:val="none" w:sz="0" w:space="0" w:color="auto"/>
        <w:bottom w:val="none" w:sz="0" w:space="0" w:color="auto"/>
        <w:right w:val="none" w:sz="0" w:space="0" w:color="auto"/>
      </w:divBdr>
    </w:div>
    <w:div w:id="201405758">
      <w:bodyDiv w:val="1"/>
      <w:marLeft w:val="0"/>
      <w:marRight w:val="0"/>
      <w:marTop w:val="0"/>
      <w:marBottom w:val="0"/>
      <w:divBdr>
        <w:top w:val="none" w:sz="0" w:space="0" w:color="auto"/>
        <w:left w:val="none" w:sz="0" w:space="0" w:color="auto"/>
        <w:bottom w:val="none" w:sz="0" w:space="0" w:color="auto"/>
        <w:right w:val="none" w:sz="0" w:space="0" w:color="auto"/>
      </w:divBdr>
    </w:div>
    <w:div w:id="215050540">
      <w:bodyDiv w:val="1"/>
      <w:marLeft w:val="0"/>
      <w:marRight w:val="0"/>
      <w:marTop w:val="0"/>
      <w:marBottom w:val="0"/>
      <w:divBdr>
        <w:top w:val="none" w:sz="0" w:space="0" w:color="auto"/>
        <w:left w:val="none" w:sz="0" w:space="0" w:color="auto"/>
        <w:bottom w:val="none" w:sz="0" w:space="0" w:color="auto"/>
        <w:right w:val="none" w:sz="0" w:space="0" w:color="auto"/>
      </w:divBdr>
    </w:div>
    <w:div w:id="217472511">
      <w:bodyDiv w:val="1"/>
      <w:marLeft w:val="0"/>
      <w:marRight w:val="0"/>
      <w:marTop w:val="0"/>
      <w:marBottom w:val="0"/>
      <w:divBdr>
        <w:top w:val="none" w:sz="0" w:space="0" w:color="auto"/>
        <w:left w:val="none" w:sz="0" w:space="0" w:color="auto"/>
        <w:bottom w:val="none" w:sz="0" w:space="0" w:color="auto"/>
        <w:right w:val="none" w:sz="0" w:space="0" w:color="auto"/>
      </w:divBdr>
    </w:div>
    <w:div w:id="220485982">
      <w:bodyDiv w:val="1"/>
      <w:marLeft w:val="0"/>
      <w:marRight w:val="0"/>
      <w:marTop w:val="0"/>
      <w:marBottom w:val="0"/>
      <w:divBdr>
        <w:top w:val="none" w:sz="0" w:space="0" w:color="auto"/>
        <w:left w:val="none" w:sz="0" w:space="0" w:color="auto"/>
        <w:bottom w:val="none" w:sz="0" w:space="0" w:color="auto"/>
        <w:right w:val="none" w:sz="0" w:space="0" w:color="auto"/>
      </w:divBdr>
    </w:div>
    <w:div w:id="220792788">
      <w:bodyDiv w:val="1"/>
      <w:marLeft w:val="0"/>
      <w:marRight w:val="0"/>
      <w:marTop w:val="0"/>
      <w:marBottom w:val="0"/>
      <w:divBdr>
        <w:top w:val="none" w:sz="0" w:space="0" w:color="auto"/>
        <w:left w:val="none" w:sz="0" w:space="0" w:color="auto"/>
        <w:bottom w:val="none" w:sz="0" w:space="0" w:color="auto"/>
        <w:right w:val="none" w:sz="0" w:space="0" w:color="auto"/>
      </w:divBdr>
    </w:div>
    <w:div w:id="224611064">
      <w:bodyDiv w:val="1"/>
      <w:marLeft w:val="0"/>
      <w:marRight w:val="0"/>
      <w:marTop w:val="0"/>
      <w:marBottom w:val="0"/>
      <w:divBdr>
        <w:top w:val="none" w:sz="0" w:space="0" w:color="auto"/>
        <w:left w:val="none" w:sz="0" w:space="0" w:color="auto"/>
        <w:bottom w:val="none" w:sz="0" w:space="0" w:color="auto"/>
        <w:right w:val="none" w:sz="0" w:space="0" w:color="auto"/>
      </w:divBdr>
    </w:div>
    <w:div w:id="231279912">
      <w:bodyDiv w:val="1"/>
      <w:marLeft w:val="0"/>
      <w:marRight w:val="0"/>
      <w:marTop w:val="0"/>
      <w:marBottom w:val="0"/>
      <w:divBdr>
        <w:top w:val="none" w:sz="0" w:space="0" w:color="auto"/>
        <w:left w:val="none" w:sz="0" w:space="0" w:color="auto"/>
        <w:bottom w:val="none" w:sz="0" w:space="0" w:color="auto"/>
        <w:right w:val="none" w:sz="0" w:space="0" w:color="auto"/>
      </w:divBdr>
    </w:div>
    <w:div w:id="231815199">
      <w:bodyDiv w:val="1"/>
      <w:marLeft w:val="0"/>
      <w:marRight w:val="0"/>
      <w:marTop w:val="0"/>
      <w:marBottom w:val="0"/>
      <w:divBdr>
        <w:top w:val="none" w:sz="0" w:space="0" w:color="auto"/>
        <w:left w:val="none" w:sz="0" w:space="0" w:color="auto"/>
        <w:bottom w:val="none" w:sz="0" w:space="0" w:color="auto"/>
        <w:right w:val="none" w:sz="0" w:space="0" w:color="auto"/>
      </w:divBdr>
    </w:div>
    <w:div w:id="233441735">
      <w:bodyDiv w:val="1"/>
      <w:marLeft w:val="0"/>
      <w:marRight w:val="0"/>
      <w:marTop w:val="0"/>
      <w:marBottom w:val="0"/>
      <w:divBdr>
        <w:top w:val="none" w:sz="0" w:space="0" w:color="auto"/>
        <w:left w:val="none" w:sz="0" w:space="0" w:color="auto"/>
        <w:bottom w:val="none" w:sz="0" w:space="0" w:color="auto"/>
        <w:right w:val="none" w:sz="0" w:space="0" w:color="auto"/>
      </w:divBdr>
    </w:div>
    <w:div w:id="235017036">
      <w:bodyDiv w:val="1"/>
      <w:marLeft w:val="0"/>
      <w:marRight w:val="0"/>
      <w:marTop w:val="0"/>
      <w:marBottom w:val="0"/>
      <w:divBdr>
        <w:top w:val="none" w:sz="0" w:space="0" w:color="auto"/>
        <w:left w:val="none" w:sz="0" w:space="0" w:color="auto"/>
        <w:bottom w:val="none" w:sz="0" w:space="0" w:color="auto"/>
        <w:right w:val="none" w:sz="0" w:space="0" w:color="auto"/>
      </w:divBdr>
    </w:div>
    <w:div w:id="235864833">
      <w:bodyDiv w:val="1"/>
      <w:marLeft w:val="0"/>
      <w:marRight w:val="0"/>
      <w:marTop w:val="0"/>
      <w:marBottom w:val="0"/>
      <w:divBdr>
        <w:top w:val="none" w:sz="0" w:space="0" w:color="auto"/>
        <w:left w:val="none" w:sz="0" w:space="0" w:color="auto"/>
        <w:bottom w:val="none" w:sz="0" w:space="0" w:color="auto"/>
        <w:right w:val="none" w:sz="0" w:space="0" w:color="auto"/>
      </w:divBdr>
    </w:div>
    <w:div w:id="238373744">
      <w:bodyDiv w:val="1"/>
      <w:marLeft w:val="0"/>
      <w:marRight w:val="0"/>
      <w:marTop w:val="0"/>
      <w:marBottom w:val="0"/>
      <w:divBdr>
        <w:top w:val="none" w:sz="0" w:space="0" w:color="auto"/>
        <w:left w:val="none" w:sz="0" w:space="0" w:color="auto"/>
        <w:bottom w:val="none" w:sz="0" w:space="0" w:color="auto"/>
        <w:right w:val="none" w:sz="0" w:space="0" w:color="auto"/>
      </w:divBdr>
    </w:div>
    <w:div w:id="244808016">
      <w:bodyDiv w:val="1"/>
      <w:marLeft w:val="0"/>
      <w:marRight w:val="0"/>
      <w:marTop w:val="0"/>
      <w:marBottom w:val="0"/>
      <w:divBdr>
        <w:top w:val="none" w:sz="0" w:space="0" w:color="auto"/>
        <w:left w:val="none" w:sz="0" w:space="0" w:color="auto"/>
        <w:bottom w:val="none" w:sz="0" w:space="0" w:color="auto"/>
        <w:right w:val="none" w:sz="0" w:space="0" w:color="auto"/>
      </w:divBdr>
      <w:divsChild>
        <w:div w:id="1942032327">
          <w:marLeft w:val="0"/>
          <w:marRight w:val="0"/>
          <w:marTop w:val="0"/>
          <w:marBottom w:val="0"/>
          <w:divBdr>
            <w:top w:val="none" w:sz="0" w:space="0" w:color="auto"/>
            <w:left w:val="none" w:sz="0" w:space="0" w:color="auto"/>
            <w:bottom w:val="none" w:sz="0" w:space="0" w:color="auto"/>
            <w:right w:val="none" w:sz="0" w:space="0" w:color="auto"/>
          </w:divBdr>
        </w:div>
        <w:div w:id="1518231279">
          <w:marLeft w:val="0"/>
          <w:marRight w:val="0"/>
          <w:marTop w:val="0"/>
          <w:marBottom w:val="0"/>
          <w:divBdr>
            <w:top w:val="none" w:sz="0" w:space="0" w:color="auto"/>
            <w:left w:val="none" w:sz="0" w:space="0" w:color="auto"/>
            <w:bottom w:val="none" w:sz="0" w:space="0" w:color="auto"/>
            <w:right w:val="none" w:sz="0" w:space="0" w:color="auto"/>
          </w:divBdr>
          <w:divsChild>
            <w:div w:id="287704891">
              <w:marLeft w:val="0"/>
              <w:marRight w:val="0"/>
              <w:marTop w:val="0"/>
              <w:marBottom w:val="0"/>
              <w:divBdr>
                <w:top w:val="none" w:sz="0" w:space="0" w:color="auto"/>
                <w:left w:val="none" w:sz="0" w:space="0" w:color="auto"/>
                <w:bottom w:val="none" w:sz="0" w:space="0" w:color="auto"/>
                <w:right w:val="none" w:sz="0" w:space="0" w:color="auto"/>
              </w:divBdr>
              <w:divsChild>
                <w:div w:id="1626616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4073735">
      <w:bodyDiv w:val="1"/>
      <w:marLeft w:val="0"/>
      <w:marRight w:val="0"/>
      <w:marTop w:val="0"/>
      <w:marBottom w:val="0"/>
      <w:divBdr>
        <w:top w:val="none" w:sz="0" w:space="0" w:color="auto"/>
        <w:left w:val="none" w:sz="0" w:space="0" w:color="auto"/>
        <w:bottom w:val="none" w:sz="0" w:space="0" w:color="auto"/>
        <w:right w:val="none" w:sz="0" w:space="0" w:color="auto"/>
      </w:divBdr>
    </w:div>
    <w:div w:id="266618758">
      <w:bodyDiv w:val="1"/>
      <w:marLeft w:val="0"/>
      <w:marRight w:val="0"/>
      <w:marTop w:val="0"/>
      <w:marBottom w:val="0"/>
      <w:divBdr>
        <w:top w:val="none" w:sz="0" w:space="0" w:color="auto"/>
        <w:left w:val="none" w:sz="0" w:space="0" w:color="auto"/>
        <w:bottom w:val="none" w:sz="0" w:space="0" w:color="auto"/>
        <w:right w:val="none" w:sz="0" w:space="0" w:color="auto"/>
      </w:divBdr>
    </w:div>
    <w:div w:id="271980141">
      <w:bodyDiv w:val="1"/>
      <w:marLeft w:val="0"/>
      <w:marRight w:val="0"/>
      <w:marTop w:val="0"/>
      <w:marBottom w:val="0"/>
      <w:divBdr>
        <w:top w:val="none" w:sz="0" w:space="0" w:color="auto"/>
        <w:left w:val="none" w:sz="0" w:space="0" w:color="auto"/>
        <w:bottom w:val="none" w:sz="0" w:space="0" w:color="auto"/>
        <w:right w:val="none" w:sz="0" w:space="0" w:color="auto"/>
      </w:divBdr>
    </w:div>
    <w:div w:id="274681859">
      <w:bodyDiv w:val="1"/>
      <w:marLeft w:val="0"/>
      <w:marRight w:val="0"/>
      <w:marTop w:val="0"/>
      <w:marBottom w:val="0"/>
      <w:divBdr>
        <w:top w:val="none" w:sz="0" w:space="0" w:color="auto"/>
        <w:left w:val="none" w:sz="0" w:space="0" w:color="auto"/>
        <w:bottom w:val="none" w:sz="0" w:space="0" w:color="auto"/>
        <w:right w:val="none" w:sz="0" w:space="0" w:color="auto"/>
      </w:divBdr>
    </w:div>
    <w:div w:id="284044050">
      <w:bodyDiv w:val="1"/>
      <w:marLeft w:val="0"/>
      <w:marRight w:val="0"/>
      <w:marTop w:val="0"/>
      <w:marBottom w:val="0"/>
      <w:divBdr>
        <w:top w:val="none" w:sz="0" w:space="0" w:color="auto"/>
        <w:left w:val="none" w:sz="0" w:space="0" w:color="auto"/>
        <w:bottom w:val="none" w:sz="0" w:space="0" w:color="auto"/>
        <w:right w:val="none" w:sz="0" w:space="0" w:color="auto"/>
      </w:divBdr>
    </w:div>
    <w:div w:id="287703869">
      <w:bodyDiv w:val="1"/>
      <w:marLeft w:val="0"/>
      <w:marRight w:val="0"/>
      <w:marTop w:val="0"/>
      <w:marBottom w:val="0"/>
      <w:divBdr>
        <w:top w:val="none" w:sz="0" w:space="0" w:color="auto"/>
        <w:left w:val="none" w:sz="0" w:space="0" w:color="auto"/>
        <w:bottom w:val="none" w:sz="0" w:space="0" w:color="auto"/>
        <w:right w:val="none" w:sz="0" w:space="0" w:color="auto"/>
      </w:divBdr>
    </w:div>
    <w:div w:id="289629793">
      <w:bodyDiv w:val="1"/>
      <w:marLeft w:val="0"/>
      <w:marRight w:val="0"/>
      <w:marTop w:val="0"/>
      <w:marBottom w:val="0"/>
      <w:divBdr>
        <w:top w:val="none" w:sz="0" w:space="0" w:color="auto"/>
        <w:left w:val="none" w:sz="0" w:space="0" w:color="auto"/>
        <w:bottom w:val="none" w:sz="0" w:space="0" w:color="auto"/>
        <w:right w:val="none" w:sz="0" w:space="0" w:color="auto"/>
      </w:divBdr>
      <w:divsChild>
        <w:div w:id="969170244">
          <w:marLeft w:val="0"/>
          <w:marRight w:val="0"/>
          <w:marTop w:val="0"/>
          <w:marBottom w:val="0"/>
          <w:divBdr>
            <w:top w:val="none" w:sz="0" w:space="0" w:color="auto"/>
            <w:left w:val="none" w:sz="0" w:space="0" w:color="auto"/>
            <w:bottom w:val="none" w:sz="0" w:space="0" w:color="auto"/>
            <w:right w:val="none" w:sz="0" w:space="0" w:color="auto"/>
          </w:divBdr>
        </w:div>
        <w:div w:id="1121610744">
          <w:marLeft w:val="0"/>
          <w:marRight w:val="0"/>
          <w:marTop w:val="0"/>
          <w:marBottom w:val="0"/>
          <w:divBdr>
            <w:top w:val="none" w:sz="0" w:space="0" w:color="auto"/>
            <w:left w:val="none" w:sz="0" w:space="0" w:color="auto"/>
            <w:bottom w:val="none" w:sz="0" w:space="0" w:color="auto"/>
            <w:right w:val="none" w:sz="0" w:space="0" w:color="auto"/>
          </w:divBdr>
        </w:div>
        <w:div w:id="1479030387">
          <w:marLeft w:val="0"/>
          <w:marRight w:val="0"/>
          <w:marTop w:val="0"/>
          <w:marBottom w:val="0"/>
          <w:divBdr>
            <w:top w:val="none" w:sz="0" w:space="0" w:color="auto"/>
            <w:left w:val="none" w:sz="0" w:space="0" w:color="auto"/>
            <w:bottom w:val="none" w:sz="0" w:space="0" w:color="auto"/>
            <w:right w:val="none" w:sz="0" w:space="0" w:color="auto"/>
          </w:divBdr>
        </w:div>
        <w:div w:id="1881163479">
          <w:marLeft w:val="0"/>
          <w:marRight w:val="0"/>
          <w:marTop w:val="0"/>
          <w:marBottom w:val="0"/>
          <w:divBdr>
            <w:top w:val="none" w:sz="0" w:space="0" w:color="auto"/>
            <w:left w:val="none" w:sz="0" w:space="0" w:color="auto"/>
            <w:bottom w:val="none" w:sz="0" w:space="0" w:color="auto"/>
            <w:right w:val="none" w:sz="0" w:space="0" w:color="auto"/>
          </w:divBdr>
        </w:div>
      </w:divsChild>
    </w:div>
    <w:div w:id="292558560">
      <w:bodyDiv w:val="1"/>
      <w:marLeft w:val="0"/>
      <w:marRight w:val="0"/>
      <w:marTop w:val="0"/>
      <w:marBottom w:val="0"/>
      <w:divBdr>
        <w:top w:val="none" w:sz="0" w:space="0" w:color="auto"/>
        <w:left w:val="none" w:sz="0" w:space="0" w:color="auto"/>
        <w:bottom w:val="none" w:sz="0" w:space="0" w:color="auto"/>
        <w:right w:val="none" w:sz="0" w:space="0" w:color="auto"/>
      </w:divBdr>
      <w:divsChild>
        <w:div w:id="1014504050">
          <w:marLeft w:val="0"/>
          <w:marRight w:val="0"/>
          <w:marTop w:val="15"/>
          <w:marBottom w:val="0"/>
          <w:divBdr>
            <w:top w:val="none" w:sz="0" w:space="0" w:color="auto"/>
            <w:left w:val="none" w:sz="0" w:space="0" w:color="auto"/>
            <w:bottom w:val="none" w:sz="0" w:space="0" w:color="auto"/>
            <w:right w:val="none" w:sz="0" w:space="0" w:color="auto"/>
          </w:divBdr>
          <w:divsChild>
            <w:div w:id="832337499">
              <w:marLeft w:val="0"/>
              <w:marRight w:val="0"/>
              <w:marTop w:val="0"/>
              <w:marBottom w:val="0"/>
              <w:divBdr>
                <w:top w:val="none" w:sz="0" w:space="0" w:color="auto"/>
                <w:left w:val="none" w:sz="0" w:space="0" w:color="auto"/>
                <w:bottom w:val="none" w:sz="0" w:space="0" w:color="auto"/>
                <w:right w:val="none" w:sz="0" w:space="0" w:color="auto"/>
              </w:divBdr>
              <w:divsChild>
                <w:div w:id="142934389">
                  <w:marLeft w:val="0"/>
                  <w:marRight w:val="0"/>
                  <w:marTop w:val="0"/>
                  <w:marBottom w:val="0"/>
                  <w:divBdr>
                    <w:top w:val="none" w:sz="0" w:space="0" w:color="auto"/>
                    <w:left w:val="none" w:sz="0" w:space="0" w:color="auto"/>
                    <w:bottom w:val="none" w:sz="0" w:space="0" w:color="auto"/>
                    <w:right w:val="none" w:sz="0" w:space="0" w:color="auto"/>
                  </w:divBdr>
                </w:div>
                <w:div w:id="1651442000">
                  <w:marLeft w:val="0"/>
                  <w:marRight w:val="0"/>
                  <w:marTop w:val="0"/>
                  <w:marBottom w:val="0"/>
                  <w:divBdr>
                    <w:top w:val="none" w:sz="0" w:space="0" w:color="auto"/>
                    <w:left w:val="none" w:sz="0" w:space="0" w:color="auto"/>
                    <w:bottom w:val="none" w:sz="0" w:space="0" w:color="auto"/>
                    <w:right w:val="none" w:sz="0" w:space="0" w:color="auto"/>
                  </w:divBdr>
                </w:div>
                <w:div w:id="1965385126">
                  <w:marLeft w:val="0"/>
                  <w:marRight w:val="0"/>
                  <w:marTop w:val="0"/>
                  <w:marBottom w:val="0"/>
                  <w:divBdr>
                    <w:top w:val="none" w:sz="0" w:space="0" w:color="auto"/>
                    <w:left w:val="none" w:sz="0" w:space="0" w:color="auto"/>
                    <w:bottom w:val="none" w:sz="0" w:space="0" w:color="auto"/>
                    <w:right w:val="none" w:sz="0" w:space="0" w:color="auto"/>
                  </w:divBdr>
                </w:div>
                <w:div w:id="1232228302">
                  <w:marLeft w:val="0"/>
                  <w:marRight w:val="0"/>
                  <w:marTop w:val="0"/>
                  <w:marBottom w:val="0"/>
                  <w:divBdr>
                    <w:top w:val="none" w:sz="0" w:space="0" w:color="auto"/>
                    <w:left w:val="none" w:sz="0" w:space="0" w:color="auto"/>
                    <w:bottom w:val="none" w:sz="0" w:space="0" w:color="auto"/>
                    <w:right w:val="none" w:sz="0" w:space="0" w:color="auto"/>
                  </w:divBdr>
                </w:div>
                <w:div w:id="87577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604049">
          <w:marLeft w:val="0"/>
          <w:marRight w:val="0"/>
          <w:marTop w:val="15"/>
          <w:marBottom w:val="0"/>
          <w:divBdr>
            <w:top w:val="none" w:sz="0" w:space="0" w:color="auto"/>
            <w:left w:val="none" w:sz="0" w:space="0" w:color="auto"/>
            <w:bottom w:val="none" w:sz="0" w:space="0" w:color="auto"/>
            <w:right w:val="none" w:sz="0" w:space="0" w:color="auto"/>
          </w:divBdr>
          <w:divsChild>
            <w:div w:id="2140368810">
              <w:marLeft w:val="0"/>
              <w:marRight w:val="0"/>
              <w:marTop w:val="0"/>
              <w:marBottom w:val="0"/>
              <w:divBdr>
                <w:top w:val="none" w:sz="0" w:space="0" w:color="auto"/>
                <w:left w:val="none" w:sz="0" w:space="0" w:color="auto"/>
                <w:bottom w:val="none" w:sz="0" w:space="0" w:color="auto"/>
                <w:right w:val="none" w:sz="0" w:space="0" w:color="auto"/>
              </w:divBdr>
              <w:divsChild>
                <w:div w:id="22907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754551">
      <w:bodyDiv w:val="1"/>
      <w:marLeft w:val="0"/>
      <w:marRight w:val="0"/>
      <w:marTop w:val="0"/>
      <w:marBottom w:val="0"/>
      <w:divBdr>
        <w:top w:val="none" w:sz="0" w:space="0" w:color="auto"/>
        <w:left w:val="none" w:sz="0" w:space="0" w:color="auto"/>
        <w:bottom w:val="none" w:sz="0" w:space="0" w:color="auto"/>
        <w:right w:val="none" w:sz="0" w:space="0" w:color="auto"/>
      </w:divBdr>
      <w:divsChild>
        <w:div w:id="1660690898">
          <w:marLeft w:val="0"/>
          <w:marRight w:val="0"/>
          <w:marTop w:val="0"/>
          <w:marBottom w:val="0"/>
          <w:divBdr>
            <w:top w:val="none" w:sz="0" w:space="0" w:color="auto"/>
            <w:left w:val="none" w:sz="0" w:space="0" w:color="auto"/>
            <w:bottom w:val="none" w:sz="0" w:space="0" w:color="auto"/>
            <w:right w:val="none" w:sz="0" w:space="0" w:color="auto"/>
          </w:divBdr>
        </w:div>
      </w:divsChild>
    </w:div>
    <w:div w:id="298387686">
      <w:bodyDiv w:val="1"/>
      <w:marLeft w:val="0"/>
      <w:marRight w:val="0"/>
      <w:marTop w:val="0"/>
      <w:marBottom w:val="0"/>
      <w:divBdr>
        <w:top w:val="none" w:sz="0" w:space="0" w:color="auto"/>
        <w:left w:val="none" w:sz="0" w:space="0" w:color="auto"/>
        <w:bottom w:val="none" w:sz="0" w:space="0" w:color="auto"/>
        <w:right w:val="none" w:sz="0" w:space="0" w:color="auto"/>
      </w:divBdr>
    </w:div>
    <w:div w:id="304435309">
      <w:bodyDiv w:val="1"/>
      <w:marLeft w:val="0"/>
      <w:marRight w:val="0"/>
      <w:marTop w:val="0"/>
      <w:marBottom w:val="0"/>
      <w:divBdr>
        <w:top w:val="none" w:sz="0" w:space="0" w:color="auto"/>
        <w:left w:val="none" w:sz="0" w:space="0" w:color="auto"/>
        <w:bottom w:val="none" w:sz="0" w:space="0" w:color="auto"/>
        <w:right w:val="none" w:sz="0" w:space="0" w:color="auto"/>
      </w:divBdr>
    </w:div>
    <w:div w:id="305667258">
      <w:bodyDiv w:val="1"/>
      <w:marLeft w:val="0"/>
      <w:marRight w:val="0"/>
      <w:marTop w:val="0"/>
      <w:marBottom w:val="0"/>
      <w:divBdr>
        <w:top w:val="none" w:sz="0" w:space="0" w:color="auto"/>
        <w:left w:val="none" w:sz="0" w:space="0" w:color="auto"/>
        <w:bottom w:val="none" w:sz="0" w:space="0" w:color="auto"/>
        <w:right w:val="none" w:sz="0" w:space="0" w:color="auto"/>
      </w:divBdr>
    </w:div>
    <w:div w:id="307367007">
      <w:bodyDiv w:val="1"/>
      <w:marLeft w:val="0"/>
      <w:marRight w:val="0"/>
      <w:marTop w:val="0"/>
      <w:marBottom w:val="0"/>
      <w:divBdr>
        <w:top w:val="none" w:sz="0" w:space="0" w:color="auto"/>
        <w:left w:val="none" w:sz="0" w:space="0" w:color="auto"/>
        <w:bottom w:val="none" w:sz="0" w:space="0" w:color="auto"/>
        <w:right w:val="none" w:sz="0" w:space="0" w:color="auto"/>
      </w:divBdr>
    </w:div>
    <w:div w:id="313142992">
      <w:bodyDiv w:val="1"/>
      <w:marLeft w:val="0"/>
      <w:marRight w:val="0"/>
      <w:marTop w:val="0"/>
      <w:marBottom w:val="0"/>
      <w:divBdr>
        <w:top w:val="none" w:sz="0" w:space="0" w:color="auto"/>
        <w:left w:val="none" w:sz="0" w:space="0" w:color="auto"/>
        <w:bottom w:val="none" w:sz="0" w:space="0" w:color="auto"/>
        <w:right w:val="none" w:sz="0" w:space="0" w:color="auto"/>
      </w:divBdr>
    </w:div>
    <w:div w:id="314839537">
      <w:bodyDiv w:val="1"/>
      <w:marLeft w:val="0"/>
      <w:marRight w:val="0"/>
      <w:marTop w:val="0"/>
      <w:marBottom w:val="0"/>
      <w:divBdr>
        <w:top w:val="none" w:sz="0" w:space="0" w:color="auto"/>
        <w:left w:val="none" w:sz="0" w:space="0" w:color="auto"/>
        <w:bottom w:val="none" w:sz="0" w:space="0" w:color="auto"/>
        <w:right w:val="none" w:sz="0" w:space="0" w:color="auto"/>
      </w:divBdr>
    </w:div>
    <w:div w:id="317464358">
      <w:bodyDiv w:val="1"/>
      <w:marLeft w:val="0"/>
      <w:marRight w:val="0"/>
      <w:marTop w:val="0"/>
      <w:marBottom w:val="0"/>
      <w:divBdr>
        <w:top w:val="none" w:sz="0" w:space="0" w:color="auto"/>
        <w:left w:val="none" w:sz="0" w:space="0" w:color="auto"/>
        <w:bottom w:val="none" w:sz="0" w:space="0" w:color="auto"/>
        <w:right w:val="none" w:sz="0" w:space="0" w:color="auto"/>
      </w:divBdr>
    </w:div>
    <w:div w:id="319845794">
      <w:bodyDiv w:val="1"/>
      <w:marLeft w:val="0"/>
      <w:marRight w:val="0"/>
      <w:marTop w:val="0"/>
      <w:marBottom w:val="0"/>
      <w:divBdr>
        <w:top w:val="none" w:sz="0" w:space="0" w:color="auto"/>
        <w:left w:val="none" w:sz="0" w:space="0" w:color="auto"/>
        <w:bottom w:val="none" w:sz="0" w:space="0" w:color="auto"/>
        <w:right w:val="none" w:sz="0" w:space="0" w:color="auto"/>
      </w:divBdr>
    </w:div>
    <w:div w:id="321545706">
      <w:bodyDiv w:val="1"/>
      <w:marLeft w:val="0"/>
      <w:marRight w:val="0"/>
      <w:marTop w:val="0"/>
      <w:marBottom w:val="0"/>
      <w:divBdr>
        <w:top w:val="none" w:sz="0" w:space="0" w:color="auto"/>
        <w:left w:val="none" w:sz="0" w:space="0" w:color="auto"/>
        <w:bottom w:val="none" w:sz="0" w:space="0" w:color="auto"/>
        <w:right w:val="none" w:sz="0" w:space="0" w:color="auto"/>
      </w:divBdr>
    </w:div>
    <w:div w:id="324482857">
      <w:bodyDiv w:val="1"/>
      <w:marLeft w:val="0"/>
      <w:marRight w:val="0"/>
      <w:marTop w:val="0"/>
      <w:marBottom w:val="0"/>
      <w:divBdr>
        <w:top w:val="none" w:sz="0" w:space="0" w:color="auto"/>
        <w:left w:val="none" w:sz="0" w:space="0" w:color="auto"/>
        <w:bottom w:val="none" w:sz="0" w:space="0" w:color="auto"/>
        <w:right w:val="none" w:sz="0" w:space="0" w:color="auto"/>
      </w:divBdr>
    </w:div>
    <w:div w:id="328218394">
      <w:bodyDiv w:val="1"/>
      <w:marLeft w:val="0"/>
      <w:marRight w:val="0"/>
      <w:marTop w:val="0"/>
      <w:marBottom w:val="0"/>
      <w:divBdr>
        <w:top w:val="none" w:sz="0" w:space="0" w:color="auto"/>
        <w:left w:val="none" w:sz="0" w:space="0" w:color="auto"/>
        <w:bottom w:val="none" w:sz="0" w:space="0" w:color="auto"/>
        <w:right w:val="none" w:sz="0" w:space="0" w:color="auto"/>
      </w:divBdr>
    </w:div>
    <w:div w:id="330375759">
      <w:bodyDiv w:val="1"/>
      <w:marLeft w:val="0"/>
      <w:marRight w:val="0"/>
      <w:marTop w:val="0"/>
      <w:marBottom w:val="0"/>
      <w:divBdr>
        <w:top w:val="none" w:sz="0" w:space="0" w:color="auto"/>
        <w:left w:val="none" w:sz="0" w:space="0" w:color="auto"/>
        <w:bottom w:val="none" w:sz="0" w:space="0" w:color="auto"/>
        <w:right w:val="none" w:sz="0" w:space="0" w:color="auto"/>
      </w:divBdr>
    </w:div>
    <w:div w:id="332924186">
      <w:bodyDiv w:val="1"/>
      <w:marLeft w:val="0"/>
      <w:marRight w:val="0"/>
      <w:marTop w:val="0"/>
      <w:marBottom w:val="0"/>
      <w:divBdr>
        <w:top w:val="none" w:sz="0" w:space="0" w:color="auto"/>
        <w:left w:val="none" w:sz="0" w:space="0" w:color="auto"/>
        <w:bottom w:val="none" w:sz="0" w:space="0" w:color="auto"/>
        <w:right w:val="none" w:sz="0" w:space="0" w:color="auto"/>
      </w:divBdr>
    </w:div>
    <w:div w:id="335108927">
      <w:bodyDiv w:val="1"/>
      <w:marLeft w:val="0"/>
      <w:marRight w:val="0"/>
      <w:marTop w:val="0"/>
      <w:marBottom w:val="0"/>
      <w:divBdr>
        <w:top w:val="none" w:sz="0" w:space="0" w:color="auto"/>
        <w:left w:val="none" w:sz="0" w:space="0" w:color="auto"/>
        <w:bottom w:val="none" w:sz="0" w:space="0" w:color="auto"/>
        <w:right w:val="none" w:sz="0" w:space="0" w:color="auto"/>
      </w:divBdr>
    </w:div>
    <w:div w:id="337080708">
      <w:bodyDiv w:val="1"/>
      <w:marLeft w:val="0"/>
      <w:marRight w:val="0"/>
      <w:marTop w:val="0"/>
      <w:marBottom w:val="0"/>
      <w:divBdr>
        <w:top w:val="none" w:sz="0" w:space="0" w:color="auto"/>
        <w:left w:val="none" w:sz="0" w:space="0" w:color="auto"/>
        <w:bottom w:val="none" w:sz="0" w:space="0" w:color="auto"/>
        <w:right w:val="none" w:sz="0" w:space="0" w:color="auto"/>
      </w:divBdr>
    </w:div>
    <w:div w:id="340667333">
      <w:bodyDiv w:val="1"/>
      <w:marLeft w:val="0"/>
      <w:marRight w:val="0"/>
      <w:marTop w:val="0"/>
      <w:marBottom w:val="0"/>
      <w:divBdr>
        <w:top w:val="none" w:sz="0" w:space="0" w:color="auto"/>
        <w:left w:val="none" w:sz="0" w:space="0" w:color="auto"/>
        <w:bottom w:val="none" w:sz="0" w:space="0" w:color="auto"/>
        <w:right w:val="none" w:sz="0" w:space="0" w:color="auto"/>
      </w:divBdr>
      <w:divsChild>
        <w:div w:id="2005357222">
          <w:marLeft w:val="0"/>
          <w:marRight w:val="0"/>
          <w:marTop w:val="0"/>
          <w:marBottom w:val="0"/>
          <w:divBdr>
            <w:top w:val="none" w:sz="0" w:space="0" w:color="auto"/>
            <w:left w:val="none" w:sz="0" w:space="0" w:color="auto"/>
            <w:bottom w:val="none" w:sz="0" w:space="0" w:color="auto"/>
            <w:right w:val="none" w:sz="0" w:space="0" w:color="auto"/>
          </w:divBdr>
          <w:divsChild>
            <w:div w:id="801192617">
              <w:marLeft w:val="0"/>
              <w:marRight w:val="0"/>
              <w:marTop w:val="0"/>
              <w:marBottom w:val="0"/>
              <w:divBdr>
                <w:top w:val="none" w:sz="0" w:space="0" w:color="auto"/>
                <w:left w:val="none" w:sz="0" w:space="0" w:color="auto"/>
                <w:bottom w:val="none" w:sz="0" w:space="0" w:color="auto"/>
                <w:right w:val="none" w:sz="0" w:space="0" w:color="auto"/>
              </w:divBdr>
              <w:divsChild>
                <w:div w:id="1067848533">
                  <w:marLeft w:val="0"/>
                  <w:marRight w:val="0"/>
                  <w:marTop w:val="0"/>
                  <w:marBottom w:val="0"/>
                  <w:divBdr>
                    <w:top w:val="none" w:sz="0" w:space="0" w:color="auto"/>
                    <w:left w:val="none" w:sz="0" w:space="0" w:color="auto"/>
                    <w:bottom w:val="none" w:sz="0" w:space="0" w:color="auto"/>
                    <w:right w:val="none" w:sz="0" w:space="0" w:color="auto"/>
                  </w:divBdr>
                  <w:divsChild>
                    <w:div w:id="588588077">
                      <w:marLeft w:val="-15"/>
                      <w:marRight w:val="0"/>
                      <w:marTop w:val="0"/>
                      <w:marBottom w:val="0"/>
                      <w:divBdr>
                        <w:top w:val="none" w:sz="0" w:space="0" w:color="auto"/>
                        <w:left w:val="none" w:sz="0" w:space="0" w:color="auto"/>
                        <w:bottom w:val="none" w:sz="0" w:space="0" w:color="auto"/>
                        <w:right w:val="none" w:sz="0" w:space="0" w:color="auto"/>
                      </w:divBdr>
                      <w:divsChild>
                        <w:div w:id="1374306690">
                          <w:marLeft w:val="0"/>
                          <w:marRight w:val="30"/>
                          <w:marTop w:val="45"/>
                          <w:marBottom w:val="60"/>
                          <w:divBdr>
                            <w:top w:val="none" w:sz="0" w:space="0" w:color="auto"/>
                            <w:left w:val="none" w:sz="0" w:space="0" w:color="auto"/>
                            <w:bottom w:val="none" w:sz="0" w:space="0" w:color="auto"/>
                            <w:right w:val="none" w:sz="0" w:space="0" w:color="auto"/>
                          </w:divBdr>
                        </w:div>
                      </w:divsChild>
                    </w:div>
                    <w:div w:id="948045099">
                      <w:marLeft w:val="0"/>
                      <w:marRight w:val="0"/>
                      <w:marTop w:val="0"/>
                      <w:marBottom w:val="0"/>
                      <w:divBdr>
                        <w:top w:val="none" w:sz="0" w:space="0" w:color="auto"/>
                        <w:left w:val="none" w:sz="0" w:space="0" w:color="auto"/>
                        <w:bottom w:val="none" w:sz="0" w:space="0" w:color="auto"/>
                        <w:right w:val="none" w:sz="0" w:space="0" w:color="auto"/>
                      </w:divBdr>
                      <w:divsChild>
                        <w:div w:id="1650329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7128897">
          <w:marLeft w:val="0"/>
          <w:marRight w:val="0"/>
          <w:marTop w:val="0"/>
          <w:marBottom w:val="0"/>
          <w:divBdr>
            <w:top w:val="none" w:sz="0" w:space="0" w:color="auto"/>
            <w:left w:val="none" w:sz="0" w:space="0" w:color="auto"/>
            <w:bottom w:val="none" w:sz="0" w:space="0" w:color="auto"/>
            <w:right w:val="none" w:sz="0" w:space="0" w:color="auto"/>
          </w:divBdr>
          <w:divsChild>
            <w:div w:id="1847743689">
              <w:marLeft w:val="0"/>
              <w:marRight w:val="0"/>
              <w:marTop w:val="0"/>
              <w:marBottom w:val="0"/>
              <w:divBdr>
                <w:top w:val="none" w:sz="0" w:space="0" w:color="auto"/>
                <w:left w:val="none" w:sz="0" w:space="0" w:color="auto"/>
                <w:bottom w:val="none" w:sz="0" w:space="0" w:color="auto"/>
                <w:right w:val="none" w:sz="0" w:space="0" w:color="auto"/>
              </w:divBdr>
              <w:divsChild>
                <w:div w:id="789977494">
                  <w:marLeft w:val="0"/>
                  <w:marRight w:val="0"/>
                  <w:marTop w:val="15"/>
                  <w:marBottom w:val="0"/>
                  <w:divBdr>
                    <w:top w:val="none" w:sz="0" w:space="0" w:color="auto"/>
                    <w:left w:val="none" w:sz="0" w:space="0" w:color="auto"/>
                    <w:bottom w:val="none" w:sz="0" w:space="0" w:color="auto"/>
                    <w:right w:val="none" w:sz="0" w:space="0" w:color="auto"/>
                  </w:divBdr>
                  <w:divsChild>
                    <w:div w:id="677730455">
                      <w:marLeft w:val="0"/>
                      <w:marRight w:val="0"/>
                      <w:marTop w:val="0"/>
                      <w:marBottom w:val="0"/>
                      <w:divBdr>
                        <w:top w:val="none" w:sz="0" w:space="0" w:color="auto"/>
                        <w:left w:val="none" w:sz="0" w:space="0" w:color="auto"/>
                        <w:bottom w:val="none" w:sz="0" w:space="0" w:color="auto"/>
                        <w:right w:val="none" w:sz="0" w:space="0" w:color="auto"/>
                      </w:divBdr>
                      <w:divsChild>
                        <w:div w:id="937061378">
                          <w:marLeft w:val="0"/>
                          <w:marRight w:val="0"/>
                          <w:marTop w:val="0"/>
                          <w:marBottom w:val="0"/>
                          <w:divBdr>
                            <w:top w:val="none" w:sz="0" w:space="0" w:color="auto"/>
                            <w:left w:val="none" w:sz="0" w:space="0" w:color="auto"/>
                            <w:bottom w:val="none" w:sz="0" w:space="0" w:color="auto"/>
                            <w:right w:val="none" w:sz="0" w:space="0" w:color="auto"/>
                          </w:divBdr>
                        </w:div>
                        <w:div w:id="822238447">
                          <w:marLeft w:val="0"/>
                          <w:marRight w:val="0"/>
                          <w:marTop w:val="0"/>
                          <w:marBottom w:val="0"/>
                          <w:divBdr>
                            <w:top w:val="none" w:sz="0" w:space="0" w:color="auto"/>
                            <w:left w:val="none" w:sz="0" w:space="0" w:color="auto"/>
                            <w:bottom w:val="none" w:sz="0" w:space="0" w:color="auto"/>
                            <w:right w:val="none" w:sz="0" w:space="0" w:color="auto"/>
                          </w:divBdr>
                        </w:div>
                        <w:div w:id="1465005509">
                          <w:marLeft w:val="0"/>
                          <w:marRight w:val="0"/>
                          <w:marTop w:val="0"/>
                          <w:marBottom w:val="0"/>
                          <w:divBdr>
                            <w:top w:val="none" w:sz="0" w:space="0" w:color="auto"/>
                            <w:left w:val="none" w:sz="0" w:space="0" w:color="auto"/>
                            <w:bottom w:val="none" w:sz="0" w:space="0" w:color="auto"/>
                            <w:right w:val="none" w:sz="0" w:space="0" w:color="auto"/>
                          </w:divBdr>
                        </w:div>
                        <w:div w:id="1575165882">
                          <w:marLeft w:val="0"/>
                          <w:marRight w:val="0"/>
                          <w:marTop w:val="0"/>
                          <w:marBottom w:val="0"/>
                          <w:divBdr>
                            <w:top w:val="none" w:sz="0" w:space="0" w:color="auto"/>
                            <w:left w:val="none" w:sz="0" w:space="0" w:color="auto"/>
                            <w:bottom w:val="none" w:sz="0" w:space="0" w:color="auto"/>
                            <w:right w:val="none" w:sz="0" w:space="0" w:color="auto"/>
                          </w:divBdr>
                        </w:div>
                        <w:div w:id="923999382">
                          <w:marLeft w:val="0"/>
                          <w:marRight w:val="0"/>
                          <w:marTop w:val="0"/>
                          <w:marBottom w:val="0"/>
                          <w:divBdr>
                            <w:top w:val="none" w:sz="0" w:space="0" w:color="auto"/>
                            <w:left w:val="none" w:sz="0" w:space="0" w:color="auto"/>
                            <w:bottom w:val="none" w:sz="0" w:space="0" w:color="auto"/>
                            <w:right w:val="none" w:sz="0" w:space="0" w:color="auto"/>
                          </w:divBdr>
                        </w:div>
                        <w:div w:id="747577598">
                          <w:marLeft w:val="0"/>
                          <w:marRight w:val="0"/>
                          <w:marTop w:val="0"/>
                          <w:marBottom w:val="0"/>
                          <w:divBdr>
                            <w:top w:val="none" w:sz="0" w:space="0" w:color="auto"/>
                            <w:left w:val="none" w:sz="0" w:space="0" w:color="auto"/>
                            <w:bottom w:val="none" w:sz="0" w:space="0" w:color="auto"/>
                            <w:right w:val="none" w:sz="0" w:space="0" w:color="auto"/>
                          </w:divBdr>
                        </w:div>
                        <w:div w:id="797407157">
                          <w:marLeft w:val="0"/>
                          <w:marRight w:val="0"/>
                          <w:marTop w:val="0"/>
                          <w:marBottom w:val="0"/>
                          <w:divBdr>
                            <w:top w:val="none" w:sz="0" w:space="0" w:color="auto"/>
                            <w:left w:val="none" w:sz="0" w:space="0" w:color="auto"/>
                            <w:bottom w:val="none" w:sz="0" w:space="0" w:color="auto"/>
                            <w:right w:val="none" w:sz="0" w:space="0" w:color="auto"/>
                          </w:divBdr>
                        </w:div>
                        <w:div w:id="319970994">
                          <w:marLeft w:val="0"/>
                          <w:marRight w:val="0"/>
                          <w:marTop w:val="0"/>
                          <w:marBottom w:val="0"/>
                          <w:divBdr>
                            <w:top w:val="none" w:sz="0" w:space="0" w:color="auto"/>
                            <w:left w:val="none" w:sz="0" w:space="0" w:color="auto"/>
                            <w:bottom w:val="none" w:sz="0" w:space="0" w:color="auto"/>
                            <w:right w:val="none" w:sz="0" w:space="0" w:color="auto"/>
                          </w:divBdr>
                        </w:div>
                        <w:div w:id="1799839688">
                          <w:marLeft w:val="0"/>
                          <w:marRight w:val="0"/>
                          <w:marTop w:val="0"/>
                          <w:marBottom w:val="0"/>
                          <w:divBdr>
                            <w:top w:val="none" w:sz="0" w:space="0" w:color="auto"/>
                            <w:left w:val="none" w:sz="0" w:space="0" w:color="auto"/>
                            <w:bottom w:val="none" w:sz="0" w:space="0" w:color="auto"/>
                            <w:right w:val="none" w:sz="0" w:space="0" w:color="auto"/>
                          </w:divBdr>
                        </w:div>
                        <w:div w:id="247347765">
                          <w:marLeft w:val="0"/>
                          <w:marRight w:val="0"/>
                          <w:marTop w:val="0"/>
                          <w:marBottom w:val="0"/>
                          <w:divBdr>
                            <w:top w:val="none" w:sz="0" w:space="0" w:color="auto"/>
                            <w:left w:val="none" w:sz="0" w:space="0" w:color="auto"/>
                            <w:bottom w:val="none" w:sz="0" w:space="0" w:color="auto"/>
                            <w:right w:val="none" w:sz="0" w:space="0" w:color="auto"/>
                          </w:divBdr>
                        </w:div>
                        <w:div w:id="470753904">
                          <w:marLeft w:val="0"/>
                          <w:marRight w:val="0"/>
                          <w:marTop w:val="0"/>
                          <w:marBottom w:val="0"/>
                          <w:divBdr>
                            <w:top w:val="none" w:sz="0" w:space="0" w:color="auto"/>
                            <w:left w:val="none" w:sz="0" w:space="0" w:color="auto"/>
                            <w:bottom w:val="none" w:sz="0" w:space="0" w:color="auto"/>
                            <w:right w:val="none" w:sz="0" w:space="0" w:color="auto"/>
                          </w:divBdr>
                        </w:div>
                        <w:div w:id="587422974">
                          <w:marLeft w:val="0"/>
                          <w:marRight w:val="0"/>
                          <w:marTop w:val="0"/>
                          <w:marBottom w:val="0"/>
                          <w:divBdr>
                            <w:top w:val="none" w:sz="0" w:space="0" w:color="auto"/>
                            <w:left w:val="none" w:sz="0" w:space="0" w:color="auto"/>
                            <w:bottom w:val="none" w:sz="0" w:space="0" w:color="auto"/>
                            <w:right w:val="none" w:sz="0" w:space="0" w:color="auto"/>
                          </w:divBdr>
                        </w:div>
                        <w:div w:id="423303602">
                          <w:marLeft w:val="0"/>
                          <w:marRight w:val="0"/>
                          <w:marTop w:val="0"/>
                          <w:marBottom w:val="0"/>
                          <w:divBdr>
                            <w:top w:val="none" w:sz="0" w:space="0" w:color="auto"/>
                            <w:left w:val="none" w:sz="0" w:space="0" w:color="auto"/>
                            <w:bottom w:val="none" w:sz="0" w:space="0" w:color="auto"/>
                            <w:right w:val="none" w:sz="0" w:space="0" w:color="auto"/>
                          </w:divBdr>
                        </w:div>
                        <w:div w:id="1238713564">
                          <w:marLeft w:val="0"/>
                          <w:marRight w:val="0"/>
                          <w:marTop w:val="0"/>
                          <w:marBottom w:val="0"/>
                          <w:divBdr>
                            <w:top w:val="none" w:sz="0" w:space="0" w:color="auto"/>
                            <w:left w:val="none" w:sz="0" w:space="0" w:color="auto"/>
                            <w:bottom w:val="none" w:sz="0" w:space="0" w:color="auto"/>
                            <w:right w:val="none" w:sz="0" w:space="0" w:color="auto"/>
                          </w:divBdr>
                        </w:div>
                        <w:div w:id="1345398995">
                          <w:marLeft w:val="0"/>
                          <w:marRight w:val="0"/>
                          <w:marTop w:val="0"/>
                          <w:marBottom w:val="0"/>
                          <w:divBdr>
                            <w:top w:val="none" w:sz="0" w:space="0" w:color="auto"/>
                            <w:left w:val="none" w:sz="0" w:space="0" w:color="auto"/>
                            <w:bottom w:val="none" w:sz="0" w:space="0" w:color="auto"/>
                            <w:right w:val="none" w:sz="0" w:space="0" w:color="auto"/>
                          </w:divBdr>
                        </w:div>
                        <w:div w:id="1137993394">
                          <w:marLeft w:val="0"/>
                          <w:marRight w:val="0"/>
                          <w:marTop w:val="0"/>
                          <w:marBottom w:val="0"/>
                          <w:divBdr>
                            <w:top w:val="none" w:sz="0" w:space="0" w:color="auto"/>
                            <w:left w:val="none" w:sz="0" w:space="0" w:color="auto"/>
                            <w:bottom w:val="none" w:sz="0" w:space="0" w:color="auto"/>
                            <w:right w:val="none" w:sz="0" w:space="0" w:color="auto"/>
                          </w:divBdr>
                        </w:div>
                        <w:div w:id="1939018501">
                          <w:marLeft w:val="0"/>
                          <w:marRight w:val="0"/>
                          <w:marTop w:val="0"/>
                          <w:marBottom w:val="0"/>
                          <w:divBdr>
                            <w:top w:val="none" w:sz="0" w:space="0" w:color="auto"/>
                            <w:left w:val="none" w:sz="0" w:space="0" w:color="auto"/>
                            <w:bottom w:val="none" w:sz="0" w:space="0" w:color="auto"/>
                            <w:right w:val="none" w:sz="0" w:space="0" w:color="auto"/>
                          </w:divBdr>
                        </w:div>
                        <w:div w:id="612447131">
                          <w:marLeft w:val="0"/>
                          <w:marRight w:val="0"/>
                          <w:marTop w:val="0"/>
                          <w:marBottom w:val="0"/>
                          <w:divBdr>
                            <w:top w:val="none" w:sz="0" w:space="0" w:color="auto"/>
                            <w:left w:val="none" w:sz="0" w:space="0" w:color="auto"/>
                            <w:bottom w:val="none" w:sz="0" w:space="0" w:color="auto"/>
                            <w:right w:val="none" w:sz="0" w:space="0" w:color="auto"/>
                          </w:divBdr>
                        </w:div>
                        <w:div w:id="1725760580">
                          <w:marLeft w:val="0"/>
                          <w:marRight w:val="0"/>
                          <w:marTop w:val="0"/>
                          <w:marBottom w:val="0"/>
                          <w:divBdr>
                            <w:top w:val="none" w:sz="0" w:space="0" w:color="auto"/>
                            <w:left w:val="none" w:sz="0" w:space="0" w:color="auto"/>
                            <w:bottom w:val="none" w:sz="0" w:space="0" w:color="auto"/>
                            <w:right w:val="none" w:sz="0" w:space="0" w:color="auto"/>
                          </w:divBdr>
                        </w:div>
                        <w:div w:id="1018233466">
                          <w:marLeft w:val="0"/>
                          <w:marRight w:val="0"/>
                          <w:marTop w:val="0"/>
                          <w:marBottom w:val="0"/>
                          <w:divBdr>
                            <w:top w:val="none" w:sz="0" w:space="0" w:color="auto"/>
                            <w:left w:val="none" w:sz="0" w:space="0" w:color="auto"/>
                            <w:bottom w:val="none" w:sz="0" w:space="0" w:color="auto"/>
                            <w:right w:val="none" w:sz="0" w:space="0" w:color="auto"/>
                          </w:divBdr>
                        </w:div>
                        <w:div w:id="391580719">
                          <w:marLeft w:val="0"/>
                          <w:marRight w:val="0"/>
                          <w:marTop w:val="0"/>
                          <w:marBottom w:val="0"/>
                          <w:divBdr>
                            <w:top w:val="none" w:sz="0" w:space="0" w:color="auto"/>
                            <w:left w:val="none" w:sz="0" w:space="0" w:color="auto"/>
                            <w:bottom w:val="none" w:sz="0" w:space="0" w:color="auto"/>
                            <w:right w:val="none" w:sz="0" w:space="0" w:color="auto"/>
                          </w:divBdr>
                        </w:div>
                        <w:div w:id="2013216068">
                          <w:marLeft w:val="0"/>
                          <w:marRight w:val="0"/>
                          <w:marTop w:val="0"/>
                          <w:marBottom w:val="0"/>
                          <w:divBdr>
                            <w:top w:val="none" w:sz="0" w:space="0" w:color="auto"/>
                            <w:left w:val="none" w:sz="0" w:space="0" w:color="auto"/>
                            <w:bottom w:val="none" w:sz="0" w:space="0" w:color="auto"/>
                            <w:right w:val="none" w:sz="0" w:space="0" w:color="auto"/>
                          </w:divBdr>
                        </w:div>
                        <w:div w:id="1996179336">
                          <w:marLeft w:val="0"/>
                          <w:marRight w:val="0"/>
                          <w:marTop w:val="0"/>
                          <w:marBottom w:val="0"/>
                          <w:divBdr>
                            <w:top w:val="none" w:sz="0" w:space="0" w:color="auto"/>
                            <w:left w:val="none" w:sz="0" w:space="0" w:color="auto"/>
                            <w:bottom w:val="none" w:sz="0" w:space="0" w:color="auto"/>
                            <w:right w:val="none" w:sz="0" w:space="0" w:color="auto"/>
                          </w:divBdr>
                        </w:div>
                        <w:div w:id="1409618714">
                          <w:marLeft w:val="0"/>
                          <w:marRight w:val="0"/>
                          <w:marTop w:val="0"/>
                          <w:marBottom w:val="0"/>
                          <w:divBdr>
                            <w:top w:val="none" w:sz="0" w:space="0" w:color="auto"/>
                            <w:left w:val="none" w:sz="0" w:space="0" w:color="auto"/>
                            <w:bottom w:val="none" w:sz="0" w:space="0" w:color="auto"/>
                            <w:right w:val="none" w:sz="0" w:space="0" w:color="auto"/>
                          </w:divBdr>
                        </w:div>
                        <w:div w:id="1711766125">
                          <w:marLeft w:val="0"/>
                          <w:marRight w:val="0"/>
                          <w:marTop w:val="0"/>
                          <w:marBottom w:val="0"/>
                          <w:divBdr>
                            <w:top w:val="none" w:sz="0" w:space="0" w:color="auto"/>
                            <w:left w:val="none" w:sz="0" w:space="0" w:color="auto"/>
                            <w:bottom w:val="none" w:sz="0" w:space="0" w:color="auto"/>
                            <w:right w:val="none" w:sz="0" w:space="0" w:color="auto"/>
                          </w:divBdr>
                        </w:div>
                        <w:div w:id="1594512688">
                          <w:marLeft w:val="0"/>
                          <w:marRight w:val="0"/>
                          <w:marTop w:val="0"/>
                          <w:marBottom w:val="0"/>
                          <w:divBdr>
                            <w:top w:val="none" w:sz="0" w:space="0" w:color="auto"/>
                            <w:left w:val="none" w:sz="0" w:space="0" w:color="auto"/>
                            <w:bottom w:val="none" w:sz="0" w:space="0" w:color="auto"/>
                            <w:right w:val="none" w:sz="0" w:space="0" w:color="auto"/>
                          </w:divBdr>
                        </w:div>
                        <w:div w:id="1137651336">
                          <w:marLeft w:val="0"/>
                          <w:marRight w:val="0"/>
                          <w:marTop w:val="0"/>
                          <w:marBottom w:val="0"/>
                          <w:divBdr>
                            <w:top w:val="none" w:sz="0" w:space="0" w:color="auto"/>
                            <w:left w:val="none" w:sz="0" w:space="0" w:color="auto"/>
                            <w:bottom w:val="none" w:sz="0" w:space="0" w:color="auto"/>
                            <w:right w:val="none" w:sz="0" w:space="0" w:color="auto"/>
                          </w:divBdr>
                        </w:div>
                        <w:div w:id="790825123">
                          <w:marLeft w:val="0"/>
                          <w:marRight w:val="0"/>
                          <w:marTop w:val="0"/>
                          <w:marBottom w:val="0"/>
                          <w:divBdr>
                            <w:top w:val="none" w:sz="0" w:space="0" w:color="auto"/>
                            <w:left w:val="none" w:sz="0" w:space="0" w:color="auto"/>
                            <w:bottom w:val="none" w:sz="0" w:space="0" w:color="auto"/>
                            <w:right w:val="none" w:sz="0" w:space="0" w:color="auto"/>
                          </w:divBdr>
                        </w:div>
                        <w:div w:id="1452280773">
                          <w:marLeft w:val="0"/>
                          <w:marRight w:val="0"/>
                          <w:marTop w:val="0"/>
                          <w:marBottom w:val="0"/>
                          <w:divBdr>
                            <w:top w:val="none" w:sz="0" w:space="0" w:color="auto"/>
                            <w:left w:val="none" w:sz="0" w:space="0" w:color="auto"/>
                            <w:bottom w:val="none" w:sz="0" w:space="0" w:color="auto"/>
                            <w:right w:val="none" w:sz="0" w:space="0" w:color="auto"/>
                          </w:divBdr>
                        </w:div>
                        <w:div w:id="478377538">
                          <w:marLeft w:val="0"/>
                          <w:marRight w:val="0"/>
                          <w:marTop w:val="0"/>
                          <w:marBottom w:val="0"/>
                          <w:divBdr>
                            <w:top w:val="none" w:sz="0" w:space="0" w:color="auto"/>
                            <w:left w:val="none" w:sz="0" w:space="0" w:color="auto"/>
                            <w:bottom w:val="none" w:sz="0" w:space="0" w:color="auto"/>
                            <w:right w:val="none" w:sz="0" w:space="0" w:color="auto"/>
                          </w:divBdr>
                        </w:div>
                        <w:div w:id="1909147628">
                          <w:marLeft w:val="0"/>
                          <w:marRight w:val="0"/>
                          <w:marTop w:val="0"/>
                          <w:marBottom w:val="0"/>
                          <w:divBdr>
                            <w:top w:val="none" w:sz="0" w:space="0" w:color="auto"/>
                            <w:left w:val="none" w:sz="0" w:space="0" w:color="auto"/>
                            <w:bottom w:val="none" w:sz="0" w:space="0" w:color="auto"/>
                            <w:right w:val="none" w:sz="0" w:space="0" w:color="auto"/>
                          </w:divBdr>
                        </w:div>
                        <w:div w:id="1138645579">
                          <w:marLeft w:val="0"/>
                          <w:marRight w:val="0"/>
                          <w:marTop w:val="0"/>
                          <w:marBottom w:val="0"/>
                          <w:divBdr>
                            <w:top w:val="none" w:sz="0" w:space="0" w:color="auto"/>
                            <w:left w:val="none" w:sz="0" w:space="0" w:color="auto"/>
                            <w:bottom w:val="none" w:sz="0" w:space="0" w:color="auto"/>
                            <w:right w:val="none" w:sz="0" w:space="0" w:color="auto"/>
                          </w:divBdr>
                        </w:div>
                        <w:div w:id="343635069">
                          <w:marLeft w:val="0"/>
                          <w:marRight w:val="0"/>
                          <w:marTop w:val="0"/>
                          <w:marBottom w:val="0"/>
                          <w:divBdr>
                            <w:top w:val="none" w:sz="0" w:space="0" w:color="auto"/>
                            <w:left w:val="none" w:sz="0" w:space="0" w:color="auto"/>
                            <w:bottom w:val="none" w:sz="0" w:space="0" w:color="auto"/>
                            <w:right w:val="none" w:sz="0" w:space="0" w:color="auto"/>
                          </w:divBdr>
                        </w:div>
                        <w:div w:id="196351939">
                          <w:marLeft w:val="0"/>
                          <w:marRight w:val="0"/>
                          <w:marTop w:val="0"/>
                          <w:marBottom w:val="0"/>
                          <w:divBdr>
                            <w:top w:val="none" w:sz="0" w:space="0" w:color="auto"/>
                            <w:left w:val="none" w:sz="0" w:space="0" w:color="auto"/>
                            <w:bottom w:val="none" w:sz="0" w:space="0" w:color="auto"/>
                            <w:right w:val="none" w:sz="0" w:space="0" w:color="auto"/>
                          </w:divBdr>
                        </w:div>
                        <w:div w:id="706561036">
                          <w:marLeft w:val="0"/>
                          <w:marRight w:val="0"/>
                          <w:marTop w:val="0"/>
                          <w:marBottom w:val="0"/>
                          <w:divBdr>
                            <w:top w:val="none" w:sz="0" w:space="0" w:color="auto"/>
                            <w:left w:val="none" w:sz="0" w:space="0" w:color="auto"/>
                            <w:bottom w:val="none" w:sz="0" w:space="0" w:color="auto"/>
                            <w:right w:val="none" w:sz="0" w:space="0" w:color="auto"/>
                          </w:divBdr>
                        </w:div>
                        <w:div w:id="446697801">
                          <w:marLeft w:val="0"/>
                          <w:marRight w:val="0"/>
                          <w:marTop w:val="0"/>
                          <w:marBottom w:val="0"/>
                          <w:divBdr>
                            <w:top w:val="none" w:sz="0" w:space="0" w:color="auto"/>
                            <w:left w:val="none" w:sz="0" w:space="0" w:color="auto"/>
                            <w:bottom w:val="none" w:sz="0" w:space="0" w:color="auto"/>
                            <w:right w:val="none" w:sz="0" w:space="0" w:color="auto"/>
                          </w:divBdr>
                        </w:div>
                        <w:div w:id="922105207">
                          <w:marLeft w:val="0"/>
                          <w:marRight w:val="0"/>
                          <w:marTop w:val="0"/>
                          <w:marBottom w:val="0"/>
                          <w:divBdr>
                            <w:top w:val="none" w:sz="0" w:space="0" w:color="auto"/>
                            <w:left w:val="none" w:sz="0" w:space="0" w:color="auto"/>
                            <w:bottom w:val="none" w:sz="0" w:space="0" w:color="auto"/>
                            <w:right w:val="none" w:sz="0" w:space="0" w:color="auto"/>
                          </w:divBdr>
                        </w:div>
                        <w:div w:id="795299047">
                          <w:marLeft w:val="0"/>
                          <w:marRight w:val="0"/>
                          <w:marTop w:val="0"/>
                          <w:marBottom w:val="0"/>
                          <w:divBdr>
                            <w:top w:val="none" w:sz="0" w:space="0" w:color="auto"/>
                            <w:left w:val="none" w:sz="0" w:space="0" w:color="auto"/>
                            <w:bottom w:val="none" w:sz="0" w:space="0" w:color="auto"/>
                            <w:right w:val="none" w:sz="0" w:space="0" w:color="auto"/>
                          </w:divBdr>
                        </w:div>
                        <w:div w:id="1462533653">
                          <w:marLeft w:val="0"/>
                          <w:marRight w:val="0"/>
                          <w:marTop w:val="0"/>
                          <w:marBottom w:val="0"/>
                          <w:divBdr>
                            <w:top w:val="none" w:sz="0" w:space="0" w:color="auto"/>
                            <w:left w:val="none" w:sz="0" w:space="0" w:color="auto"/>
                            <w:bottom w:val="none" w:sz="0" w:space="0" w:color="auto"/>
                            <w:right w:val="none" w:sz="0" w:space="0" w:color="auto"/>
                          </w:divBdr>
                        </w:div>
                        <w:div w:id="185950991">
                          <w:marLeft w:val="0"/>
                          <w:marRight w:val="0"/>
                          <w:marTop w:val="0"/>
                          <w:marBottom w:val="0"/>
                          <w:divBdr>
                            <w:top w:val="none" w:sz="0" w:space="0" w:color="auto"/>
                            <w:left w:val="none" w:sz="0" w:space="0" w:color="auto"/>
                            <w:bottom w:val="none" w:sz="0" w:space="0" w:color="auto"/>
                            <w:right w:val="none" w:sz="0" w:space="0" w:color="auto"/>
                          </w:divBdr>
                        </w:div>
                        <w:div w:id="1817407516">
                          <w:marLeft w:val="0"/>
                          <w:marRight w:val="0"/>
                          <w:marTop w:val="0"/>
                          <w:marBottom w:val="0"/>
                          <w:divBdr>
                            <w:top w:val="none" w:sz="0" w:space="0" w:color="auto"/>
                            <w:left w:val="none" w:sz="0" w:space="0" w:color="auto"/>
                            <w:bottom w:val="none" w:sz="0" w:space="0" w:color="auto"/>
                            <w:right w:val="none" w:sz="0" w:space="0" w:color="auto"/>
                          </w:divBdr>
                        </w:div>
                        <w:div w:id="2092852135">
                          <w:marLeft w:val="0"/>
                          <w:marRight w:val="0"/>
                          <w:marTop w:val="0"/>
                          <w:marBottom w:val="0"/>
                          <w:divBdr>
                            <w:top w:val="none" w:sz="0" w:space="0" w:color="auto"/>
                            <w:left w:val="none" w:sz="0" w:space="0" w:color="auto"/>
                            <w:bottom w:val="none" w:sz="0" w:space="0" w:color="auto"/>
                            <w:right w:val="none" w:sz="0" w:space="0" w:color="auto"/>
                          </w:divBdr>
                        </w:div>
                        <w:div w:id="492063570">
                          <w:marLeft w:val="0"/>
                          <w:marRight w:val="0"/>
                          <w:marTop w:val="0"/>
                          <w:marBottom w:val="0"/>
                          <w:divBdr>
                            <w:top w:val="none" w:sz="0" w:space="0" w:color="auto"/>
                            <w:left w:val="none" w:sz="0" w:space="0" w:color="auto"/>
                            <w:bottom w:val="none" w:sz="0" w:space="0" w:color="auto"/>
                            <w:right w:val="none" w:sz="0" w:space="0" w:color="auto"/>
                          </w:divBdr>
                        </w:div>
                        <w:div w:id="880942717">
                          <w:marLeft w:val="0"/>
                          <w:marRight w:val="0"/>
                          <w:marTop w:val="0"/>
                          <w:marBottom w:val="0"/>
                          <w:divBdr>
                            <w:top w:val="none" w:sz="0" w:space="0" w:color="auto"/>
                            <w:left w:val="none" w:sz="0" w:space="0" w:color="auto"/>
                            <w:bottom w:val="none" w:sz="0" w:space="0" w:color="auto"/>
                            <w:right w:val="none" w:sz="0" w:space="0" w:color="auto"/>
                          </w:divBdr>
                        </w:div>
                        <w:div w:id="1118375457">
                          <w:marLeft w:val="0"/>
                          <w:marRight w:val="0"/>
                          <w:marTop w:val="0"/>
                          <w:marBottom w:val="0"/>
                          <w:divBdr>
                            <w:top w:val="none" w:sz="0" w:space="0" w:color="auto"/>
                            <w:left w:val="none" w:sz="0" w:space="0" w:color="auto"/>
                            <w:bottom w:val="none" w:sz="0" w:space="0" w:color="auto"/>
                            <w:right w:val="none" w:sz="0" w:space="0" w:color="auto"/>
                          </w:divBdr>
                        </w:div>
                        <w:div w:id="274404334">
                          <w:marLeft w:val="0"/>
                          <w:marRight w:val="0"/>
                          <w:marTop w:val="0"/>
                          <w:marBottom w:val="0"/>
                          <w:divBdr>
                            <w:top w:val="none" w:sz="0" w:space="0" w:color="auto"/>
                            <w:left w:val="none" w:sz="0" w:space="0" w:color="auto"/>
                            <w:bottom w:val="none" w:sz="0" w:space="0" w:color="auto"/>
                            <w:right w:val="none" w:sz="0" w:space="0" w:color="auto"/>
                          </w:divBdr>
                        </w:div>
                        <w:div w:id="287703785">
                          <w:marLeft w:val="0"/>
                          <w:marRight w:val="0"/>
                          <w:marTop w:val="0"/>
                          <w:marBottom w:val="0"/>
                          <w:divBdr>
                            <w:top w:val="none" w:sz="0" w:space="0" w:color="auto"/>
                            <w:left w:val="none" w:sz="0" w:space="0" w:color="auto"/>
                            <w:bottom w:val="none" w:sz="0" w:space="0" w:color="auto"/>
                            <w:right w:val="none" w:sz="0" w:space="0" w:color="auto"/>
                          </w:divBdr>
                        </w:div>
                        <w:div w:id="459029928">
                          <w:marLeft w:val="0"/>
                          <w:marRight w:val="0"/>
                          <w:marTop w:val="0"/>
                          <w:marBottom w:val="0"/>
                          <w:divBdr>
                            <w:top w:val="none" w:sz="0" w:space="0" w:color="auto"/>
                            <w:left w:val="none" w:sz="0" w:space="0" w:color="auto"/>
                            <w:bottom w:val="none" w:sz="0" w:space="0" w:color="auto"/>
                            <w:right w:val="none" w:sz="0" w:space="0" w:color="auto"/>
                          </w:divBdr>
                        </w:div>
                        <w:div w:id="2130850391">
                          <w:marLeft w:val="0"/>
                          <w:marRight w:val="0"/>
                          <w:marTop w:val="0"/>
                          <w:marBottom w:val="0"/>
                          <w:divBdr>
                            <w:top w:val="none" w:sz="0" w:space="0" w:color="auto"/>
                            <w:left w:val="none" w:sz="0" w:space="0" w:color="auto"/>
                            <w:bottom w:val="none" w:sz="0" w:space="0" w:color="auto"/>
                            <w:right w:val="none" w:sz="0" w:space="0" w:color="auto"/>
                          </w:divBdr>
                        </w:div>
                        <w:div w:id="1341855803">
                          <w:marLeft w:val="0"/>
                          <w:marRight w:val="0"/>
                          <w:marTop w:val="0"/>
                          <w:marBottom w:val="0"/>
                          <w:divBdr>
                            <w:top w:val="none" w:sz="0" w:space="0" w:color="auto"/>
                            <w:left w:val="none" w:sz="0" w:space="0" w:color="auto"/>
                            <w:bottom w:val="none" w:sz="0" w:space="0" w:color="auto"/>
                            <w:right w:val="none" w:sz="0" w:space="0" w:color="auto"/>
                          </w:divBdr>
                        </w:div>
                        <w:div w:id="375619183">
                          <w:marLeft w:val="0"/>
                          <w:marRight w:val="0"/>
                          <w:marTop w:val="0"/>
                          <w:marBottom w:val="0"/>
                          <w:divBdr>
                            <w:top w:val="none" w:sz="0" w:space="0" w:color="auto"/>
                            <w:left w:val="none" w:sz="0" w:space="0" w:color="auto"/>
                            <w:bottom w:val="none" w:sz="0" w:space="0" w:color="auto"/>
                            <w:right w:val="none" w:sz="0" w:space="0" w:color="auto"/>
                          </w:divBdr>
                        </w:div>
                        <w:div w:id="645475772">
                          <w:marLeft w:val="0"/>
                          <w:marRight w:val="0"/>
                          <w:marTop w:val="0"/>
                          <w:marBottom w:val="0"/>
                          <w:divBdr>
                            <w:top w:val="none" w:sz="0" w:space="0" w:color="auto"/>
                            <w:left w:val="none" w:sz="0" w:space="0" w:color="auto"/>
                            <w:bottom w:val="none" w:sz="0" w:space="0" w:color="auto"/>
                            <w:right w:val="none" w:sz="0" w:space="0" w:color="auto"/>
                          </w:divBdr>
                        </w:div>
                        <w:div w:id="209922112">
                          <w:marLeft w:val="0"/>
                          <w:marRight w:val="0"/>
                          <w:marTop w:val="0"/>
                          <w:marBottom w:val="0"/>
                          <w:divBdr>
                            <w:top w:val="none" w:sz="0" w:space="0" w:color="auto"/>
                            <w:left w:val="none" w:sz="0" w:space="0" w:color="auto"/>
                            <w:bottom w:val="none" w:sz="0" w:space="0" w:color="auto"/>
                            <w:right w:val="none" w:sz="0" w:space="0" w:color="auto"/>
                          </w:divBdr>
                        </w:div>
                        <w:div w:id="1068071298">
                          <w:marLeft w:val="0"/>
                          <w:marRight w:val="0"/>
                          <w:marTop w:val="0"/>
                          <w:marBottom w:val="0"/>
                          <w:divBdr>
                            <w:top w:val="none" w:sz="0" w:space="0" w:color="auto"/>
                            <w:left w:val="none" w:sz="0" w:space="0" w:color="auto"/>
                            <w:bottom w:val="none" w:sz="0" w:space="0" w:color="auto"/>
                            <w:right w:val="none" w:sz="0" w:space="0" w:color="auto"/>
                          </w:divBdr>
                        </w:div>
                        <w:div w:id="266281776">
                          <w:marLeft w:val="0"/>
                          <w:marRight w:val="0"/>
                          <w:marTop w:val="0"/>
                          <w:marBottom w:val="0"/>
                          <w:divBdr>
                            <w:top w:val="none" w:sz="0" w:space="0" w:color="auto"/>
                            <w:left w:val="none" w:sz="0" w:space="0" w:color="auto"/>
                            <w:bottom w:val="none" w:sz="0" w:space="0" w:color="auto"/>
                            <w:right w:val="none" w:sz="0" w:space="0" w:color="auto"/>
                          </w:divBdr>
                        </w:div>
                        <w:div w:id="105347691">
                          <w:marLeft w:val="0"/>
                          <w:marRight w:val="0"/>
                          <w:marTop w:val="0"/>
                          <w:marBottom w:val="0"/>
                          <w:divBdr>
                            <w:top w:val="none" w:sz="0" w:space="0" w:color="auto"/>
                            <w:left w:val="none" w:sz="0" w:space="0" w:color="auto"/>
                            <w:bottom w:val="none" w:sz="0" w:space="0" w:color="auto"/>
                            <w:right w:val="none" w:sz="0" w:space="0" w:color="auto"/>
                          </w:divBdr>
                        </w:div>
                        <w:div w:id="2435366">
                          <w:marLeft w:val="0"/>
                          <w:marRight w:val="0"/>
                          <w:marTop w:val="0"/>
                          <w:marBottom w:val="0"/>
                          <w:divBdr>
                            <w:top w:val="none" w:sz="0" w:space="0" w:color="auto"/>
                            <w:left w:val="none" w:sz="0" w:space="0" w:color="auto"/>
                            <w:bottom w:val="none" w:sz="0" w:space="0" w:color="auto"/>
                            <w:right w:val="none" w:sz="0" w:space="0" w:color="auto"/>
                          </w:divBdr>
                        </w:div>
                        <w:div w:id="796946775">
                          <w:marLeft w:val="0"/>
                          <w:marRight w:val="0"/>
                          <w:marTop w:val="0"/>
                          <w:marBottom w:val="0"/>
                          <w:divBdr>
                            <w:top w:val="none" w:sz="0" w:space="0" w:color="auto"/>
                            <w:left w:val="none" w:sz="0" w:space="0" w:color="auto"/>
                            <w:bottom w:val="none" w:sz="0" w:space="0" w:color="auto"/>
                            <w:right w:val="none" w:sz="0" w:space="0" w:color="auto"/>
                          </w:divBdr>
                        </w:div>
                        <w:div w:id="1241018712">
                          <w:marLeft w:val="0"/>
                          <w:marRight w:val="0"/>
                          <w:marTop w:val="0"/>
                          <w:marBottom w:val="0"/>
                          <w:divBdr>
                            <w:top w:val="none" w:sz="0" w:space="0" w:color="auto"/>
                            <w:left w:val="none" w:sz="0" w:space="0" w:color="auto"/>
                            <w:bottom w:val="none" w:sz="0" w:space="0" w:color="auto"/>
                            <w:right w:val="none" w:sz="0" w:space="0" w:color="auto"/>
                          </w:divBdr>
                        </w:div>
                        <w:div w:id="1559972765">
                          <w:marLeft w:val="0"/>
                          <w:marRight w:val="0"/>
                          <w:marTop w:val="0"/>
                          <w:marBottom w:val="0"/>
                          <w:divBdr>
                            <w:top w:val="none" w:sz="0" w:space="0" w:color="auto"/>
                            <w:left w:val="none" w:sz="0" w:space="0" w:color="auto"/>
                            <w:bottom w:val="none" w:sz="0" w:space="0" w:color="auto"/>
                            <w:right w:val="none" w:sz="0" w:space="0" w:color="auto"/>
                          </w:divBdr>
                        </w:div>
                        <w:div w:id="1920095950">
                          <w:marLeft w:val="0"/>
                          <w:marRight w:val="0"/>
                          <w:marTop w:val="0"/>
                          <w:marBottom w:val="0"/>
                          <w:divBdr>
                            <w:top w:val="none" w:sz="0" w:space="0" w:color="auto"/>
                            <w:left w:val="none" w:sz="0" w:space="0" w:color="auto"/>
                            <w:bottom w:val="none" w:sz="0" w:space="0" w:color="auto"/>
                            <w:right w:val="none" w:sz="0" w:space="0" w:color="auto"/>
                          </w:divBdr>
                        </w:div>
                        <w:div w:id="744496552">
                          <w:marLeft w:val="0"/>
                          <w:marRight w:val="0"/>
                          <w:marTop w:val="0"/>
                          <w:marBottom w:val="0"/>
                          <w:divBdr>
                            <w:top w:val="none" w:sz="0" w:space="0" w:color="auto"/>
                            <w:left w:val="none" w:sz="0" w:space="0" w:color="auto"/>
                            <w:bottom w:val="none" w:sz="0" w:space="0" w:color="auto"/>
                            <w:right w:val="none" w:sz="0" w:space="0" w:color="auto"/>
                          </w:divBdr>
                        </w:div>
                        <w:div w:id="886374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379667">
                  <w:marLeft w:val="0"/>
                  <w:marRight w:val="0"/>
                  <w:marTop w:val="15"/>
                  <w:marBottom w:val="0"/>
                  <w:divBdr>
                    <w:top w:val="none" w:sz="0" w:space="0" w:color="auto"/>
                    <w:left w:val="none" w:sz="0" w:space="0" w:color="auto"/>
                    <w:bottom w:val="none" w:sz="0" w:space="0" w:color="auto"/>
                    <w:right w:val="none" w:sz="0" w:space="0" w:color="auto"/>
                  </w:divBdr>
                  <w:divsChild>
                    <w:div w:id="2102408572">
                      <w:marLeft w:val="0"/>
                      <w:marRight w:val="0"/>
                      <w:marTop w:val="0"/>
                      <w:marBottom w:val="0"/>
                      <w:divBdr>
                        <w:top w:val="none" w:sz="0" w:space="0" w:color="auto"/>
                        <w:left w:val="none" w:sz="0" w:space="0" w:color="auto"/>
                        <w:bottom w:val="none" w:sz="0" w:space="0" w:color="auto"/>
                        <w:right w:val="none" w:sz="0" w:space="0" w:color="auto"/>
                      </w:divBdr>
                      <w:divsChild>
                        <w:div w:id="317729565">
                          <w:marLeft w:val="0"/>
                          <w:marRight w:val="0"/>
                          <w:marTop w:val="0"/>
                          <w:marBottom w:val="0"/>
                          <w:divBdr>
                            <w:top w:val="none" w:sz="0" w:space="0" w:color="auto"/>
                            <w:left w:val="none" w:sz="0" w:space="0" w:color="auto"/>
                            <w:bottom w:val="none" w:sz="0" w:space="0" w:color="auto"/>
                            <w:right w:val="none" w:sz="0" w:space="0" w:color="auto"/>
                          </w:divBdr>
                        </w:div>
                        <w:div w:id="2062433386">
                          <w:marLeft w:val="0"/>
                          <w:marRight w:val="0"/>
                          <w:marTop w:val="0"/>
                          <w:marBottom w:val="0"/>
                          <w:divBdr>
                            <w:top w:val="none" w:sz="0" w:space="0" w:color="auto"/>
                            <w:left w:val="none" w:sz="0" w:space="0" w:color="auto"/>
                            <w:bottom w:val="none" w:sz="0" w:space="0" w:color="auto"/>
                            <w:right w:val="none" w:sz="0" w:space="0" w:color="auto"/>
                          </w:divBdr>
                        </w:div>
                        <w:div w:id="963996457">
                          <w:marLeft w:val="0"/>
                          <w:marRight w:val="0"/>
                          <w:marTop w:val="0"/>
                          <w:marBottom w:val="0"/>
                          <w:divBdr>
                            <w:top w:val="none" w:sz="0" w:space="0" w:color="auto"/>
                            <w:left w:val="none" w:sz="0" w:space="0" w:color="auto"/>
                            <w:bottom w:val="none" w:sz="0" w:space="0" w:color="auto"/>
                            <w:right w:val="none" w:sz="0" w:space="0" w:color="auto"/>
                          </w:divBdr>
                        </w:div>
                        <w:div w:id="1052272976">
                          <w:marLeft w:val="0"/>
                          <w:marRight w:val="0"/>
                          <w:marTop w:val="0"/>
                          <w:marBottom w:val="0"/>
                          <w:divBdr>
                            <w:top w:val="none" w:sz="0" w:space="0" w:color="auto"/>
                            <w:left w:val="none" w:sz="0" w:space="0" w:color="auto"/>
                            <w:bottom w:val="none" w:sz="0" w:space="0" w:color="auto"/>
                            <w:right w:val="none" w:sz="0" w:space="0" w:color="auto"/>
                          </w:divBdr>
                        </w:div>
                        <w:div w:id="1162966562">
                          <w:marLeft w:val="0"/>
                          <w:marRight w:val="0"/>
                          <w:marTop w:val="0"/>
                          <w:marBottom w:val="0"/>
                          <w:divBdr>
                            <w:top w:val="none" w:sz="0" w:space="0" w:color="auto"/>
                            <w:left w:val="none" w:sz="0" w:space="0" w:color="auto"/>
                            <w:bottom w:val="none" w:sz="0" w:space="0" w:color="auto"/>
                            <w:right w:val="none" w:sz="0" w:space="0" w:color="auto"/>
                          </w:divBdr>
                        </w:div>
                        <w:div w:id="715736232">
                          <w:marLeft w:val="0"/>
                          <w:marRight w:val="0"/>
                          <w:marTop w:val="0"/>
                          <w:marBottom w:val="0"/>
                          <w:divBdr>
                            <w:top w:val="none" w:sz="0" w:space="0" w:color="auto"/>
                            <w:left w:val="none" w:sz="0" w:space="0" w:color="auto"/>
                            <w:bottom w:val="none" w:sz="0" w:space="0" w:color="auto"/>
                            <w:right w:val="none" w:sz="0" w:space="0" w:color="auto"/>
                          </w:divBdr>
                        </w:div>
                        <w:div w:id="1787888119">
                          <w:marLeft w:val="0"/>
                          <w:marRight w:val="0"/>
                          <w:marTop w:val="0"/>
                          <w:marBottom w:val="0"/>
                          <w:divBdr>
                            <w:top w:val="none" w:sz="0" w:space="0" w:color="auto"/>
                            <w:left w:val="none" w:sz="0" w:space="0" w:color="auto"/>
                            <w:bottom w:val="none" w:sz="0" w:space="0" w:color="auto"/>
                            <w:right w:val="none" w:sz="0" w:space="0" w:color="auto"/>
                          </w:divBdr>
                        </w:div>
                        <w:div w:id="1883906779">
                          <w:marLeft w:val="0"/>
                          <w:marRight w:val="0"/>
                          <w:marTop w:val="0"/>
                          <w:marBottom w:val="0"/>
                          <w:divBdr>
                            <w:top w:val="none" w:sz="0" w:space="0" w:color="auto"/>
                            <w:left w:val="none" w:sz="0" w:space="0" w:color="auto"/>
                            <w:bottom w:val="none" w:sz="0" w:space="0" w:color="auto"/>
                            <w:right w:val="none" w:sz="0" w:space="0" w:color="auto"/>
                          </w:divBdr>
                        </w:div>
                        <w:div w:id="1149326352">
                          <w:marLeft w:val="0"/>
                          <w:marRight w:val="0"/>
                          <w:marTop w:val="0"/>
                          <w:marBottom w:val="0"/>
                          <w:divBdr>
                            <w:top w:val="none" w:sz="0" w:space="0" w:color="auto"/>
                            <w:left w:val="none" w:sz="0" w:space="0" w:color="auto"/>
                            <w:bottom w:val="none" w:sz="0" w:space="0" w:color="auto"/>
                            <w:right w:val="none" w:sz="0" w:space="0" w:color="auto"/>
                          </w:divBdr>
                        </w:div>
                        <w:div w:id="408576678">
                          <w:marLeft w:val="0"/>
                          <w:marRight w:val="0"/>
                          <w:marTop w:val="0"/>
                          <w:marBottom w:val="0"/>
                          <w:divBdr>
                            <w:top w:val="none" w:sz="0" w:space="0" w:color="auto"/>
                            <w:left w:val="none" w:sz="0" w:space="0" w:color="auto"/>
                            <w:bottom w:val="none" w:sz="0" w:space="0" w:color="auto"/>
                            <w:right w:val="none" w:sz="0" w:space="0" w:color="auto"/>
                          </w:divBdr>
                        </w:div>
                        <w:div w:id="533159300">
                          <w:marLeft w:val="0"/>
                          <w:marRight w:val="0"/>
                          <w:marTop w:val="0"/>
                          <w:marBottom w:val="0"/>
                          <w:divBdr>
                            <w:top w:val="none" w:sz="0" w:space="0" w:color="auto"/>
                            <w:left w:val="none" w:sz="0" w:space="0" w:color="auto"/>
                            <w:bottom w:val="none" w:sz="0" w:space="0" w:color="auto"/>
                            <w:right w:val="none" w:sz="0" w:space="0" w:color="auto"/>
                          </w:divBdr>
                        </w:div>
                        <w:div w:id="657811695">
                          <w:marLeft w:val="0"/>
                          <w:marRight w:val="0"/>
                          <w:marTop w:val="0"/>
                          <w:marBottom w:val="0"/>
                          <w:divBdr>
                            <w:top w:val="none" w:sz="0" w:space="0" w:color="auto"/>
                            <w:left w:val="none" w:sz="0" w:space="0" w:color="auto"/>
                            <w:bottom w:val="none" w:sz="0" w:space="0" w:color="auto"/>
                            <w:right w:val="none" w:sz="0" w:space="0" w:color="auto"/>
                          </w:divBdr>
                        </w:div>
                        <w:div w:id="807431955">
                          <w:marLeft w:val="0"/>
                          <w:marRight w:val="0"/>
                          <w:marTop w:val="0"/>
                          <w:marBottom w:val="0"/>
                          <w:divBdr>
                            <w:top w:val="none" w:sz="0" w:space="0" w:color="auto"/>
                            <w:left w:val="none" w:sz="0" w:space="0" w:color="auto"/>
                            <w:bottom w:val="none" w:sz="0" w:space="0" w:color="auto"/>
                            <w:right w:val="none" w:sz="0" w:space="0" w:color="auto"/>
                          </w:divBdr>
                        </w:div>
                        <w:div w:id="1332369528">
                          <w:marLeft w:val="0"/>
                          <w:marRight w:val="0"/>
                          <w:marTop w:val="0"/>
                          <w:marBottom w:val="0"/>
                          <w:divBdr>
                            <w:top w:val="none" w:sz="0" w:space="0" w:color="auto"/>
                            <w:left w:val="none" w:sz="0" w:space="0" w:color="auto"/>
                            <w:bottom w:val="none" w:sz="0" w:space="0" w:color="auto"/>
                            <w:right w:val="none" w:sz="0" w:space="0" w:color="auto"/>
                          </w:divBdr>
                        </w:div>
                        <w:div w:id="124544590">
                          <w:marLeft w:val="0"/>
                          <w:marRight w:val="0"/>
                          <w:marTop w:val="0"/>
                          <w:marBottom w:val="0"/>
                          <w:divBdr>
                            <w:top w:val="none" w:sz="0" w:space="0" w:color="auto"/>
                            <w:left w:val="none" w:sz="0" w:space="0" w:color="auto"/>
                            <w:bottom w:val="none" w:sz="0" w:space="0" w:color="auto"/>
                            <w:right w:val="none" w:sz="0" w:space="0" w:color="auto"/>
                          </w:divBdr>
                        </w:div>
                        <w:div w:id="1395010739">
                          <w:marLeft w:val="0"/>
                          <w:marRight w:val="0"/>
                          <w:marTop w:val="0"/>
                          <w:marBottom w:val="0"/>
                          <w:divBdr>
                            <w:top w:val="none" w:sz="0" w:space="0" w:color="auto"/>
                            <w:left w:val="none" w:sz="0" w:space="0" w:color="auto"/>
                            <w:bottom w:val="none" w:sz="0" w:space="0" w:color="auto"/>
                            <w:right w:val="none" w:sz="0" w:space="0" w:color="auto"/>
                          </w:divBdr>
                        </w:div>
                        <w:div w:id="1679850435">
                          <w:marLeft w:val="0"/>
                          <w:marRight w:val="0"/>
                          <w:marTop w:val="0"/>
                          <w:marBottom w:val="0"/>
                          <w:divBdr>
                            <w:top w:val="none" w:sz="0" w:space="0" w:color="auto"/>
                            <w:left w:val="none" w:sz="0" w:space="0" w:color="auto"/>
                            <w:bottom w:val="none" w:sz="0" w:space="0" w:color="auto"/>
                            <w:right w:val="none" w:sz="0" w:space="0" w:color="auto"/>
                          </w:divBdr>
                        </w:div>
                        <w:div w:id="194200945">
                          <w:marLeft w:val="0"/>
                          <w:marRight w:val="0"/>
                          <w:marTop w:val="0"/>
                          <w:marBottom w:val="0"/>
                          <w:divBdr>
                            <w:top w:val="none" w:sz="0" w:space="0" w:color="auto"/>
                            <w:left w:val="none" w:sz="0" w:space="0" w:color="auto"/>
                            <w:bottom w:val="none" w:sz="0" w:space="0" w:color="auto"/>
                            <w:right w:val="none" w:sz="0" w:space="0" w:color="auto"/>
                          </w:divBdr>
                        </w:div>
                        <w:div w:id="442505275">
                          <w:marLeft w:val="0"/>
                          <w:marRight w:val="0"/>
                          <w:marTop w:val="0"/>
                          <w:marBottom w:val="0"/>
                          <w:divBdr>
                            <w:top w:val="none" w:sz="0" w:space="0" w:color="auto"/>
                            <w:left w:val="none" w:sz="0" w:space="0" w:color="auto"/>
                            <w:bottom w:val="none" w:sz="0" w:space="0" w:color="auto"/>
                            <w:right w:val="none" w:sz="0" w:space="0" w:color="auto"/>
                          </w:divBdr>
                        </w:div>
                        <w:div w:id="365060294">
                          <w:marLeft w:val="0"/>
                          <w:marRight w:val="0"/>
                          <w:marTop w:val="0"/>
                          <w:marBottom w:val="0"/>
                          <w:divBdr>
                            <w:top w:val="none" w:sz="0" w:space="0" w:color="auto"/>
                            <w:left w:val="none" w:sz="0" w:space="0" w:color="auto"/>
                            <w:bottom w:val="none" w:sz="0" w:space="0" w:color="auto"/>
                            <w:right w:val="none" w:sz="0" w:space="0" w:color="auto"/>
                          </w:divBdr>
                        </w:div>
                        <w:div w:id="845822401">
                          <w:marLeft w:val="0"/>
                          <w:marRight w:val="0"/>
                          <w:marTop w:val="0"/>
                          <w:marBottom w:val="0"/>
                          <w:divBdr>
                            <w:top w:val="none" w:sz="0" w:space="0" w:color="auto"/>
                            <w:left w:val="none" w:sz="0" w:space="0" w:color="auto"/>
                            <w:bottom w:val="none" w:sz="0" w:space="0" w:color="auto"/>
                            <w:right w:val="none" w:sz="0" w:space="0" w:color="auto"/>
                          </w:divBdr>
                        </w:div>
                        <w:div w:id="964895578">
                          <w:marLeft w:val="0"/>
                          <w:marRight w:val="0"/>
                          <w:marTop w:val="0"/>
                          <w:marBottom w:val="0"/>
                          <w:divBdr>
                            <w:top w:val="none" w:sz="0" w:space="0" w:color="auto"/>
                            <w:left w:val="none" w:sz="0" w:space="0" w:color="auto"/>
                            <w:bottom w:val="none" w:sz="0" w:space="0" w:color="auto"/>
                            <w:right w:val="none" w:sz="0" w:space="0" w:color="auto"/>
                          </w:divBdr>
                        </w:div>
                        <w:div w:id="1451168013">
                          <w:marLeft w:val="0"/>
                          <w:marRight w:val="0"/>
                          <w:marTop w:val="0"/>
                          <w:marBottom w:val="0"/>
                          <w:divBdr>
                            <w:top w:val="none" w:sz="0" w:space="0" w:color="auto"/>
                            <w:left w:val="none" w:sz="0" w:space="0" w:color="auto"/>
                            <w:bottom w:val="none" w:sz="0" w:space="0" w:color="auto"/>
                            <w:right w:val="none" w:sz="0" w:space="0" w:color="auto"/>
                          </w:divBdr>
                        </w:div>
                        <w:div w:id="799230709">
                          <w:marLeft w:val="0"/>
                          <w:marRight w:val="0"/>
                          <w:marTop w:val="0"/>
                          <w:marBottom w:val="0"/>
                          <w:divBdr>
                            <w:top w:val="none" w:sz="0" w:space="0" w:color="auto"/>
                            <w:left w:val="none" w:sz="0" w:space="0" w:color="auto"/>
                            <w:bottom w:val="none" w:sz="0" w:space="0" w:color="auto"/>
                            <w:right w:val="none" w:sz="0" w:space="0" w:color="auto"/>
                          </w:divBdr>
                        </w:div>
                        <w:div w:id="651181105">
                          <w:marLeft w:val="0"/>
                          <w:marRight w:val="0"/>
                          <w:marTop w:val="0"/>
                          <w:marBottom w:val="0"/>
                          <w:divBdr>
                            <w:top w:val="none" w:sz="0" w:space="0" w:color="auto"/>
                            <w:left w:val="none" w:sz="0" w:space="0" w:color="auto"/>
                            <w:bottom w:val="none" w:sz="0" w:space="0" w:color="auto"/>
                            <w:right w:val="none" w:sz="0" w:space="0" w:color="auto"/>
                          </w:divBdr>
                        </w:div>
                        <w:div w:id="1106773537">
                          <w:marLeft w:val="0"/>
                          <w:marRight w:val="0"/>
                          <w:marTop w:val="0"/>
                          <w:marBottom w:val="0"/>
                          <w:divBdr>
                            <w:top w:val="none" w:sz="0" w:space="0" w:color="auto"/>
                            <w:left w:val="none" w:sz="0" w:space="0" w:color="auto"/>
                            <w:bottom w:val="none" w:sz="0" w:space="0" w:color="auto"/>
                            <w:right w:val="none" w:sz="0" w:space="0" w:color="auto"/>
                          </w:divBdr>
                        </w:div>
                        <w:div w:id="684595082">
                          <w:marLeft w:val="0"/>
                          <w:marRight w:val="0"/>
                          <w:marTop w:val="0"/>
                          <w:marBottom w:val="0"/>
                          <w:divBdr>
                            <w:top w:val="none" w:sz="0" w:space="0" w:color="auto"/>
                            <w:left w:val="none" w:sz="0" w:space="0" w:color="auto"/>
                            <w:bottom w:val="none" w:sz="0" w:space="0" w:color="auto"/>
                            <w:right w:val="none" w:sz="0" w:space="0" w:color="auto"/>
                          </w:divBdr>
                        </w:div>
                        <w:div w:id="98570733">
                          <w:marLeft w:val="0"/>
                          <w:marRight w:val="0"/>
                          <w:marTop w:val="0"/>
                          <w:marBottom w:val="0"/>
                          <w:divBdr>
                            <w:top w:val="none" w:sz="0" w:space="0" w:color="auto"/>
                            <w:left w:val="none" w:sz="0" w:space="0" w:color="auto"/>
                            <w:bottom w:val="none" w:sz="0" w:space="0" w:color="auto"/>
                            <w:right w:val="none" w:sz="0" w:space="0" w:color="auto"/>
                          </w:divBdr>
                        </w:div>
                        <w:div w:id="1318221746">
                          <w:marLeft w:val="0"/>
                          <w:marRight w:val="0"/>
                          <w:marTop w:val="0"/>
                          <w:marBottom w:val="0"/>
                          <w:divBdr>
                            <w:top w:val="none" w:sz="0" w:space="0" w:color="auto"/>
                            <w:left w:val="none" w:sz="0" w:space="0" w:color="auto"/>
                            <w:bottom w:val="none" w:sz="0" w:space="0" w:color="auto"/>
                            <w:right w:val="none" w:sz="0" w:space="0" w:color="auto"/>
                          </w:divBdr>
                        </w:div>
                        <w:div w:id="643243257">
                          <w:marLeft w:val="0"/>
                          <w:marRight w:val="0"/>
                          <w:marTop w:val="0"/>
                          <w:marBottom w:val="0"/>
                          <w:divBdr>
                            <w:top w:val="none" w:sz="0" w:space="0" w:color="auto"/>
                            <w:left w:val="none" w:sz="0" w:space="0" w:color="auto"/>
                            <w:bottom w:val="none" w:sz="0" w:space="0" w:color="auto"/>
                            <w:right w:val="none" w:sz="0" w:space="0" w:color="auto"/>
                          </w:divBdr>
                        </w:div>
                        <w:div w:id="76949140">
                          <w:marLeft w:val="0"/>
                          <w:marRight w:val="0"/>
                          <w:marTop w:val="0"/>
                          <w:marBottom w:val="0"/>
                          <w:divBdr>
                            <w:top w:val="none" w:sz="0" w:space="0" w:color="auto"/>
                            <w:left w:val="none" w:sz="0" w:space="0" w:color="auto"/>
                            <w:bottom w:val="none" w:sz="0" w:space="0" w:color="auto"/>
                            <w:right w:val="none" w:sz="0" w:space="0" w:color="auto"/>
                          </w:divBdr>
                        </w:div>
                        <w:div w:id="159393550">
                          <w:marLeft w:val="0"/>
                          <w:marRight w:val="0"/>
                          <w:marTop w:val="0"/>
                          <w:marBottom w:val="0"/>
                          <w:divBdr>
                            <w:top w:val="none" w:sz="0" w:space="0" w:color="auto"/>
                            <w:left w:val="none" w:sz="0" w:space="0" w:color="auto"/>
                            <w:bottom w:val="none" w:sz="0" w:space="0" w:color="auto"/>
                            <w:right w:val="none" w:sz="0" w:space="0" w:color="auto"/>
                          </w:divBdr>
                        </w:div>
                        <w:div w:id="1469591170">
                          <w:marLeft w:val="0"/>
                          <w:marRight w:val="0"/>
                          <w:marTop w:val="0"/>
                          <w:marBottom w:val="0"/>
                          <w:divBdr>
                            <w:top w:val="none" w:sz="0" w:space="0" w:color="auto"/>
                            <w:left w:val="none" w:sz="0" w:space="0" w:color="auto"/>
                            <w:bottom w:val="none" w:sz="0" w:space="0" w:color="auto"/>
                            <w:right w:val="none" w:sz="0" w:space="0" w:color="auto"/>
                          </w:divBdr>
                        </w:div>
                        <w:div w:id="906184383">
                          <w:marLeft w:val="0"/>
                          <w:marRight w:val="0"/>
                          <w:marTop w:val="0"/>
                          <w:marBottom w:val="0"/>
                          <w:divBdr>
                            <w:top w:val="none" w:sz="0" w:space="0" w:color="auto"/>
                            <w:left w:val="none" w:sz="0" w:space="0" w:color="auto"/>
                            <w:bottom w:val="none" w:sz="0" w:space="0" w:color="auto"/>
                            <w:right w:val="none" w:sz="0" w:space="0" w:color="auto"/>
                          </w:divBdr>
                        </w:div>
                        <w:div w:id="977107402">
                          <w:marLeft w:val="0"/>
                          <w:marRight w:val="0"/>
                          <w:marTop w:val="0"/>
                          <w:marBottom w:val="0"/>
                          <w:divBdr>
                            <w:top w:val="none" w:sz="0" w:space="0" w:color="auto"/>
                            <w:left w:val="none" w:sz="0" w:space="0" w:color="auto"/>
                            <w:bottom w:val="none" w:sz="0" w:space="0" w:color="auto"/>
                            <w:right w:val="none" w:sz="0" w:space="0" w:color="auto"/>
                          </w:divBdr>
                        </w:div>
                        <w:div w:id="1466436234">
                          <w:marLeft w:val="0"/>
                          <w:marRight w:val="0"/>
                          <w:marTop w:val="0"/>
                          <w:marBottom w:val="0"/>
                          <w:divBdr>
                            <w:top w:val="none" w:sz="0" w:space="0" w:color="auto"/>
                            <w:left w:val="none" w:sz="0" w:space="0" w:color="auto"/>
                            <w:bottom w:val="none" w:sz="0" w:space="0" w:color="auto"/>
                            <w:right w:val="none" w:sz="0" w:space="0" w:color="auto"/>
                          </w:divBdr>
                        </w:div>
                        <w:div w:id="1501508083">
                          <w:marLeft w:val="0"/>
                          <w:marRight w:val="0"/>
                          <w:marTop w:val="0"/>
                          <w:marBottom w:val="0"/>
                          <w:divBdr>
                            <w:top w:val="none" w:sz="0" w:space="0" w:color="auto"/>
                            <w:left w:val="none" w:sz="0" w:space="0" w:color="auto"/>
                            <w:bottom w:val="none" w:sz="0" w:space="0" w:color="auto"/>
                            <w:right w:val="none" w:sz="0" w:space="0" w:color="auto"/>
                          </w:divBdr>
                        </w:div>
                        <w:div w:id="1024667941">
                          <w:marLeft w:val="0"/>
                          <w:marRight w:val="0"/>
                          <w:marTop w:val="0"/>
                          <w:marBottom w:val="0"/>
                          <w:divBdr>
                            <w:top w:val="none" w:sz="0" w:space="0" w:color="auto"/>
                            <w:left w:val="none" w:sz="0" w:space="0" w:color="auto"/>
                            <w:bottom w:val="none" w:sz="0" w:space="0" w:color="auto"/>
                            <w:right w:val="none" w:sz="0" w:space="0" w:color="auto"/>
                          </w:divBdr>
                        </w:div>
                        <w:div w:id="1757362472">
                          <w:marLeft w:val="0"/>
                          <w:marRight w:val="0"/>
                          <w:marTop w:val="0"/>
                          <w:marBottom w:val="0"/>
                          <w:divBdr>
                            <w:top w:val="none" w:sz="0" w:space="0" w:color="auto"/>
                            <w:left w:val="none" w:sz="0" w:space="0" w:color="auto"/>
                            <w:bottom w:val="none" w:sz="0" w:space="0" w:color="auto"/>
                            <w:right w:val="none" w:sz="0" w:space="0" w:color="auto"/>
                          </w:divBdr>
                        </w:div>
                        <w:div w:id="1311397076">
                          <w:marLeft w:val="0"/>
                          <w:marRight w:val="0"/>
                          <w:marTop w:val="0"/>
                          <w:marBottom w:val="0"/>
                          <w:divBdr>
                            <w:top w:val="none" w:sz="0" w:space="0" w:color="auto"/>
                            <w:left w:val="none" w:sz="0" w:space="0" w:color="auto"/>
                            <w:bottom w:val="none" w:sz="0" w:space="0" w:color="auto"/>
                            <w:right w:val="none" w:sz="0" w:space="0" w:color="auto"/>
                          </w:divBdr>
                        </w:div>
                        <w:div w:id="2043163006">
                          <w:marLeft w:val="0"/>
                          <w:marRight w:val="0"/>
                          <w:marTop w:val="0"/>
                          <w:marBottom w:val="0"/>
                          <w:divBdr>
                            <w:top w:val="none" w:sz="0" w:space="0" w:color="auto"/>
                            <w:left w:val="none" w:sz="0" w:space="0" w:color="auto"/>
                            <w:bottom w:val="none" w:sz="0" w:space="0" w:color="auto"/>
                            <w:right w:val="none" w:sz="0" w:space="0" w:color="auto"/>
                          </w:divBdr>
                        </w:div>
                        <w:div w:id="1299611549">
                          <w:marLeft w:val="0"/>
                          <w:marRight w:val="0"/>
                          <w:marTop w:val="0"/>
                          <w:marBottom w:val="0"/>
                          <w:divBdr>
                            <w:top w:val="none" w:sz="0" w:space="0" w:color="auto"/>
                            <w:left w:val="none" w:sz="0" w:space="0" w:color="auto"/>
                            <w:bottom w:val="none" w:sz="0" w:space="0" w:color="auto"/>
                            <w:right w:val="none" w:sz="0" w:space="0" w:color="auto"/>
                          </w:divBdr>
                        </w:div>
                        <w:div w:id="1629121534">
                          <w:marLeft w:val="0"/>
                          <w:marRight w:val="0"/>
                          <w:marTop w:val="0"/>
                          <w:marBottom w:val="0"/>
                          <w:divBdr>
                            <w:top w:val="none" w:sz="0" w:space="0" w:color="auto"/>
                            <w:left w:val="none" w:sz="0" w:space="0" w:color="auto"/>
                            <w:bottom w:val="none" w:sz="0" w:space="0" w:color="auto"/>
                            <w:right w:val="none" w:sz="0" w:space="0" w:color="auto"/>
                          </w:divBdr>
                        </w:div>
                        <w:div w:id="290867463">
                          <w:marLeft w:val="0"/>
                          <w:marRight w:val="0"/>
                          <w:marTop w:val="0"/>
                          <w:marBottom w:val="0"/>
                          <w:divBdr>
                            <w:top w:val="none" w:sz="0" w:space="0" w:color="auto"/>
                            <w:left w:val="none" w:sz="0" w:space="0" w:color="auto"/>
                            <w:bottom w:val="none" w:sz="0" w:space="0" w:color="auto"/>
                            <w:right w:val="none" w:sz="0" w:space="0" w:color="auto"/>
                          </w:divBdr>
                        </w:div>
                        <w:div w:id="580287115">
                          <w:marLeft w:val="0"/>
                          <w:marRight w:val="0"/>
                          <w:marTop w:val="0"/>
                          <w:marBottom w:val="0"/>
                          <w:divBdr>
                            <w:top w:val="none" w:sz="0" w:space="0" w:color="auto"/>
                            <w:left w:val="none" w:sz="0" w:space="0" w:color="auto"/>
                            <w:bottom w:val="none" w:sz="0" w:space="0" w:color="auto"/>
                            <w:right w:val="none" w:sz="0" w:space="0" w:color="auto"/>
                          </w:divBdr>
                        </w:div>
                        <w:div w:id="1256014659">
                          <w:marLeft w:val="0"/>
                          <w:marRight w:val="0"/>
                          <w:marTop w:val="0"/>
                          <w:marBottom w:val="0"/>
                          <w:divBdr>
                            <w:top w:val="none" w:sz="0" w:space="0" w:color="auto"/>
                            <w:left w:val="none" w:sz="0" w:space="0" w:color="auto"/>
                            <w:bottom w:val="none" w:sz="0" w:space="0" w:color="auto"/>
                            <w:right w:val="none" w:sz="0" w:space="0" w:color="auto"/>
                          </w:divBdr>
                        </w:div>
                        <w:div w:id="63458444">
                          <w:marLeft w:val="0"/>
                          <w:marRight w:val="0"/>
                          <w:marTop w:val="0"/>
                          <w:marBottom w:val="0"/>
                          <w:divBdr>
                            <w:top w:val="none" w:sz="0" w:space="0" w:color="auto"/>
                            <w:left w:val="none" w:sz="0" w:space="0" w:color="auto"/>
                            <w:bottom w:val="none" w:sz="0" w:space="0" w:color="auto"/>
                            <w:right w:val="none" w:sz="0" w:space="0" w:color="auto"/>
                          </w:divBdr>
                        </w:div>
                        <w:div w:id="922449498">
                          <w:marLeft w:val="0"/>
                          <w:marRight w:val="0"/>
                          <w:marTop w:val="0"/>
                          <w:marBottom w:val="0"/>
                          <w:divBdr>
                            <w:top w:val="none" w:sz="0" w:space="0" w:color="auto"/>
                            <w:left w:val="none" w:sz="0" w:space="0" w:color="auto"/>
                            <w:bottom w:val="none" w:sz="0" w:space="0" w:color="auto"/>
                            <w:right w:val="none" w:sz="0" w:space="0" w:color="auto"/>
                          </w:divBdr>
                        </w:div>
                        <w:div w:id="2104721013">
                          <w:marLeft w:val="0"/>
                          <w:marRight w:val="0"/>
                          <w:marTop w:val="0"/>
                          <w:marBottom w:val="0"/>
                          <w:divBdr>
                            <w:top w:val="none" w:sz="0" w:space="0" w:color="auto"/>
                            <w:left w:val="none" w:sz="0" w:space="0" w:color="auto"/>
                            <w:bottom w:val="none" w:sz="0" w:space="0" w:color="auto"/>
                            <w:right w:val="none" w:sz="0" w:space="0" w:color="auto"/>
                          </w:divBdr>
                        </w:div>
                        <w:div w:id="1936861380">
                          <w:marLeft w:val="0"/>
                          <w:marRight w:val="0"/>
                          <w:marTop w:val="0"/>
                          <w:marBottom w:val="0"/>
                          <w:divBdr>
                            <w:top w:val="none" w:sz="0" w:space="0" w:color="auto"/>
                            <w:left w:val="none" w:sz="0" w:space="0" w:color="auto"/>
                            <w:bottom w:val="none" w:sz="0" w:space="0" w:color="auto"/>
                            <w:right w:val="none" w:sz="0" w:space="0" w:color="auto"/>
                          </w:divBdr>
                        </w:div>
                        <w:div w:id="1976060397">
                          <w:marLeft w:val="0"/>
                          <w:marRight w:val="0"/>
                          <w:marTop w:val="0"/>
                          <w:marBottom w:val="0"/>
                          <w:divBdr>
                            <w:top w:val="none" w:sz="0" w:space="0" w:color="auto"/>
                            <w:left w:val="none" w:sz="0" w:space="0" w:color="auto"/>
                            <w:bottom w:val="none" w:sz="0" w:space="0" w:color="auto"/>
                            <w:right w:val="none" w:sz="0" w:space="0" w:color="auto"/>
                          </w:divBdr>
                        </w:div>
                        <w:div w:id="491607985">
                          <w:marLeft w:val="0"/>
                          <w:marRight w:val="0"/>
                          <w:marTop w:val="0"/>
                          <w:marBottom w:val="0"/>
                          <w:divBdr>
                            <w:top w:val="none" w:sz="0" w:space="0" w:color="auto"/>
                            <w:left w:val="none" w:sz="0" w:space="0" w:color="auto"/>
                            <w:bottom w:val="none" w:sz="0" w:space="0" w:color="auto"/>
                            <w:right w:val="none" w:sz="0" w:space="0" w:color="auto"/>
                          </w:divBdr>
                        </w:div>
                        <w:div w:id="1275020329">
                          <w:marLeft w:val="0"/>
                          <w:marRight w:val="0"/>
                          <w:marTop w:val="0"/>
                          <w:marBottom w:val="0"/>
                          <w:divBdr>
                            <w:top w:val="none" w:sz="0" w:space="0" w:color="auto"/>
                            <w:left w:val="none" w:sz="0" w:space="0" w:color="auto"/>
                            <w:bottom w:val="none" w:sz="0" w:space="0" w:color="auto"/>
                            <w:right w:val="none" w:sz="0" w:space="0" w:color="auto"/>
                          </w:divBdr>
                        </w:div>
                        <w:div w:id="78184695">
                          <w:marLeft w:val="0"/>
                          <w:marRight w:val="0"/>
                          <w:marTop w:val="0"/>
                          <w:marBottom w:val="0"/>
                          <w:divBdr>
                            <w:top w:val="none" w:sz="0" w:space="0" w:color="auto"/>
                            <w:left w:val="none" w:sz="0" w:space="0" w:color="auto"/>
                            <w:bottom w:val="none" w:sz="0" w:space="0" w:color="auto"/>
                            <w:right w:val="none" w:sz="0" w:space="0" w:color="auto"/>
                          </w:divBdr>
                        </w:div>
                        <w:div w:id="5333317">
                          <w:marLeft w:val="0"/>
                          <w:marRight w:val="0"/>
                          <w:marTop w:val="0"/>
                          <w:marBottom w:val="0"/>
                          <w:divBdr>
                            <w:top w:val="none" w:sz="0" w:space="0" w:color="auto"/>
                            <w:left w:val="none" w:sz="0" w:space="0" w:color="auto"/>
                            <w:bottom w:val="none" w:sz="0" w:space="0" w:color="auto"/>
                            <w:right w:val="none" w:sz="0" w:space="0" w:color="auto"/>
                          </w:divBdr>
                        </w:div>
                        <w:div w:id="1006051716">
                          <w:marLeft w:val="0"/>
                          <w:marRight w:val="0"/>
                          <w:marTop w:val="0"/>
                          <w:marBottom w:val="0"/>
                          <w:divBdr>
                            <w:top w:val="none" w:sz="0" w:space="0" w:color="auto"/>
                            <w:left w:val="none" w:sz="0" w:space="0" w:color="auto"/>
                            <w:bottom w:val="none" w:sz="0" w:space="0" w:color="auto"/>
                            <w:right w:val="none" w:sz="0" w:space="0" w:color="auto"/>
                          </w:divBdr>
                        </w:div>
                        <w:div w:id="1713770227">
                          <w:marLeft w:val="0"/>
                          <w:marRight w:val="0"/>
                          <w:marTop w:val="0"/>
                          <w:marBottom w:val="0"/>
                          <w:divBdr>
                            <w:top w:val="none" w:sz="0" w:space="0" w:color="auto"/>
                            <w:left w:val="none" w:sz="0" w:space="0" w:color="auto"/>
                            <w:bottom w:val="none" w:sz="0" w:space="0" w:color="auto"/>
                            <w:right w:val="none" w:sz="0" w:space="0" w:color="auto"/>
                          </w:divBdr>
                        </w:div>
                        <w:div w:id="235481713">
                          <w:marLeft w:val="0"/>
                          <w:marRight w:val="0"/>
                          <w:marTop w:val="0"/>
                          <w:marBottom w:val="0"/>
                          <w:divBdr>
                            <w:top w:val="none" w:sz="0" w:space="0" w:color="auto"/>
                            <w:left w:val="none" w:sz="0" w:space="0" w:color="auto"/>
                            <w:bottom w:val="none" w:sz="0" w:space="0" w:color="auto"/>
                            <w:right w:val="none" w:sz="0" w:space="0" w:color="auto"/>
                          </w:divBdr>
                        </w:div>
                        <w:div w:id="1183282227">
                          <w:marLeft w:val="0"/>
                          <w:marRight w:val="0"/>
                          <w:marTop w:val="0"/>
                          <w:marBottom w:val="0"/>
                          <w:divBdr>
                            <w:top w:val="none" w:sz="0" w:space="0" w:color="auto"/>
                            <w:left w:val="none" w:sz="0" w:space="0" w:color="auto"/>
                            <w:bottom w:val="none" w:sz="0" w:space="0" w:color="auto"/>
                            <w:right w:val="none" w:sz="0" w:space="0" w:color="auto"/>
                          </w:divBdr>
                        </w:div>
                        <w:div w:id="1875772354">
                          <w:marLeft w:val="0"/>
                          <w:marRight w:val="0"/>
                          <w:marTop w:val="0"/>
                          <w:marBottom w:val="0"/>
                          <w:divBdr>
                            <w:top w:val="none" w:sz="0" w:space="0" w:color="auto"/>
                            <w:left w:val="none" w:sz="0" w:space="0" w:color="auto"/>
                            <w:bottom w:val="none" w:sz="0" w:space="0" w:color="auto"/>
                            <w:right w:val="none" w:sz="0" w:space="0" w:color="auto"/>
                          </w:divBdr>
                        </w:div>
                        <w:div w:id="766390496">
                          <w:marLeft w:val="0"/>
                          <w:marRight w:val="0"/>
                          <w:marTop w:val="0"/>
                          <w:marBottom w:val="0"/>
                          <w:divBdr>
                            <w:top w:val="none" w:sz="0" w:space="0" w:color="auto"/>
                            <w:left w:val="none" w:sz="0" w:space="0" w:color="auto"/>
                            <w:bottom w:val="none" w:sz="0" w:space="0" w:color="auto"/>
                            <w:right w:val="none" w:sz="0" w:space="0" w:color="auto"/>
                          </w:divBdr>
                        </w:div>
                        <w:div w:id="533007424">
                          <w:marLeft w:val="0"/>
                          <w:marRight w:val="0"/>
                          <w:marTop w:val="0"/>
                          <w:marBottom w:val="0"/>
                          <w:divBdr>
                            <w:top w:val="none" w:sz="0" w:space="0" w:color="auto"/>
                            <w:left w:val="none" w:sz="0" w:space="0" w:color="auto"/>
                            <w:bottom w:val="none" w:sz="0" w:space="0" w:color="auto"/>
                            <w:right w:val="none" w:sz="0" w:space="0" w:color="auto"/>
                          </w:divBdr>
                        </w:div>
                        <w:div w:id="293147129">
                          <w:marLeft w:val="0"/>
                          <w:marRight w:val="0"/>
                          <w:marTop w:val="0"/>
                          <w:marBottom w:val="0"/>
                          <w:divBdr>
                            <w:top w:val="none" w:sz="0" w:space="0" w:color="auto"/>
                            <w:left w:val="none" w:sz="0" w:space="0" w:color="auto"/>
                            <w:bottom w:val="none" w:sz="0" w:space="0" w:color="auto"/>
                            <w:right w:val="none" w:sz="0" w:space="0" w:color="auto"/>
                          </w:divBdr>
                        </w:div>
                        <w:div w:id="286739013">
                          <w:marLeft w:val="0"/>
                          <w:marRight w:val="0"/>
                          <w:marTop w:val="0"/>
                          <w:marBottom w:val="0"/>
                          <w:divBdr>
                            <w:top w:val="none" w:sz="0" w:space="0" w:color="auto"/>
                            <w:left w:val="none" w:sz="0" w:space="0" w:color="auto"/>
                            <w:bottom w:val="none" w:sz="0" w:space="0" w:color="auto"/>
                            <w:right w:val="none" w:sz="0" w:space="0" w:color="auto"/>
                          </w:divBdr>
                        </w:div>
                        <w:div w:id="1291672600">
                          <w:marLeft w:val="0"/>
                          <w:marRight w:val="0"/>
                          <w:marTop w:val="0"/>
                          <w:marBottom w:val="0"/>
                          <w:divBdr>
                            <w:top w:val="none" w:sz="0" w:space="0" w:color="auto"/>
                            <w:left w:val="none" w:sz="0" w:space="0" w:color="auto"/>
                            <w:bottom w:val="none" w:sz="0" w:space="0" w:color="auto"/>
                            <w:right w:val="none" w:sz="0" w:space="0" w:color="auto"/>
                          </w:divBdr>
                        </w:div>
                        <w:div w:id="464734396">
                          <w:marLeft w:val="0"/>
                          <w:marRight w:val="0"/>
                          <w:marTop w:val="0"/>
                          <w:marBottom w:val="0"/>
                          <w:divBdr>
                            <w:top w:val="none" w:sz="0" w:space="0" w:color="auto"/>
                            <w:left w:val="none" w:sz="0" w:space="0" w:color="auto"/>
                            <w:bottom w:val="none" w:sz="0" w:space="0" w:color="auto"/>
                            <w:right w:val="none" w:sz="0" w:space="0" w:color="auto"/>
                          </w:divBdr>
                        </w:div>
                        <w:div w:id="2077580785">
                          <w:marLeft w:val="0"/>
                          <w:marRight w:val="0"/>
                          <w:marTop w:val="0"/>
                          <w:marBottom w:val="0"/>
                          <w:divBdr>
                            <w:top w:val="none" w:sz="0" w:space="0" w:color="auto"/>
                            <w:left w:val="none" w:sz="0" w:space="0" w:color="auto"/>
                            <w:bottom w:val="none" w:sz="0" w:space="0" w:color="auto"/>
                            <w:right w:val="none" w:sz="0" w:space="0" w:color="auto"/>
                          </w:divBdr>
                        </w:div>
                        <w:div w:id="32774401">
                          <w:marLeft w:val="0"/>
                          <w:marRight w:val="0"/>
                          <w:marTop w:val="0"/>
                          <w:marBottom w:val="0"/>
                          <w:divBdr>
                            <w:top w:val="none" w:sz="0" w:space="0" w:color="auto"/>
                            <w:left w:val="none" w:sz="0" w:space="0" w:color="auto"/>
                            <w:bottom w:val="none" w:sz="0" w:space="0" w:color="auto"/>
                            <w:right w:val="none" w:sz="0" w:space="0" w:color="auto"/>
                          </w:divBdr>
                        </w:div>
                        <w:div w:id="1153333513">
                          <w:marLeft w:val="0"/>
                          <w:marRight w:val="0"/>
                          <w:marTop w:val="0"/>
                          <w:marBottom w:val="0"/>
                          <w:divBdr>
                            <w:top w:val="none" w:sz="0" w:space="0" w:color="auto"/>
                            <w:left w:val="none" w:sz="0" w:space="0" w:color="auto"/>
                            <w:bottom w:val="none" w:sz="0" w:space="0" w:color="auto"/>
                            <w:right w:val="none" w:sz="0" w:space="0" w:color="auto"/>
                          </w:divBdr>
                        </w:div>
                        <w:div w:id="39524645">
                          <w:marLeft w:val="0"/>
                          <w:marRight w:val="0"/>
                          <w:marTop w:val="0"/>
                          <w:marBottom w:val="0"/>
                          <w:divBdr>
                            <w:top w:val="none" w:sz="0" w:space="0" w:color="auto"/>
                            <w:left w:val="none" w:sz="0" w:space="0" w:color="auto"/>
                            <w:bottom w:val="none" w:sz="0" w:space="0" w:color="auto"/>
                            <w:right w:val="none" w:sz="0" w:space="0" w:color="auto"/>
                          </w:divBdr>
                        </w:div>
                        <w:div w:id="900404336">
                          <w:marLeft w:val="0"/>
                          <w:marRight w:val="0"/>
                          <w:marTop w:val="0"/>
                          <w:marBottom w:val="0"/>
                          <w:divBdr>
                            <w:top w:val="none" w:sz="0" w:space="0" w:color="auto"/>
                            <w:left w:val="none" w:sz="0" w:space="0" w:color="auto"/>
                            <w:bottom w:val="none" w:sz="0" w:space="0" w:color="auto"/>
                            <w:right w:val="none" w:sz="0" w:space="0" w:color="auto"/>
                          </w:divBdr>
                        </w:div>
                        <w:div w:id="148644124">
                          <w:marLeft w:val="0"/>
                          <w:marRight w:val="0"/>
                          <w:marTop w:val="0"/>
                          <w:marBottom w:val="0"/>
                          <w:divBdr>
                            <w:top w:val="none" w:sz="0" w:space="0" w:color="auto"/>
                            <w:left w:val="none" w:sz="0" w:space="0" w:color="auto"/>
                            <w:bottom w:val="none" w:sz="0" w:space="0" w:color="auto"/>
                            <w:right w:val="none" w:sz="0" w:space="0" w:color="auto"/>
                          </w:divBdr>
                        </w:div>
                        <w:div w:id="1174422515">
                          <w:marLeft w:val="0"/>
                          <w:marRight w:val="0"/>
                          <w:marTop w:val="0"/>
                          <w:marBottom w:val="0"/>
                          <w:divBdr>
                            <w:top w:val="none" w:sz="0" w:space="0" w:color="auto"/>
                            <w:left w:val="none" w:sz="0" w:space="0" w:color="auto"/>
                            <w:bottom w:val="none" w:sz="0" w:space="0" w:color="auto"/>
                            <w:right w:val="none" w:sz="0" w:space="0" w:color="auto"/>
                          </w:divBdr>
                        </w:div>
                        <w:div w:id="1879662474">
                          <w:marLeft w:val="0"/>
                          <w:marRight w:val="0"/>
                          <w:marTop w:val="0"/>
                          <w:marBottom w:val="0"/>
                          <w:divBdr>
                            <w:top w:val="none" w:sz="0" w:space="0" w:color="auto"/>
                            <w:left w:val="none" w:sz="0" w:space="0" w:color="auto"/>
                            <w:bottom w:val="none" w:sz="0" w:space="0" w:color="auto"/>
                            <w:right w:val="none" w:sz="0" w:space="0" w:color="auto"/>
                          </w:divBdr>
                        </w:div>
                        <w:div w:id="1150827592">
                          <w:marLeft w:val="0"/>
                          <w:marRight w:val="0"/>
                          <w:marTop w:val="0"/>
                          <w:marBottom w:val="0"/>
                          <w:divBdr>
                            <w:top w:val="none" w:sz="0" w:space="0" w:color="auto"/>
                            <w:left w:val="none" w:sz="0" w:space="0" w:color="auto"/>
                            <w:bottom w:val="none" w:sz="0" w:space="0" w:color="auto"/>
                            <w:right w:val="none" w:sz="0" w:space="0" w:color="auto"/>
                          </w:divBdr>
                        </w:div>
                        <w:div w:id="511259426">
                          <w:marLeft w:val="0"/>
                          <w:marRight w:val="0"/>
                          <w:marTop w:val="0"/>
                          <w:marBottom w:val="0"/>
                          <w:divBdr>
                            <w:top w:val="none" w:sz="0" w:space="0" w:color="auto"/>
                            <w:left w:val="none" w:sz="0" w:space="0" w:color="auto"/>
                            <w:bottom w:val="none" w:sz="0" w:space="0" w:color="auto"/>
                            <w:right w:val="none" w:sz="0" w:space="0" w:color="auto"/>
                          </w:divBdr>
                        </w:div>
                        <w:div w:id="665091339">
                          <w:marLeft w:val="0"/>
                          <w:marRight w:val="0"/>
                          <w:marTop w:val="0"/>
                          <w:marBottom w:val="0"/>
                          <w:divBdr>
                            <w:top w:val="none" w:sz="0" w:space="0" w:color="auto"/>
                            <w:left w:val="none" w:sz="0" w:space="0" w:color="auto"/>
                            <w:bottom w:val="none" w:sz="0" w:space="0" w:color="auto"/>
                            <w:right w:val="none" w:sz="0" w:space="0" w:color="auto"/>
                          </w:divBdr>
                        </w:div>
                        <w:div w:id="1011105747">
                          <w:marLeft w:val="0"/>
                          <w:marRight w:val="0"/>
                          <w:marTop w:val="0"/>
                          <w:marBottom w:val="0"/>
                          <w:divBdr>
                            <w:top w:val="none" w:sz="0" w:space="0" w:color="auto"/>
                            <w:left w:val="none" w:sz="0" w:space="0" w:color="auto"/>
                            <w:bottom w:val="none" w:sz="0" w:space="0" w:color="auto"/>
                            <w:right w:val="none" w:sz="0" w:space="0" w:color="auto"/>
                          </w:divBdr>
                        </w:div>
                        <w:div w:id="493229622">
                          <w:marLeft w:val="0"/>
                          <w:marRight w:val="0"/>
                          <w:marTop w:val="0"/>
                          <w:marBottom w:val="0"/>
                          <w:divBdr>
                            <w:top w:val="none" w:sz="0" w:space="0" w:color="auto"/>
                            <w:left w:val="none" w:sz="0" w:space="0" w:color="auto"/>
                            <w:bottom w:val="none" w:sz="0" w:space="0" w:color="auto"/>
                            <w:right w:val="none" w:sz="0" w:space="0" w:color="auto"/>
                          </w:divBdr>
                        </w:div>
                        <w:div w:id="759446638">
                          <w:marLeft w:val="0"/>
                          <w:marRight w:val="0"/>
                          <w:marTop w:val="0"/>
                          <w:marBottom w:val="0"/>
                          <w:divBdr>
                            <w:top w:val="none" w:sz="0" w:space="0" w:color="auto"/>
                            <w:left w:val="none" w:sz="0" w:space="0" w:color="auto"/>
                            <w:bottom w:val="none" w:sz="0" w:space="0" w:color="auto"/>
                            <w:right w:val="none" w:sz="0" w:space="0" w:color="auto"/>
                          </w:divBdr>
                        </w:div>
                        <w:div w:id="1670449496">
                          <w:marLeft w:val="0"/>
                          <w:marRight w:val="0"/>
                          <w:marTop w:val="0"/>
                          <w:marBottom w:val="0"/>
                          <w:divBdr>
                            <w:top w:val="none" w:sz="0" w:space="0" w:color="auto"/>
                            <w:left w:val="none" w:sz="0" w:space="0" w:color="auto"/>
                            <w:bottom w:val="none" w:sz="0" w:space="0" w:color="auto"/>
                            <w:right w:val="none" w:sz="0" w:space="0" w:color="auto"/>
                          </w:divBdr>
                        </w:div>
                        <w:div w:id="55975043">
                          <w:marLeft w:val="0"/>
                          <w:marRight w:val="0"/>
                          <w:marTop w:val="0"/>
                          <w:marBottom w:val="0"/>
                          <w:divBdr>
                            <w:top w:val="none" w:sz="0" w:space="0" w:color="auto"/>
                            <w:left w:val="none" w:sz="0" w:space="0" w:color="auto"/>
                            <w:bottom w:val="none" w:sz="0" w:space="0" w:color="auto"/>
                            <w:right w:val="none" w:sz="0" w:space="0" w:color="auto"/>
                          </w:divBdr>
                        </w:div>
                        <w:div w:id="1897008679">
                          <w:marLeft w:val="0"/>
                          <w:marRight w:val="0"/>
                          <w:marTop w:val="0"/>
                          <w:marBottom w:val="0"/>
                          <w:divBdr>
                            <w:top w:val="none" w:sz="0" w:space="0" w:color="auto"/>
                            <w:left w:val="none" w:sz="0" w:space="0" w:color="auto"/>
                            <w:bottom w:val="none" w:sz="0" w:space="0" w:color="auto"/>
                            <w:right w:val="none" w:sz="0" w:space="0" w:color="auto"/>
                          </w:divBdr>
                        </w:div>
                        <w:div w:id="135421176">
                          <w:marLeft w:val="0"/>
                          <w:marRight w:val="0"/>
                          <w:marTop w:val="0"/>
                          <w:marBottom w:val="0"/>
                          <w:divBdr>
                            <w:top w:val="none" w:sz="0" w:space="0" w:color="auto"/>
                            <w:left w:val="none" w:sz="0" w:space="0" w:color="auto"/>
                            <w:bottom w:val="none" w:sz="0" w:space="0" w:color="auto"/>
                            <w:right w:val="none" w:sz="0" w:space="0" w:color="auto"/>
                          </w:divBdr>
                        </w:div>
                        <w:div w:id="1007098252">
                          <w:marLeft w:val="0"/>
                          <w:marRight w:val="0"/>
                          <w:marTop w:val="0"/>
                          <w:marBottom w:val="0"/>
                          <w:divBdr>
                            <w:top w:val="none" w:sz="0" w:space="0" w:color="auto"/>
                            <w:left w:val="none" w:sz="0" w:space="0" w:color="auto"/>
                            <w:bottom w:val="none" w:sz="0" w:space="0" w:color="auto"/>
                            <w:right w:val="none" w:sz="0" w:space="0" w:color="auto"/>
                          </w:divBdr>
                        </w:div>
                        <w:div w:id="74071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4987816">
      <w:bodyDiv w:val="1"/>
      <w:marLeft w:val="0"/>
      <w:marRight w:val="0"/>
      <w:marTop w:val="0"/>
      <w:marBottom w:val="0"/>
      <w:divBdr>
        <w:top w:val="none" w:sz="0" w:space="0" w:color="auto"/>
        <w:left w:val="none" w:sz="0" w:space="0" w:color="auto"/>
        <w:bottom w:val="none" w:sz="0" w:space="0" w:color="auto"/>
        <w:right w:val="none" w:sz="0" w:space="0" w:color="auto"/>
      </w:divBdr>
    </w:div>
    <w:div w:id="346058761">
      <w:bodyDiv w:val="1"/>
      <w:marLeft w:val="0"/>
      <w:marRight w:val="0"/>
      <w:marTop w:val="0"/>
      <w:marBottom w:val="0"/>
      <w:divBdr>
        <w:top w:val="none" w:sz="0" w:space="0" w:color="auto"/>
        <w:left w:val="none" w:sz="0" w:space="0" w:color="auto"/>
        <w:bottom w:val="none" w:sz="0" w:space="0" w:color="auto"/>
        <w:right w:val="none" w:sz="0" w:space="0" w:color="auto"/>
      </w:divBdr>
    </w:div>
    <w:div w:id="349963144">
      <w:bodyDiv w:val="1"/>
      <w:marLeft w:val="0"/>
      <w:marRight w:val="0"/>
      <w:marTop w:val="0"/>
      <w:marBottom w:val="0"/>
      <w:divBdr>
        <w:top w:val="none" w:sz="0" w:space="0" w:color="auto"/>
        <w:left w:val="none" w:sz="0" w:space="0" w:color="auto"/>
        <w:bottom w:val="none" w:sz="0" w:space="0" w:color="auto"/>
        <w:right w:val="none" w:sz="0" w:space="0" w:color="auto"/>
      </w:divBdr>
    </w:div>
    <w:div w:id="352074282">
      <w:bodyDiv w:val="1"/>
      <w:marLeft w:val="0"/>
      <w:marRight w:val="0"/>
      <w:marTop w:val="0"/>
      <w:marBottom w:val="0"/>
      <w:divBdr>
        <w:top w:val="none" w:sz="0" w:space="0" w:color="auto"/>
        <w:left w:val="none" w:sz="0" w:space="0" w:color="auto"/>
        <w:bottom w:val="none" w:sz="0" w:space="0" w:color="auto"/>
        <w:right w:val="none" w:sz="0" w:space="0" w:color="auto"/>
      </w:divBdr>
    </w:div>
    <w:div w:id="359940020">
      <w:bodyDiv w:val="1"/>
      <w:marLeft w:val="0"/>
      <w:marRight w:val="0"/>
      <w:marTop w:val="0"/>
      <w:marBottom w:val="0"/>
      <w:divBdr>
        <w:top w:val="none" w:sz="0" w:space="0" w:color="auto"/>
        <w:left w:val="none" w:sz="0" w:space="0" w:color="auto"/>
        <w:bottom w:val="none" w:sz="0" w:space="0" w:color="auto"/>
        <w:right w:val="none" w:sz="0" w:space="0" w:color="auto"/>
      </w:divBdr>
    </w:div>
    <w:div w:id="371613619">
      <w:bodyDiv w:val="1"/>
      <w:marLeft w:val="0"/>
      <w:marRight w:val="0"/>
      <w:marTop w:val="0"/>
      <w:marBottom w:val="0"/>
      <w:divBdr>
        <w:top w:val="none" w:sz="0" w:space="0" w:color="auto"/>
        <w:left w:val="none" w:sz="0" w:space="0" w:color="auto"/>
        <w:bottom w:val="none" w:sz="0" w:space="0" w:color="auto"/>
        <w:right w:val="none" w:sz="0" w:space="0" w:color="auto"/>
      </w:divBdr>
    </w:div>
    <w:div w:id="382339937">
      <w:bodyDiv w:val="1"/>
      <w:marLeft w:val="0"/>
      <w:marRight w:val="0"/>
      <w:marTop w:val="0"/>
      <w:marBottom w:val="0"/>
      <w:divBdr>
        <w:top w:val="none" w:sz="0" w:space="0" w:color="auto"/>
        <w:left w:val="none" w:sz="0" w:space="0" w:color="auto"/>
        <w:bottom w:val="none" w:sz="0" w:space="0" w:color="auto"/>
        <w:right w:val="none" w:sz="0" w:space="0" w:color="auto"/>
      </w:divBdr>
    </w:div>
    <w:div w:id="391388796">
      <w:bodyDiv w:val="1"/>
      <w:marLeft w:val="0"/>
      <w:marRight w:val="0"/>
      <w:marTop w:val="0"/>
      <w:marBottom w:val="0"/>
      <w:divBdr>
        <w:top w:val="none" w:sz="0" w:space="0" w:color="auto"/>
        <w:left w:val="none" w:sz="0" w:space="0" w:color="auto"/>
        <w:bottom w:val="none" w:sz="0" w:space="0" w:color="auto"/>
        <w:right w:val="none" w:sz="0" w:space="0" w:color="auto"/>
      </w:divBdr>
    </w:div>
    <w:div w:id="401566903">
      <w:bodyDiv w:val="1"/>
      <w:marLeft w:val="0"/>
      <w:marRight w:val="0"/>
      <w:marTop w:val="0"/>
      <w:marBottom w:val="0"/>
      <w:divBdr>
        <w:top w:val="none" w:sz="0" w:space="0" w:color="auto"/>
        <w:left w:val="none" w:sz="0" w:space="0" w:color="auto"/>
        <w:bottom w:val="none" w:sz="0" w:space="0" w:color="auto"/>
        <w:right w:val="none" w:sz="0" w:space="0" w:color="auto"/>
      </w:divBdr>
    </w:div>
    <w:div w:id="409546945">
      <w:bodyDiv w:val="1"/>
      <w:marLeft w:val="0"/>
      <w:marRight w:val="0"/>
      <w:marTop w:val="0"/>
      <w:marBottom w:val="0"/>
      <w:divBdr>
        <w:top w:val="none" w:sz="0" w:space="0" w:color="auto"/>
        <w:left w:val="none" w:sz="0" w:space="0" w:color="auto"/>
        <w:bottom w:val="none" w:sz="0" w:space="0" w:color="auto"/>
        <w:right w:val="none" w:sz="0" w:space="0" w:color="auto"/>
      </w:divBdr>
    </w:div>
    <w:div w:id="412122430">
      <w:bodyDiv w:val="1"/>
      <w:marLeft w:val="0"/>
      <w:marRight w:val="0"/>
      <w:marTop w:val="0"/>
      <w:marBottom w:val="0"/>
      <w:divBdr>
        <w:top w:val="none" w:sz="0" w:space="0" w:color="auto"/>
        <w:left w:val="none" w:sz="0" w:space="0" w:color="auto"/>
        <w:bottom w:val="none" w:sz="0" w:space="0" w:color="auto"/>
        <w:right w:val="none" w:sz="0" w:space="0" w:color="auto"/>
      </w:divBdr>
    </w:div>
    <w:div w:id="416441346">
      <w:bodyDiv w:val="1"/>
      <w:marLeft w:val="0"/>
      <w:marRight w:val="0"/>
      <w:marTop w:val="0"/>
      <w:marBottom w:val="0"/>
      <w:divBdr>
        <w:top w:val="none" w:sz="0" w:space="0" w:color="auto"/>
        <w:left w:val="none" w:sz="0" w:space="0" w:color="auto"/>
        <w:bottom w:val="none" w:sz="0" w:space="0" w:color="auto"/>
        <w:right w:val="none" w:sz="0" w:space="0" w:color="auto"/>
      </w:divBdr>
    </w:div>
    <w:div w:id="420764167">
      <w:bodyDiv w:val="1"/>
      <w:marLeft w:val="0"/>
      <w:marRight w:val="0"/>
      <w:marTop w:val="0"/>
      <w:marBottom w:val="0"/>
      <w:divBdr>
        <w:top w:val="none" w:sz="0" w:space="0" w:color="auto"/>
        <w:left w:val="none" w:sz="0" w:space="0" w:color="auto"/>
        <w:bottom w:val="none" w:sz="0" w:space="0" w:color="auto"/>
        <w:right w:val="none" w:sz="0" w:space="0" w:color="auto"/>
      </w:divBdr>
    </w:div>
    <w:div w:id="421146781">
      <w:bodyDiv w:val="1"/>
      <w:marLeft w:val="0"/>
      <w:marRight w:val="0"/>
      <w:marTop w:val="0"/>
      <w:marBottom w:val="0"/>
      <w:divBdr>
        <w:top w:val="none" w:sz="0" w:space="0" w:color="auto"/>
        <w:left w:val="none" w:sz="0" w:space="0" w:color="auto"/>
        <w:bottom w:val="none" w:sz="0" w:space="0" w:color="auto"/>
        <w:right w:val="none" w:sz="0" w:space="0" w:color="auto"/>
      </w:divBdr>
    </w:div>
    <w:div w:id="423919602">
      <w:bodyDiv w:val="1"/>
      <w:marLeft w:val="0"/>
      <w:marRight w:val="0"/>
      <w:marTop w:val="0"/>
      <w:marBottom w:val="0"/>
      <w:divBdr>
        <w:top w:val="none" w:sz="0" w:space="0" w:color="auto"/>
        <w:left w:val="none" w:sz="0" w:space="0" w:color="auto"/>
        <w:bottom w:val="none" w:sz="0" w:space="0" w:color="auto"/>
        <w:right w:val="none" w:sz="0" w:space="0" w:color="auto"/>
      </w:divBdr>
    </w:div>
    <w:div w:id="430200856">
      <w:bodyDiv w:val="1"/>
      <w:marLeft w:val="0"/>
      <w:marRight w:val="0"/>
      <w:marTop w:val="0"/>
      <w:marBottom w:val="0"/>
      <w:divBdr>
        <w:top w:val="none" w:sz="0" w:space="0" w:color="auto"/>
        <w:left w:val="none" w:sz="0" w:space="0" w:color="auto"/>
        <w:bottom w:val="none" w:sz="0" w:space="0" w:color="auto"/>
        <w:right w:val="none" w:sz="0" w:space="0" w:color="auto"/>
      </w:divBdr>
    </w:div>
    <w:div w:id="434635428">
      <w:bodyDiv w:val="1"/>
      <w:marLeft w:val="0"/>
      <w:marRight w:val="0"/>
      <w:marTop w:val="0"/>
      <w:marBottom w:val="0"/>
      <w:divBdr>
        <w:top w:val="none" w:sz="0" w:space="0" w:color="auto"/>
        <w:left w:val="none" w:sz="0" w:space="0" w:color="auto"/>
        <w:bottom w:val="none" w:sz="0" w:space="0" w:color="auto"/>
        <w:right w:val="none" w:sz="0" w:space="0" w:color="auto"/>
      </w:divBdr>
    </w:div>
    <w:div w:id="443115930">
      <w:bodyDiv w:val="1"/>
      <w:marLeft w:val="0"/>
      <w:marRight w:val="0"/>
      <w:marTop w:val="0"/>
      <w:marBottom w:val="0"/>
      <w:divBdr>
        <w:top w:val="none" w:sz="0" w:space="0" w:color="auto"/>
        <w:left w:val="none" w:sz="0" w:space="0" w:color="auto"/>
        <w:bottom w:val="none" w:sz="0" w:space="0" w:color="auto"/>
        <w:right w:val="none" w:sz="0" w:space="0" w:color="auto"/>
      </w:divBdr>
    </w:div>
    <w:div w:id="451706336">
      <w:bodyDiv w:val="1"/>
      <w:marLeft w:val="0"/>
      <w:marRight w:val="0"/>
      <w:marTop w:val="0"/>
      <w:marBottom w:val="0"/>
      <w:divBdr>
        <w:top w:val="none" w:sz="0" w:space="0" w:color="auto"/>
        <w:left w:val="none" w:sz="0" w:space="0" w:color="auto"/>
        <w:bottom w:val="none" w:sz="0" w:space="0" w:color="auto"/>
        <w:right w:val="none" w:sz="0" w:space="0" w:color="auto"/>
      </w:divBdr>
    </w:div>
    <w:div w:id="452864454">
      <w:bodyDiv w:val="1"/>
      <w:marLeft w:val="0"/>
      <w:marRight w:val="0"/>
      <w:marTop w:val="0"/>
      <w:marBottom w:val="0"/>
      <w:divBdr>
        <w:top w:val="none" w:sz="0" w:space="0" w:color="auto"/>
        <w:left w:val="none" w:sz="0" w:space="0" w:color="auto"/>
        <w:bottom w:val="none" w:sz="0" w:space="0" w:color="auto"/>
        <w:right w:val="none" w:sz="0" w:space="0" w:color="auto"/>
      </w:divBdr>
    </w:div>
    <w:div w:id="457377558">
      <w:bodyDiv w:val="1"/>
      <w:marLeft w:val="0"/>
      <w:marRight w:val="0"/>
      <w:marTop w:val="0"/>
      <w:marBottom w:val="0"/>
      <w:divBdr>
        <w:top w:val="none" w:sz="0" w:space="0" w:color="auto"/>
        <w:left w:val="none" w:sz="0" w:space="0" w:color="auto"/>
        <w:bottom w:val="none" w:sz="0" w:space="0" w:color="auto"/>
        <w:right w:val="none" w:sz="0" w:space="0" w:color="auto"/>
      </w:divBdr>
    </w:div>
    <w:div w:id="458378475">
      <w:bodyDiv w:val="1"/>
      <w:marLeft w:val="0"/>
      <w:marRight w:val="0"/>
      <w:marTop w:val="0"/>
      <w:marBottom w:val="0"/>
      <w:divBdr>
        <w:top w:val="none" w:sz="0" w:space="0" w:color="auto"/>
        <w:left w:val="none" w:sz="0" w:space="0" w:color="auto"/>
        <w:bottom w:val="none" w:sz="0" w:space="0" w:color="auto"/>
        <w:right w:val="none" w:sz="0" w:space="0" w:color="auto"/>
      </w:divBdr>
    </w:div>
    <w:div w:id="461582973">
      <w:bodyDiv w:val="1"/>
      <w:marLeft w:val="0"/>
      <w:marRight w:val="0"/>
      <w:marTop w:val="0"/>
      <w:marBottom w:val="0"/>
      <w:divBdr>
        <w:top w:val="none" w:sz="0" w:space="0" w:color="auto"/>
        <w:left w:val="none" w:sz="0" w:space="0" w:color="auto"/>
        <w:bottom w:val="none" w:sz="0" w:space="0" w:color="auto"/>
        <w:right w:val="none" w:sz="0" w:space="0" w:color="auto"/>
      </w:divBdr>
    </w:div>
    <w:div w:id="467625232">
      <w:bodyDiv w:val="1"/>
      <w:marLeft w:val="0"/>
      <w:marRight w:val="0"/>
      <w:marTop w:val="0"/>
      <w:marBottom w:val="0"/>
      <w:divBdr>
        <w:top w:val="none" w:sz="0" w:space="0" w:color="auto"/>
        <w:left w:val="none" w:sz="0" w:space="0" w:color="auto"/>
        <w:bottom w:val="none" w:sz="0" w:space="0" w:color="auto"/>
        <w:right w:val="none" w:sz="0" w:space="0" w:color="auto"/>
      </w:divBdr>
      <w:divsChild>
        <w:div w:id="2114010480">
          <w:marLeft w:val="0"/>
          <w:marRight w:val="0"/>
          <w:marTop w:val="0"/>
          <w:marBottom w:val="0"/>
          <w:divBdr>
            <w:top w:val="none" w:sz="0" w:space="0" w:color="auto"/>
            <w:left w:val="none" w:sz="0" w:space="0" w:color="auto"/>
            <w:bottom w:val="none" w:sz="0" w:space="0" w:color="auto"/>
            <w:right w:val="none" w:sz="0" w:space="0" w:color="auto"/>
          </w:divBdr>
        </w:div>
      </w:divsChild>
    </w:div>
    <w:div w:id="472719549">
      <w:bodyDiv w:val="1"/>
      <w:marLeft w:val="0"/>
      <w:marRight w:val="0"/>
      <w:marTop w:val="0"/>
      <w:marBottom w:val="0"/>
      <w:divBdr>
        <w:top w:val="none" w:sz="0" w:space="0" w:color="auto"/>
        <w:left w:val="none" w:sz="0" w:space="0" w:color="auto"/>
        <w:bottom w:val="none" w:sz="0" w:space="0" w:color="auto"/>
        <w:right w:val="none" w:sz="0" w:space="0" w:color="auto"/>
      </w:divBdr>
    </w:div>
    <w:div w:id="475336921">
      <w:bodyDiv w:val="1"/>
      <w:marLeft w:val="0"/>
      <w:marRight w:val="0"/>
      <w:marTop w:val="0"/>
      <w:marBottom w:val="0"/>
      <w:divBdr>
        <w:top w:val="none" w:sz="0" w:space="0" w:color="auto"/>
        <w:left w:val="none" w:sz="0" w:space="0" w:color="auto"/>
        <w:bottom w:val="none" w:sz="0" w:space="0" w:color="auto"/>
        <w:right w:val="none" w:sz="0" w:space="0" w:color="auto"/>
      </w:divBdr>
    </w:div>
    <w:div w:id="477846913">
      <w:bodyDiv w:val="1"/>
      <w:marLeft w:val="0"/>
      <w:marRight w:val="0"/>
      <w:marTop w:val="0"/>
      <w:marBottom w:val="0"/>
      <w:divBdr>
        <w:top w:val="none" w:sz="0" w:space="0" w:color="auto"/>
        <w:left w:val="none" w:sz="0" w:space="0" w:color="auto"/>
        <w:bottom w:val="none" w:sz="0" w:space="0" w:color="auto"/>
        <w:right w:val="none" w:sz="0" w:space="0" w:color="auto"/>
      </w:divBdr>
    </w:div>
    <w:div w:id="478039842">
      <w:bodyDiv w:val="1"/>
      <w:marLeft w:val="0"/>
      <w:marRight w:val="0"/>
      <w:marTop w:val="0"/>
      <w:marBottom w:val="0"/>
      <w:divBdr>
        <w:top w:val="none" w:sz="0" w:space="0" w:color="auto"/>
        <w:left w:val="none" w:sz="0" w:space="0" w:color="auto"/>
        <w:bottom w:val="none" w:sz="0" w:space="0" w:color="auto"/>
        <w:right w:val="none" w:sz="0" w:space="0" w:color="auto"/>
      </w:divBdr>
    </w:div>
    <w:div w:id="484199877">
      <w:bodyDiv w:val="1"/>
      <w:marLeft w:val="0"/>
      <w:marRight w:val="0"/>
      <w:marTop w:val="0"/>
      <w:marBottom w:val="0"/>
      <w:divBdr>
        <w:top w:val="none" w:sz="0" w:space="0" w:color="auto"/>
        <w:left w:val="none" w:sz="0" w:space="0" w:color="auto"/>
        <w:bottom w:val="none" w:sz="0" w:space="0" w:color="auto"/>
        <w:right w:val="none" w:sz="0" w:space="0" w:color="auto"/>
      </w:divBdr>
    </w:div>
    <w:div w:id="487406415">
      <w:bodyDiv w:val="1"/>
      <w:marLeft w:val="0"/>
      <w:marRight w:val="0"/>
      <w:marTop w:val="0"/>
      <w:marBottom w:val="0"/>
      <w:divBdr>
        <w:top w:val="none" w:sz="0" w:space="0" w:color="auto"/>
        <w:left w:val="none" w:sz="0" w:space="0" w:color="auto"/>
        <w:bottom w:val="none" w:sz="0" w:space="0" w:color="auto"/>
        <w:right w:val="none" w:sz="0" w:space="0" w:color="auto"/>
      </w:divBdr>
    </w:div>
    <w:div w:id="491877150">
      <w:bodyDiv w:val="1"/>
      <w:marLeft w:val="0"/>
      <w:marRight w:val="0"/>
      <w:marTop w:val="0"/>
      <w:marBottom w:val="0"/>
      <w:divBdr>
        <w:top w:val="none" w:sz="0" w:space="0" w:color="auto"/>
        <w:left w:val="none" w:sz="0" w:space="0" w:color="auto"/>
        <w:bottom w:val="none" w:sz="0" w:space="0" w:color="auto"/>
        <w:right w:val="none" w:sz="0" w:space="0" w:color="auto"/>
      </w:divBdr>
    </w:div>
    <w:div w:id="492724474">
      <w:bodyDiv w:val="1"/>
      <w:marLeft w:val="0"/>
      <w:marRight w:val="0"/>
      <w:marTop w:val="0"/>
      <w:marBottom w:val="0"/>
      <w:divBdr>
        <w:top w:val="none" w:sz="0" w:space="0" w:color="auto"/>
        <w:left w:val="none" w:sz="0" w:space="0" w:color="auto"/>
        <w:bottom w:val="none" w:sz="0" w:space="0" w:color="auto"/>
        <w:right w:val="none" w:sz="0" w:space="0" w:color="auto"/>
      </w:divBdr>
    </w:div>
    <w:div w:id="493762798">
      <w:bodyDiv w:val="1"/>
      <w:marLeft w:val="0"/>
      <w:marRight w:val="0"/>
      <w:marTop w:val="0"/>
      <w:marBottom w:val="0"/>
      <w:divBdr>
        <w:top w:val="none" w:sz="0" w:space="0" w:color="auto"/>
        <w:left w:val="none" w:sz="0" w:space="0" w:color="auto"/>
        <w:bottom w:val="none" w:sz="0" w:space="0" w:color="auto"/>
        <w:right w:val="none" w:sz="0" w:space="0" w:color="auto"/>
      </w:divBdr>
      <w:divsChild>
        <w:div w:id="449399322">
          <w:marLeft w:val="0"/>
          <w:marRight w:val="0"/>
          <w:marTop w:val="0"/>
          <w:marBottom w:val="0"/>
          <w:divBdr>
            <w:top w:val="none" w:sz="0" w:space="0" w:color="auto"/>
            <w:left w:val="none" w:sz="0" w:space="0" w:color="auto"/>
            <w:bottom w:val="none" w:sz="0" w:space="0" w:color="auto"/>
            <w:right w:val="none" w:sz="0" w:space="0" w:color="auto"/>
          </w:divBdr>
        </w:div>
        <w:div w:id="1406099961">
          <w:marLeft w:val="0"/>
          <w:marRight w:val="0"/>
          <w:marTop w:val="0"/>
          <w:marBottom w:val="0"/>
          <w:divBdr>
            <w:top w:val="none" w:sz="0" w:space="0" w:color="auto"/>
            <w:left w:val="none" w:sz="0" w:space="0" w:color="auto"/>
            <w:bottom w:val="none" w:sz="0" w:space="0" w:color="auto"/>
            <w:right w:val="none" w:sz="0" w:space="0" w:color="auto"/>
          </w:divBdr>
        </w:div>
        <w:div w:id="778061005">
          <w:marLeft w:val="0"/>
          <w:marRight w:val="0"/>
          <w:marTop w:val="0"/>
          <w:marBottom w:val="0"/>
          <w:divBdr>
            <w:top w:val="none" w:sz="0" w:space="0" w:color="auto"/>
            <w:left w:val="none" w:sz="0" w:space="0" w:color="auto"/>
            <w:bottom w:val="none" w:sz="0" w:space="0" w:color="auto"/>
            <w:right w:val="none" w:sz="0" w:space="0" w:color="auto"/>
          </w:divBdr>
        </w:div>
        <w:div w:id="228344989">
          <w:marLeft w:val="0"/>
          <w:marRight w:val="0"/>
          <w:marTop w:val="0"/>
          <w:marBottom w:val="0"/>
          <w:divBdr>
            <w:top w:val="none" w:sz="0" w:space="0" w:color="auto"/>
            <w:left w:val="none" w:sz="0" w:space="0" w:color="auto"/>
            <w:bottom w:val="none" w:sz="0" w:space="0" w:color="auto"/>
            <w:right w:val="none" w:sz="0" w:space="0" w:color="auto"/>
          </w:divBdr>
        </w:div>
        <w:div w:id="1635520180">
          <w:marLeft w:val="0"/>
          <w:marRight w:val="0"/>
          <w:marTop w:val="0"/>
          <w:marBottom w:val="0"/>
          <w:divBdr>
            <w:top w:val="none" w:sz="0" w:space="0" w:color="auto"/>
            <w:left w:val="none" w:sz="0" w:space="0" w:color="auto"/>
            <w:bottom w:val="none" w:sz="0" w:space="0" w:color="auto"/>
            <w:right w:val="none" w:sz="0" w:space="0" w:color="auto"/>
          </w:divBdr>
        </w:div>
        <w:div w:id="645476002">
          <w:marLeft w:val="0"/>
          <w:marRight w:val="0"/>
          <w:marTop w:val="0"/>
          <w:marBottom w:val="0"/>
          <w:divBdr>
            <w:top w:val="none" w:sz="0" w:space="0" w:color="auto"/>
            <w:left w:val="none" w:sz="0" w:space="0" w:color="auto"/>
            <w:bottom w:val="none" w:sz="0" w:space="0" w:color="auto"/>
            <w:right w:val="none" w:sz="0" w:space="0" w:color="auto"/>
          </w:divBdr>
        </w:div>
        <w:div w:id="157311528">
          <w:marLeft w:val="0"/>
          <w:marRight w:val="0"/>
          <w:marTop w:val="0"/>
          <w:marBottom w:val="0"/>
          <w:divBdr>
            <w:top w:val="none" w:sz="0" w:space="0" w:color="auto"/>
            <w:left w:val="none" w:sz="0" w:space="0" w:color="auto"/>
            <w:bottom w:val="none" w:sz="0" w:space="0" w:color="auto"/>
            <w:right w:val="none" w:sz="0" w:space="0" w:color="auto"/>
          </w:divBdr>
        </w:div>
        <w:div w:id="823159641">
          <w:marLeft w:val="0"/>
          <w:marRight w:val="0"/>
          <w:marTop w:val="0"/>
          <w:marBottom w:val="0"/>
          <w:divBdr>
            <w:top w:val="none" w:sz="0" w:space="0" w:color="auto"/>
            <w:left w:val="none" w:sz="0" w:space="0" w:color="auto"/>
            <w:bottom w:val="none" w:sz="0" w:space="0" w:color="auto"/>
            <w:right w:val="none" w:sz="0" w:space="0" w:color="auto"/>
          </w:divBdr>
        </w:div>
        <w:div w:id="1382898333">
          <w:marLeft w:val="0"/>
          <w:marRight w:val="0"/>
          <w:marTop w:val="0"/>
          <w:marBottom w:val="0"/>
          <w:divBdr>
            <w:top w:val="none" w:sz="0" w:space="0" w:color="auto"/>
            <w:left w:val="none" w:sz="0" w:space="0" w:color="auto"/>
            <w:bottom w:val="none" w:sz="0" w:space="0" w:color="auto"/>
            <w:right w:val="none" w:sz="0" w:space="0" w:color="auto"/>
          </w:divBdr>
        </w:div>
        <w:div w:id="1236625037">
          <w:marLeft w:val="0"/>
          <w:marRight w:val="0"/>
          <w:marTop w:val="0"/>
          <w:marBottom w:val="0"/>
          <w:divBdr>
            <w:top w:val="none" w:sz="0" w:space="0" w:color="auto"/>
            <w:left w:val="none" w:sz="0" w:space="0" w:color="auto"/>
            <w:bottom w:val="none" w:sz="0" w:space="0" w:color="auto"/>
            <w:right w:val="none" w:sz="0" w:space="0" w:color="auto"/>
          </w:divBdr>
        </w:div>
        <w:div w:id="1383872336">
          <w:marLeft w:val="0"/>
          <w:marRight w:val="0"/>
          <w:marTop w:val="0"/>
          <w:marBottom w:val="0"/>
          <w:divBdr>
            <w:top w:val="none" w:sz="0" w:space="0" w:color="auto"/>
            <w:left w:val="none" w:sz="0" w:space="0" w:color="auto"/>
            <w:bottom w:val="none" w:sz="0" w:space="0" w:color="auto"/>
            <w:right w:val="none" w:sz="0" w:space="0" w:color="auto"/>
          </w:divBdr>
        </w:div>
        <w:div w:id="283080766">
          <w:marLeft w:val="0"/>
          <w:marRight w:val="0"/>
          <w:marTop w:val="0"/>
          <w:marBottom w:val="0"/>
          <w:divBdr>
            <w:top w:val="none" w:sz="0" w:space="0" w:color="auto"/>
            <w:left w:val="none" w:sz="0" w:space="0" w:color="auto"/>
            <w:bottom w:val="none" w:sz="0" w:space="0" w:color="auto"/>
            <w:right w:val="none" w:sz="0" w:space="0" w:color="auto"/>
          </w:divBdr>
        </w:div>
        <w:div w:id="391318626">
          <w:marLeft w:val="0"/>
          <w:marRight w:val="0"/>
          <w:marTop w:val="0"/>
          <w:marBottom w:val="0"/>
          <w:divBdr>
            <w:top w:val="none" w:sz="0" w:space="0" w:color="auto"/>
            <w:left w:val="none" w:sz="0" w:space="0" w:color="auto"/>
            <w:bottom w:val="none" w:sz="0" w:space="0" w:color="auto"/>
            <w:right w:val="none" w:sz="0" w:space="0" w:color="auto"/>
          </w:divBdr>
        </w:div>
      </w:divsChild>
    </w:div>
    <w:div w:id="495465533">
      <w:bodyDiv w:val="1"/>
      <w:marLeft w:val="0"/>
      <w:marRight w:val="0"/>
      <w:marTop w:val="0"/>
      <w:marBottom w:val="0"/>
      <w:divBdr>
        <w:top w:val="none" w:sz="0" w:space="0" w:color="auto"/>
        <w:left w:val="none" w:sz="0" w:space="0" w:color="auto"/>
        <w:bottom w:val="none" w:sz="0" w:space="0" w:color="auto"/>
        <w:right w:val="none" w:sz="0" w:space="0" w:color="auto"/>
      </w:divBdr>
    </w:div>
    <w:div w:id="498618934">
      <w:bodyDiv w:val="1"/>
      <w:marLeft w:val="0"/>
      <w:marRight w:val="0"/>
      <w:marTop w:val="0"/>
      <w:marBottom w:val="0"/>
      <w:divBdr>
        <w:top w:val="none" w:sz="0" w:space="0" w:color="auto"/>
        <w:left w:val="none" w:sz="0" w:space="0" w:color="auto"/>
        <w:bottom w:val="none" w:sz="0" w:space="0" w:color="auto"/>
        <w:right w:val="none" w:sz="0" w:space="0" w:color="auto"/>
      </w:divBdr>
    </w:div>
    <w:div w:id="503738575">
      <w:bodyDiv w:val="1"/>
      <w:marLeft w:val="0"/>
      <w:marRight w:val="0"/>
      <w:marTop w:val="0"/>
      <w:marBottom w:val="0"/>
      <w:divBdr>
        <w:top w:val="none" w:sz="0" w:space="0" w:color="auto"/>
        <w:left w:val="none" w:sz="0" w:space="0" w:color="auto"/>
        <w:bottom w:val="none" w:sz="0" w:space="0" w:color="auto"/>
        <w:right w:val="none" w:sz="0" w:space="0" w:color="auto"/>
      </w:divBdr>
    </w:div>
    <w:div w:id="504059359">
      <w:bodyDiv w:val="1"/>
      <w:marLeft w:val="0"/>
      <w:marRight w:val="0"/>
      <w:marTop w:val="0"/>
      <w:marBottom w:val="0"/>
      <w:divBdr>
        <w:top w:val="none" w:sz="0" w:space="0" w:color="auto"/>
        <w:left w:val="none" w:sz="0" w:space="0" w:color="auto"/>
        <w:bottom w:val="none" w:sz="0" w:space="0" w:color="auto"/>
        <w:right w:val="none" w:sz="0" w:space="0" w:color="auto"/>
      </w:divBdr>
    </w:div>
    <w:div w:id="504367444">
      <w:bodyDiv w:val="1"/>
      <w:marLeft w:val="0"/>
      <w:marRight w:val="0"/>
      <w:marTop w:val="0"/>
      <w:marBottom w:val="0"/>
      <w:divBdr>
        <w:top w:val="none" w:sz="0" w:space="0" w:color="auto"/>
        <w:left w:val="none" w:sz="0" w:space="0" w:color="auto"/>
        <w:bottom w:val="none" w:sz="0" w:space="0" w:color="auto"/>
        <w:right w:val="none" w:sz="0" w:space="0" w:color="auto"/>
      </w:divBdr>
    </w:div>
    <w:div w:id="509488653">
      <w:bodyDiv w:val="1"/>
      <w:marLeft w:val="0"/>
      <w:marRight w:val="0"/>
      <w:marTop w:val="0"/>
      <w:marBottom w:val="0"/>
      <w:divBdr>
        <w:top w:val="none" w:sz="0" w:space="0" w:color="auto"/>
        <w:left w:val="none" w:sz="0" w:space="0" w:color="auto"/>
        <w:bottom w:val="none" w:sz="0" w:space="0" w:color="auto"/>
        <w:right w:val="none" w:sz="0" w:space="0" w:color="auto"/>
      </w:divBdr>
    </w:div>
    <w:div w:id="514809623">
      <w:bodyDiv w:val="1"/>
      <w:marLeft w:val="0"/>
      <w:marRight w:val="0"/>
      <w:marTop w:val="0"/>
      <w:marBottom w:val="0"/>
      <w:divBdr>
        <w:top w:val="none" w:sz="0" w:space="0" w:color="auto"/>
        <w:left w:val="none" w:sz="0" w:space="0" w:color="auto"/>
        <w:bottom w:val="none" w:sz="0" w:space="0" w:color="auto"/>
        <w:right w:val="none" w:sz="0" w:space="0" w:color="auto"/>
      </w:divBdr>
    </w:div>
    <w:div w:id="516044650">
      <w:bodyDiv w:val="1"/>
      <w:marLeft w:val="0"/>
      <w:marRight w:val="0"/>
      <w:marTop w:val="0"/>
      <w:marBottom w:val="0"/>
      <w:divBdr>
        <w:top w:val="none" w:sz="0" w:space="0" w:color="auto"/>
        <w:left w:val="none" w:sz="0" w:space="0" w:color="auto"/>
        <w:bottom w:val="none" w:sz="0" w:space="0" w:color="auto"/>
        <w:right w:val="none" w:sz="0" w:space="0" w:color="auto"/>
      </w:divBdr>
    </w:div>
    <w:div w:id="516887666">
      <w:bodyDiv w:val="1"/>
      <w:marLeft w:val="0"/>
      <w:marRight w:val="0"/>
      <w:marTop w:val="0"/>
      <w:marBottom w:val="0"/>
      <w:divBdr>
        <w:top w:val="none" w:sz="0" w:space="0" w:color="auto"/>
        <w:left w:val="none" w:sz="0" w:space="0" w:color="auto"/>
        <w:bottom w:val="none" w:sz="0" w:space="0" w:color="auto"/>
        <w:right w:val="none" w:sz="0" w:space="0" w:color="auto"/>
      </w:divBdr>
    </w:div>
    <w:div w:id="521936552">
      <w:bodyDiv w:val="1"/>
      <w:marLeft w:val="0"/>
      <w:marRight w:val="0"/>
      <w:marTop w:val="0"/>
      <w:marBottom w:val="0"/>
      <w:divBdr>
        <w:top w:val="none" w:sz="0" w:space="0" w:color="auto"/>
        <w:left w:val="none" w:sz="0" w:space="0" w:color="auto"/>
        <w:bottom w:val="none" w:sz="0" w:space="0" w:color="auto"/>
        <w:right w:val="none" w:sz="0" w:space="0" w:color="auto"/>
      </w:divBdr>
    </w:div>
    <w:div w:id="524442856">
      <w:bodyDiv w:val="1"/>
      <w:marLeft w:val="0"/>
      <w:marRight w:val="0"/>
      <w:marTop w:val="0"/>
      <w:marBottom w:val="0"/>
      <w:divBdr>
        <w:top w:val="none" w:sz="0" w:space="0" w:color="auto"/>
        <w:left w:val="none" w:sz="0" w:space="0" w:color="auto"/>
        <w:bottom w:val="none" w:sz="0" w:space="0" w:color="auto"/>
        <w:right w:val="none" w:sz="0" w:space="0" w:color="auto"/>
      </w:divBdr>
    </w:div>
    <w:div w:id="524902899">
      <w:bodyDiv w:val="1"/>
      <w:marLeft w:val="0"/>
      <w:marRight w:val="0"/>
      <w:marTop w:val="0"/>
      <w:marBottom w:val="0"/>
      <w:divBdr>
        <w:top w:val="none" w:sz="0" w:space="0" w:color="auto"/>
        <w:left w:val="none" w:sz="0" w:space="0" w:color="auto"/>
        <w:bottom w:val="none" w:sz="0" w:space="0" w:color="auto"/>
        <w:right w:val="none" w:sz="0" w:space="0" w:color="auto"/>
      </w:divBdr>
    </w:div>
    <w:div w:id="527958898">
      <w:bodyDiv w:val="1"/>
      <w:marLeft w:val="0"/>
      <w:marRight w:val="0"/>
      <w:marTop w:val="0"/>
      <w:marBottom w:val="0"/>
      <w:divBdr>
        <w:top w:val="none" w:sz="0" w:space="0" w:color="auto"/>
        <w:left w:val="none" w:sz="0" w:space="0" w:color="auto"/>
        <w:bottom w:val="none" w:sz="0" w:space="0" w:color="auto"/>
        <w:right w:val="none" w:sz="0" w:space="0" w:color="auto"/>
      </w:divBdr>
    </w:div>
    <w:div w:id="529143298">
      <w:bodyDiv w:val="1"/>
      <w:marLeft w:val="0"/>
      <w:marRight w:val="0"/>
      <w:marTop w:val="0"/>
      <w:marBottom w:val="0"/>
      <w:divBdr>
        <w:top w:val="none" w:sz="0" w:space="0" w:color="auto"/>
        <w:left w:val="none" w:sz="0" w:space="0" w:color="auto"/>
        <w:bottom w:val="none" w:sz="0" w:space="0" w:color="auto"/>
        <w:right w:val="none" w:sz="0" w:space="0" w:color="auto"/>
      </w:divBdr>
    </w:div>
    <w:div w:id="541022832">
      <w:bodyDiv w:val="1"/>
      <w:marLeft w:val="0"/>
      <w:marRight w:val="0"/>
      <w:marTop w:val="0"/>
      <w:marBottom w:val="0"/>
      <w:divBdr>
        <w:top w:val="none" w:sz="0" w:space="0" w:color="auto"/>
        <w:left w:val="none" w:sz="0" w:space="0" w:color="auto"/>
        <w:bottom w:val="none" w:sz="0" w:space="0" w:color="auto"/>
        <w:right w:val="none" w:sz="0" w:space="0" w:color="auto"/>
      </w:divBdr>
    </w:div>
    <w:div w:id="544022338">
      <w:bodyDiv w:val="1"/>
      <w:marLeft w:val="0"/>
      <w:marRight w:val="0"/>
      <w:marTop w:val="0"/>
      <w:marBottom w:val="0"/>
      <w:divBdr>
        <w:top w:val="none" w:sz="0" w:space="0" w:color="auto"/>
        <w:left w:val="none" w:sz="0" w:space="0" w:color="auto"/>
        <w:bottom w:val="none" w:sz="0" w:space="0" w:color="auto"/>
        <w:right w:val="none" w:sz="0" w:space="0" w:color="auto"/>
      </w:divBdr>
    </w:div>
    <w:div w:id="544685918">
      <w:bodyDiv w:val="1"/>
      <w:marLeft w:val="0"/>
      <w:marRight w:val="0"/>
      <w:marTop w:val="0"/>
      <w:marBottom w:val="0"/>
      <w:divBdr>
        <w:top w:val="none" w:sz="0" w:space="0" w:color="auto"/>
        <w:left w:val="none" w:sz="0" w:space="0" w:color="auto"/>
        <w:bottom w:val="none" w:sz="0" w:space="0" w:color="auto"/>
        <w:right w:val="none" w:sz="0" w:space="0" w:color="auto"/>
      </w:divBdr>
    </w:div>
    <w:div w:id="546842089">
      <w:bodyDiv w:val="1"/>
      <w:marLeft w:val="0"/>
      <w:marRight w:val="0"/>
      <w:marTop w:val="0"/>
      <w:marBottom w:val="0"/>
      <w:divBdr>
        <w:top w:val="none" w:sz="0" w:space="0" w:color="auto"/>
        <w:left w:val="none" w:sz="0" w:space="0" w:color="auto"/>
        <w:bottom w:val="none" w:sz="0" w:space="0" w:color="auto"/>
        <w:right w:val="none" w:sz="0" w:space="0" w:color="auto"/>
      </w:divBdr>
      <w:divsChild>
        <w:div w:id="964963553">
          <w:marLeft w:val="0"/>
          <w:marRight w:val="83"/>
          <w:marTop w:val="0"/>
          <w:marBottom w:val="0"/>
          <w:divBdr>
            <w:top w:val="none" w:sz="0" w:space="0" w:color="auto"/>
            <w:left w:val="none" w:sz="0" w:space="0" w:color="auto"/>
            <w:bottom w:val="none" w:sz="0" w:space="0" w:color="auto"/>
            <w:right w:val="none" w:sz="0" w:space="0" w:color="auto"/>
          </w:divBdr>
        </w:div>
        <w:div w:id="385182808">
          <w:marLeft w:val="0"/>
          <w:marRight w:val="0"/>
          <w:marTop w:val="0"/>
          <w:marBottom w:val="0"/>
          <w:divBdr>
            <w:top w:val="none" w:sz="0" w:space="0" w:color="auto"/>
            <w:left w:val="none" w:sz="0" w:space="0" w:color="auto"/>
            <w:bottom w:val="none" w:sz="0" w:space="0" w:color="auto"/>
            <w:right w:val="none" w:sz="0" w:space="0" w:color="auto"/>
          </w:divBdr>
          <w:divsChild>
            <w:div w:id="440808192">
              <w:marLeft w:val="0"/>
              <w:marRight w:val="0"/>
              <w:marTop w:val="0"/>
              <w:marBottom w:val="0"/>
              <w:divBdr>
                <w:top w:val="none" w:sz="0" w:space="0" w:color="auto"/>
                <w:left w:val="none" w:sz="0" w:space="0" w:color="auto"/>
                <w:bottom w:val="none" w:sz="0" w:space="0" w:color="auto"/>
                <w:right w:val="none" w:sz="0" w:space="0" w:color="auto"/>
              </w:divBdr>
              <w:divsChild>
                <w:div w:id="270548660">
                  <w:marLeft w:val="0"/>
                  <w:marRight w:val="0"/>
                  <w:marTop w:val="0"/>
                  <w:marBottom w:val="0"/>
                  <w:divBdr>
                    <w:top w:val="none" w:sz="0" w:space="0" w:color="auto"/>
                    <w:left w:val="none" w:sz="0" w:space="0" w:color="auto"/>
                    <w:bottom w:val="none" w:sz="0" w:space="0" w:color="auto"/>
                    <w:right w:val="none" w:sz="0" w:space="0" w:color="auto"/>
                  </w:divBdr>
                  <w:divsChild>
                    <w:div w:id="1028918427">
                      <w:marLeft w:val="0"/>
                      <w:marRight w:val="0"/>
                      <w:marTop w:val="0"/>
                      <w:marBottom w:val="0"/>
                      <w:divBdr>
                        <w:top w:val="none" w:sz="0" w:space="0" w:color="auto"/>
                        <w:left w:val="none" w:sz="0" w:space="0" w:color="auto"/>
                        <w:bottom w:val="none" w:sz="0" w:space="0" w:color="auto"/>
                        <w:right w:val="none" w:sz="0" w:space="0" w:color="auto"/>
                      </w:divBdr>
                    </w:div>
                    <w:div w:id="384456507">
                      <w:marLeft w:val="0"/>
                      <w:marRight w:val="0"/>
                      <w:marTop w:val="0"/>
                      <w:marBottom w:val="0"/>
                      <w:divBdr>
                        <w:top w:val="none" w:sz="0" w:space="0" w:color="auto"/>
                        <w:left w:val="none" w:sz="0" w:space="0" w:color="auto"/>
                        <w:bottom w:val="none" w:sz="0" w:space="0" w:color="auto"/>
                        <w:right w:val="none" w:sz="0" w:space="0" w:color="auto"/>
                      </w:divBdr>
                    </w:div>
                  </w:divsChild>
                </w:div>
                <w:div w:id="269095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8734638">
      <w:bodyDiv w:val="1"/>
      <w:marLeft w:val="0"/>
      <w:marRight w:val="0"/>
      <w:marTop w:val="0"/>
      <w:marBottom w:val="0"/>
      <w:divBdr>
        <w:top w:val="none" w:sz="0" w:space="0" w:color="auto"/>
        <w:left w:val="none" w:sz="0" w:space="0" w:color="auto"/>
        <w:bottom w:val="none" w:sz="0" w:space="0" w:color="auto"/>
        <w:right w:val="none" w:sz="0" w:space="0" w:color="auto"/>
      </w:divBdr>
    </w:div>
    <w:div w:id="553933637">
      <w:bodyDiv w:val="1"/>
      <w:marLeft w:val="0"/>
      <w:marRight w:val="0"/>
      <w:marTop w:val="0"/>
      <w:marBottom w:val="0"/>
      <w:divBdr>
        <w:top w:val="none" w:sz="0" w:space="0" w:color="auto"/>
        <w:left w:val="none" w:sz="0" w:space="0" w:color="auto"/>
        <w:bottom w:val="none" w:sz="0" w:space="0" w:color="auto"/>
        <w:right w:val="none" w:sz="0" w:space="0" w:color="auto"/>
      </w:divBdr>
      <w:divsChild>
        <w:div w:id="617419825">
          <w:marLeft w:val="0"/>
          <w:marRight w:val="0"/>
          <w:marTop w:val="0"/>
          <w:marBottom w:val="0"/>
          <w:divBdr>
            <w:top w:val="none" w:sz="0" w:space="0" w:color="auto"/>
            <w:left w:val="none" w:sz="0" w:space="0" w:color="auto"/>
            <w:bottom w:val="none" w:sz="0" w:space="0" w:color="auto"/>
            <w:right w:val="none" w:sz="0" w:space="0" w:color="auto"/>
          </w:divBdr>
        </w:div>
      </w:divsChild>
    </w:div>
    <w:div w:id="554586611">
      <w:bodyDiv w:val="1"/>
      <w:marLeft w:val="0"/>
      <w:marRight w:val="0"/>
      <w:marTop w:val="0"/>
      <w:marBottom w:val="0"/>
      <w:divBdr>
        <w:top w:val="none" w:sz="0" w:space="0" w:color="auto"/>
        <w:left w:val="none" w:sz="0" w:space="0" w:color="auto"/>
        <w:bottom w:val="none" w:sz="0" w:space="0" w:color="auto"/>
        <w:right w:val="none" w:sz="0" w:space="0" w:color="auto"/>
      </w:divBdr>
    </w:div>
    <w:div w:id="555899269">
      <w:bodyDiv w:val="1"/>
      <w:marLeft w:val="0"/>
      <w:marRight w:val="0"/>
      <w:marTop w:val="0"/>
      <w:marBottom w:val="0"/>
      <w:divBdr>
        <w:top w:val="none" w:sz="0" w:space="0" w:color="auto"/>
        <w:left w:val="none" w:sz="0" w:space="0" w:color="auto"/>
        <w:bottom w:val="none" w:sz="0" w:space="0" w:color="auto"/>
        <w:right w:val="none" w:sz="0" w:space="0" w:color="auto"/>
      </w:divBdr>
    </w:div>
    <w:div w:id="556354752">
      <w:bodyDiv w:val="1"/>
      <w:marLeft w:val="0"/>
      <w:marRight w:val="0"/>
      <w:marTop w:val="0"/>
      <w:marBottom w:val="0"/>
      <w:divBdr>
        <w:top w:val="none" w:sz="0" w:space="0" w:color="auto"/>
        <w:left w:val="none" w:sz="0" w:space="0" w:color="auto"/>
        <w:bottom w:val="none" w:sz="0" w:space="0" w:color="auto"/>
        <w:right w:val="none" w:sz="0" w:space="0" w:color="auto"/>
      </w:divBdr>
    </w:div>
    <w:div w:id="558172836">
      <w:bodyDiv w:val="1"/>
      <w:marLeft w:val="0"/>
      <w:marRight w:val="0"/>
      <w:marTop w:val="0"/>
      <w:marBottom w:val="0"/>
      <w:divBdr>
        <w:top w:val="none" w:sz="0" w:space="0" w:color="auto"/>
        <w:left w:val="none" w:sz="0" w:space="0" w:color="auto"/>
        <w:bottom w:val="none" w:sz="0" w:space="0" w:color="auto"/>
        <w:right w:val="none" w:sz="0" w:space="0" w:color="auto"/>
      </w:divBdr>
    </w:div>
    <w:div w:id="560098143">
      <w:bodyDiv w:val="1"/>
      <w:marLeft w:val="0"/>
      <w:marRight w:val="0"/>
      <w:marTop w:val="0"/>
      <w:marBottom w:val="0"/>
      <w:divBdr>
        <w:top w:val="none" w:sz="0" w:space="0" w:color="auto"/>
        <w:left w:val="none" w:sz="0" w:space="0" w:color="auto"/>
        <w:bottom w:val="none" w:sz="0" w:space="0" w:color="auto"/>
        <w:right w:val="none" w:sz="0" w:space="0" w:color="auto"/>
      </w:divBdr>
    </w:div>
    <w:div w:id="564293561">
      <w:bodyDiv w:val="1"/>
      <w:marLeft w:val="0"/>
      <w:marRight w:val="0"/>
      <w:marTop w:val="0"/>
      <w:marBottom w:val="0"/>
      <w:divBdr>
        <w:top w:val="none" w:sz="0" w:space="0" w:color="auto"/>
        <w:left w:val="none" w:sz="0" w:space="0" w:color="auto"/>
        <w:bottom w:val="none" w:sz="0" w:space="0" w:color="auto"/>
        <w:right w:val="none" w:sz="0" w:space="0" w:color="auto"/>
      </w:divBdr>
    </w:div>
    <w:div w:id="565334885">
      <w:bodyDiv w:val="1"/>
      <w:marLeft w:val="0"/>
      <w:marRight w:val="0"/>
      <w:marTop w:val="0"/>
      <w:marBottom w:val="0"/>
      <w:divBdr>
        <w:top w:val="none" w:sz="0" w:space="0" w:color="auto"/>
        <w:left w:val="none" w:sz="0" w:space="0" w:color="auto"/>
        <w:bottom w:val="none" w:sz="0" w:space="0" w:color="auto"/>
        <w:right w:val="none" w:sz="0" w:space="0" w:color="auto"/>
      </w:divBdr>
    </w:div>
    <w:div w:id="565452585">
      <w:bodyDiv w:val="1"/>
      <w:marLeft w:val="0"/>
      <w:marRight w:val="0"/>
      <w:marTop w:val="0"/>
      <w:marBottom w:val="0"/>
      <w:divBdr>
        <w:top w:val="none" w:sz="0" w:space="0" w:color="auto"/>
        <w:left w:val="none" w:sz="0" w:space="0" w:color="auto"/>
        <w:bottom w:val="none" w:sz="0" w:space="0" w:color="auto"/>
        <w:right w:val="none" w:sz="0" w:space="0" w:color="auto"/>
      </w:divBdr>
    </w:div>
    <w:div w:id="566260426">
      <w:bodyDiv w:val="1"/>
      <w:marLeft w:val="0"/>
      <w:marRight w:val="0"/>
      <w:marTop w:val="0"/>
      <w:marBottom w:val="0"/>
      <w:divBdr>
        <w:top w:val="none" w:sz="0" w:space="0" w:color="auto"/>
        <w:left w:val="none" w:sz="0" w:space="0" w:color="auto"/>
        <w:bottom w:val="none" w:sz="0" w:space="0" w:color="auto"/>
        <w:right w:val="none" w:sz="0" w:space="0" w:color="auto"/>
      </w:divBdr>
    </w:div>
    <w:div w:id="568662156">
      <w:bodyDiv w:val="1"/>
      <w:marLeft w:val="0"/>
      <w:marRight w:val="0"/>
      <w:marTop w:val="0"/>
      <w:marBottom w:val="0"/>
      <w:divBdr>
        <w:top w:val="none" w:sz="0" w:space="0" w:color="auto"/>
        <w:left w:val="none" w:sz="0" w:space="0" w:color="auto"/>
        <w:bottom w:val="none" w:sz="0" w:space="0" w:color="auto"/>
        <w:right w:val="none" w:sz="0" w:space="0" w:color="auto"/>
      </w:divBdr>
      <w:divsChild>
        <w:div w:id="2100329158">
          <w:marLeft w:val="0"/>
          <w:marRight w:val="0"/>
          <w:marTop w:val="0"/>
          <w:marBottom w:val="0"/>
          <w:divBdr>
            <w:top w:val="none" w:sz="0" w:space="0" w:color="auto"/>
            <w:left w:val="none" w:sz="0" w:space="0" w:color="auto"/>
            <w:bottom w:val="none" w:sz="0" w:space="0" w:color="auto"/>
            <w:right w:val="none" w:sz="0" w:space="0" w:color="auto"/>
          </w:divBdr>
        </w:div>
      </w:divsChild>
    </w:div>
    <w:div w:id="569537223">
      <w:bodyDiv w:val="1"/>
      <w:marLeft w:val="0"/>
      <w:marRight w:val="0"/>
      <w:marTop w:val="0"/>
      <w:marBottom w:val="0"/>
      <w:divBdr>
        <w:top w:val="none" w:sz="0" w:space="0" w:color="auto"/>
        <w:left w:val="none" w:sz="0" w:space="0" w:color="auto"/>
        <w:bottom w:val="none" w:sz="0" w:space="0" w:color="auto"/>
        <w:right w:val="none" w:sz="0" w:space="0" w:color="auto"/>
      </w:divBdr>
    </w:div>
    <w:div w:id="570702625">
      <w:bodyDiv w:val="1"/>
      <w:marLeft w:val="0"/>
      <w:marRight w:val="0"/>
      <w:marTop w:val="0"/>
      <w:marBottom w:val="0"/>
      <w:divBdr>
        <w:top w:val="none" w:sz="0" w:space="0" w:color="auto"/>
        <w:left w:val="none" w:sz="0" w:space="0" w:color="auto"/>
        <w:bottom w:val="none" w:sz="0" w:space="0" w:color="auto"/>
        <w:right w:val="none" w:sz="0" w:space="0" w:color="auto"/>
      </w:divBdr>
    </w:div>
    <w:div w:id="573008402">
      <w:bodyDiv w:val="1"/>
      <w:marLeft w:val="0"/>
      <w:marRight w:val="0"/>
      <w:marTop w:val="0"/>
      <w:marBottom w:val="0"/>
      <w:divBdr>
        <w:top w:val="none" w:sz="0" w:space="0" w:color="auto"/>
        <w:left w:val="none" w:sz="0" w:space="0" w:color="auto"/>
        <w:bottom w:val="none" w:sz="0" w:space="0" w:color="auto"/>
        <w:right w:val="none" w:sz="0" w:space="0" w:color="auto"/>
      </w:divBdr>
    </w:div>
    <w:div w:id="573011536">
      <w:bodyDiv w:val="1"/>
      <w:marLeft w:val="0"/>
      <w:marRight w:val="0"/>
      <w:marTop w:val="0"/>
      <w:marBottom w:val="0"/>
      <w:divBdr>
        <w:top w:val="none" w:sz="0" w:space="0" w:color="auto"/>
        <w:left w:val="none" w:sz="0" w:space="0" w:color="auto"/>
        <w:bottom w:val="none" w:sz="0" w:space="0" w:color="auto"/>
        <w:right w:val="none" w:sz="0" w:space="0" w:color="auto"/>
      </w:divBdr>
    </w:div>
    <w:div w:id="576475356">
      <w:bodyDiv w:val="1"/>
      <w:marLeft w:val="0"/>
      <w:marRight w:val="0"/>
      <w:marTop w:val="0"/>
      <w:marBottom w:val="0"/>
      <w:divBdr>
        <w:top w:val="none" w:sz="0" w:space="0" w:color="auto"/>
        <w:left w:val="none" w:sz="0" w:space="0" w:color="auto"/>
        <w:bottom w:val="none" w:sz="0" w:space="0" w:color="auto"/>
        <w:right w:val="none" w:sz="0" w:space="0" w:color="auto"/>
      </w:divBdr>
    </w:div>
    <w:div w:id="583606427">
      <w:bodyDiv w:val="1"/>
      <w:marLeft w:val="0"/>
      <w:marRight w:val="0"/>
      <w:marTop w:val="0"/>
      <w:marBottom w:val="0"/>
      <w:divBdr>
        <w:top w:val="none" w:sz="0" w:space="0" w:color="auto"/>
        <w:left w:val="none" w:sz="0" w:space="0" w:color="auto"/>
        <w:bottom w:val="none" w:sz="0" w:space="0" w:color="auto"/>
        <w:right w:val="none" w:sz="0" w:space="0" w:color="auto"/>
      </w:divBdr>
    </w:div>
    <w:div w:id="583687153">
      <w:bodyDiv w:val="1"/>
      <w:marLeft w:val="0"/>
      <w:marRight w:val="0"/>
      <w:marTop w:val="0"/>
      <w:marBottom w:val="0"/>
      <w:divBdr>
        <w:top w:val="none" w:sz="0" w:space="0" w:color="auto"/>
        <w:left w:val="none" w:sz="0" w:space="0" w:color="auto"/>
        <w:bottom w:val="none" w:sz="0" w:space="0" w:color="auto"/>
        <w:right w:val="none" w:sz="0" w:space="0" w:color="auto"/>
      </w:divBdr>
    </w:div>
    <w:div w:id="584194809">
      <w:bodyDiv w:val="1"/>
      <w:marLeft w:val="0"/>
      <w:marRight w:val="0"/>
      <w:marTop w:val="0"/>
      <w:marBottom w:val="0"/>
      <w:divBdr>
        <w:top w:val="none" w:sz="0" w:space="0" w:color="auto"/>
        <w:left w:val="none" w:sz="0" w:space="0" w:color="auto"/>
        <w:bottom w:val="none" w:sz="0" w:space="0" w:color="auto"/>
        <w:right w:val="none" w:sz="0" w:space="0" w:color="auto"/>
      </w:divBdr>
    </w:div>
    <w:div w:id="584263006">
      <w:bodyDiv w:val="1"/>
      <w:marLeft w:val="0"/>
      <w:marRight w:val="0"/>
      <w:marTop w:val="0"/>
      <w:marBottom w:val="0"/>
      <w:divBdr>
        <w:top w:val="none" w:sz="0" w:space="0" w:color="auto"/>
        <w:left w:val="none" w:sz="0" w:space="0" w:color="auto"/>
        <w:bottom w:val="none" w:sz="0" w:space="0" w:color="auto"/>
        <w:right w:val="none" w:sz="0" w:space="0" w:color="auto"/>
      </w:divBdr>
    </w:div>
    <w:div w:id="586572523">
      <w:bodyDiv w:val="1"/>
      <w:marLeft w:val="0"/>
      <w:marRight w:val="0"/>
      <w:marTop w:val="0"/>
      <w:marBottom w:val="0"/>
      <w:divBdr>
        <w:top w:val="none" w:sz="0" w:space="0" w:color="auto"/>
        <w:left w:val="none" w:sz="0" w:space="0" w:color="auto"/>
        <w:bottom w:val="none" w:sz="0" w:space="0" w:color="auto"/>
        <w:right w:val="none" w:sz="0" w:space="0" w:color="auto"/>
      </w:divBdr>
    </w:div>
    <w:div w:id="592052598">
      <w:bodyDiv w:val="1"/>
      <w:marLeft w:val="0"/>
      <w:marRight w:val="0"/>
      <w:marTop w:val="0"/>
      <w:marBottom w:val="0"/>
      <w:divBdr>
        <w:top w:val="none" w:sz="0" w:space="0" w:color="auto"/>
        <w:left w:val="none" w:sz="0" w:space="0" w:color="auto"/>
        <w:bottom w:val="none" w:sz="0" w:space="0" w:color="auto"/>
        <w:right w:val="none" w:sz="0" w:space="0" w:color="auto"/>
      </w:divBdr>
    </w:div>
    <w:div w:id="606885625">
      <w:bodyDiv w:val="1"/>
      <w:marLeft w:val="0"/>
      <w:marRight w:val="0"/>
      <w:marTop w:val="0"/>
      <w:marBottom w:val="0"/>
      <w:divBdr>
        <w:top w:val="none" w:sz="0" w:space="0" w:color="auto"/>
        <w:left w:val="none" w:sz="0" w:space="0" w:color="auto"/>
        <w:bottom w:val="none" w:sz="0" w:space="0" w:color="auto"/>
        <w:right w:val="none" w:sz="0" w:space="0" w:color="auto"/>
      </w:divBdr>
    </w:div>
    <w:div w:id="622229582">
      <w:bodyDiv w:val="1"/>
      <w:marLeft w:val="0"/>
      <w:marRight w:val="0"/>
      <w:marTop w:val="0"/>
      <w:marBottom w:val="0"/>
      <w:divBdr>
        <w:top w:val="none" w:sz="0" w:space="0" w:color="auto"/>
        <w:left w:val="none" w:sz="0" w:space="0" w:color="auto"/>
        <w:bottom w:val="none" w:sz="0" w:space="0" w:color="auto"/>
        <w:right w:val="none" w:sz="0" w:space="0" w:color="auto"/>
      </w:divBdr>
    </w:div>
    <w:div w:id="624232632">
      <w:bodyDiv w:val="1"/>
      <w:marLeft w:val="0"/>
      <w:marRight w:val="0"/>
      <w:marTop w:val="0"/>
      <w:marBottom w:val="0"/>
      <w:divBdr>
        <w:top w:val="none" w:sz="0" w:space="0" w:color="auto"/>
        <w:left w:val="none" w:sz="0" w:space="0" w:color="auto"/>
        <w:bottom w:val="none" w:sz="0" w:space="0" w:color="auto"/>
        <w:right w:val="none" w:sz="0" w:space="0" w:color="auto"/>
      </w:divBdr>
      <w:divsChild>
        <w:div w:id="880245609">
          <w:marLeft w:val="0"/>
          <w:marRight w:val="0"/>
          <w:marTop w:val="0"/>
          <w:marBottom w:val="0"/>
          <w:divBdr>
            <w:top w:val="none" w:sz="0" w:space="0" w:color="auto"/>
            <w:left w:val="none" w:sz="0" w:space="0" w:color="auto"/>
            <w:bottom w:val="none" w:sz="0" w:space="0" w:color="auto"/>
            <w:right w:val="none" w:sz="0" w:space="0" w:color="auto"/>
          </w:divBdr>
        </w:div>
      </w:divsChild>
    </w:div>
    <w:div w:id="634068280">
      <w:bodyDiv w:val="1"/>
      <w:marLeft w:val="0"/>
      <w:marRight w:val="0"/>
      <w:marTop w:val="0"/>
      <w:marBottom w:val="0"/>
      <w:divBdr>
        <w:top w:val="none" w:sz="0" w:space="0" w:color="auto"/>
        <w:left w:val="none" w:sz="0" w:space="0" w:color="auto"/>
        <w:bottom w:val="none" w:sz="0" w:space="0" w:color="auto"/>
        <w:right w:val="none" w:sz="0" w:space="0" w:color="auto"/>
      </w:divBdr>
      <w:divsChild>
        <w:div w:id="678242144">
          <w:marLeft w:val="0"/>
          <w:marRight w:val="0"/>
          <w:marTop w:val="15"/>
          <w:marBottom w:val="0"/>
          <w:divBdr>
            <w:top w:val="none" w:sz="0" w:space="0" w:color="auto"/>
            <w:left w:val="none" w:sz="0" w:space="0" w:color="auto"/>
            <w:bottom w:val="none" w:sz="0" w:space="0" w:color="auto"/>
            <w:right w:val="none" w:sz="0" w:space="0" w:color="auto"/>
          </w:divBdr>
          <w:divsChild>
            <w:div w:id="1013916222">
              <w:marLeft w:val="0"/>
              <w:marRight w:val="0"/>
              <w:marTop w:val="0"/>
              <w:marBottom w:val="0"/>
              <w:divBdr>
                <w:top w:val="none" w:sz="0" w:space="0" w:color="auto"/>
                <w:left w:val="none" w:sz="0" w:space="0" w:color="auto"/>
                <w:bottom w:val="none" w:sz="0" w:space="0" w:color="auto"/>
                <w:right w:val="none" w:sz="0" w:space="0" w:color="auto"/>
              </w:divBdr>
              <w:divsChild>
                <w:div w:id="147789651">
                  <w:marLeft w:val="0"/>
                  <w:marRight w:val="0"/>
                  <w:marTop w:val="0"/>
                  <w:marBottom w:val="0"/>
                  <w:divBdr>
                    <w:top w:val="none" w:sz="0" w:space="0" w:color="auto"/>
                    <w:left w:val="none" w:sz="0" w:space="0" w:color="auto"/>
                    <w:bottom w:val="none" w:sz="0" w:space="0" w:color="auto"/>
                    <w:right w:val="none" w:sz="0" w:space="0" w:color="auto"/>
                  </w:divBdr>
                </w:div>
                <w:div w:id="1455178109">
                  <w:marLeft w:val="0"/>
                  <w:marRight w:val="0"/>
                  <w:marTop w:val="0"/>
                  <w:marBottom w:val="0"/>
                  <w:divBdr>
                    <w:top w:val="none" w:sz="0" w:space="0" w:color="auto"/>
                    <w:left w:val="none" w:sz="0" w:space="0" w:color="auto"/>
                    <w:bottom w:val="none" w:sz="0" w:space="0" w:color="auto"/>
                    <w:right w:val="none" w:sz="0" w:space="0" w:color="auto"/>
                  </w:divBdr>
                </w:div>
                <w:div w:id="1839611292">
                  <w:marLeft w:val="0"/>
                  <w:marRight w:val="0"/>
                  <w:marTop w:val="0"/>
                  <w:marBottom w:val="0"/>
                  <w:divBdr>
                    <w:top w:val="none" w:sz="0" w:space="0" w:color="auto"/>
                    <w:left w:val="none" w:sz="0" w:space="0" w:color="auto"/>
                    <w:bottom w:val="none" w:sz="0" w:space="0" w:color="auto"/>
                    <w:right w:val="none" w:sz="0" w:space="0" w:color="auto"/>
                  </w:divBdr>
                </w:div>
                <w:div w:id="479544844">
                  <w:marLeft w:val="0"/>
                  <w:marRight w:val="0"/>
                  <w:marTop w:val="0"/>
                  <w:marBottom w:val="0"/>
                  <w:divBdr>
                    <w:top w:val="none" w:sz="0" w:space="0" w:color="auto"/>
                    <w:left w:val="none" w:sz="0" w:space="0" w:color="auto"/>
                    <w:bottom w:val="none" w:sz="0" w:space="0" w:color="auto"/>
                    <w:right w:val="none" w:sz="0" w:space="0" w:color="auto"/>
                  </w:divBdr>
                </w:div>
                <w:div w:id="1534882941">
                  <w:marLeft w:val="0"/>
                  <w:marRight w:val="0"/>
                  <w:marTop w:val="0"/>
                  <w:marBottom w:val="0"/>
                  <w:divBdr>
                    <w:top w:val="none" w:sz="0" w:space="0" w:color="auto"/>
                    <w:left w:val="none" w:sz="0" w:space="0" w:color="auto"/>
                    <w:bottom w:val="none" w:sz="0" w:space="0" w:color="auto"/>
                    <w:right w:val="none" w:sz="0" w:space="0" w:color="auto"/>
                  </w:divBdr>
                </w:div>
                <w:div w:id="253322822">
                  <w:marLeft w:val="0"/>
                  <w:marRight w:val="0"/>
                  <w:marTop w:val="0"/>
                  <w:marBottom w:val="0"/>
                  <w:divBdr>
                    <w:top w:val="none" w:sz="0" w:space="0" w:color="auto"/>
                    <w:left w:val="none" w:sz="0" w:space="0" w:color="auto"/>
                    <w:bottom w:val="none" w:sz="0" w:space="0" w:color="auto"/>
                    <w:right w:val="none" w:sz="0" w:space="0" w:color="auto"/>
                  </w:divBdr>
                </w:div>
                <w:div w:id="677000141">
                  <w:marLeft w:val="0"/>
                  <w:marRight w:val="0"/>
                  <w:marTop w:val="0"/>
                  <w:marBottom w:val="0"/>
                  <w:divBdr>
                    <w:top w:val="none" w:sz="0" w:space="0" w:color="auto"/>
                    <w:left w:val="none" w:sz="0" w:space="0" w:color="auto"/>
                    <w:bottom w:val="none" w:sz="0" w:space="0" w:color="auto"/>
                    <w:right w:val="none" w:sz="0" w:space="0" w:color="auto"/>
                  </w:divBdr>
                </w:div>
                <w:div w:id="1572620362">
                  <w:marLeft w:val="0"/>
                  <w:marRight w:val="0"/>
                  <w:marTop w:val="0"/>
                  <w:marBottom w:val="0"/>
                  <w:divBdr>
                    <w:top w:val="none" w:sz="0" w:space="0" w:color="auto"/>
                    <w:left w:val="none" w:sz="0" w:space="0" w:color="auto"/>
                    <w:bottom w:val="none" w:sz="0" w:space="0" w:color="auto"/>
                    <w:right w:val="none" w:sz="0" w:space="0" w:color="auto"/>
                  </w:divBdr>
                </w:div>
                <w:div w:id="1639337835">
                  <w:marLeft w:val="0"/>
                  <w:marRight w:val="0"/>
                  <w:marTop w:val="0"/>
                  <w:marBottom w:val="0"/>
                  <w:divBdr>
                    <w:top w:val="none" w:sz="0" w:space="0" w:color="auto"/>
                    <w:left w:val="none" w:sz="0" w:space="0" w:color="auto"/>
                    <w:bottom w:val="none" w:sz="0" w:space="0" w:color="auto"/>
                    <w:right w:val="none" w:sz="0" w:space="0" w:color="auto"/>
                  </w:divBdr>
                </w:div>
                <w:div w:id="1822112048">
                  <w:marLeft w:val="0"/>
                  <w:marRight w:val="0"/>
                  <w:marTop w:val="0"/>
                  <w:marBottom w:val="0"/>
                  <w:divBdr>
                    <w:top w:val="none" w:sz="0" w:space="0" w:color="auto"/>
                    <w:left w:val="none" w:sz="0" w:space="0" w:color="auto"/>
                    <w:bottom w:val="none" w:sz="0" w:space="0" w:color="auto"/>
                    <w:right w:val="none" w:sz="0" w:space="0" w:color="auto"/>
                  </w:divBdr>
                </w:div>
                <w:div w:id="151067295">
                  <w:marLeft w:val="0"/>
                  <w:marRight w:val="0"/>
                  <w:marTop w:val="0"/>
                  <w:marBottom w:val="0"/>
                  <w:divBdr>
                    <w:top w:val="none" w:sz="0" w:space="0" w:color="auto"/>
                    <w:left w:val="none" w:sz="0" w:space="0" w:color="auto"/>
                    <w:bottom w:val="none" w:sz="0" w:space="0" w:color="auto"/>
                    <w:right w:val="none" w:sz="0" w:space="0" w:color="auto"/>
                  </w:divBdr>
                </w:div>
                <w:div w:id="1552645219">
                  <w:marLeft w:val="0"/>
                  <w:marRight w:val="0"/>
                  <w:marTop w:val="0"/>
                  <w:marBottom w:val="0"/>
                  <w:divBdr>
                    <w:top w:val="none" w:sz="0" w:space="0" w:color="auto"/>
                    <w:left w:val="none" w:sz="0" w:space="0" w:color="auto"/>
                    <w:bottom w:val="none" w:sz="0" w:space="0" w:color="auto"/>
                    <w:right w:val="none" w:sz="0" w:space="0" w:color="auto"/>
                  </w:divBdr>
                </w:div>
                <w:div w:id="206188249">
                  <w:marLeft w:val="0"/>
                  <w:marRight w:val="0"/>
                  <w:marTop w:val="0"/>
                  <w:marBottom w:val="0"/>
                  <w:divBdr>
                    <w:top w:val="none" w:sz="0" w:space="0" w:color="auto"/>
                    <w:left w:val="none" w:sz="0" w:space="0" w:color="auto"/>
                    <w:bottom w:val="none" w:sz="0" w:space="0" w:color="auto"/>
                    <w:right w:val="none" w:sz="0" w:space="0" w:color="auto"/>
                  </w:divBdr>
                </w:div>
                <w:div w:id="1434787786">
                  <w:marLeft w:val="0"/>
                  <w:marRight w:val="0"/>
                  <w:marTop w:val="0"/>
                  <w:marBottom w:val="0"/>
                  <w:divBdr>
                    <w:top w:val="none" w:sz="0" w:space="0" w:color="auto"/>
                    <w:left w:val="none" w:sz="0" w:space="0" w:color="auto"/>
                    <w:bottom w:val="none" w:sz="0" w:space="0" w:color="auto"/>
                    <w:right w:val="none" w:sz="0" w:space="0" w:color="auto"/>
                  </w:divBdr>
                </w:div>
                <w:div w:id="177431031">
                  <w:marLeft w:val="0"/>
                  <w:marRight w:val="0"/>
                  <w:marTop w:val="0"/>
                  <w:marBottom w:val="0"/>
                  <w:divBdr>
                    <w:top w:val="none" w:sz="0" w:space="0" w:color="auto"/>
                    <w:left w:val="none" w:sz="0" w:space="0" w:color="auto"/>
                    <w:bottom w:val="none" w:sz="0" w:space="0" w:color="auto"/>
                    <w:right w:val="none" w:sz="0" w:space="0" w:color="auto"/>
                  </w:divBdr>
                </w:div>
                <w:div w:id="1471751422">
                  <w:marLeft w:val="0"/>
                  <w:marRight w:val="0"/>
                  <w:marTop w:val="0"/>
                  <w:marBottom w:val="0"/>
                  <w:divBdr>
                    <w:top w:val="none" w:sz="0" w:space="0" w:color="auto"/>
                    <w:left w:val="none" w:sz="0" w:space="0" w:color="auto"/>
                    <w:bottom w:val="none" w:sz="0" w:space="0" w:color="auto"/>
                    <w:right w:val="none" w:sz="0" w:space="0" w:color="auto"/>
                  </w:divBdr>
                </w:div>
                <w:div w:id="823932285">
                  <w:marLeft w:val="0"/>
                  <w:marRight w:val="0"/>
                  <w:marTop w:val="0"/>
                  <w:marBottom w:val="0"/>
                  <w:divBdr>
                    <w:top w:val="none" w:sz="0" w:space="0" w:color="auto"/>
                    <w:left w:val="none" w:sz="0" w:space="0" w:color="auto"/>
                    <w:bottom w:val="none" w:sz="0" w:space="0" w:color="auto"/>
                    <w:right w:val="none" w:sz="0" w:space="0" w:color="auto"/>
                  </w:divBdr>
                </w:div>
                <w:div w:id="495344378">
                  <w:marLeft w:val="0"/>
                  <w:marRight w:val="0"/>
                  <w:marTop w:val="0"/>
                  <w:marBottom w:val="0"/>
                  <w:divBdr>
                    <w:top w:val="none" w:sz="0" w:space="0" w:color="auto"/>
                    <w:left w:val="none" w:sz="0" w:space="0" w:color="auto"/>
                    <w:bottom w:val="none" w:sz="0" w:space="0" w:color="auto"/>
                    <w:right w:val="none" w:sz="0" w:space="0" w:color="auto"/>
                  </w:divBdr>
                </w:div>
                <w:div w:id="1108038593">
                  <w:marLeft w:val="0"/>
                  <w:marRight w:val="0"/>
                  <w:marTop w:val="0"/>
                  <w:marBottom w:val="0"/>
                  <w:divBdr>
                    <w:top w:val="none" w:sz="0" w:space="0" w:color="auto"/>
                    <w:left w:val="none" w:sz="0" w:space="0" w:color="auto"/>
                    <w:bottom w:val="none" w:sz="0" w:space="0" w:color="auto"/>
                    <w:right w:val="none" w:sz="0" w:space="0" w:color="auto"/>
                  </w:divBdr>
                </w:div>
                <w:div w:id="1187674121">
                  <w:marLeft w:val="0"/>
                  <w:marRight w:val="0"/>
                  <w:marTop w:val="0"/>
                  <w:marBottom w:val="0"/>
                  <w:divBdr>
                    <w:top w:val="none" w:sz="0" w:space="0" w:color="auto"/>
                    <w:left w:val="none" w:sz="0" w:space="0" w:color="auto"/>
                    <w:bottom w:val="none" w:sz="0" w:space="0" w:color="auto"/>
                    <w:right w:val="none" w:sz="0" w:space="0" w:color="auto"/>
                  </w:divBdr>
                </w:div>
                <w:div w:id="330064562">
                  <w:marLeft w:val="0"/>
                  <w:marRight w:val="0"/>
                  <w:marTop w:val="0"/>
                  <w:marBottom w:val="0"/>
                  <w:divBdr>
                    <w:top w:val="none" w:sz="0" w:space="0" w:color="auto"/>
                    <w:left w:val="none" w:sz="0" w:space="0" w:color="auto"/>
                    <w:bottom w:val="none" w:sz="0" w:space="0" w:color="auto"/>
                    <w:right w:val="none" w:sz="0" w:space="0" w:color="auto"/>
                  </w:divBdr>
                </w:div>
                <w:div w:id="1631402818">
                  <w:marLeft w:val="0"/>
                  <w:marRight w:val="0"/>
                  <w:marTop w:val="0"/>
                  <w:marBottom w:val="0"/>
                  <w:divBdr>
                    <w:top w:val="none" w:sz="0" w:space="0" w:color="auto"/>
                    <w:left w:val="none" w:sz="0" w:space="0" w:color="auto"/>
                    <w:bottom w:val="none" w:sz="0" w:space="0" w:color="auto"/>
                    <w:right w:val="none" w:sz="0" w:space="0" w:color="auto"/>
                  </w:divBdr>
                </w:div>
                <w:div w:id="1828328619">
                  <w:marLeft w:val="0"/>
                  <w:marRight w:val="0"/>
                  <w:marTop w:val="0"/>
                  <w:marBottom w:val="0"/>
                  <w:divBdr>
                    <w:top w:val="none" w:sz="0" w:space="0" w:color="auto"/>
                    <w:left w:val="none" w:sz="0" w:space="0" w:color="auto"/>
                    <w:bottom w:val="none" w:sz="0" w:space="0" w:color="auto"/>
                    <w:right w:val="none" w:sz="0" w:space="0" w:color="auto"/>
                  </w:divBdr>
                </w:div>
                <w:div w:id="47464650">
                  <w:marLeft w:val="0"/>
                  <w:marRight w:val="0"/>
                  <w:marTop w:val="0"/>
                  <w:marBottom w:val="0"/>
                  <w:divBdr>
                    <w:top w:val="none" w:sz="0" w:space="0" w:color="auto"/>
                    <w:left w:val="none" w:sz="0" w:space="0" w:color="auto"/>
                    <w:bottom w:val="none" w:sz="0" w:space="0" w:color="auto"/>
                    <w:right w:val="none" w:sz="0" w:space="0" w:color="auto"/>
                  </w:divBdr>
                </w:div>
                <w:div w:id="762338758">
                  <w:marLeft w:val="0"/>
                  <w:marRight w:val="0"/>
                  <w:marTop w:val="0"/>
                  <w:marBottom w:val="0"/>
                  <w:divBdr>
                    <w:top w:val="none" w:sz="0" w:space="0" w:color="auto"/>
                    <w:left w:val="none" w:sz="0" w:space="0" w:color="auto"/>
                    <w:bottom w:val="none" w:sz="0" w:space="0" w:color="auto"/>
                    <w:right w:val="none" w:sz="0" w:space="0" w:color="auto"/>
                  </w:divBdr>
                </w:div>
                <w:div w:id="350495436">
                  <w:marLeft w:val="0"/>
                  <w:marRight w:val="0"/>
                  <w:marTop w:val="0"/>
                  <w:marBottom w:val="0"/>
                  <w:divBdr>
                    <w:top w:val="none" w:sz="0" w:space="0" w:color="auto"/>
                    <w:left w:val="none" w:sz="0" w:space="0" w:color="auto"/>
                    <w:bottom w:val="none" w:sz="0" w:space="0" w:color="auto"/>
                    <w:right w:val="none" w:sz="0" w:space="0" w:color="auto"/>
                  </w:divBdr>
                </w:div>
                <w:div w:id="1972007360">
                  <w:marLeft w:val="0"/>
                  <w:marRight w:val="0"/>
                  <w:marTop w:val="0"/>
                  <w:marBottom w:val="0"/>
                  <w:divBdr>
                    <w:top w:val="none" w:sz="0" w:space="0" w:color="auto"/>
                    <w:left w:val="none" w:sz="0" w:space="0" w:color="auto"/>
                    <w:bottom w:val="none" w:sz="0" w:space="0" w:color="auto"/>
                    <w:right w:val="none" w:sz="0" w:space="0" w:color="auto"/>
                  </w:divBdr>
                </w:div>
                <w:div w:id="1953199690">
                  <w:marLeft w:val="0"/>
                  <w:marRight w:val="0"/>
                  <w:marTop w:val="0"/>
                  <w:marBottom w:val="0"/>
                  <w:divBdr>
                    <w:top w:val="none" w:sz="0" w:space="0" w:color="auto"/>
                    <w:left w:val="none" w:sz="0" w:space="0" w:color="auto"/>
                    <w:bottom w:val="none" w:sz="0" w:space="0" w:color="auto"/>
                    <w:right w:val="none" w:sz="0" w:space="0" w:color="auto"/>
                  </w:divBdr>
                </w:div>
                <w:div w:id="711996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525791">
          <w:marLeft w:val="0"/>
          <w:marRight w:val="0"/>
          <w:marTop w:val="15"/>
          <w:marBottom w:val="0"/>
          <w:divBdr>
            <w:top w:val="none" w:sz="0" w:space="0" w:color="auto"/>
            <w:left w:val="none" w:sz="0" w:space="0" w:color="auto"/>
            <w:bottom w:val="none" w:sz="0" w:space="0" w:color="auto"/>
            <w:right w:val="none" w:sz="0" w:space="0" w:color="auto"/>
          </w:divBdr>
          <w:divsChild>
            <w:div w:id="586618962">
              <w:marLeft w:val="0"/>
              <w:marRight w:val="0"/>
              <w:marTop w:val="0"/>
              <w:marBottom w:val="0"/>
              <w:divBdr>
                <w:top w:val="none" w:sz="0" w:space="0" w:color="auto"/>
                <w:left w:val="none" w:sz="0" w:space="0" w:color="auto"/>
                <w:bottom w:val="none" w:sz="0" w:space="0" w:color="auto"/>
                <w:right w:val="none" w:sz="0" w:space="0" w:color="auto"/>
              </w:divBdr>
              <w:divsChild>
                <w:div w:id="450979554">
                  <w:marLeft w:val="0"/>
                  <w:marRight w:val="0"/>
                  <w:marTop w:val="0"/>
                  <w:marBottom w:val="0"/>
                  <w:divBdr>
                    <w:top w:val="none" w:sz="0" w:space="0" w:color="auto"/>
                    <w:left w:val="none" w:sz="0" w:space="0" w:color="auto"/>
                    <w:bottom w:val="none" w:sz="0" w:space="0" w:color="auto"/>
                    <w:right w:val="none" w:sz="0" w:space="0" w:color="auto"/>
                  </w:divBdr>
                </w:div>
                <w:div w:id="366561565">
                  <w:marLeft w:val="0"/>
                  <w:marRight w:val="0"/>
                  <w:marTop w:val="0"/>
                  <w:marBottom w:val="0"/>
                  <w:divBdr>
                    <w:top w:val="none" w:sz="0" w:space="0" w:color="auto"/>
                    <w:left w:val="none" w:sz="0" w:space="0" w:color="auto"/>
                    <w:bottom w:val="none" w:sz="0" w:space="0" w:color="auto"/>
                    <w:right w:val="none" w:sz="0" w:space="0" w:color="auto"/>
                  </w:divBdr>
                </w:div>
                <w:div w:id="147943483">
                  <w:marLeft w:val="0"/>
                  <w:marRight w:val="0"/>
                  <w:marTop w:val="0"/>
                  <w:marBottom w:val="0"/>
                  <w:divBdr>
                    <w:top w:val="none" w:sz="0" w:space="0" w:color="auto"/>
                    <w:left w:val="none" w:sz="0" w:space="0" w:color="auto"/>
                    <w:bottom w:val="none" w:sz="0" w:space="0" w:color="auto"/>
                    <w:right w:val="none" w:sz="0" w:space="0" w:color="auto"/>
                  </w:divBdr>
                </w:div>
                <w:div w:id="579290825">
                  <w:marLeft w:val="0"/>
                  <w:marRight w:val="0"/>
                  <w:marTop w:val="0"/>
                  <w:marBottom w:val="0"/>
                  <w:divBdr>
                    <w:top w:val="none" w:sz="0" w:space="0" w:color="auto"/>
                    <w:left w:val="none" w:sz="0" w:space="0" w:color="auto"/>
                    <w:bottom w:val="none" w:sz="0" w:space="0" w:color="auto"/>
                    <w:right w:val="none" w:sz="0" w:space="0" w:color="auto"/>
                  </w:divBdr>
                </w:div>
                <w:div w:id="981806497">
                  <w:marLeft w:val="0"/>
                  <w:marRight w:val="0"/>
                  <w:marTop w:val="0"/>
                  <w:marBottom w:val="0"/>
                  <w:divBdr>
                    <w:top w:val="none" w:sz="0" w:space="0" w:color="auto"/>
                    <w:left w:val="none" w:sz="0" w:space="0" w:color="auto"/>
                    <w:bottom w:val="none" w:sz="0" w:space="0" w:color="auto"/>
                    <w:right w:val="none" w:sz="0" w:space="0" w:color="auto"/>
                  </w:divBdr>
                </w:div>
                <w:div w:id="48841882">
                  <w:marLeft w:val="0"/>
                  <w:marRight w:val="0"/>
                  <w:marTop w:val="0"/>
                  <w:marBottom w:val="0"/>
                  <w:divBdr>
                    <w:top w:val="none" w:sz="0" w:space="0" w:color="auto"/>
                    <w:left w:val="none" w:sz="0" w:space="0" w:color="auto"/>
                    <w:bottom w:val="none" w:sz="0" w:space="0" w:color="auto"/>
                    <w:right w:val="none" w:sz="0" w:space="0" w:color="auto"/>
                  </w:divBdr>
                </w:div>
                <w:div w:id="1779250185">
                  <w:marLeft w:val="0"/>
                  <w:marRight w:val="0"/>
                  <w:marTop w:val="0"/>
                  <w:marBottom w:val="0"/>
                  <w:divBdr>
                    <w:top w:val="none" w:sz="0" w:space="0" w:color="auto"/>
                    <w:left w:val="none" w:sz="0" w:space="0" w:color="auto"/>
                    <w:bottom w:val="none" w:sz="0" w:space="0" w:color="auto"/>
                    <w:right w:val="none" w:sz="0" w:space="0" w:color="auto"/>
                  </w:divBdr>
                </w:div>
                <w:div w:id="1513104496">
                  <w:marLeft w:val="0"/>
                  <w:marRight w:val="0"/>
                  <w:marTop w:val="0"/>
                  <w:marBottom w:val="0"/>
                  <w:divBdr>
                    <w:top w:val="none" w:sz="0" w:space="0" w:color="auto"/>
                    <w:left w:val="none" w:sz="0" w:space="0" w:color="auto"/>
                    <w:bottom w:val="none" w:sz="0" w:space="0" w:color="auto"/>
                    <w:right w:val="none" w:sz="0" w:space="0" w:color="auto"/>
                  </w:divBdr>
                </w:div>
                <w:div w:id="1931427086">
                  <w:marLeft w:val="0"/>
                  <w:marRight w:val="0"/>
                  <w:marTop w:val="0"/>
                  <w:marBottom w:val="0"/>
                  <w:divBdr>
                    <w:top w:val="none" w:sz="0" w:space="0" w:color="auto"/>
                    <w:left w:val="none" w:sz="0" w:space="0" w:color="auto"/>
                    <w:bottom w:val="none" w:sz="0" w:space="0" w:color="auto"/>
                    <w:right w:val="none" w:sz="0" w:space="0" w:color="auto"/>
                  </w:divBdr>
                </w:div>
                <w:div w:id="1608468288">
                  <w:marLeft w:val="0"/>
                  <w:marRight w:val="0"/>
                  <w:marTop w:val="0"/>
                  <w:marBottom w:val="0"/>
                  <w:divBdr>
                    <w:top w:val="none" w:sz="0" w:space="0" w:color="auto"/>
                    <w:left w:val="none" w:sz="0" w:space="0" w:color="auto"/>
                    <w:bottom w:val="none" w:sz="0" w:space="0" w:color="auto"/>
                    <w:right w:val="none" w:sz="0" w:space="0" w:color="auto"/>
                  </w:divBdr>
                </w:div>
                <w:div w:id="30811187">
                  <w:marLeft w:val="0"/>
                  <w:marRight w:val="0"/>
                  <w:marTop w:val="0"/>
                  <w:marBottom w:val="0"/>
                  <w:divBdr>
                    <w:top w:val="none" w:sz="0" w:space="0" w:color="auto"/>
                    <w:left w:val="none" w:sz="0" w:space="0" w:color="auto"/>
                    <w:bottom w:val="none" w:sz="0" w:space="0" w:color="auto"/>
                    <w:right w:val="none" w:sz="0" w:space="0" w:color="auto"/>
                  </w:divBdr>
                </w:div>
                <w:div w:id="1269775970">
                  <w:marLeft w:val="0"/>
                  <w:marRight w:val="0"/>
                  <w:marTop w:val="0"/>
                  <w:marBottom w:val="0"/>
                  <w:divBdr>
                    <w:top w:val="none" w:sz="0" w:space="0" w:color="auto"/>
                    <w:left w:val="none" w:sz="0" w:space="0" w:color="auto"/>
                    <w:bottom w:val="none" w:sz="0" w:space="0" w:color="auto"/>
                    <w:right w:val="none" w:sz="0" w:space="0" w:color="auto"/>
                  </w:divBdr>
                </w:div>
                <w:div w:id="1363092173">
                  <w:marLeft w:val="0"/>
                  <w:marRight w:val="0"/>
                  <w:marTop w:val="0"/>
                  <w:marBottom w:val="0"/>
                  <w:divBdr>
                    <w:top w:val="none" w:sz="0" w:space="0" w:color="auto"/>
                    <w:left w:val="none" w:sz="0" w:space="0" w:color="auto"/>
                    <w:bottom w:val="none" w:sz="0" w:space="0" w:color="auto"/>
                    <w:right w:val="none" w:sz="0" w:space="0" w:color="auto"/>
                  </w:divBdr>
                </w:div>
                <w:div w:id="926615484">
                  <w:marLeft w:val="0"/>
                  <w:marRight w:val="0"/>
                  <w:marTop w:val="0"/>
                  <w:marBottom w:val="0"/>
                  <w:divBdr>
                    <w:top w:val="none" w:sz="0" w:space="0" w:color="auto"/>
                    <w:left w:val="none" w:sz="0" w:space="0" w:color="auto"/>
                    <w:bottom w:val="none" w:sz="0" w:space="0" w:color="auto"/>
                    <w:right w:val="none" w:sz="0" w:space="0" w:color="auto"/>
                  </w:divBdr>
                </w:div>
                <w:div w:id="1354838984">
                  <w:marLeft w:val="0"/>
                  <w:marRight w:val="0"/>
                  <w:marTop w:val="0"/>
                  <w:marBottom w:val="0"/>
                  <w:divBdr>
                    <w:top w:val="none" w:sz="0" w:space="0" w:color="auto"/>
                    <w:left w:val="none" w:sz="0" w:space="0" w:color="auto"/>
                    <w:bottom w:val="none" w:sz="0" w:space="0" w:color="auto"/>
                    <w:right w:val="none" w:sz="0" w:space="0" w:color="auto"/>
                  </w:divBdr>
                </w:div>
                <w:div w:id="387845432">
                  <w:marLeft w:val="0"/>
                  <w:marRight w:val="0"/>
                  <w:marTop w:val="0"/>
                  <w:marBottom w:val="0"/>
                  <w:divBdr>
                    <w:top w:val="none" w:sz="0" w:space="0" w:color="auto"/>
                    <w:left w:val="none" w:sz="0" w:space="0" w:color="auto"/>
                    <w:bottom w:val="none" w:sz="0" w:space="0" w:color="auto"/>
                    <w:right w:val="none" w:sz="0" w:space="0" w:color="auto"/>
                  </w:divBdr>
                </w:div>
                <w:div w:id="840387591">
                  <w:marLeft w:val="0"/>
                  <w:marRight w:val="0"/>
                  <w:marTop w:val="0"/>
                  <w:marBottom w:val="0"/>
                  <w:divBdr>
                    <w:top w:val="none" w:sz="0" w:space="0" w:color="auto"/>
                    <w:left w:val="none" w:sz="0" w:space="0" w:color="auto"/>
                    <w:bottom w:val="none" w:sz="0" w:space="0" w:color="auto"/>
                    <w:right w:val="none" w:sz="0" w:space="0" w:color="auto"/>
                  </w:divBdr>
                </w:div>
                <w:div w:id="1337659126">
                  <w:marLeft w:val="0"/>
                  <w:marRight w:val="0"/>
                  <w:marTop w:val="0"/>
                  <w:marBottom w:val="0"/>
                  <w:divBdr>
                    <w:top w:val="none" w:sz="0" w:space="0" w:color="auto"/>
                    <w:left w:val="none" w:sz="0" w:space="0" w:color="auto"/>
                    <w:bottom w:val="none" w:sz="0" w:space="0" w:color="auto"/>
                    <w:right w:val="none" w:sz="0" w:space="0" w:color="auto"/>
                  </w:divBdr>
                </w:div>
                <w:div w:id="188491852">
                  <w:marLeft w:val="0"/>
                  <w:marRight w:val="0"/>
                  <w:marTop w:val="0"/>
                  <w:marBottom w:val="0"/>
                  <w:divBdr>
                    <w:top w:val="none" w:sz="0" w:space="0" w:color="auto"/>
                    <w:left w:val="none" w:sz="0" w:space="0" w:color="auto"/>
                    <w:bottom w:val="none" w:sz="0" w:space="0" w:color="auto"/>
                    <w:right w:val="none" w:sz="0" w:space="0" w:color="auto"/>
                  </w:divBdr>
                </w:div>
                <w:div w:id="69272413">
                  <w:marLeft w:val="0"/>
                  <w:marRight w:val="0"/>
                  <w:marTop w:val="0"/>
                  <w:marBottom w:val="0"/>
                  <w:divBdr>
                    <w:top w:val="none" w:sz="0" w:space="0" w:color="auto"/>
                    <w:left w:val="none" w:sz="0" w:space="0" w:color="auto"/>
                    <w:bottom w:val="none" w:sz="0" w:space="0" w:color="auto"/>
                    <w:right w:val="none" w:sz="0" w:space="0" w:color="auto"/>
                  </w:divBdr>
                </w:div>
                <w:div w:id="2121949795">
                  <w:marLeft w:val="0"/>
                  <w:marRight w:val="0"/>
                  <w:marTop w:val="0"/>
                  <w:marBottom w:val="0"/>
                  <w:divBdr>
                    <w:top w:val="none" w:sz="0" w:space="0" w:color="auto"/>
                    <w:left w:val="none" w:sz="0" w:space="0" w:color="auto"/>
                    <w:bottom w:val="none" w:sz="0" w:space="0" w:color="auto"/>
                    <w:right w:val="none" w:sz="0" w:space="0" w:color="auto"/>
                  </w:divBdr>
                </w:div>
                <w:div w:id="591668497">
                  <w:marLeft w:val="0"/>
                  <w:marRight w:val="0"/>
                  <w:marTop w:val="0"/>
                  <w:marBottom w:val="0"/>
                  <w:divBdr>
                    <w:top w:val="none" w:sz="0" w:space="0" w:color="auto"/>
                    <w:left w:val="none" w:sz="0" w:space="0" w:color="auto"/>
                    <w:bottom w:val="none" w:sz="0" w:space="0" w:color="auto"/>
                    <w:right w:val="none" w:sz="0" w:space="0" w:color="auto"/>
                  </w:divBdr>
                </w:div>
                <w:div w:id="142739935">
                  <w:marLeft w:val="0"/>
                  <w:marRight w:val="0"/>
                  <w:marTop w:val="0"/>
                  <w:marBottom w:val="0"/>
                  <w:divBdr>
                    <w:top w:val="none" w:sz="0" w:space="0" w:color="auto"/>
                    <w:left w:val="none" w:sz="0" w:space="0" w:color="auto"/>
                    <w:bottom w:val="none" w:sz="0" w:space="0" w:color="auto"/>
                    <w:right w:val="none" w:sz="0" w:space="0" w:color="auto"/>
                  </w:divBdr>
                </w:div>
                <w:div w:id="1096098270">
                  <w:marLeft w:val="0"/>
                  <w:marRight w:val="0"/>
                  <w:marTop w:val="0"/>
                  <w:marBottom w:val="0"/>
                  <w:divBdr>
                    <w:top w:val="none" w:sz="0" w:space="0" w:color="auto"/>
                    <w:left w:val="none" w:sz="0" w:space="0" w:color="auto"/>
                    <w:bottom w:val="none" w:sz="0" w:space="0" w:color="auto"/>
                    <w:right w:val="none" w:sz="0" w:space="0" w:color="auto"/>
                  </w:divBdr>
                </w:div>
                <w:div w:id="1584413688">
                  <w:marLeft w:val="0"/>
                  <w:marRight w:val="0"/>
                  <w:marTop w:val="0"/>
                  <w:marBottom w:val="0"/>
                  <w:divBdr>
                    <w:top w:val="none" w:sz="0" w:space="0" w:color="auto"/>
                    <w:left w:val="none" w:sz="0" w:space="0" w:color="auto"/>
                    <w:bottom w:val="none" w:sz="0" w:space="0" w:color="auto"/>
                    <w:right w:val="none" w:sz="0" w:space="0" w:color="auto"/>
                  </w:divBdr>
                </w:div>
                <w:div w:id="897328391">
                  <w:marLeft w:val="0"/>
                  <w:marRight w:val="0"/>
                  <w:marTop w:val="0"/>
                  <w:marBottom w:val="0"/>
                  <w:divBdr>
                    <w:top w:val="none" w:sz="0" w:space="0" w:color="auto"/>
                    <w:left w:val="none" w:sz="0" w:space="0" w:color="auto"/>
                    <w:bottom w:val="none" w:sz="0" w:space="0" w:color="auto"/>
                    <w:right w:val="none" w:sz="0" w:space="0" w:color="auto"/>
                  </w:divBdr>
                </w:div>
                <w:div w:id="258222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184797">
          <w:marLeft w:val="0"/>
          <w:marRight w:val="0"/>
          <w:marTop w:val="15"/>
          <w:marBottom w:val="0"/>
          <w:divBdr>
            <w:top w:val="none" w:sz="0" w:space="0" w:color="auto"/>
            <w:left w:val="none" w:sz="0" w:space="0" w:color="auto"/>
            <w:bottom w:val="none" w:sz="0" w:space="0" w:color="auto"/>
            <w:right w:val="none" w:sz="0" w:space="0" w:color="auto"/>
          </w:divBdr>
          <w:divsChild>
            <w:div w:id="1783918785">
              <w:marLeft w:val="0"/>
              <w:marRight w:val="0"/>
              <w:marTop w:val="0"/>
              <w:marBottom w:val="0"/>
              <w:divBdr>
                <w:top w:val="none" w:sz="0" w:space="0" w:color="auto"/>
                <w:left w:val="none" w:sz="0" w:space="0" w:color="auto"/>
                <w:bottom w:val="none" w:sz="0" w:space="0" w:color="auto"/>
                <w:right w:val="none" w:sz="0" w:space="0" w:color="auto"/>
              </w:divBdr>
              <w:divsChild>
                <w:div w:id="1734280448">
                  <w:marLeft w:val="0"/>
                  <w:marRight w:val="0"/>
                  <w:marTop w:val="0"/>
                  <w:marBottom w:val="0"/>
                  <w:divBdr>
                    <w:top w:val="none" w:sz="0" w:space="0" w:color="auto"/>
                    <w:left w:val="none" w:sz="0" w:space="0" w:color="auto"/>
                    <w:bottom w:val="none" w:sz="0" w:space="0" w:color="auto"/>
                    <w:right w:val="none" w:sz="0" w:space="0" w:color="auto"/>
                  </w:divBdr>
                </w:div>
                <w:div w:id="1405641972">
                  <w:marLeft w:val="0"/>
                  <w:marRight w:val="0"/>
                  <w:marTop w:val="0"/>
                  <w:marBottom w:val="0"/>
                  <w:divBdr>
                    <w:top w:val="none" w:sz="0" w:space="0" w:color="auto"/>
                    <w:left w:val="none" w:sz="0" w:space="0" w:color="auto"/>
                    <w:bottom w:val="none" w:sz="0" w:space="0" w:color="auto"/>
                    <w:right w:val="none" w:sz="0" w:space="0" w:color="auto"/>
                  </w:divBdr>
                </w:div>
                <w:div w:id="362292321">
                  <w:marLeft w:val="0"/>
                  <w:marRight w:val="0"/>
                  <w:marTop w:val="0"/>
                  <w:marBottom w:val="0"/>
                  <w:divBdr>
                    <w:top w:val="none" w:sz="0" w:space="0" w:color="auto"/>
                    <w:left w:val="none" w:sz="0" w:space="0" w:color="auto"/>
                    <w:bottom w:val="none" w:sz="0" w:space="0" w:color="auto"/>
                    <w:right w:val="none" w:sz="0" w:space="0" w:color="auto"/>
                  </w:divBdr>
                </w:div>
                <w:div w:id="601688100">
                  <w:marLeft w:val="0"/>
                  <w:marRight w:val="0"/>
                  <w:marTop w:val="0"/>
                  <w:marBottom w:val="0"/>
                  <w:divBdr>
                    <w:top w:val="none" w:sz="0" w:space="0" w:color="auto"/>
                    <w:left w:val="none" w:sz="0" w:space="0" w:color="auto"/>
                    <w:bottom w:val="none" w:sz="0" w:space="0" w:color="auto"/>
                    <w:right w:val="none" w:sz="0" w:space="0" w:color="auto"/>
                  </w:divBdr>
                </w:div>
                <w:div w:id="1438914707">
                  <w:marLeft w:val="0"/>
                  <w:marRight w:val="0"/>
                  <w:marTop w:val="0"/>
                  <w:marBottom w:val="0"/>
                  <w:divBdr>
                    <w:top w:val="none" w:sz="0" w:space="0" w:color="auto"/>
                    <w:left w:val="none" w:sz="0" w:space="0" w:color="auto"/>
                    <w:bottom w:val="none" w:sz="0" w:space="0" w:color="auto"/>
                    <w:right w:val="none" w:sz="0" w:space="0" w:color="auto"/>
                  </w:divBdr>
                </w:div>
                <w:div w:id="1040015748">
                  <w:marLeft w:val="0"/>
                  <w:marRight w:val="0"/>
                  <w:marTop w:val="0"/>
                  <w:marBottom w:val="0"/>
                  <w:divBdr>
                    <w:top w:val="none" w:sz="0" w:space="0" w:color="auto"/>
                    <w:left w:val="none" w:sz="0" w:space="0" w:color="auto"/>
                    <w:bottom w:val="none" w:sz="0" w:space="0" w:color="auto"/>
                    <w:right w:val="none" w:sz="0" w:space="0" w:color="auto"/>
                  </w:divBdr>
                </w:div>
                <w:div w:id="454063908">
                  <w:marLeft w:val="0"/>
                  <w:marRight w:val="0"/>
                  <w:marTop w:val="0"/>
                  <w:marBottom w:val="0"/>
                  <w:divBdr>
                    <w:top w:val="none" w:sz="0" w:space="0" w:color="auto"/>
                    <w:left w:val="none" w:sz="0" w:space="0" w:color="auto"/>
                    <w:bottom w:val="none" w:sz="0" w:space="0" w:color="auto"/>
                    <w:right w:val="none" w:sz="0" w:space="0" w:color="auto"/>
                  </w:divBdr>
                </w:div>
                <w:div w:id="1139881054">
                  <w:marLeft w:val="0"/>
                  <w:marRight w:val="0"/>
                  <w:marTop w:val="0"/>
                  <w:marBottom w:val="0"/>
                  <w:divBdr>
                    <w:top w:val="none" w:sz="0" w:space="0" w:color="auto"/>
                    <w:left w:val="none" w:sz="0" w:space="0" w:color="auto"/>
                    <w:bottom w:val="none" w:sz="0" w:space="0" w:color="auto"/>
                    <w:right w:val="none" w:sz="0" w:space="0" w:color="auto"/>
                  </w:divBdr>
                </w:div>
                <w:div w:id="267860303">
                  <w:marLeft w:val="0"/>
                  <w:marRight w:val="0"/>
                  <w:marTop w:val="0"/>
                  <w:marBottom w:val="0"/>
                  <w:divBdr>
                    <w:top w:val="none" w:sz="0" w:space="0" w:color="auto"/>
                    <w:left w:val="none" w:sz="0" w:space="0" w:color="auto"/>
                    <w:bottom w:val="none" w:sz="0" w:space="0" w:color="auto"/>
                    <w:right w:val="none" w:sz="0" w:space="0" w:color="auto"/>
                  </w:divBdr>
                </w:div>
                <w:div w:id="356128148">
                  <w:marLeft w:val="0"/>
                  <w:marRight w:val="0"/>
                  <w:marTop w:val="0"/>
                  <w:marBottom w:val="0"/>
                  <w:divBdr>
                    <w:top w:val="none" w:sz="0" w:space="0" w:color="auto"/>
                    <w:left w:val="none" w:sz="0" w:space="0" w:color="auto"/>
                    <w:bottom w:val="none" w:sz="0" w:space="0" w:color="auto"/>
                    <w:right w:val="none" w:sz="0" w:space="0" w:color="auto"/>
                  </w:divBdr>
                </w:div>
                <w:div w:id="1281457123">
                  <w:marLeft w:val="0"/>
                  <w:marRight w:val="0"/>
                  <w:marTop w:val="0"/>
                  <w:marBottom w:val="0"/>
                  <w:divBdr>
                    <w:top w:val="none" w:sz="0" w:space="0" w:color="auto"/>
                    <w:left w:val="none" w:sz="0" w:space="0" w:color="auto"/>
                    <w:bottom w:val="none" w:sz="0" w:space="0" w:color="auto"/>
                    <w:right w:val="none" w:sz="0" w:space="0" w:color="auto"/>
                  </w:divBdr>
                </w:div>
                <w:div w:id="1579318249">
                  <w:marLeft w:val="0"/>
                  <w:marRight w:val="0"/>
                  <w:marTop w:val="0"/>
                  <w:marBottom w:val="0"/>
                  <w:divBdr>
                    <w:top w:val="none" w:sz="0" w:space="0" w:color="auto"/>
                    <w:left w:val="none" w:sz="0" w:space="0" w:color="auto"/>
                    <w:bottom w:val="none" w:sz="0" w:space="0" w:color="auto"/>
                    <w:right w:val="none" w:sz="0" w:space="0" w:color="auto"/>
                  </w:divBdr>
                </w:div>
                <w:div w:id="1306620819">
                  <w:marLeft w:val="0"/>
                  <w:marRight w:val="0"/>
                  <w:marTop w:val="0"/>
                  <w:marBottom w:val="0"/>
                  <w:divBdr>
                    <w:top w:val="none" w:sz="0" w:space="0" w:color="auto"/>
                    <w:left w:val="none" w:sz="0" w:space="0" w:color="auto"/>
                    <w:bottom w:val="none" w:sz="0" w:space="0" w:color="auto"/>
                    <w:right w:val="none" w:sz="0" w:space="0" w:color="auto"/>
                  </w:divBdr>
                </w:div>
                <w:div w:id="1741319918">
                  <w:marLeft w:val="0"/>
                  <w:marRight w:val="0"/>
                  <w:marTop w:val="0"/>
                  <w:marBottom w:val="0"/>
                  <w:divBdr>
                    <w:top w:val="none" w:sz="0" w:space="0" w:color="auto"/>
                    <w:left w:val="none" w:sz="0" w:space="0" w:color="auto"/>
                    <w:bottom w:val="none" w:sz="0" w:space="0" w:color="auto"/>
                    <w:right w:val="none" w:sz="0" w:space="0" w:color="auto"/>
                  </w:divBdr>
                </w:div>
                <w:div w:id="1265765697">
                  <w:marLeft w:val="0"/>
                  <w:marRight w:val="0"/>
                  <w:marTop w:val="0"/>
                  <w:marBottom w:val="0"/>
                  <w:divBdr>
                    <w:top w:val="none" w:sz="0" w:space="0" w:color="auto"/>
                    <w:left w:val="none" w:sz="0" w:space="0" w:color="auto"/>
                    <w:bottom w:val="none" w:sz="0" w:space="0" w:color="auto"/>
                    <w:right w:val="none" w:sz="0" w:space="0" w:color="auto"/>
                  </w:divBdr>
                </w:div>
                <w:div w:id="15350888">
                  <w:marLeft w:val="0"/>
                  <w:marRight w:val="0"/>
                  <w:marTop w:val="0"/>
                  <w:marBottom w:val="0"/>
                  <w:divBdr>
                    <w:top w:val="none" w:sz="0" w:space="0" w:color="auto"/>
                    <w:left w:val="none" w:sz="0" w:space="0" w:color="auto"/>
                    <w:bottom w:val="none" w:sz="0" w:space="0" w:color="auto"/>
                    <w:right w:val="none" w:sz="0" w:space="0" w:color="auto"/>
                  </w:divBdr>
                </w:div>
                <w:div w:id="2139490919">
                  <w:marLeft w:val="0"/>
                  <w:marRight w:val="0"/>
                  <w:marTop w:val="0"/>
                  <w:marBottom w:val="0"/>
                  <w:divBdr>
                    <w:top w:val="none" w:sz="0" w:space="0" w:color="auto"/>
                    <w:left w:val="none" w:sz="0" w:space="0" w:color="auto"/>
                    <w:bottom w:val="none" w:sz="0" w:space="0" w:color="auto"/>
                    <w:right w:val="none" w:sz="0" w:space="0" w:color="auto"/>
                  </w:divBdr>
                </w:div>
                <w:div w:id="628363626">
                  <w:marLeft w:val="0"/>
                  <w:marRight w:val="0"/>
                  <w:marTop w:val="0"/>
                  <w:marBottom w:val="0"/>
                  <w:divBdr>
                    <w:top w:val="none" w:sz="0" w:space="0" w:color="auto"/>
                    <w:left w:val="none" w:sz="0" w:space="0" w:color="auto"/>
                    <w:bottom w:val="none" w:sz="0" w:space="0" w:color="auto"/>
                    <w:right w:val="none" w:sz="0" w:space="0" w:color="auto"/>
                  </w:divBdr>
                </w:div>
                <w:div w:id="659775428">
                  <w:marLeft w:val="0"/>
                  <w:marRight w:val="0"/>
                  <w:marTop w:val="0"/>
                  <w:marBottom w:val="0"/>
                  <w:divBdr>
                    <w:top w:val="none" w:sz="0" w:space="0" w:color="auto"/>
                    <w:left w:val="none" w:sz="0" w:space="0" w:color="auto"/>
                    <w:bottom w:val="none" w:sz="0" w:space="0" w:color="auto"/>
                    <w:right w:val="none" w:sz="0" w:space="0" w:color="auto"/>
                  </w:divBdr>
                </w:div>
                <w:div w:id="351029646">
                  <w:marLeft w:val="0"/>
                  <w:marRight w:val="0"/>
                  <w:marTop w:val="0"/>
                  <w:marBottom w:val="0"/>
                  <w:divBdr>
                    <w:top w:val="none" w:sz="0" w:space="0" w:color="auto"/>
                    <w:left w:val="none" w:sz="0" w:space="0" w:color="auto"/>
                    <w:bottom w:val="none" w:sz="0" w:space="0" w:color="auto"/>
                    <w:right w:val="none" w:sz="0" w:space="0" w:color="auto"/>
                  </w:divBdr>
                </w:div>
                <w:div w:id="1566717686">
                  <w:marLeft w:val="0"/>
                  <w:marRight w:val="0"/>
                  <w:marTop w:val="0"/>
                  <w:marBottom w:val="0"/>
                  <w:divBdr>
                    <w:top w:val="none" w:sz="0" w:space="0" w:color="auto"/>
                    <w:left w:val="none" w:sz="0" w:space="0" w:color="auto"/>
                    <w:bottom w:val="none" w:sz="0" w:space="0" w:color="auto"/>
                    <w:right w:val="none" w:sz="0" w:space="0" w:color="auto"/>
                  </w:divBdr>
                </w:div>
                <w:div w:id="383866953">
                  <w:marLeft w:val="0"/>
                  <w:marRight w:val="0"/>
                  <w:marTop w:val="0"/>
                  <w:marBottom w:val="0"/>
                  <w:divBdr>
                    <w:top w:val="none" w:sz="0" w:space="0" w:color="auto"/>
                    <w:left w:val="none" w:sz="0" w:space="0" w:color="auto"/>
                    <w:bottom w:val="none" w:sz="0" w:space="0" w:color="auto"/>
                    <w:right w:val="none" w:sz="0" w:space="0" w:color="auto"/>
                  </w:divBdr>
                </w:div>
                <w:div w:id="451216572">
                  <w:marLeft w:val="0"/>
                  <w:marRight w:val="0"/>
                  <w:marTop w:val="0"/>
                  <w:marBottom w:val="0"/>
                  <w:divBdr>
                    <w:top w:val="none" w:sz="0" w:space="0" w:color="auto"/>
                    <w:left w:val="none" w:sz="0" w:space="0" w:color="auto"/>
                    <w:bottom w:val="none" w:sz="0" w:space="0" w:color="auto"/>
                    <w:right w:val="none" w:sz="0" w:space="0" w:color="auto"/>
                  </w:divBdr>
                </w:div>
                <w:div w:id="811018446">
                  <w:marLeft w:val="0"/>
                  <w:marRight w:val="0"/>
                  <w:marTop w:val="0"/>
                  <w:marBottom w:val="0"/>
                  <w:divBdr>
                    <w:top w:val="none" w:sz="0" w:space="0" w:color="auto"/>
                    <w:left w:val="none" w:sz="0" w:space="0" w:color="auto"/>
                    <w:bottom w:val="none" w:sz="0" w:space="0" w:color="auto"/>
                    <w:right w:val="none" w:sz="0" w:space="0" w:color="auto"/>
                  </w:divBdr>
                </w:div>
                <w:div w:id="70978271">
                  <w:marLeft w:val="0"/>
                  <w:marRight w:val="0"/>
                  <w:marTop w:val="0"/>
                  <w:marBottom w:val="0"/>
                  <w:divBdr>
                    <w:top w:val="none" w:sz="0" w:space="0" w:color="auto"/>
                    <w:left w:val="none" w:sz="0" w:space="0" w:color="auto"/>
                    <w:bottom w:val="none" w:sz="0" w:space="0" w:color="auto"/>
                    <w:right w:val="none" w:sz="0" w:space="0" w:color="auto"/>
                  </w:divBdr>
                </w:div>
                <w:div w:id="433132668">
                  <w:marLeft w:val="0"/>
                  <w:marRight w:val="0"/>
                  <w:marTop w:val="0"/>
                  <w:marBottom w:val="0"/>
                  <w:divBdr>
                    <w:top w:val="none" w:sz="0" w:space="0" w:color="auto"/>
                    <w:left w:val="none" w:sz="0" w:space="0" w:color="auto"/>
                    <w:bottom w:val="none" w:sz="0" w:space="0" w:color="auto"/>
                    <w:right w:val="none" w:sz="0" w:space="0" w:color="auto"/>
                  </w:divBdr>
                </w:div>
                <w:div w:id="1616404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421174">
          <w:marLeft w:val="0"/>
          <w:marRight w:val="0"/>
          <w:marTop w:val="15"/>
          <w:marBottom w:val="0"/>
          <w:divBdr>
            <w:top w:val="none" w:sz="0" w:space="0" w:color="auto"/>
            <w:left w:val="none" w:sz="0" w:space="0" w:color="auto"/>
            <w:bottom w:val="none" w:sz="0" w:space="0" w:color="auto"/>
            <w:right w:val="none" w:sz="0" w:space="0" w:color="auto"/>
          </w:divBdr>
          <w:divsChild>
            <w:div w:id="1378629169">
              <w:marLeft w:val="0"/>
              <w:marRight w:val="0"/>
              <w:marTop w:val="0"/>
              <w:marBottom w:val="0"/>
              <w:divBdr>
                <w:top w:val="none" w:sz="0" w:space="0" w:color="auto"/>
                <w:left w:val="none" w:sz="0" w:space="0" w:color="auto"/>
                <w:bottom w:val="none" w:sz="0" w:space="0" w:color="auto"/>
                <w:right w:val="none" w:sz="0" w:space="0" w:color="auto"/>
              </w:divBdr>
              <w:divsChild>
                <w:div w:id="2027704512">
                  <w:marLeft w:val="0"/>
                  <w:marRight w:val="0"/>
                  <w:marTop w:val="0"/>
                  <w:marBottom w:val="0"/>
                  <w:divBdr>
                    <w:top w:val="none" w:sz="0" w:space="0" w:color="auto"/>
                    <w:left w:val="none" w:sz="0" w:space="0" w:color="auto"/>
                    <w:bottom w:val="none" w:sz="0" w:space="0" w:color="auto"/>
                    <w:right w:val="none" w:sz="0" w:space="0" w:color="auto"/>
                  </w:divBdr>
                </w:div>
                <w:div w:id="1664971891">
                  <w:marLeft w:val="0"/>
                  <w:marRight w:val="0"/>
                  <w:marTop w:val="0"/>
                  <w:marBottom w:val="0"/>
                  <w:divBdr>
                    <w:top w:val="none" w:sz="0" w:space="0" w:color="auto"/>
                    <w:left w:val="none" w:sz="0" w:space="0" w:color="auto"/>
                    <w:bottom w:val="none" w:sz="0" w:space="0" w:color="auto"/>
                    <w:right w:val="none" w:sz="0" w:space="0" w:color="auto"/>
                  </w:divBdr>
                </w:div>
                <w:div w:id="214699716">
                  <w:marLeft w:val="0"/>
                  <w:marRight w:val="0"/>
                  <w:marTop w:val="0"/>
                  <w:marBottom w:val="0"/>
                  <w:divBdr>
                    <w:top w:val="none" w:sz="0" w:space="0" w:color="auto"/>
                    <w:left w:val="none" w:sz="0" w:space="0" w:color="auto"/>
                    <w:bottom w:val="none" w:sz="0" w:space="0" w:color="auto"/>
                    <w:right w:val="none" w:sz="0" w:space="0" w:color="auto"/>
                  </w:divBdr>
                </w:div>
                <w:div w:id="2119257107">
                  <w:marLeft w:val="0"/>
                  <w:marRight w:val="0"/>
                  <w:marTop w:val="0"/>
                  <w:marBottom w:val="0"/>
                  <w:divBdr>
                    <w:top w:val="none" w:sz="0" w:space="0" w:color="auto"/>
                    <w:left w:val="none" w:sz="0" w:space="0" w:color="auto"/>
                    <w:bottom w:val="none" w:sz="0" w:space="0" w:color="auto"/>
                    <w:right w:val="none" w:sz="0" w:space="0" w:color="auto"/>
                  </w:divBdr>
                </w:div>
                <w:div w:id="291522786">
                  <w:marLeft w:val="0"/>
                  <w:marRight w:val="0"/>
                  <w:marTop w:val="0"/>
                  <w:marBottom w:val="0"/>
                  <w:divBdr>
                    <w:top w:val="none" w:sz="0" w:space="0" w:color="auto"/>
                    <w:left w:val="none" w:sz="0" w:space="0" w:color="auto"/>
                    <w:bottom w:val="none" w:sz="0" w:space="0" w:color="auto"/>
                    <w:right w:val="none" w:sz="0" w:space="0" w:color="auto"/>
                  </w:divBdr>
                </w:div>
                <w:div w:id="879710176">
                  <w:marLeft w:val="0"/>
                  <w:marRight w:val="0"/>
                  <w:marTop w:val="0"/>
                  <w:marBottom w:val="0"/>
                  <w:divBdr>
                    <w:top w:val="none" w:sz="0" w:space="0" w:color="auto"/>
                    <w:left w:val="none" w:sz="0" w:space="0" w:color="auto"/>
                    <w:bottom w:val="none" w:sz="0" w:space="0" w:color="auto"/>
                    <w:right w:val="none" w:sz="0" w:space="0" w:color="auto"/>
                  </w:divBdr>
                </w:div>
                <w:div w:id="1766851062">
                  <w:marLeft w:val="0"/>
                  <w:marRight w:val="0"/>
                  <w:marTop w:val="0"/>
                  <w:marBottom w:val="0"/>
                  <w:divBdr>
                    <w:top w:val="none" w:sz="0" w:space="0" w:color="auto"/>
                    <w:left w:val="none" w:sz="0" w:space="0" w:color="auto"/>
                    <w:bottom w:val="none" w:sz="0" w:space="0" w:color="auto"/>
                    <w:right w:val="none" w:sz="0" w:space="0" w:color="auto"/>
                  </w:divBdr>
                </w:div>
                <w:div w:id="803162465">
                  <w:marLeft w:val="0"/>
                  <w:marRight w:val="0"/>
                  <w:marTop w:val="0"/>
                  <w:marBottom w:val="0"/>
                  <w:divBdr>
                    <w:top w:val="none" w:sz="0" w:space="0" w:color="auto"/>
                    <w:left w:val="none" w:sz="0" w:space="0" w:color="auto"/>
                    <w:bottom w:val="none" w:sz="0" w:space="0" w:color="auto"/>
                    <w:right w:val="none" w:sz="0" w:space="0" w:color="auto"/>
                  </w:divBdr>
                </w:div>
                <w:div w:id="986134310">
                  <w:marLeft w:val="0"/>
                  <w:marRight w:val="0"/>
                  <w:marTop w:val="0"/>
                  <w:marBottom w:val="0"/>
                  <w:divBdr>
                    <w:top w:val="none" w:sz="0" w:space="0" w:color="auto"/>
                    <w:left w:val="none" w:sz="0" w:space="0" w:color="auto"/>
                    <w:bottom w:val="none" w:sz="0" w:space="0" w:color="auto"/>
                    <w:right w:val="none" w:sz="0" w:space="0" w:color="auto"/>
                  </w:divBdr>
                </w:div>
                <w:div w:id="1170800709">
                  <w:marLeft w:val="0"/>
                  <w:marRight w:val="0"/>
                  <w:marTop w:val="0"/>
                  <w:marBottom w:val="0"/>
                  <w:divBdr>
                    <w:top w:val="none" w:sz="0" w:space="0" w:color="auto"/>
                    <w:left w:val="none" w:sz="0" w:space="0" w:color="auto"/>
                    <w:bottom w:val="none" w:sz="0" w:space="0" w:color="auto"/>
                    <w:right w:val="none" w:sz="0" w:space="0" w:color="auto"/>
                  </w:divBdr>
                </w:div>
                <w:div w:id="1832063556">
                  <w:marLeft w:val="0"/>
                  <w:marRight w:val="0"/>
                  <w:marTop w:val="0"/>
                  <w:marBottom w:val="0"/>
                  <w:divBdr>
                    <w:top w:val="none" w:sz="0" w:space="0" w:color="auto"/>
                    <w:left w:val="none" w:sz="0" w:space="0" w:color="auto"/>
                    <w:bottom w:val="none" w:sz="0" w:space="0" w:color="auto"/>
                    <w:right w:val="none" w:sz="0" w:space="0" w:color="auto"/>
                  </w:divBdr>
                </w:div>
                <w:div w:id="1226650038">
                  <w:marLeft w:val="0"/>
                  <w:marRight w:val="0"/>
                  <w:marTop w:val="0"/>
                  <w:marBottom w:val="0"/>
                  <w:divBdr>
                    <w:top w:val="none" w:sz="0" w:space="0" w:color="auto"/>
                    <w:left w:val="none" w:sz="0" w:space="0" w:color="auto"/>
                    <w:bottom w:val="none" w:sz="0" w:space="0" w:color="auto"/>
                    <w:right w:val="none" w:sz="0" w:space="0" w:color="auto"/>
                  </w:divBdr>
                </w:div>
                <w:div w:id="525876230">
                  <w:marLeft w:val="0"/>
                  <w:marRight w:val="0"/>
                  <w:marTop w:val="0"/>
                  <w:marBottom w:val="0"/>
                  <w:divBdr>
                    <w:top w:val="none" w:sz="0" w:space="0" w:color="auto"/>
                    <w:left w:val="none" w:sz="0" w:space="0" w:color="auto"/>
                    <w:bottom w:val="none" w:sz="0" w:space="0" w:color="auto"/>
                    <w:right w:val="none" w:sz="0" w:space="0" w:color="auto"/>
                  </w:divBdr>
                </w:div>
                <w:div w:id="1099638795">
                  <w:marLeft w:val="0"/>
                  <w:marRight w:val="0"/>
                  <w:marTop w:val="0"/>
                  <w:marBottom w:val="0"/>
                  <w:divBdr>
                    <w:top w:val="none" w:sz="0" w:space="0" w:color="auto"/>
                    <w:left w:val="none" w:sz="0" w:space="0" w:color="auto"/>
                    <w:bottom w:val="none" w:sz="0" w:space="0" w:color="auto"/>
                    <w:right w:val="none" w:sz="0" w:space="0" w:color="auto"/>
                  </w:divBdr>
                </w:div>
                <w:div w:id="1420982549">
                  <w:marLeft w:val="0"/>
                  <w:marRight w:val="0"/>
                  <w:marTop w:val="0"/>
                  <w:marBottom w:val="0"/>
                  <w:divBdr>
                    <w:top w:val="none" w:sz="0" w:space="0" w:color="auto"/>
                    <w:left w:val="none" w:sz="0" w:space="0" w:color="auto"/>
                    <w:bottom w:val="none" w:sz="0" w:space="0" w:color="auto"/>
                    <w:right w:val="none" w:sz="0" w:space="0" w:color="auto"/>
                  </w:divBdr>
                </w:div>
                <w:div w:id="999501497">
                  <w:marLeft w:val="0"/>
                  <w:marRight w:val="0"/>
                  <w:marTop w:val="0"/>
                  <w:marBottom w:val="0"/>
                  <w:divBdr>
                    <w:top w:val="none" w:sz="0" w:space="0" w:color="auto"/>
                    <w:left w:val="none" w:sz="0" w:space="0" w:color="auto"/>
                    <w:bottom w:val="none" w:sz="0" w:space="0" w:color="auto"/>
                    <w:right w:val="none" w:sz="0" w:space="0" w:color="auto"/>
                  </w:divBdr>
                </w:div>
                <w:div w:id="184560430">
                  <w:marLeft w:val="0"/>
                  <w:marRight w:val="0"/>
                  <w:marTop w:val="0"/>
                  <w:marBottom w:val="0"/>
                  <w:divBdr>
                    <w:top w:val="none" w:sz="0" w:space="0" w:color="auto"/>
                    <w:left w:val="none" w:sz="0" w:space="0" w:color="auto"/>
                    <w:bottom w:val="none" w:sz="0" w:space="0" w:color="auto"/>
                    <w:right w:val="none" w:sz="0" w:space="0" w:color="auto"/>
                  </w:divBdr>
                </w:div>
                <w:div w:id="695009668">
                  <w:marLeft w:val="0"/>
                  <w:marRight w:val="0"/>
                  <w:marTop w:val="0"/>
                  <w:marBottom w:val="0"/>
                  <w:divBdr>
                    <w:top w:val="none" w:sz="0" w:space="0" w:color="auto"/>
                    <w:left w:val="none" w:sz="0" w:space="0" w:color="auto"/>
                    <w:bottom w:val="none" w:sz="0" w:space="0" w:color="auto"/>
                    <w:right w:val="none" w:sz="0" w:space="0" w:color="auto"/>
                  </w:divBdr>
                </w:div>
                <w:div w:id="943153755">
                  <w:marLeft w:val="0"/>
                  <w:marRight w:val="0"/>
                  <w:marTop w:val="0"/>
                  <w:marBottom w:val="0"/>
                  <w:divBdr>
                    <w:top w:val="none" w:sz="0" w:space="0" w:color="auto"/>
                    <w:left w:val="none" w:sz="0" w:space="0" w:color="auto"/>
                    <w:bottom w:val="none" w:sz="0" w:space="0" w:color="auto"/>
                    <w:right w:val="none" w:sz="0" w:space="0" w:color="auto"/>
                  </w:divBdr>
                </w:div>
                <w:div w:id="1416046749">
                  <w:marLeft w:val="0"/>
                  <w:marRight w:val="0"/>
                  <w:marTop w:val="0"/>
                  <w:marBottom w:val="0"/>
                  <w:divBdr>
                    <w:top w:val="none" w:sz="0" w:space="0" w:color="auto"/>
                    <w:left w:val="none" w:sz="0" w:space="0" w:color="auto"/>
                    <w:bottom w:val="none" w:sz="0" w:space="0" w:color="auto"/>
                    <w:right w:val="none" w:sz="0" w:space="0" w:color="auto"/>
                  </w:divBdr>
                </w:div>
                <w:div w:id="645668171">
                  <w:marLeft w:val="0"/>
                  <w:marRight w:val="0"/>
                  <w:marTop w:val="0"/>
                  <w:marBottom w:val="0"/>
                  <w:divBdr>
                    <w:top w:val="none" w:sz="0" w:space="0" w:color="auto"/>
                    <w:left w:val="none" w:sz="0" w:space="0" w:color="auto"/>
                    <w:bottom w:val="none" w:sz="0" w:space="0" w:color="auto"/>
                    <w:right w:val="none" w:sz="0" w:space="0" w:color="auto"/>
                  </w:divBdr>
                </w:div>
                <w:div w:id="1521043030">
                  <w:marLeft w:val="0"/>
                  <w:marRight w:val="0"/>
                  <w:marTop w:val="0"/>
                  <w:marBottom w:val="0"/>
                  <w:divBdr>
                    <w:top w:val="none" w:sz="0" w:space="0" w:color="auto"/>
                    <w:left w:val="none" w:sz="0" w:space="0" w:color="auto"/>
                    <w:bottom w:val="none" w:sz="0" w:space="0" w:color="auto"/>
                    <w:right w:val="none" w:sz="0" w:space="0" w:color="auto"/>
                  </w:divBdr>
                </w:div>
                <w:div w:id="2057582535">
                  <w:marLeft w:val="0"/>
                  <w:marRight w:val="0"/>
                  <w:marTop w:val="0"/>
                  <w:marBottom w:val="0"/>
                  <w:divBdr>
                    <w:top w:val="none" w:sz="0" w:space="0" w:color="auto"/>
                    <w:left w:val="none" w:sz="0" w:space="0" w:color="auto"/>
                    <w:bottom w:val="none" w:sz="0" w:space="0" w:color="auto"/>
                    <w:right w:val="none" w:sz="0" w:space="0" w:color="auto"/>
                  </w:divBdr>
                </w:div>
                <w:div w:id="1944150375">
                  <w:marLeft w:val="0"/>
                  <w:marRight w:val="0"/>
                  <w:marTop w:val="0"/>
                  <w:marBottom w:val="0"/>
                  <w:divBdr>
                    <w:top w:val="none" w:sz="0" w:space="0" w:color="auto"/>
                    <w:left w:val="none" w:sz="0" w:space="0" w:color="auto"/>
                    <w:bottom w:val="none" w:sz="0" w:space="0" w:color="auto"/>
                    <w:right w:val="none" w:sz="0" w:space="0" w:color="auto"/>
                  </w:divBdr>
                </w:div>
                <w:div w:id="1216236534">
                  <w:marLeft w:val="0"/>
                  <w:marRight w:val="0"/>
                  <w:marTop w:val="0"/>
                  <w:marBottom w:val="0"/>
                  <w:divBdr>
                    <w:top w:val="none" w:sz="0" w:space="0" w:color="auto"/>
                    <w:left w:val="none" w:sz="0" w:space="0" w:color="auto"/>
                    <w:bottom w:val="none" w:sz="0" w:space="0" w:color="auto"/>
                    <w:right w:val="none" w:sz="0" w:space="0" w:color="auto"/>
                  </w:divBdr>
                </w:div>
                <w:div w:id="698898344">
                  <w:marLeft w:val="0"/>
                  <w:marRight w:val="0"/>
                  <w:marTop w:val="0"/>
                  <w:marBottom w:val="0"/>
                  <w:divBdr>
                    <w:top w:val="none" w:sz="0" w:space="0" w:color="auto"/>
                    <w:left w:val="none" w:sz="0" w:space="0" w:color="auto"/>
                    <w:bottom w:val="none" w:sz="0" w:space="0" w:color="auto"/>
                    <w:right w:val="none" w:sz="0" w:space="0" w:color="auto"/>
                  </w:divBdr>
                </w:div>
                <w:div w:id="1745253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049970">
          <w:marLeft w:val="0"/>
          <w:marRight w:val="0"/>
          <w:marTop w:val="15"/>
          <w:marBottom w:val="0"/>
          <w:divBdr>
            <w:top w:val="none" w:sz="0" w:space="0" w:color="auto"/>
            <w:left w:val="none" w:sz="0" w:space="0" w:color="auto"/>
            <w:bottom w:val="none" w:sz="0" w:space="0" w:color="auto"/>
            <w:right w:val="none" w:sz="0" w:space="0" w:color="auto"/>
          </w:divBdr>
          <w:divsChild>
            <w:div w:id="95178880">
              <w:marLeft w:val="0"/>
              <w:marRight w:val="0"/>
              <w:marTop w:val="0"/>
              <w:marBottom w:val="0"/>
              <w:divBdr>
                <w:top w:val="none" w:sz="0" w:space="0" w:color="auto"/>
                <w:left w:val="none" w:sz="0" w:space="0" w:color="auto"/>
                <w:bottom w:val="none" w:sz="0" w:space="0" w:color="auto"/>
                <w:right w:val="none" w:sz="0" w:space="0" w:color="auto"/>
              </w:divBdr>
              <w:divsChild>
                <w:div w:id="1879319389">
                  <w:marLeft w:val="0"/>
                  <w:marRight w:val="0"/>
                  <w:marTop w:val="0"/>
                  <w:marBottom w:val="0"/>
                  <w:divBdr>
                    <w:top w:val="none" w:sz="0" w:space="0" w:color="auto"/>
                    <w:left w:val="none" w:sz="0" w:space="0" w:color="auto"/>
                    <w:bottom w:val="none" w:sz="0" w:space="0" w:color="auto"/>
                    <w:right w:val="none" w:sz="0" w:space="0" w:color="auto"/>
                  </w:divBdr>
                </w:div>
                <w:div w:id="968121625">
                  <w:marLeft w:val="0"/>
                  <w:marRight w:val="0"/>
                  <w:marTop w:val="0"/>
                  <w:marBottom w:val="0"/>
                  <w:divBdr>
                    <w:top w:val="none" w:sz="0" w:space="0" w:color="auto"/>
                    <w:left w:val="none" w:sz="0" w:space="0" w:color="auto"/>
                    <w:bottom w:val="none" w:sz="0" w:space="0" w:color="auto"/>
                    <w:right w:val="none" w:sz="0" w:space="0" w:color="auto"/>
                  </w:divBdr>
                </w:div>
                <w:div w:id="589894860">
                  <w:marLeft w:val="0"/>
                  <w:marRight w:val="0"/>
                  <w:marTop w:val="0"/>
                  <w:marBottom w:val="0"/>
                  <w:divBdr>
                    <w:top w:val="none" w:sz="0" w:space="0" w:color="auto"/>
                    <w:left w:val="none" w:sz="0" w:space="0" w:color="auto"/>
                    <w:bottom w:val="none" w:sz="0" w:space="0" w:color="auto"/>
                    <w:right w:val="none" w:sz="0" w:space="0" w:color="auto"/>
                  </w:divBdr>
                </w:div>
                <w:div w:id="1697580529">
                  <w:marLeft w:val="0"/>
                  <w:marRight w:val="0"/>
                  <w:marTop w:val="0"/>
                  <w:marBottom w:val="0"/>
                  <w:divBdr>
                    <w:top w:val="none" w:sz="0" w:space="0" w:color="auto"/>
                    <w:left w:val="none" w:sz="0" w:space="0" w:color="auto"/>
                    <w:bottom w:val="none" w:sz="0" w:space="0" w:color="auto"/>
                    <w:right w:val="none" w:sz="0" w:space="0" w:color="auto"/>
                  </w:divBdr>
                </w:div>
                <w:div w:id="2088569277">
                  <w:marLeft w:val="0"/>
                  <w:marRight w:val="0"/>
                  <w:marTop w:val="0"/>
                  <w:marBottom w:val="0"/>
                  <w:divBdr>
                    <w:top w:val="none" w:sz="0" w:space="0" w:color="auto"/>
                    <w:left w:val="none" w:sz="0" w:space="0" w:color="auto"/>
                    <w:bottom w:val="none" w:sz="0" w:space="0" w:color="auto"/>
                    <w:right w:val="none" w:sz="0" w:space="0" w:color="auto"/>
                  </w:divBdr>
                </w:div>
                <w:div w:id="858474209">
                  <w:marLeft w:val="0"/>
                  <w:marRight w:val="0"/>
                  <w:marTop w:val="0"/>
                  <w:marBottom w:val="0"/>
                  <w:divBdr>
                    <w:top w:val="none" w:sz="0" w:space="0" w:color="auto"/>
                    <w:left w:val="none" w:sz="0" w:space="0" w:color="auto"/>
                    <w:bottom w:val="none" w:sz="0" w:space="0" w:color="auto"/>
                    <w:right w:val="none" w:sz="0" w:space="0" w:color="auto"/>
                  </w:divBdr>
                </w:div>
                <w:div w:id="1001737240">
                  <w:marLeft w:val="0"/>
                  <w:marRight w:val="0"/>
                  <w:marTop w:val="0"/>
                  <w:marBottom w:val="0"/>
                  <w:divBdr>
                    <w:top w:val="none" w:sz="0" w:space="0" w:color="auto"/>
                    <w:left w:val="none" w:sz="0" w:space="0" w:color="auto"/>
                    <w:bottom w:val="none" w:sz="0" w:space="0" w:color="auto"/>
                    <w:right w:val="none" w:sz="0" w:space="0" w:color="auto"/>
                  </w:divBdr>
                </w:div>
                <w:div w:id="1235356770">
                  <w:marLeft w:val="0"/>
                  <w:marRight w:val="0"/>
                  <w:marTop w:val="0"/>
                  <w:marBottom w:val="0"/>
                  <w:divBdr>
                    <w:top w:val="none" w:sz="0" w:space="0" w:color="auto"/>
                    <w:left w:val="none" w:sz="0" w:space="0" w:color="auto"/>
                    <w:bottom w:val="none" w:sz="0" w:space="0" w:color="auto"/>
                    <w:right w:val="none" w:sz="0" w:space="0" w:color="auto"/>
                  </w:divBdr>
                </w:div>
                <w:div w:id="304354092">
                  <w:marLeft w:val="0"/>
                  <w:marRight w:val="0"/>
                  <w:marTop w:val="0"/>
                  <w:marBottom w:val="0"/>
                  <w:divBdr>
                    <w:top w:val="none" w:sz="0" w:space="0" w:color="auto"/>
                    <w:left w:val="none" w:sz="0" w:space="0" w:color="auto"/>
                    <w:bottom w:val="none" w:sz="0" w:space="0" w:color="auto"/>
                    <w:right w:val="none" w:sz="0" w:space="0" w:color="auto"/>
                  </w:divBdr>
                </w:div>
                <w:div w:id="2041977291">
                  <w:marLeft w:val="0"/>
                  <w:marRight w:val="0"/>
                  <w:marTop w:val="0"/>
                  <w:marBottom w:val="0"/>
                  <w:divBdr>
                    <w:top w:val="none" w:sz="0" w:space="0" w:color="auto"/>
                    <w:left w:val="none" w:sz="0" w:space="0" w:color="auto"/>
                    <w:bottom w:val="none" w:sz="0" w:space="0" w:color="auto"/>
                    <w:right w:val="none" w:sz="0" w:space="0" w:color="auto"/>
                  </w:divBdr>
                </w:div>
                <w:div w:id="261423887">
                  <w:marLeft w:val="0"/>
                  <w:marRight w:val="0"/>
                  <w:marTop w:val="0"/>
                  <w:marBottom w:val="0"/>
                  <w:divBdr>
                    <w:top w:val="none" w:sz="0" w:space="0" w:color="auto"/>
                    <w:left w:val="none" w:sz="0" w:space="0" w:color="auto"/>
                    <w:bottom w:val="none" w:sz="0" w:space="0" w:color="auto"/>
                    <w:right w:val="none" w:sz="0" w:space="0" w:color="auto"/>
                  </w:divBdr>
                </w:div>
                <w:div w:id="1467233105">
                  <w:marLeft w:val="0"/>
                  <w:marRight w:val="0"/>
                  <w:marTop w:val="0"/>
                  <w:marBottom w:val="0"/>
                  <w:divBdr>
                    <w:top w:val="none" w:sz="0" w:space="0" w:color="auto"/>
                    <w:left w:val="none" w:sz="0" w:space="0" w:color="auto"/>
                    <w:bottom w:val="none" w:sz="0" w:space="0" w:color="auto"/>
                    <w:right w:val="none" w:sz="0" w:space="0" w:color="auto"/>
                  </w:divBdr>
                </w:div>
                <w:div w:id="1216619303">
                  <w:marLeft w:val="0"/>
                  <w:marRight w:val="0"/>
                  <w:marTop w:val="0"/>
                  <w:marBottom w:val="0"/>
                  <w:divBdr>
                    <w:top w:val="none" w:sz="0" w:space="0" w:color="auto"/>
                    <w:left w:val="none" w:sz="0" w:space="0" w:color="auto"/>
                    <w:bottom w:val="none" w:sz="0" w:space="0" w:color="auto"/>
                    <w:right w:val="none" w:sz="0" w:space="0" w:color="auto"/>
                  </w:divBdr>
                </w:div>
                <w:div w:id="596987591">
                  <w:marLeft w:val="0"/>
                  <w:marRight w:val="0"/>
                  <w:marTop w:val="0"/>
                  <w:marBottom w:val="0"/>
                  <w:divBdr>
                    <w:top w:val="none" w:sz="0" w:space="0" w:color="auto"/>
                    <w:left w:val="none" w:sz="0" w:space="0" w:color="auto"/>
                    <w:bottom w:val="none" w:sz="0" w:space="0" w:color="auto"/>
                    <w:right w:val="none" w:sz="0" w:space="0" w:color="auto"/>
                  </w:divBdr>
                </w:div>
                <w:div w:id="1211768635">
                  <w:marLeft w:val="0"/>
                  <w:marRight w:val="0"/>
                  <w:marTop w:val="0"/>
                  <w:marBottom w:val="0"/>
                  <w:divBdr>
                    <w:top w:val="none" w:sz="0" w:space="0" w:color="auto"/>
                    <w:left w:val="none" w:sz="0" w:space="0" w:color="auto"/>
                    <w:bottom w:val="none" w:sz="0" w:space="0" w:color="auto"/>
                    <w:right w:val="none" w:sz="0" w:space="0" w:color="auto"/>
                  </w:divBdr>
                </w:div>
                <w:div w:id="771316776">
                  <w:marLeft w:val="0"/>
                  <w:marRight w:val="0"/>
                  <w:marTop w:val="0"/>
                  <w:marBottom w:val="0"/>
                  <w:divBdr>
                    <w:top w:val="none" w:sz="0" w:space="0" w:color="auto"/>
                    <w:left w:val="none" w:sz="0" w:space="0" w:color="auto"/>
                    <w:bottom w:val="none" w:sz="0" w:space="0" w:color="auto"/>
                    <w:right w:val="none" w:sz="0" w:space="0" w:color="auto"/>
                  </w:divBdr>
                </w:div>
                <w:div w:id="101926158">
                  <w:marLeft w:val="0"/>
                  <w:marRight w:val="0"/>
                  <w:marTop w:val="0"/>
                  <w:marBottom w:val="0"/>
                  <w:divBdr>
                    <w:top w:val="none" w:sz="0" w:space="0" w:color="auto"/>
                    <w:left w:val="none" w:sz="0" w:space="0" w:color="auto"/>
                    <w:bottom w:val="none" w:sz="0" w:space="0" w:color="auto"/>
                    <w:right w:val="none" w:sz="0" w:space="0" w:color="auto"/>
                  </w:divBdr>
                </w:div>
                <w:div w:id="956059191">
                  <w:marLeft w:val="0"/>
                  <w:marRight w:val="0"/>
                  <w:marTop w:val="0"/>
                  <w:marBottom w:val="0"/>
                  <w:divBdr>
                    <w:top w:val="none" w:sz="0" w:space="0" w:color="auto"/>
                    <w:left w:val="none" w:sz="0" w:space="0" w:color="auto"/>
                    <w:bottom w:val="none" w:sz="0" w:space="0" w:color="auto"/>
                    <w:right w:val="none" w:sz="0" w:space="0" w:color="auto"/>
                  </w:divBdr>
                </w:div>
                <w:div w:id="786898676">
                  <w:marLeft w:val="0"/>
                  <w:marRight w:val="0"/>
                  <w:marTop w:val="0"/>
                  <w:marBottom w:val="0"/>
                  <w:divBdr>
                    <w:top w:val="none" w:sz="0" w:space="0" w:color="auto"/>
                    <w:left w:val="none" w:sz="0" w:space="0" w:color="auto"/>
                    <w:bottom w:val="none" w:sz="0" w:space="0" w:color="auto"/>
                    <w:right w:val="none" w:sz="0" w:space="0" w:color="auto"/>
                  </w:divBdr>
                </w:div>
                <w:div w:id="320541821">
                  <w:marLeft w:val="0"/>
                  <w:marRight w:val="0"/>
                  <w:marTop w:val="0"/>
                  <w:marBottom w:val="0"/>
                  <w:divBdr>
                    <w:top w:val="none" w:sz="0" w:space="0" w:color="auto"/>
                    <w:left w:val="none" w:sz="0" w:space="0" w:color="auto"/>
                    <w:bottom w:val="none" w:sz="0" w:space="0" w:color="auto"/>
                    <w:right w:val="none" w:sz="0" w:space="0" w:color="auto"/>
                  </w:divBdr>
                </w:div>
                <w:div w:id="366293814">
                  <w:marLeft w:val="0"/>
                  <w:marRight w:val="0"/>
                  <w:marTop w:val="0"/>
                  <w:marBottom w:val="0"/>
                  <w:divBdr>
                    <w:top w:val="none" w:sz="0" w:space="0" w:color="auto"/>
                    <w:left w:val="none" w:sz="0" w:space="0" w:color="auto"/>
                    <w:bottom w:val="none" w:sz="0" w:space="0" w:color="auto"/>
                    <w:right w:val="none" w:sz="0" w:space="0" w:color="auto"/>
                  </w:divBdr>
                </w:div>
                <w:div w:id="653609563">
                  <w:marLeft w:val="0"/>
                  <w:marRight w:val="0"/>
                  <w:marTop w:val="0"/>
                  <w:marBottom w:val="0"/>
                  <w:divBdr>
                    <w:top w:val="none" w:sz="0" w:space="0" w:color="auto"/>
                    <w:left w:val="none" w:sz="0" w:space="0" w:color="auto"/>
                    <w:bottom w:val="none" w:sz="0" w:space="0" w:color="auto"/>
                    <w:right w:val="none" w:sz="0" w:space="0" w:color="auto"/>
                  </w:divBdr>
                </w:div>
                <w:div w:id="604535358">
                  <w:marLeft w:val="0"/>
                  <w:marRight w:val="0"/>
                  <w:marTop w:val="0"/>
                  <w:marBottom w:val="0"/>
                  <w:divBdr>
                    <w:top w:val="none" w:sz="0" w:space="0" w:color="auto"/>
                    <w:left w:val="none" w:sz="0" w:space="0" w:color="auto"/>
                    <w:bottom w:val="none" w:sz="0" w:space="0" w:color="auto"/>
                    <w:right w:val="none" w:sz="0" w:space="0" w:color="auto"/>
                  </w:divBdr>
                </w:div>
                <w:div w:id="1090589978">
                  <w:marLeft w:val="0"/>
                  <w:marRight w:val="0"/>
                  <w:marTop w:val="0"/>
                  <w:marBottom w:val="0"/>
                  <w:divBdr>
                    <w:top w:val="none" w:sz="0" w:space="0" w:color="auto"/>
                    <w:left w:val="none" w:sz="0" w:space="0" w:color="auto"/>
                    <w:bottom w:val="none" w:sz="0" w:space="0" w:color="auto"/>
                    <w:right w:val="none" w:sz="0" w:space="0" w:color="auto"/>
                  </w:divBdr>
                </w:div>
                <w:div w:id="545685148">
                  <w:marLeft w:val="0"/>
                  <w:marRight w:val="0"/>
                  <w:marTop w:val="0"/>
                  <w:marBottom w:val="0"/>
                  <w:divBdr>
                    <w:top w:val="none" w:sz="0" w:space="0" w:color="auto"/>
                    <w:left w:val="none" w:sz="0" w:space="0" w:color="auto"/>
                    <w:bottom w:val="none" w:sz="0" w:space="0" w:color="auto"/>
                    <w:right w:val="none" w:sz="0" w:space="0" w:color="auto"/>
                  </w:divBdr>
                </w:div>
                <w:div w:id="1361012444">
                  <w:marLeft w:val="0"/>
                  <w:marRight w:val="0"/>
                  <w:marTop w:val="0"/>
                  <w:marBottom w:val="0"/>
                  <w:divBdr>
                    <w:top w:val="none" w:sz="0" w:space="0" w:color="auto"/>
                    <w:left w:val="none" w:sz="0" w:space="0" w:color="auto"/>
                    <w:bottom w:val="none" w:sz="0" w:space="0" w:color="auto"/>
                    <w:right w:val="none" w:sz="0" w:space="0" w:color="auto"/>
                  </w:divBdr>
                </w:div>
                <w:div w:id="56939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175546">
          <w:marLeft w:val="0"/>
          <w:marRight w:val="0"/>
          <w:marTop w:val="15"/>
          <w:marBottom w:val="0"/>
          <w:divBdr>
            <w:top w:val="none" w:sz="0" w:space="0" w:color="auto"/>
            <w:left w:val="none" w:sz="0" w:space="0" w:color="auto"/>
            <w:bottom w:val="none" w:sz="0" w:space="0" w:color="auto"/>
            <w:right w:val="none" w:sz="0" w:space="0" w:color="auto"/>
          </w:divBdr>
          <w:divsChild>
            <w:div w:id="1978367330">
              <w:marLeft w:val="0"/>
              <w:marRight w:val="0"/>
              <w:marTop w:val="0"/>
              <w:marBottom w:val="0"/>
              <w:divBdr>
                <w:top w:val="none" w:sz="0" w:space="0" w:color="auto"/>
                <w:left w:val="none" w:sz="0" w:space="0" w:color="auto"/>
                <w:bottom w:val="none" w:sz="0" w:space="0" w:color="auto"/>
                <w:right w:val="none" w:sz="0" w:space="0" w:color="auto"/>
              </w:divBdr>
              <w:divsChild>
                <w:div w:id="1648048802">
                  <w:marLeft w:val="0"/>
                  <w:marRight w:val="0"/>
                  <w:marTop w:val="0"/>
                  <w:marBottom w:val="0"/>
                  <w:divBdr>
                    <w:top w:val="none" w:sz="0" w:space="0" w:color="auto"/>
                    <w:left w:val="none" w:sz="0" w:space="0" w:color="auto"/>
                    <w:bottom w:val="none" w:sz="0" w:space="0" w:color="auto"/>
                    <w:right w:val="none" w:sz="0" w:space="0" w:color="auto"/>
                  </w:divBdr>
                </w:div>
                <w:div w:id="1770200312">
                  <w:marLeft w:val="0"/>
                  <w:marRight w:val="0"/>
                  <w:marTop w:val="0"/>
                  <w:marBottom w:val="0"/>
                  <w:divBdr>
                    <w:top w:val="none" w:sz="0" w:space="0" w:color="auto"/>
                    <w:left w:val="none" w:sz="0" w:space="0" w:color="auto"/>
                    <w:bottom w:val="none" w:sz="0" w:space="0" w:color="auto"/>
                    <w:right w:val="none" w:sz="0" w:space="0" w:color="auto"/>
                  </w:divBdr>
                </w:div>
                <w:div w:id="1635135052">
                  <w:marLeft w:val="0"/>
                  <w:marRight w:val="0"/>
                  <w:marTop w:val="0"/>
                  <w:marBottom w:val="0"/>
                  <w:divBdr>
                    <w:top w:val="none" w:sz="0" w:space="0" w:color="auto"/>
                    <w:left w:val="none" w:sz="0" w:space="0" w:color="auto"/>
                    <w:bottom w:val="none" w:sz="0" w:space="0" w:color="auto"/>
                    <w:right w:val="none" w:sz="0" w:space="0" w:color="auto"/>
                  </w:divBdr>
                </w:div>
                <w:div w:id="859274877">
                  <w:marLeft w:val="0"/>
                  <w:marRight w:val="0"/>
                  <w:marTop w:val="0"/>
                  <w:marBottom w:val="0"/>
                  <w:divBdr>
                    <w:top w:val="none" w:sz="0" w:space="0" w:color="auto"/>
                    <w:left w:val="none" w:sz="0" w:space="0" w:color="auto"/>
                    <w:bottom w:val="none" w:sz="0" w:space="0" w:color="auto"/>
                    <w:right w:val="none" w:sz="0" w:space="0" w:color="auto"/>
                  </w:divBdr>
                </w:div>
                <w:div w:id="1031420194">
                  <w:marLeft w:val="0"/>
                  <w:marRight w:val="0"/>
                  <w:marTop w:val="0"/>
                  <w:marBottom w:val="0"/>
                  <w:divBdr>
                    <w:top w:val="none" w:sz="0" w:space="0" w:color="auto"/>
                    <w:left w:val="none" w:sz="0" w:space="0" w:color="auto"/>
                    <w:bottom w:val="none" w:sz="0" w:space="0" w:color="auto"/>
                    <w:right w:val="none" w:sz="0" w:space="0" w:color="auto"/>
                  </w:divBdr>
                </w:div>
                <w:div w:id="1903980022">
                  <w:marLeft w:val="0"/>
                  <w:marRight w:val="0"/>
                  <w:marTop w:val="0"/>
                  <w:marBottom w:val="0"/>
                  <w:divBdr>
                    <w:top w:val="none" w:sz="0" w:space="0" w:color="auto"/>
                    <w:left w:val="none" w:sz="0" w:space="0" w:color="auto"/>
                    <w:bottom w:val="none" w:sz="0" w:space="0" w:color="auto"/>
                    <w:right w:val="none" w:sz="0" w:space="0" w:color="auto"/>
                  </w:divBdr>
                </w:div>
                <w:div w:id="517695247">
                  <w:marLeft w:val="0"/>
                  <w:marRight w:val="0"/>
                  <w:marTop w:val="0"/>
                  <w:marBottom w:val="0"/>
                  <w:divBdr>
                    <w:top w:val="none" w:sz="0" w:space="0" w:color="auto"/>
                    <w:left w:val="none" w:sz="0" w:space="0" w:color="auto"/>
                    <w:bottom w:val="none" w:sz="0" w:space="0" w:color="auto"/>
                    <w:right w:val="none" w:sz="0" w:space="0" w:color="auto"/>
                  </w:divBdr>
                </w:div>
                <w:div w:id="1660965699">
                  <w:marLeft w:val="0"/>
                  <w:marRight w:val="0"/>
                  <w:marTop w:val="0"/>
                  <w:marBottom w:val="0"/>
                  <w:divBdr>
                    <w:top w:val="none" w:sz="0" w:space="0" w:color="auto"/>
                    <w:left w:val="none" w:sz="0" w:space="0" w:color="auto"/>
                    <w:bottom w:val="none" w:sz="0" w:space="0" w:color="auto"/>
                    <w:right w:val="none" w:sz="0" w:space="0" w:color="auto"/>
                  </w:divBdr>
                </w:div>
                <w:div w:id="1659503311">
                  <w:marLeft w:val="0"/>
                  <w:marRight w:val="0"/>
                  <w:marTop w:val="0"/>
                  <w:marBottom w:val="0"/>
                  <w:divBdr>
                    <w:top w:val="none" w:sz="0" w:space="0" w:color="auto"/>
                    <w:left w:val="none" w:sz="0" w:space="0" w:color="auto"/>
                    <w:bottom w:val="none" w:sz="0" w:space="0" w:color="auto"/>
                    <w:right w:val="none" w:sz="0" w:space="0" w:color="auto"/>
                  </w:divBdr>
                </w:div>
                <w:div w:id="977223538">
                  <w:marLeft w:val="0"/>
                  <w:marRight w:val="0"/>
                  <w:marTop w:val="0"/>
                  <w:marBottom w:val="0"/>
                  <w:divBdr>
                    <w:top w:val="none" w:sz="0" w:space="0" w:color="auto"/>
                    <w:left w:val="none" w:sz="0" w:space="0" w:color="auto"/>
                    <w:bottom w:val="none" w:sz="0" w:space="0" w:color="auto"/>
                    <w:right w:val="none" w:sz="0" w:space="0" w:color="auto"/>
                  </w:divBdr>
                </w:div>
                <w:div w:id="526023318">
                  <w:marLeft w:val="0"/>
                  <w:marRight w:val="0"/>
                  <w:marTop w:val="0"/>
                  <w:marBottom w:val="0"/>
                  <w:divBdr>
                    <w:top w:val="none" w:sz="0" w:space="0" w:color="auto"/>
                    <w:left w:val="none" w:sz="0" w:space="0" w:color="auto"/>
                    <w:bottom w:val="none" w:sz="0" w:space="0" w:color="auto"/>
                    <w:right w:val="none" w:sz="0" w:space="0" w:color="auto"/>
                  </w:divBdr>
                </w:div>
                <w:div w:id="2043820869">
                  <w:marLeft w:val="0"/>
                  <w:marRight w:val="0"/>
                  <w:marTop w:val="0"/>
                  <w:marBottom w:val="0"/>
                  <w:divBdr>
                    <w:top w:val="none" w:sz="0" w:space="0" w:color="auto"/>
                    <w:left w:val="none" w:sz="0" w:space="0" w:color="auto"/>
                    <w:bottom w:val="none" w:sz="0" w:space="0" w:color="auto"/>
                    <w:right w:val="none" w:sz="0" w:space="0" w:color="auto"/>
                  </w:divBdr>
                </w:div>
                <w:div w:id="1397438267">
                  <w:marLeft w:val="0"/>
                  <w:marRight w:val="0"/>
                  <w:marTop w:val="0"/>
                  <w:marBottom w:val="0"/>
                  <w:divBdr>
                    <w:top w:val="none" w:sz="0" w:space="0" w:color="auto"/>
                    <w:left w:val="none" w:sz="0" w:space="0" w:color="auto"/>
                    <w:bottom w:val="none" w:sz="0" w:space="0" w:color="auto"/>
                    <w:right w:val="none" w:sz="0" w:space="0" w:color="auto"/>
                  </w:divBdr>
                </w:div>
                <w:div w:id="1607543916">
                  <w:marLeft w:val="0"/>
                  <w:marRight w:val="0"/>
                  <w:marTop w:val="0"/>
                  <w:marBottom w:val="0"/>
                  <w:divBdr>
                    <w:top w:val="none" w:sz="0" w:space="0" w:color="auto"/>
                    <w:left w:val="none" w:sz="0" w:space="0" w:color="auto"/>
                    <w:bottom w:val="none" w:sz="0" w:space="0" w:color="auto"/>
                    <w:right w:val="none" w:sz="0" w:space="0" w:color="auto"/>
                  </w:divBdr>
                </w:div>
                <w:div w:id="1276326776">
                  <w:marLeft w:val="0"/>
                  <w:marRight w:val="0"/>
                  <w:marTop w:val="0"/>
                  <w:marBottom w:val="0"/>
                  <w:divBdr>
                    <w:top w:val="none" w:sz="0" w:space="0" w:color="auto"/>
                    <w:left w:val="none" w:sz="0" w:space="0" w:color="auto"/>
                    <w:bottom w:val="none" w:sz="0" w:space="0" w:color="auto"/>
                    <w:right w:val="none" w:sz="0" w:space="0" w:color="auto"/>
                  </w:divBdr>
                </w:div>
                <w:div w:id="394354344">
                  <w:marLeft w:val="0"/>
                  <w:marRight w:val="0"/>
                  <w:marTop w:val="0"/>
                  <w:marBottom w:val="0"/>
                  <w:divBdr>
                    <w:top w:val="none" w:sz="0" w:space="0" w:color="auto"/>
                    <w:left w:val="none" w:sz="0" w:space="0" w:color="auto"/>
                    <w:bottom w:val="none" w:sz="0" w:space="0" w:color="auto"/>
                    <w:right w:val="none" w:sz="0" w:space="0" w:color="auto"/>
                  </w:divBdr>
                </w:div>
                <w:div w:id="14236478">
                  <w:marLeft w:val="0"/>
                  <w:marRight w:val="0"/>
                  <w:marTop w:val="0"/>
                  <w:marBottom w:val="0"/>
                  <w:divBdr>
                    <w:top w:val="none" w:sz="0" w:space="0" w:color="auto"/>
                    <w:left w:val="none" w:sz="0" w:space="0" w:color="auto"/>
                    <w:bottom w:val="none" w:sz="0" w:space="0" w:color="auto"/>
                    <w:right w:val="none" w:sz="0" w:space="0" w:color="auto"/>
                  </w:divBdr>
                </w:div>
                <w:div w:id="1387021945">
                  <w:marLeft w:val="0"/>
                  <w:marRight w:val="0"/>
                  <w:marTop w:val="0"/>
                  <w:marBottom w:val="0"/>
                  <w:divBdr>
                    <w:top w:val="none" w:sz="0" w:space="0" w:color="auto"/>
                    <w:left w:val="none" w:sz="0" w:space="0" w:color="auto"/>
                    <w:bottom w:val="none" w:sz="0" w:space="0" w:color="auto"/>
                    <w:right w:val="none" w:sz="0" w:space="0" w:color="auto"/>
                  </w:divBdr>
                </w:div>
                <w:div w:id="725029012">
                  <w:marLeft w:val="0"/>
                  <w:marRight w:val="0"/>
                  <w:marTop w:val="0"/>
                  <w:marBottom w:val="0"/>
                  <w:divBdr>
                    <w:top w:val="none" w:sz="0" w:space="0" w:color="auto"/>
                    <w:left w:val="none" w:sz="0" w:space="0" w:color="auto"/>
                    <w:bottom w:val="none" w:sz="0" w:space="0" w:color="auto"/>
                    <w:right w:val="none" w:sz="0" w:space="0" w:color="auto"/>
                  </w:divBdr>
                </w:div>
                <w:div w:id="2020498358">
                  <w:marLeft w:val="0"/>
                  <w:marRight w:val="0"/>
                  <w:marTop w:val="0"/>
                  <w:marBottom w:val="0"/>
                  <w:divBdr>
                    <w:top w:val="none" w:sz="0" w:space="0" w:color="auto"/>
                    <w:left w:val="none" w:sz="0" w:space="0" w:color="auto"/>
                    <w:bottom w:val="none" w:sz="0" w:space="0" w:color="auto"/>
                    <w:right w:val="none" w:sz="0" w:space="0" w:color="auto"/>
                  </w:divBdr>
                </w:div>
                <w:div w:id="187378602">
                  <w:marLeft w:val="0"/>
                  <w:marRight w:val="0"/>
                  <w:marTop w:val="0"/>
                  <w:marBottom w:val="0"/>
                  <w:divBdr>
                    <w:top w:val="none" w:sz="0" w:space="0" w:color="auto"/>
                    <w:left w:val="none" w:sz="0" w:space="0" w:color="auto"/>
                    <w:bottom w:val="none" w:sz="0" w:space="0" w:color="auto"/>
                    <w:right w:val="none" w:sz="0" w:space="0" w:color="auto"/>
                  </w:divBdr>
                </w:div>
                <w:div w:id="607853334">
                  <w:marLeft w:val="0"/>
                  <w:marRight w:val="0"/>
                  <w:marTop w:val="0"/>
                  <w:marBottom w:val="0"/>
                  <w:divBdr>
                    <w:top w:val="none" w:sz="0" w:space="0" w:color="auto"/>
                    <w:left w:val="none" w:sz="0" w:space="0" w:color="auto"/>
                    <w:bottom w:val="none" w:sz="0" w:space="0" w:color="auto"/>
                    <w:right w:val="none" w:sz="0" w:space="0" w:color="auto"/>
                  </w:divBdr>
                </w:div>
                <w:div w:id="1038746729">
                  <w:marLeft w:val="0"/>
                  <w:marRight w:val="0"/>
                  <w:marTop w:val="0"/>
                  <w:marBottom w:val="0"/>
                  <w:divBdr>
                    <w:top w:val="none" w:sz="0" w:space="0" w:color="auto"/>
                    <w:left w:val="none" w:sz="0" w:space="0" w:color="auto"/>
                    <w:bottom w:val="none" w:sz="0" w:space="0" w:color="auto"/>
                    <w:right w:val="none" w:sz="0" w:space="0" w:color="auto"/>
                  </w:divBdr>
                </w:div>
                <w:div w:id="1005329885">
                  <w:marLeft w:val="0"/>
                  <w:marRight w:val="0"/>
                  <w:marTop w:val="0"/>
                  <w:marBottom w:val="0"/>
                  <w:divBdr>
                    <w:top w:val="none" w:sz="0" w:space="0" w:color="auto"/>
                    <w:left w:val="none" w:sz="0" w:space="0" w:color="auto"/>
                    <w:bottom w:val="none" w:sz="0" w:space="0" w:color="auto"/>
                    <w:right w:val="none" w:sz="0" w:space="0" w:color="auto"/>
                  </w:divBdr>
                </w:div>
                <w:div w:id="837158865">
                  <w:marLeft w:val="0"/>
                  <w:marRight w:val="0"/>
                  <w:marTop w:val="0"/>
                  <w:marBottom w:val="0"/>
                  <w:divBdr>
                    <w:top w:val="none" w:sz="0" w:space="0" w:color="auto"/>
                    <w:left w:val="none" w:sz="0" w:space="0" w:color="auto"/>
                    <w:bottom w:val="none" w:sz="0" w:space="0" w:color="auto"/>
                    <w:right w:val="none" w:sz="0" w:space="0" w:color="auto"/>
                  </w:divBdr>
                </w:div>
                <w:div w:id="1557206264">
                  <w:marLeft w:val="0"/>
                  <w:marRight w:val="0"/>
                  <w:marTop w:val="0"/>
                  <w:marBottom w:val="0"/>
                  <w:divBdr>
                    <w:top w:val="none" w:sz="0" w:space="0" w:color="auto"/>
                    <w:left w:val="none" w:sz="0" w:space="0" w:color="auto"/>
                    <w:bottom w:val="none" w:sz="0" w:space="0" w:color="auto"/>
                    <w:right w:val="none" w:sz="0" w:space="0" w:color="auto"/>
                  </w:divBdr>
                </w:div>
                <w:div w:id="159318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581231">
          <w:marLeft w:val="0"/>
          <w:marRight w:val="0"/>
          <w:marTop w:val="15"/>
          <w:marBottom w:val="0"/>
          <w:divBdr>
            <w:top w:val="none" w:sz="0" w:space="0" w:color="auto"/>
            <w:left w:val="none" w:sz="0" w:space="0" w:color="auto"/>
            <w:bottom w:val="none" w:sz="0" w:space="0" w:color="auto"/>
            <w:right w:val="none" w:sz="0" w:space="0" w:color="auto"/>
          </w:divBdr>
          <w:divsChild>
            <w:div w:id="1485463744">
              <w:marLeft w:val="0"/>
              <w:marRight w:val="0"/>
              <w:marTop w:val="0"/>
              <w:marBottom w:val="0"/>
              <w:divBdr>
                <w:top w:val="none" w:sz="0" w:space="0" w:color="auto"/>
                <w:left w:val="none" w:sz="0" w:space="0" w:color="auto"/>
                <w:bottom w:val="none" w:sz="0" w:space="0" w:color="auto"/>
                <w:right w:val="none" w:sz="0" w:space="0" w:color="auto"/>
              </w:divBdr>
              <w:divsChild>
                <w:div w:id="1852722860">
                  <w:marLeft w:val="0"/>
                  <w:marRight w:val="0"/>
                  <w:marTop w:val="0"/>
                  <w:marBottom w:val="0"/>
                  <w:divBdr>
                    <w:top w:val="none" w:sz="0" w:space="0" w:color="auto"/>
                    <w:left w:val="none" w:sz="0" w:space="0" w:color="auto"/>
                    <w:bottom w:val="none" w:sz="0" w:space="0" w:color="auto"/>
                    <w:right w:val="none" w:sz="0" w:space="0" w:color="auto"/>
                  </w:divBdr>
                </w:div>
                <w:div w:id="938369213">
                  <w:marLeft w:val="0"/>
                  <w:marRight w:val="0"/>
                  <w:marTop w:val="0"/>
                  <w:marBottom w:val="0"/>
                  <w:divBdr>
                    <w:top w:val="none" w:sz="0" w:space="0" w:color="auto"/>
                    <w:left w:val="none" w:sz="0" w:space="0" w:color="auto"/>
                    <w:bottom w:val="none" w:sz="0" w:space="0" w:color="auto"/>
                    <w:right w:val="none" w:sz="0" w:space="0" w:color="auto"/>
                  </w:divBdr>
                </w:div>
                <w:div w:id="1199124623">
                  <w:marLeft w:val="0"/>
                  <w:marRight w:val="0"/>
                  <w:marTop w:val="0"/>
                  <w:marBottom w:val="0"/>
                  <w:divBdr>
                    <w:top w:val="none" w:sz="0" w:space="0" w:color="auto"/>
                    <w:left w:val="none" w:sz="0" w:space="0" w:color="auto"/>
                    <w:bottom w:val="none" w:sz="0" w:space="0" w:color="auto"/>
                    <w:right w:val="none" w:sz="0" w:space="0" w:color="auto"/>
                  </w:divBdr>
                </w:div>
                <w:div w:id="1999726551">
                  <w:marLeft w:val="0"/>
                  <w:marRight w:val="0"/>
                  <w:marTop w:val="0"/>
                  <w:marBottom w:val="0"/>
                  <w:divBdr>
                    <w:top w:val="none" w:sz="0" w:space="0" w:color="auto"/>
                    <w:left w:val="none" w:sz="0" w:space="0" w:color="auto"/>
                    <w:bottom w:val="none" w:sz="0" w:space="0" w:color="auto"/>
                    <w:right w:val="none" w:sz="0" w:space="0" w:color="auto"/>
                  </w:divBdr>
                </w:div>
                <w:div w:id="1454444209">
                  <w:marLeft w:val="0"/>
                  <w:marRight w:val="0"/>
                  <w:marTop w:val="0"/>
                  <w:marBottom w:val="0"/>
                  <w:divBdr>
                    <w:top w:val="none" w:sz="0" w:space="0" w:color="auto"/>
                    <w:left w:val="none" w:sz="0" w:space="0" w:color="auto"/>
                    <w:bottom w:val="none" w:sz="0" w:space="0" w:color="auto"/>
                    <w:right w:val="none" w:sz="0" w:space="0" w:color="auto"/>
                  </w:divBdr>
                </w:div>
                <w:div w:id="611013833">
                  <w:marLeft w:val="0"/>
                  <w:marRight w:val="0"/>
                  <w:marTop w:val="0"/>
                  <w:marBottom w:val="0"/>
                  <w:divBdr>
                    <w:top w:val="none" w:sz="0" w:space="0" w:color="auto"/>
                    <w:left w:val="none" w:sz="0" w:space="0" w:color="auto"/>
                    <w:bottom w:val="none" w:sz="0" w:space="0" w:color="auto"/>
                    <w:right w:val="none" w:sz="0" w:space="0" w:color="auto"/>
                  </w:divBdr>
                </w:div>
                <w:div w:id="1017923402">
                  <w:marLeft w:val="0"/>
                  <w:marRight w:val="0"/>
                  <w:marTop w:val="0"/>
                  <w:marBottom w:val="0"/>
                  <w:divBdr>
                    <w:top w:val="none" w:sz="0" w:space="0" w:color="auto"/>
                    <w:left w:val="none" w:sz="0" w:space="0" w:color="auto"/>
                    <w:bottom w:val="none" w:sz="0" w:space="0" w:color="auto"/>
                    <w:right w:val="none" w:sz="0" w:space="0" w:color="auto"/>
                  </w:divBdr>
                </w:div>
                <w:div w:id="2006203657">
                  <w:marLeft w:val="0"/>
                  <w:marRight w:val="0"/>
                  <w:marTop w:val="0"/>
                  <w:marBottom w:val="0"/>
                  <w:divBdr>
                    <w:top w:val="none" w:sz="0" w:space="0" w:color="auto"/>
                    <w:left w:val="none" w:sz="0" w:space="0" w:color="auto"/>
                    <w:bottom w:val="none" w:sz="0" w:space="0" w:color="auto"/>
                    <w:right w:val="none" w:sz="0" w:space="0" w:color="auto"/>
                  </w:divBdr>
                </w:div>
                <w:div w:id="252593131">
                  <w:marLeft w:val="0"/>
                  <w:marRight w:val="0"/>
                  <w:marTop w:val="0"/>
                  <w:marBottom w:val="0"/>
                  <w:divBdr>
                    <w:top w:val="none" w:sz="0" w:space="0" w:color="auto"/>
                    <w:left w:val="none" w:sz="0" w:space="0" w:color="auto"/>
                    <w:bottom w:val="none" w:sz="0" w:space="0" w:color="auto"/>
                    <w:right w:val="none" w:sz="0" w:space="0" w:color="auto"/>
                  </w:divBdr>
                </w:div>
                <w:div w:id="471559640">
                  <w:marLeft w:val="0"/>
                  <w:marRight w:val="0"/>
                  <w:marTop w:val="0"/>
                  <w:marBottom w:val="0"/>
                  <w:divBdr>
                    <w:top w:val="none" w:sz="0" w:space="0" w:color="auto"/>
                    <w:left w:val="none" w:sz="0" w:space="0" w:color="auto"/>
                    <w:bottom w:val="none" w:sz="0" w:space="0" w:color="auto"/>
                    <w:right w:val="none" w:sz="0" w:space="0" w:color="auto"/>
                  </w:divBdr>
                </w:div>
                <w:div w:id="353729641">
                  <w:marLeft w:val="0"/>
                  <w:marRight w:val="0"/>
                  <w:marTop w:val="0"/>
                  <w:marBottom w:val="0"/>
                  <w:divBdr>
                    <w:top w:val="none" w:sz="0" w:space="0" w:color="auto"/>
                    <w:left w:val="none" w:sz="0" w:space="0" w:color="auto"/>
                    <w:bottom w:val="none" w:sz="0" w:space="0" w:color="auto"/>
                    <w:right w:val="none" w:sz="0" w:space="0" w:color="auto"/>
                  </w:divBdr>
                </w:div>
                <w:div w:id="2087338701">
                  <w:marLeft w:val="0"/>
                  <w:marRight w:val="0"/>
                  <w:marTop w:val="0"/>
                  <w:marBottom w:val="0"/>
                  <w:divBdr>
                    <w:top w:val="none" w:sz="0" w:space="0" w:color="auto"/>
                    <w:left w:val="none" w:sz="0" w:space="0" w:color="auto"/>
                    <w:bottom w:val="none" w:sz="0" w:space="0" w:color="auto"/>
                    <w:right w:val="none" w:sz="0" w:space="0" w:color="auto"/>
                  </w:divBdr>
                </w:div>
                <w:div w:id="1067189562">
                  <w:marLeft w:val="0"/>
                  <w:marRight w:val="0"/>
                  <w:marTop w:val="0"/>
                  <w:marBottom w:val="0"/>
                  <w:divBdr>
                    <w:top w:val="none" w:sz="0" w:space="0" w:color="auto"/>
                    <w:left w:val="none" w:sz="0" w:space="0" w:color="auto"/>
                    <w:bottom w:val="none" w:sz="0" w:space="0" w:color="auto"/>
                    <w:right w:val="none" w:sz="0" w:space="0" w:color="auto"/>
                  </w:divBdr>
                </w:div>
                <w:div w:id="408692891">
                  <w:marLeft w:val="0"/>
                  <w:marRight w:val="0"/>
                  <w:marTop w:val="0"/>
                  <w:marBottom w:val="0"/>
                  <w:divBdr>
                    <w:top w:val="none" w:sz="0" w:space="0" w:color="auto"/>
                    <w:left w:val="none" w:sz="0" w:space="0" w:color="auto"/>
                    <w:bottom w:val="none" w:sz="0" w:space="0" w:color="auto"/>
                    <w:right w:val="none" w:sz="0" w:space="0" w:color="auto"/>
                  </w:divBdr>
                </w:div>
                <w:div w:id="1440953741">
                  <w:marLeft w:val="0"/>
                  <w:marRight w:val="0"/>
                  <w:marTop w:val="0"/>
                  <w:marBottom w:val="0"/>
                  <w:divBdr>
                    <w:top w:val="none" w:sz="0" w:space="0" w:color="auto"/>
                    <w:left w:val="none" w:sz="0" w:space="0" w:color="auto"/>
                    <w:bottom w:val="none" w:sz="0" w:space="0" w:color="auto"/>
                    <w:right w:val="none" w:sz="0" w:space="0" w:color="auto"/>
                  </w:divBdr>
                </w:div>
                <w:div w:id="1815834213">
                  <w:marLeft w:val="0"/>
                  <w:marRight w:val="0"/>
                  <w:marTop w:val="0"/>
                  <w:marBottom w:val="0"/>
                  <w:divBdr>
                    <w:top w:val="none" w:sz="0" w:space="0" w:color="auto"/>
                    <w:left w:val="none" w:sz="0" w:space="0" w:color="auto"/>
                    <w:bottom w:val="none" w:sz="0" w:space="0" w:color="auto"/>
                    <w:right w:val="none" w:sz="0" w:space="0" w:color="auto"/>
                  </w:divBdr>
                </w:div>
                <w:div w:id="1193104862">
                  <w:marLeft w:val="0"/>
                  <w:marRight w:val="0"/>
                  <w:marTop w:val="0"/>
                  <w:marBottom w:val="0"/>
                  <w:divBdr>
                    <w:top w:val="none" w:sz="0" w:space="0" w:color="auto"/>
                    <w:left w:val="none" w:sz="0" w:space="0" w:color="auto"/>
                    <w:bottom w:val="none" w:sz="0" w:space="0" w:color="auto"/>
                    <w:right w:val="none" w:sz="0" w:space="0" w:color="auto"/>
                  </w:divBdr>
                </w:div>
                <w:div w:id="1313801194">
                  <w:marLeft w:val="0"/>
                  <w:marRight w:val="0"/>
                  <w:marTop w:val="0"/>
                  <w:marBottom w:val="0"/>
                  <w:divBdr>
                    <w:top w:val="none" w:sz="0" w:space="0" w:color="auto"/>
                    <w:left w:val="none" w:sz="0" w:space="0" w:color="auto"/>
                    <w:bottom w:val="none" w:sz="0" w:space="0" w:color="auto"/>
                    <w:right w:val="none" w:sz="0" w:space="0" w:color="auto"/>
                  </w:divBdr>
                </w:div>
                <w:div w:id="908418550">
                  <w:marLeft w:val="0"/>
                  <w:marRight w:val="0"/>
                  <w:marTop w:val="0"/>
                  <w:marBottom w:val="0"/>
                  <w:divBdr>
                    <w:top w:val="none" w:sz="0" w:space="0" w:color="auto"/>
                    <w:left w:val="none" w:sz="0" w:space="0" w:color="auto"/>
                    <w:bottom w:val="none" w:sz="0" w:space="0" w:color="auto"/>
                    <w:right w:val="none" w:sz="0" w:space="0" w:color="auto"/>
                  </w:divBdr>
                </w:div>
                <w:div w:id="1407996237">
                  <w:marLeft w:val="0"/>
                  <w:marRight w:val="0"/>
                  <w:marTop w:val="0"/>
                  <w:marBottom w:val="0"/>
                  <w:divBdr>
                    <w:top w:val="none" w:sz="0" w:space="0" w:color="auto"/>
                    <w:left w:val="none" w:sz="0" w:space="0" w:color="auto"/>
                    <w:bottom w:val="none" w:sz="0" w:space="0" w:color="auto"/>
                    <w:right w:val="none" w:sz="0" w:space="0" w:color="auto"/>
                  </w:divBdr>
                </w:div>
                <w:div w:id="283272168">
                  <w:marLeft w:val="0"/>
                  <w:marRight w:val="0"/>
                  <w:marTop w:val="0"/>
                  <w:marBottom w:val="0"/>
                  <w:divBdr>
                    <w:top w:val="none" w:sz="0" w:space="0" w:color="auto"/>
                    <w:left w:val="none" w:sz="0" w:space="0" w:color="auto"/>
                    <w:bottom w:val="none" w:sz="0" w:space="0" w:color="auto"/>
                    <w:right w:val="none" w:sz="0" w:space="0" w:color="auto"/>
                  </w:divBdr>
                </w:div>
                <w:div w:id="1946960491">
                  <w:marLeft w:val="0"/>
                  <w:marRight w:val="0"/>
                  <w:marTop w:val="0"/>
                  <w:marBottom w:val="0"/>
                  <w:divBdr>
                    <w:top w:val="none" w:sz="0" w:space="0" w:color="auto"/>
                    <w:left w:val="none" w:sz="0" w:space="0" w:color="auto"/>
                    <w:bottom w:val="none" w:sz="0" w:space="0" w:color="auto"/>
                    <w:right w:val="none" w:sz="0" w:space="0" w:color="auto"/>
                  </w:divBdr>
                </w:div>
                <w:div w:id="255292580">
                  <w:marLeft w:val="0"/>
                  <w:marRight w:val="0"/>
                  <w:marTop w:val="0"/>
                  <w:marBottom w:val="0"/>
                  <w:divBdr>
                    <w:top w:val="none" w:sz="0" w:space="0" w:color="auto"/>
                    <w:left w:val="none" w:sz="0" w:space="0" w:color="auto"/>
                    <w:bottom w:val="none" w:sz="0" w:space="0" w:color="auto"/>
                    <w:right w:val="none" w:sz="0" w:space="0" w:color="auto"/>
                  </w:divBdr>
                </w:div>
                <w:div w:id="1970696257">
                  <w:marLeft w:val="0"/>
                  <w:marRight w:val="0"/>
                  <w:marTop w:val="0"/>
                  <w:marBottom w:val="0"/>
                  <w:divBdr>
                    <w:top w:val="none" w:sz="0" w:space="0" w:color="auto"/>
                    <w:left w:val="none" w:sz="0" w:space="0" w:color="auto"/>
                    <w:bottom w:val="none" w:sz="0" w:space="0" w:color="auto"/>
                    <w:right w:val="none" w:sz="0" w:space="0" w:color="auto"/>
                  </w:divBdr>
                </w:div>
                <w:div w:id="617109758">
                  <w:marLeft w:val="0"/>
                  <w:marRight w:val="0"/>
                  <w:marTop w:val="0"/>
                  <w:marBottom w:val="0"/>
                  <w:divBdr>
                    <w:top w:val="none" w:sz="0" w:space="0" w:color="auto"/>
                    <w:left w:val="none" w:sz="0" w:space="0" w:color="auto"/>
                    <w:bottom w:val="none" w:sz="0" w:space="0" w:color="auto"/>
                    <w:right w:val="none" w:sz="0" w:space="0" w:color="auto"/>
                  </w:divBdr>
                </w:div>
                <w:div w:id="709451151">
                  <w:marLeft w:val="0"/>
                  <w:marRight w:val="0"/>
                  <w:marTop w:val="0"/>
                  <w:marBottom w:val="0"/>
                  <w:divBdr>
                    <w:top w:val="none" w:sz="0" w:space="0" w:color="auto"/>
                    <w:left w:val="none" w:sz="0" w:space="0" w:color="auto"/>
                    <w:bottom w:val="none" w:sz="0" w:space="0" w:color="auto"/>
                    <w:right w:val="none" w:sz="0" w:space="0" w:color="auto"/>
                  </w:divBdr>
                </w:div>
                <w:div w:id="1243684292">
                  <w:marLeft w:val="0"/>
                  <w:marRight w:val="0"/>
                  <w:marTop w:val="0"/>
                  <w:marBottom w:val="0"/>
                  <w:divBdr>
                    <w:top w:val="none" w:sz="0" w:space="0" w:color="auto"/>
                    <w:left w:val="none" w:sz="0" w:space="0" w:color="auto"/>
                    <w:bottom w:val="none" w:sz="0" w:space="0" w:color="auto"/>
                    <w:right w:val="none" w:sz="0" w:space="0" w:color="auto"/>
                  </w:divBdr>
                </w:div>
                <w:div w:id="2051564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294496">
          <w:marLeft w:val="0"/>
          <w:marRight w:val="0"/>
          <w:marTop w:val="15"/>
          <w:marBottom w:val="0"/>
          <w:divBdr>
            <w:top w:val="none" w:sz="0" w:space="0" w:color="auto"/>
            <w:left w:val="none" w:sz="0" w:space="0" w:color="auto"/>
            <w:bottom w:val="none" w:sz="0" w:space="0" w:color="auto"/>
            <w:right w:val="none" w:sz="0" w:space="0" w:color="auto"/>
          </w:divBdr>
          <w:divsChild>
            <w:div w:id="1836260341">
              <w:marLeft w:val="0"/>
              <w:marRight w:val="0"/>
              <w:marTop w:val="0"/>
              <w:marBottom w:val="0"/>
              <w:divBdr>
                <w:top w:val="none" w:sz="0" w:space="0" w:color="auto"/>
                <w:left w:val="none" w:sz="0" w:space="0" w:color="auto"/>
                <w:bottom w:val="none" w:sz="0" w:space="0" w:color="auto"/>
                <w:right w:val="none" w:sz="0" w:space="0" w:color="auto"/>
              </w:divBdr>
              <w:divsChild>
                <w:div w:id="1124689945">
                  <w:marLeft w:val="0"/>
                  <w:marRight w:val="0"/>
                  <w:marTop w:val="0"/>
                  <w:marBottom w:val="0"/>
                  <w:divBdr>
                    <w:top w:val="none" w:sz="0" w:space="0" w:color="auto"/>
                    <w:left w:val="none" w:sz="0" w:space="0" w:color="auto"/>
                    <w:bottom w:val="none" w:sz="0" w:space="0" w:color="auto"/>
                    <w:right w:val="none" w:sz="0" w:space="0" w:color="auto"/>
                  </w:divBdr>
                </w:div>
                <w:div w:id="880945758">
                  <w:marLeft w:val="0"/>
                  <w:marRight w:val="0"/>
                  <w:marTop w:val="0"/>
                  <w:marBottom w:val="0"/>
                  <w:divBdr>
                    <w:top w:val="none" w:sz="0" w:space="0" w:color="auto"/>
                    <w:left w:val="none" w:sz="0" w:space="0" w:color="auto"/>
                    <w:bottom w:val="none" w:sz="0" w:space="0" w:color="auto"/>
                    <w:right w:val="none" w:sz="0" w:space="0" w:color="auto"/>
                  </w:divBdr>
                </w:div>
                <w:div w:id="1525485205">
                  <w:marLeft w:val="0"/>
                  <w:marRight w:val="0"/>
                  <w:marTop w:val="0"/>
                  <w:marBottom w:val="0"/>
                  <w:divBdr>
                    <w:top w:val="none" w:sz="0" w:space="0" w:color="auto"/>
                    <w:left w:val="none" w:sz="0" w:space="0" w:color="auto"/>
                    <w:bottom w:val="none" w:sz="0" w:space="0" w:color="auto"/>
                    <w:right w:val="none" w:sz="0" w:space="0" w:color="auto"/>
                  </w:divBdr>
                </w:div>
                <w:div w:id="44332791">
                  <w:marLeft w:val="0"/>
                  <w:marRight w:val="0"/>
                  <w:marTop w:val="0"/>
                  <w:marBottom w:val="0"/>
                  <w:divBdr>
                    <w:top w:val="none" w:sz="0" w:space="0" w:color="auto"/>
                    <w:left w:val="none" w:sz="0" w:space="0" w:color="auto"/>
                    <w:bottom w:val="none" w:sz="0" w:space="0" w:color="auto"/>
                    <w:right w:val="none" w:sz="0" w:space="0" w:color="auto"/>
                  </w:divBdr>
                </w:div>
                <w:div w:id="180749324">
                  <w:marLeft w:val="0"/>
                  <w:marRight w:val="0"/>
                  <w:marTop w:val="0"/>
                  <w:marBottom w:val="0"/>
                  <w:divBdr>
                    <w:top w:val="none" w:sz="0" w:space="0" w:color="auto"/>
                    <w:left w:val="none" w:sz="0" w:space="0" w:color="auto"/>
                    <w:bottom w:val="none" w:sz="0" w:space="0" w:color="auto"/>
                    <w:right w:val="none" w:sz="0" w:space="0" w:color="auto"/>
                  </w:divBdr>
                </w:div>
                <w:div w:id="1031494283">
                  <w:marLeft w:val="0"/>
                  <w:marRight w:val="0"/>
                  <w:marTop w:val="0"/>
                  <w:marBottom w:val="0"/>
                  <w:divBdr>
                    <w:top w:val="none" w:sz="0" w:space="0" w:color="auto"/>
                    <w:left w:val="none" w:sz="0" w:space="0" w:color="auto"/>
                    <w:bottom w:val="none" w:sz="0" w:space="0" w:color="auto"/>
                    <w:right w:val="none" w:sz="0" w:space="0" w:color="auto"/>
                  </w:divBdr>
                </w:div>
                <w:div w:id="899294076">
                  <w:marLeft w:val="0"/>
                  <w:marRight w:val="0"/>
                  <w:marTop w:val="0"/>
                  <w:marBottom w:val="0"/>
                  <w:divBdr>
                    <w:top w:val="none" w:sz="0" w:space="0" w:color="auto"/>
                    <w:left w:val="none" w:sz="0" w:space="0" w:color="auto"/>
                    <w:bottom w:val="none" w:sz="0" w:space="0" w:color="auto"/>
                    <w:right w:val="none" w:sz="0" w:space="0" w:color="auto"/>
                  </w:divBdr>
                </w:div>
                <w:div w:id="1672639807">
                  <w:marLeft w:val="0"/>
                  <w:marRight w:val="0"/>
                  <w:marTop w:val="0"/>
                  <w:marBottom w:val="0"/>
                  <w:divBdr>
                    <w:top w:val="none" w:sz="0" w:space="0" w:color="auto"/>
                    <w:left w:val="none" w:sz="0" w:space="0" w:color="auto"/>
                    <w:bottom w:val="none" w:sz="0" w:space="0" w:color="auto"/>
                    <w:right w:val="none" w:sz="0" w:space="0" w:color="auto"/>
                  </w:divBdr>
                </w:div>
                <w:div w:id="298414250">
                  <w:marLeft w:val="0"/>
                  <w:marRight w:val="0"/>
                  <w:marTop w:val="0"/>
                  <w:marBottom w:val="0"/>
                  <w:divBdr>
                    <w:top w:val="none" w:sz="0" w:space="0" w:color="auto"/>
                    <w:left w:val="none" w:sz="0" w:space="0" w:color="auto"/>
                    <w:bottom w:val="none" w:sz="0" w:space="0" w:color="auto"/>
                    <w:right w:val="none" w:sz="0" w:space="0" w:color="auto"/>
                  </w:divBdr>
                </w:div>
                <w:div w:id="1537962511">
                  <w:marLeft w:val="0"/>
                  <w:marRight w:val="0"/>
                  <w:marTop w:val="0"/>
                  <w:marBottom w:val="0"/>
                  <w:divBdr>
                    <w:top w:val="none" w:sz="0" w:space="0" w:color="auto"/>
                    <w:left w:val="none" w:sz="0" w:space="0" w:color="auto"/>
                    <w:bottom w:val="none" w:sz="0" w:space="0" w:color="auto"/>
                    <w:right w:val="none" w:sz="0" w:space="0" w:color="auto"/>
                  </w:divBdr>
                </w:div>
                <w:div w:id="1419055102">
                  <w:marLeft w:val="0"/>
                  <w:marRight w:val="0"/>
                  <w:marTop w:val="0"/>
                  <w:marBottom w:val="0"/>
                  <w:divBdr>
                    <w:top w:val="none" w:sz="0" w:space="0" w:color="auto"/>
                    <w:left w:val="none" w:sz="0" w:space="0" w:color="auto"/>
                    <w:bottom w:val="none" w:sz="0" w:space="0" w:color="auto"/>
                    <w:right w:val="none" w:sz="0" w:space="0" w:color="auto"/>
                  </w:divBdr>
                </w:div>
                <w:div w:id="521213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6691276">
      <w:bodyDiv w:val="1"/>
      <w:marLeft w:val="0"/>
      <w:marRight w:val="0"/>
      <w:marTop w:val="0"/>
      <w:marBottom w:val="0"/>
      <w:divBdr>
        <w:top w:val="none" w:sz="0" w:space="0" w:color="auto"/>
        <w:left w:val="none" w:sz="0" w:space="0" w:color="auto"/>
        <w:bottom w:val="none" w:sz="0" w:space="0" w:color="auto"/>
        <w:right w:val="none" w:sz="0" w:space="0" w:color="auto"/>
      </w:divBdr>
    </w:div>
    <w:div w:id="636766741">
      <w:bodyDiv w:val="1"/>
      <w:marLeft w:val="0"/>
      <w:marRight w:val="0"/>
      <w:marTop w:val="0"/>
      <w:marBottom w:val="0"/>
      <w:divBdr>
        <w:top w:val="none" w:sz="0" w:space="0" w:color="auto"/>
        <w:left w:val="none" w:sz="0" w:space="0" w:color="auto"/>
        <w:bottom w:val="none" w:sz="0" w:space="0" w:color="auto"/>
        <w:right w:val="none" w:sz="0" w:space="0" w:color="auto"/>
      </w:divBdr>
    </w:div>
    <w:div w:id="636767428">
      <w:bodyDiv w:val="1"/>
      <w:marLeft w:val="0"/>
      <w:marRight w:val="0"/>
      <w:marTop w:val="0"/>
      <w:marBottom w:val="0"/>
      <w:divBdr>
        <w:top w:val="none" w:sz="0" w:space="0" w:color="auto"/>
        <w:left w:val="none" w:sz="0" w:space="0" w:color="auto"/>
        <w:bottom w:val="none" w:sz="0" w:space="0" w:color="auto"/>
        <w:right w:val="none" w:sz="0" w:space="0" w:color="auto"/>
      </w:divBdr>
    </w:div>
    <w:div w:id="637342647">
      <w:bodyDiv w:val="1"/>
      <w:marLeft w:val="0"/>
      <w:marRight w:val="0"/>
      <w:marTop w:val="0"/>
      <w:marBottom w:val="0"/>
      <w:divBdr>
        <w:top w:val="none" w:sz="0" w:space="0" w:color="auto"/>
        <w:left w:val="none" w:sz="0" w:space="0" w:color="auto"/>
        <w:bottom w:val="none" w:sz="0" w:space="0" w:color="auto"/>
        <w:right w:val="none" w:sz="0" w:space="0" w:color="auto"/>
      </w:divBdr>
    </w:div>
    <w:div w:id="638344506">
      <w:bodyDiv w:val="1"/>
      <w:marLeft w:val="0"/>
      <w:marRight w:val="0"/>
      <w:marTop w:val="0"/>
      <w:marBottom w:val="0"/>
      <w:divBdr>
        <w:top w:val="none" w:sz="0" w:space="0" w:color="auto"/>
        <w:left w:val="none" w:sz="0" w:space="0" w:color="auto"/>
        <w:bottom w:val="none" w:sz="0" w:space="0" w:color="auto"/>
        <w:right w:val="none" w:sz="0" w:space="0" w:color="auto"/>
      </w:divBdr>
    </w:div>
    <w:div w:id="639186996">
      <w:bodyDiv w:val="1"/>
      <w:marLeft w:val="0"/>
      <w:marRight w:val="0"/>
      <w:marTop w:val="0"/>
      <w:marBottom w:val="0"/>
      <w:divBdr>
        <w:top w:val="none" w:sz="0" w:space="0" w:color="auto"/>
        <w:left w:val="none" w:sz="0" w:space="0" w:color="auto"/>
        <w:bottom w:val="none" w:sz="0" w:space="0" w:color="auto"/>
        <w:right w:val="none" w:sz="0" w:space="0" w:color="auto"/>
      </w:divBdr>
    </w:div>
    <w:div w:id="639846648">
      <w:bodyDiv w:val="1"/>
      <w:marLeft w:val="0"/>
      <w:marRight w:val="0"/>
      <w:marTop w:val="0"/>
      <w:marBottom w:val="0"/>
      <w:divBdr>
        <w:top w:val="none" w:sz="0" w:space="0" w:color="auto"/>
        <w:left w:val="none" w:sz="0" w:space="0" w:color="auto"/>
        <w:bottom w:val="none" w:sz="0" w:space="0" w:color="auto"/>
        <w:right w:val="none" w:sz="0" w:space="0" w:color="auto"/>
      </w:divBdr>
    </w:div>
    <w:div w:id="645476864">
      <w:bodyDiv w:val="1"/>
      <w:marLeft w:val="0"/>
      <w:marRight w:val="0"/>
      <w:marTop w:val="0"/>
      <w:marBottom w:val="0"/>
      <w:divBdr>
        <w:top w:val="none" w:sz="0" w:space="0" w:color="auto"/>
        <w:left w:val="none" w:sz="0" w:space="0" w:color="auto"/>
        <w:bottom w:val="none" w:sz="0" w:space="0" w:color="auto"/>
        <w:right w:val="none" w:sz="0" w:space="0" w:color="auto"/>
      </w:divBdr>
    </w:div>
    <w:div w:id="656105821">
      <w:bodyDiv w:val="1"/>
      <w:marLeft w:val="0"/>
      <w:marRight w:val="0"/>
      <w:marTop w:val="0"/>
      <w:marBottom w:val="0"/>
      <w:divBdr>
        <w:top w:val="none" w:sz="0" w:space="0" w:color="auto"/>
        <w:left w:val="none" w:sz="0" w:space="0" w:color="auto"/>
        <w:bottom w:val="none" w:sz="0" w:space="0" w:color="auto"/>
        <w:right w:val="none" w:sz="0" w:space="0" w:color="auto"/>
      </w:divBdr>
    </w:div>
    <w:div w:id="657924783">
      <w:bodyDiv w:val="1"/>
      <w:marLeft w:val="0"/>
      <w:marRight w:val="0"/>
      <w:marTop w:val="0"/>
      <w:marBottom w:val="0"/>
      <w:divBdr>
        <w:top w:val="none" w:sz="0" w:space="0" w:color="auto"/>
        <w:left w:val="none" w:sz="0" w:space="0" w:color="auto"/>
        <w:bottom w:val="none" w:sz="0" w:space="0" w:color="auto"/>
        <w:right w:val="none" w:sz="0" w:space="0" w:color="auto"/>
      </w:divBdr>
    </w:div>
    <w:div w:id="670378811">
      <w:bodyDiv w:val="1"/>
      <w:marLeft w:val="0"/>
      <w:marRight w:val="0"/>
      <w:marTop w:val="0"/>
      <w:marBottom w:val="0"/>
      <w:divBdr>
        <w:top w:val="none" w:sz="0" w:space="0" w:color="auto"/>
        <w:left w:val="none" w:sz="0" w:space="0" w:color="auto"/>
        <w:bottom w:val="none" w:sz="0" w:space="0" w:color="auto"/>
        <w:right w:val="none" w:sz="0" w:space="0" w:color="auto"/>
      </w:divBdr>
    </w:div>
    <w:div w:id="672076785">
      <w:bodyDiv w:val="1"/>
      <w:marLeft w:val="0"/>
      <w:marRight w:val="0"/>
      <w:marTop w:val="0"/>
      <w:marBottom w:val="0"/>
      <w:divBdr>
        <w:top w:val="none" w:sz="0" w:space="0" w:color="auto"/>
        <w:left w:val="none" w:sz="0" w:space="0" w:color="auto"/>
        <w:bottom w:val="none" w:sz="0" w:space="0" w:color="auto"/>
        <w:right w:val="none" w:sz="0" w:space="0" w:color="auto"/>
      </w:divBdr>
      <w:divsChild>
        <w:div w:id="594099959">
          <w:marLeft w:val="0"/>
          <w:marRight w:val="0"/>
          <w:marTop w:val="0"/>
          <w:marBottom w:val="0"/>
          <w:divBdr>
            <w:top w:val="none" w:sz="0" w:space="0" w:color="auto"/>
            <w:left w:val="none" w:sz="0" w:space="0" w:color="auto"/>
            <w:bottom w:val="none" w:sz="0" w:space="0" w:color="auto"/>
            <w:right w:val="none" w:sz="0" w:space="0" w:color="auto"/>
          </w:divBdr>
        </w:div>
      </w:divsChild>
    </w:div>
    <w:div w:id="672991953">
      <w:bodyDiv w:val="1"/>
      <w:marLeft w:val="0"/>
      <w:marRight w:val="0"/>
      <w:marTop w:val="0"/>
      <w:marBottom w:val="0"/>
      <w:divBdr>
        <w:top w:val="none" w:sz="0" w:space="0" w:color="auto"/>
        <w:left w:val="none" w:sz="0" w:space="0" w:color="auto"/>
        <w:bottom w:val="none" w:sz="0" w:space="0" w:color="auto"/>
        <w:right w:val="none" w:sz="0" w:space="0" w:color="auto"/>
      </w:divBdr>
    </w:div>
    <w:div w:id="675885658">
      <w:bodyDiv w:val="1"/>
      <w:marLeft w:val="0"/>
      <w:marRight w:val="0"/>
      <w:marTop w:val="0"/>
      <w:marBottom w:val="0"/>
      <w:divBdr>
        <w:top w:val="none" w:sz="0" w:space="0" w:color="auto"/>
        <w:left w:val="none" w:sz="0" w:space="0" w:color="auto"/>
        <w:bottom w:val="none" w:sz="0" w:space="0" w:color="auto"/>
        <w:right w:val="none" w:sz="0" w:space="0" w:color="auto"/>
      </w:divBdr>
    </w:div>
    <w:div w:id="693309164">
      <w:bodyDiv w:val="1"/>
      <w:marLeft w:val="0"/>
      <w:marRight w:val="0"/>
      <w:marTop w:val="0"/>
      <w:marBottom w:val="0"/>
      <w:divBdr>
        <w:top w:val="none" w:sz="0" w:space="0" w:color="auto"/>
        <w:left w:val="none" w:sz="0" w:space="0" w:color="auto"/>
        <w:bottom w:val="none" w:sz="0" w:space="0" w:color="auto"/>
        <w:right w:val="none" w:sz="0" w:space="0" w:color="auto"/>
      </w:divBdr>
    </w:div>
    <w:div w:id="698703507">
      <w:bodyDiv w:val="1"/>
      <w:marLeft w:val="0"/>
      <w:marRight w:val="0"/>
      <w:marTop w:val="0"/>
      <w:marBottom w:val="0"/>
      <w:divBdr>
        <w:top w:val="none" w:sz="0" w:space="0" w:color="auto"/>
        <w:left w:val="none" w:sz="0" w:space="0" w:color="auto"/>
        <w:bottom w:val="none" w:sz="0" w:space="0" w:color="auto"/>
        <w:right w:val="none" w:sz="0" w:space="0" w:color="auto"/>
      </w:divBdr>
    </w:div>
    <w:div w:id="705715440">
      <w:bodyDiv w:val="1"/>
      <w:marLeft w:val="0"/>
      <w:marRight w:val="0"/>
      <w:marTop w:val="0"/>
      <w:marBottom w:val="0"/>
      <w:divBdr>
        <w:top w:val="none" w:sz="0" w:space="0" w:color="auto"/>
        <w:left w:val="none" w:sz="0" w:space="0" w:color="auto"/>
        <w:bottom w:val="none" w:sz="0" w:space="0" w:color="auto"/>
        <w:right w:val="none" w:sz="0" w:space="0" w:color="auto"/>
      </w:divBdr>
    </w:div>
    <w:div w:id="706030905">
      <w:bodyDiv w:val="1"/>
      <w:marLeft w:val="0"/>
      <w:marRight w:val="0"/>
      <w:marTop w:val="0"/>
      <w:marBottom w:val="0"/>
      <w:divBdr>
        <w:top w:val="none" w:sz="0" w:space="0" w:color="auto"/>
        <w:left w:val="none" w:sz="0" w:space="0" w:color="auto"/>
        <w:bottom w:val="none" w:sz="0" w:space="0" w:color="auto"/>
        <w:right w:val="none" w:sz="0" w:space="0" w:color="auto"/>
      </w:divBdr>
    </w:div>
    <w:div w:id="707218121">
      <w:bodyDiv w:val="1"/>
      <w:marLeft w:val="0"/>
      <w:marRight w:val="0"/>
      <w:marTop w:val="0"/>
      <w:marBottom w:val="0"/>
      <w:divBdr>
        <w:top w:val="none" w:sz="0" w:space="0" w:color="auto"/>
        <w:left w:val="none" w:sz="0" w:space="0" w:color="auto"/>
        <w:bottom w:val="none" w:sz="0" w:space="0" w:color="auto"/>
        <w:right w:val="none" w:sz="0" w:space="0" w:color="auto"/>
      </w:divBdr>
    </w:div>
    <w:div w:id="707488756">
      <w:bodyDiv w:val="1"/>
      <w:marLeft w:val="0"/>
      <w:marRight w:val="0"/>
      <w:marTop w:val="0"/>
      <w:marBottom w:val="0"/>
      <w:divBdr>
        <w:top w:val="none" w:sz="0" w:space="0" w:color="auto"/>
        <w:left w:val="none" w:sz="0" w:space="0" w:color="auto"/>
        <w:bottom w:val="none" w:sz="0" w:space="0" w:color="auto"/>
        <w:right w:val="none" w:sz="0" w:space="0" w:color="auto"/>
      </w:divBdr>
    </w:div>
    <w:div w:id="711727717">
      <w:bodyDiv w:val="1"/>
      <w:marLeft w:val="0"/>
      <w:marRight w:val="0"/>
      <w:marTop w:val="0"/>
      <w:marBottom w:val="0"/>
      <w:divBdr>
        <w:top w:val="none" w:sz="0" w:space="0" w:color="auto"/>
        <w:left w:val="none" w:sz="0" w:space="0" w:color="auto"/>
        <w:bottom w:val="none" w:sz="0" w:space="0" w:color="auto"/>
        <w:right w:val="none" w:sz="0" w:space="0" w:color="auto"/>
      </w:divBdr>
    </w:div>
    <w:div w:id="717624940">
      <w:bodyDiv w:val="1"/>
      <w:marLeft w:val="0"/>
      <w:marRight w:val="0"/>
      <w:marTop w:val="0"/>
      <w:marBottom w:val="0"/>
      <w:divBdr>
        <w:top w:val="none" w:sz="0" w:space="0" w:color="auto"/>
        <w:left w:val="none" w:sz="0" w:space="0" w:color="auto"/>
        <w:bottom w:val="none" w:sz="0" w:space="0" w:color="auto"/>
        <w:right w:val="none" w:sz="0" w:space="0" w:color="auto"/>
      </w:divBdr>
    </w:div>
    <w:div w:id="719522346">
      <w:bodyDiv w:val="1"/>
      <w:marLeft w:val="0"/>
      <w:marRight w:val="0"/>
      <w:marTop w:val="0"/>
      <w:marBottom w:val="0"/>
      <w:divBdr>
        <w:top w:val="none" w:sz="0" w:space="0" w:color="auto"/>
        <w:left w:val="none" w:sz="0" w:space="0" w:color="auto"/>
        <w:bottom w:val="none" w:sz="0" w:space="0" w:color="auto"/>
        <w:right w:val="none" w:sz="0" w:space="0" w:color="auto"/>
      </w:divBdr>
    </w:div>
    <w:div w:id="729424043">
      <w:bodyDiv w:val="1"/>
      <w:marLeft w:val="0"/>
      <w:marRight w:val="0"/>
      <w:marTop w:val="0"/>
      <w:marBottom w:val="0"/>
      <w:divBdr>
        <w:top w:val="none" w:sz="0" w:space="0" w:color="auto"/>
        <w:left w:val="none" w:sz="0" w:space="0" w:color="auto"/>
        <w:bottom w:val="none" w:sz="0" w:space="0" w:color="auto"/>
        <w:right w:val="none" w:sz="0" w:space="0" w:color="auto"/>
      </w:divBdr>
      <w:divsChild>
        <w:div w:id="1996638096">
          <w:marLeft w:val="0"/>
          <w:marRight w:val="0"/>
          <w:marTop w:val="0"/>
          <w:marBottom w:val="0"/>
          <w:divBdr>
            <w:top w:val="none" w:sz="0" w:space="0" w:color="auto"/>
            <w:left w:val="none" w:sz="0" w:space="0" w:color="auto"/>
            <w:bottom w:val="none" w:sz="0" w:space="0" w:color="auto"/>
            <w:right w:val="none" w:sz="0" w:space="0" w:color="auto"/>
          </w:divBdr>
        </w:div>
        <w:div w:id="2066637731">
          <w:marLeft w:val="0"/>
          <w:marRight w:val="0"/>
          <w:marTop w:val="0"/>
          <w:marBottom w:val="0"/>
          <w:divBdr>
            <w:top w:val="none" w:sz="0" w:space="0" w:color="auto"/>
            <w:left w:val="none" w:sz="0" w:space="0" w:color="auto"/>
            <w:bottom w:val="none" w:sz="0" w:space="0" w:color="auto"/>
            <w:right w:val="none" w:sz="0" w:space="0" w:color="auto"/>
          </w:divBdr>
        </w:div>
        <w:div w:id="310058828">
          <w:marLeft w:val="0"/>
          <w:marRight w:val="0"/>
          <w:marTop w:val="0"/>
          <w:marBottom w:val="0"/>
          <w:divBdr>
            <w:top w:val="none" w:sz="0" w:space="0" w:color="auto"/>
            <w:left w:val="none" w:sz="0" w:space="0" w:color="auto"/>
            <w:bottom w:val="none" w:sz="0" w:space="0" w:color="auto"/>
            <w:right w:val="none" w:sz="0" w:space="0" w:color="auto"/>
          </w:divBdr>
        </w:div>
      </w:divsChild>
    </w:div>
    <w:div w:id="729688684">
      <w:bodyDiv w:val="1"/>
      <w:marLeft w:val="0"/>
      <w:marRight w:val="0"/>
      <w:marTop w:val="0"/>
      <w:marBottom w:val="0"/>
      <w:divBdr>
        <w:top w:val="none" w:sz="0" w:space="0" w:color="auto"/>
        <w:left w:val="none" w:sz="0" w:space="0" w:color="auto"/>
        <w:bottom w:val="none" w:sz="0" w:space="0" w:color="auto"/>
        <w:right w:val="none" w:sz="0" w:space="0" w:color="auto"/>
      </w:divBdr>
    </w:div>
    <w:div w:id="730620667">
      <w:bodyDiv w:val="1"/>
      <w:marLeft w:val="0"/>
      <w:marRight w:val="0"/>
      <w:marTop w:val="0"/>
      <w:marBottom w:val="0"/>
      <w:divBdr>
        <w:top w:val="none" w:sz="0" w:space="0" w:color="auto"/>
        <w:left w:val="none" w:sz="0" w:space="0" w:color="auto"/>
        <w:bottom w:val="none" w:sz="0" w:space="0" w:color="auto"/>
        <w:right w:val="none" w:sz="0" w:space="0" w:color="auto"/>
      </w:divBdr>
    </w:div>
    <w:div w:id="732658129">
      <w:bodyDiv w:val="1"/>
      <w:marLeft w:val="0"/>
      <w:marRight w:val="0"/>
      <w:marTop w:val="0"/>
      <w:marBottom w:val="0"/>
      <w:divBdr>
        <w:top w:val="none" w:sz="0" w:space="0" w:color="auto"/>
        <w:left w:val="none" w:sz="0" w:space="0" w:color="auto"/>
        <w:bottom w:val="none" w:sz="0" w:space="0" w:color="auto"/>
        <w:right w:val="none" w:sz="0" w:space="0" w:color="auto"/>
      </w:divBdr>
    </w:div>
    <w:div w:id="733162527">
      <w:bodyDiv w:val="1"/>
      <w:marLeft w:val="0"/>
      <w:marRight w:val="0"/>
      <w:marTop w:val="0"/>
      <w:marBottom w:val="0"/>
      <w:divBdr>
        <w:top w:val="none" w:sz="0" w:space="0" w:color="auto"/>
        <w:left w:val="none" w:sz="0" w:space="0" w:color="auto"/>
        <w:bottom w:val="none" w:sz="0" w:space="0" w:color="auto"/>
        <w:right w:val="none" w:sz="0" w:space="0" w:color="auto"/>
      </w:divBdr>
    </w:div>
    <w:div w:id="733239911">
      <w:bodyDiv w:val="1"/>
      <w:marLeft w:val="0"/>
      <w:marRight w:val="0"/>
      <w:marTop w:val="0"/>
      <w:marBottom w:val="0"/>
      <w:divBdr>
        <w:top w:val="none" w:sz="0" w:space="0" w:color="auto"/>
        <w:left w:val="none" w:sz="0" w:space="0" w:color="auto"/>
        <w:bottom w:val="none" w:sz="0" w:space="0" w:color="auto"/>
        <w:right w:val="none" w:sz="0" w:space="0" w:color="auto"/>
      </w:divBdr>
    </w:div>
    <w:div w:id="736365381">
      <w:bodyDiv w:val="1"/>
      <w:marLeft w:val="0"/>
      <w:marRight w:val="0"/>
      <w:marTop w:val="0"/>
      <w:marBottom w:val="0"/>
      <w:divBdr>
        <w:top w:val="none" w:sz="0" w:space="0" w:color="auto"/>
        <w:left w:val="none" w:sz="0" w:space="0" w:color="auto"/>
        <w:bottom w:val="none" w:sz="0" w:space="0" w:color="auto"/>
        <w:right w:val="none" w:sz="0" w:space="0" w:color="auto"/>
      </w:divBdr>
    </w:div>
    <w:div w:id="737441343">
      <w:bodyDiv w:val="1"/>
      <w:marLeft w:val="0"/>
      <w:marRight w:val="0"/>
      <w:marTop w:val="0"/>
      <w:marBottom w:val="0"/>
      <w:divBdr>
        <w:top w:val="none" w:sz="0" w:space="0" w:color="auto"/>
        <w:left w:val="none" w:sz="0" w:space="0" w:color="auto"/>
        <w:bottom w:val="none" w:sz="0" w:space="0" w:color="auto"/>
        <w:right w:val="none" w:sz="0" w:space="0" w:color="auto"/>
      </w:divBdr>
    </w:div>
    <w:div w:id="737554764">
      <w:bodyDiv w:val="1"/>
      <w:marLeft w:val="0"/>
      <w:marRight w:val="0"/>
      <w:marTop w:val="0"/>
      <w:marBottom w:val="0"/>
      <w:divBdr>
        <w:top w:val="none" w:sz="0" w:space="0" w:color="auto"/>
        <w:left w:val="none" w:sz="0" w:space="0" w:color="auto"/>
        <w:bottom w:val="none" w:sz="0" w:space="0" w:color="auto"/>
        <w:right w:val="none" w:sz="0" w:space="0" w:color="auto"/>
      </w:divBdr>
    </w:div>
    <w:div w:id="738556995">
      <w:bodyDiv w:val="1"/>
      <w:marLeft w:val="0"/>
      <w:marRight w:val="0"/>
      <w:marTop w:val="0"/>
      <w:marBottom w:val="0"/>
      <w:divBdr>
        <w:top w:val="none" w:sz="0" w:space="0" w:color="auto"/>
        <w:left w:val="none" w:sz="0" w:space="0" w:color="auto"/>
        <w:bottom w:val="none" w:sz="0" w:space="0" w:color="auto"/>
        <w:right w:val="none" w:sz="0" w:space="0" w:color="auto"/>
      </w:divBdr>
    </w:div>
    <w:div w:id="746265062">
      <w:bodyDiv w:val="1"/>
      <w:marLeft w:val="0"/>
      <w:marRight w:val="0"/>
      <w:marTop w:val="0"/>
      <w:marBottom w:val="0"/>
      <w:divBdr>
        <w:top w:val="none" w:sz="0" w:space="0" w:color="auto"/>
        <w:left w:val="none" w:sz="0" w:space="0" w:color="auto"/>
        <w:bottom w:val="none" w:sz="0" w:space="0" w:color="auto"/>
        <w:right w:val="none" w:sz="0" w:space="0" w:color="auto"/>
      </w:divBdr>
    </w:div>
    <w:div w:id="747504907">
      <w:bodyDiv w:val="1"/>
      <w:marLeft w:val="0"/>
      <w:marRight w:val="0"/>
      <w:marTop w:val="0"/>
      <w:marBottom w:val="0"/>
      <w:divBdr>
        <w:top w:val="none" w:sz="0" w:space="0" w:color="auto"/>
        <w:left w:val="none" w:sz="0" w:space="0" w:color="auto"/>
        <w:bottom w:val="none" w:sz="0" w:space="0" w:color="auto"/>
        <w:right w:val="none" w:sz="0" w:space="0" w:color="auto"/>
      </w:divBdr>
    </w:div>
    <w:div w:id="752358844">
      <w:bodyDiv w:val="1"/>
      <w:marLeft w:val="0"/>
      <w:marRight w:val="0"/>
      <w:marTop w:val="0"/>
      <w:marBottom w:val="0"/>
      <w:divBdr>
        <w:top w:val="none" w:sz="0" w:space="0" w:color="auto"/>
        <w:left w:val="none" w:sz="0" w:space="0" w:color="auto"/>
        <w:bottom w:val="none" w:sz="0" w:space="0" w:color="auto"/>
        <w:right w:val="none" w:sz="0" w:space="0" w:color="auto"/>
      </w:divBdr>
    </w:div>
    <w:div w:id="755201700">
      <w:bodyDiv w:val="1"/>
      <w:marLeft w:val="0"/>
      <w:marRight w:val="0"/>
      <w:marTop w:val="0"/>
      <w:marBottom w:val="0"/>
      <w:divBdr>
        <w:top w:val="none" w:sz="0" w:space="0" w:color="auto"/>
        <w:left w:val="none" w:sz="0" w:space="0" w:color="auto"/>
        <w:bottom w:val="none" w:sz="0" w:space="0" w:color="auto"/>
        <w:right w:val="none" w:sz="0" w:space="0" w:color="auto"/>
      </w:divBdr>
      <w:divsChild>
        <w:div w:id="73279242">
          <w:marLeft w:val="0"/>
          <w:marRight w:val="0"/>
          <w:marTop w:val="0"/>
          <w:marBottom w:val="0"/>
          <w:divBdr>
            <w:top w:val="none" w:sz="0" w:space="0" w:color="auto"/>
            <w:left w:val="none" w:sz="0" w:space="0" w:color="auto"/>
            <w:bottom w:val="none" w:sz="0" w:space="0" w:color="auto"/>
            <w:right w:val="none" w:sz="0" w:space="0" w:color="auto"/>
          </w:divBdr>
        </w:div>
      </w:divsChild>
    </w:div>
    <w:div w:id="756708376">
      <w:bodyDiv w:val="1"/>
      <w:marLeft w:val="0"/>
      <w:marRight w:val="0"/>
      <w:marTop w:val="0"/>
      <w:marBottom w:val="0"/>
      <w:divBdr>
        <w:top w:val="none" w:sz="0" w:space="0" w:color="auto"/>
        <w:left w:val="none" w:sz="0" w:space="0" w:color="auto"/>
        <w:bottom w:val="none" w:sz="0" w:space="0" w:color="auto"/>
        <w:right w:val="none" w:sz="0" w:space="0" w:color="auto"/>
      </w:divBdr>
    </w:div>
    <w:div w:id="759911396">
      <w:bodyDiv w:val="1"/>
      <w:marLeft w:val="0"/>
      <w:marRight w:val="0"/>
      <w:marTop w:val="0"/>
      <w:marBottom w:val="0"/>
      <w:divBdr>
        <w:top w:val="none" w:sz="0" w:space="0" w:color="auto"/>
        <w:left w:val="none" w:sz="0" w:space="0" w:color="auto"/>
        <w:bottom w:val="none" w:sz="0" w:space="0" w:color="auto"/>
        <w:right w:val="none" w:sz="0" w:space="0" w:color="auto"/>
      </w:divBdr>
    </w:div>
    <w:div w:id="761607278">
      <w:bodyDiv w:val="1"/>
      <w:marLeft w:val="0"/>
      <w:marRight w:val="0"/>
      <w:marTop w:val="0"/>
      <w:marBottom w:val="0"/>
      <w:divBdr>
        <w:top w:val="none" w:sz="0" w:space="0" w:color="auto"/>
        <w:left w:val="none" w:sz="0" w:space="0" w:color="auto"/>
        <w:bottom w:val="none" w:sz="0" w:space="0" w:color="auto"/>
        <w:right w:val="none" w:sz="0" w:space="0" w:color="auto"/>
      </w:divBdr>
    </w:div>
    <w:div w:id="763455518">
      <w:bodyDiv w:val="1"/>
      <w:marLeft w:val="0"/>
      <w:marRight w:val="0"/>
      <w:marTop w:val="0"/>
      <w:marBottom w:val="0"/>
      <w:divBdr>
        <w:top w:val="none" w:sz="0" w:space="0" w:color="auto"/>
        <w:left w:val="none" w:sz="0" w:space="0" w:color="auto"/>
        <w:bottom w:val="none" w:sz="0" w:space="0" w:color="auto"/>
        <w:right w:val="none" w:sz="0" w:space="0" w:color="auto"/>
      </w:divBdr>
    </w:div>
    <w:div w:id="764111307">
      <w:bodyDiv w:val="1"/>
      <w:marLeft w:val="0"/>
      <w:marRight w:val="0"/>
      <w:marTop w:val="0"/>
      <w:marBottom w:val="0"/>
      <w:divBdr>
        <w:top w:val="none" w:sz="0" w:space="0" w:color="auto"/>
        <w:left w:val="none" w:sz="0" w:space="0" w:color="auto"/>
        <w:bottom w:val="none" w:sz="0" w:space="0" w:color="auto"/>
        <w:right w:val="none" w:sz="0" w:space="0" w:color="auto"/>
      </w:divBdr>
    </w:div>
    <w:div w:id="766848185">
      <w:bodyDiv w:val="1"/>
      <w:marLeft w:val="0"/>
      <w:marRight w:val="0"/>
      <w:marTop w:val="0"/>
      <w:marBottom w:val="0"/>
      <w:divBdr>
        <w:top w:val="none" w:sz="0" w:space="0" w:color="auto"/>
        <w:left w:val="none" w:sz="0" w:space="0" w:color="auto"/>
        <w:bottom w:val="none" w:sz="0" w:space="0" w:color="auto"/>
        <w:right w:val="none" w:sz="0" w:space="0" w:color="auto"/>
      </w:divBdr>
    </w:div>
    <w:div w:id="768501537">
      <w:bodyDiv w:val="1"/>
      <w:marLeft w:val="0"/>
      <w:marRight w:val="0"/>
      <w:marTop w:val="0"/>
      <w:marBottom w:val="0"/>
      <w:divBdr>
        <w:top w:val="none" w:sz="0" w:space="0" w:color="auto"/>
        <w:left w:val="none" w:sz="0" w:space="0" w:color="auto"/>
        <w:bottom w:val="none" w:sz="0" w:space="0" w:color="auto"/>
        <w:right w:val="none" w:sz="0" w:space="0" w:color="auto"/>
      </w:divBdr>
    </w:div>
    <w:div w:id="780996693">
      <w:bodyDiv w:val="1"/>
      <w:marLeft w:val="0"/>
      <w:marRight w:val="0"/>
      <w:marTop w:val="0"/>
      <w:marBottom w:val="0"/>
      <w:divBdr>
        <w:top w:val="none" w:sz="0" w:space="0" w:color="auto"/>
        <w:left w:val="none" w:sz="0" w:space="0" w:color="auto"/>
        <w:bottom w:val="none" w:sz="0" w:space="0" w:color="auto"/>
        <w:right w:val="none" w:sz="0" w:space="0" w:color="auto"/>
      </w:divBdr>
    </w:div>
    <w:div w:id="782191530">
      <w:bodyDiv w:val="1"/>
      <w:marLeft w:val="0"/>
      <w:marRight w:val="0"/>
      <w:marTop w:val="0"/>
      <w:marBottom w:val="0"/>
      <w:divBdr>
        <w:top w:val="none" w:sz="0" w:space="0" w:color="auto"/>
        <w:left w:val="none" w:sz="0" w:space="0" w:color="auto"/>
        <w:bottom w:val="none" w:sz="0" w:space="0" w:color="auto"/>
        <w:right w:val="none" w:sz="0" w:space="0" w:color="auto"/>
      </w:divBdr>
    </w:div>
    <w:div w:id="789010899">
      <w:bodyDiv w:val="1"/>
      <w:marLeft w:val="0"/>
      <w:marRight w:val="0"/>
      <w:marTop w:val="0"/>
      <w:marBottom w:val="0"/>
      <w:divBdr>
        <w:top w:val="none" w:sz="0" w:space="0" w:color="auto"/>
        <w:left w:val="none" w:sz="0" w:space="0" w:color="auto"/>
        <w:bottom w:val="none" w:sz="0" w:space="0" w:color="auto"/>
        <w:right w:val="none" w:sz="0" w:space="0" w:color="auto"/>
      </w:divBdr>
    </w:div>
    <w:div w:id="790591915">
      <w:bodyDiv w:val="1"/>
      <w:marLeft w:val="0"/>
      <w:marRight w:val="0"/>
      <w:marTop w:val="0"/>
      <w:marBottom w:val="0"/>
      <w:divBdr>
        <w:top w:val="none" w:sz="0" w:space="0" w:color="auto"/>
        <w:left w:val="none" w:sz="0" w:space="0" w:color="auto"/>
        <w:bottom w:val="none" w:sz="0" w:space="0" w:color="auto"/>
        <w:right w:val="none" w:sz="0" w:space="0" w:color="auto"/>
      </w:divBdr>
    </w:div>
    <w:div w:id="790780375">
      <w:bodyDiv w:val="1"/>
      <w:marLeft w:val="0"/>
      <w:marRight w:val="0"/>
      <w:marTop w:val="0"/>
      <w:marBottom w:val="0"/>
      <w:divBdr>
        <w:top w:val="none" w:sz="0" w:space="0" w:color="auto"/>
        <w:left w:val="none" w:sz="0" w:space="0" w:color="auto"/>
        <w:bottom w:val="none" w:sz="0" w:space="0" w:color="auto"/>
        <w:right w:val="none" w:sz="0" w:space="0" w:color="auto"/>
      </w:divBdr>
    </w:div>
    <w:div w:id="791435958">
      <w:bodyDiv w:val="1"/>
      <w:marLeft w:val="0"/>
      <w:marRight w:val="0"/>
      <w:marTop w:val="0"/>
      <w:marBottom w:val="0"/>
      <w:divBdr>
        <w:top w:val="none" w:sz="0" w:space="0" w:color="auto"/>
        <w:left w:val="none" w:sz="0" w:space="0" w:color="auto"/>
        <w:bottom w:val="none" w:sz="0" w:space="0" w:color="auto"/>
        <w:right w:val="none" w:sz="0" w:space="0" w:color="auto"/>
      </w:divBdr>
    </w:div>
    <w:div w:id="791435976">
      <w:bodyDiv w:val="1"/>
      <w:marLeft w:val="0"/>
      <w:marRight w:val="0"/>
      <w:marTop w:val="0"/>
      <w:marBottom w:val="0"/>
      <w:divBdr>
        <w:top w:val="none" w:sz="0" w:space="0" w:color="auto"/>
        <w:left w:val="none" w:sz="0" w:space="0" w:color="auto"/>
        <w:bottom w:val="none" w:sz="0" w:space="0" w:color="auto"/>
        <w:right w:val="none" w:sz="0" w:space="0" w:color="auto"/>
      </w:divBdr>
    </w:div>
    <w:div w:id="792988688">
      <w:bodyDiv w:val="1"/>
      <w:marLeft w:val="0"/>
      <w:marRight w:val="0"/>
      <w:marTop w:val="0"/>
      <w:marBottom w:val="0"/>
      <w:divBdr>
        <w:top w:val="none" w:sz="0" w:space="0" w:color="auto"/>
        <w:left w:val="none" w:sz="0" w:space="0" w:color="auto"/>
        <w:bottom w:val="none" w:sz="0" w:space="0" w:color="auto"/>
        <w:right w:val="none" w:sz="0" w:space="0" w:color="auto"/>
      </w:divBdr>
    </w:div>
    <w:div w:id="795413011">
      <w:bodyDiv w:val="1"/>
      <w:marLeft w:val="0"/>
      <w:marRight w:val="0"/>
      <w:marTop w:val="0"/>
      <w:marBottom w:val="0"/>
      <w:divBdr>
        <w:top w:val="none" w:sz="0" w:space="0" w:color="auto"/>
        <w:left w:val="none" w:sz="0" w:space="0" w:color="auto"/>
        <w:bottom w:val="none" w:sz="0" w:space="0" w:color="auto"/>
        <w:right w:val="none" w:sz="0" w:space="0" w:color="auto"/>
      </w:divBdr>
    </w:div>
    <w:div w:id="801002958">
      <w:bodyDiv w:val="1"/>
      <w:marLeft w:val="0"/>
      <w:marRight w:val="0"/>
      <w:marTop w:val="0"/>
      <w:marBottom w:val="0"/>
      <w:divBdr>
        <w:top w:val="none" w:sz="0" w:space="0" w:color="auto"/>
        <w:left w:val="none" w:sz="0" w:space="0" w:color="auto"/>
        <w:bottom w:val="none" w:sz="0" w:space="0" w:color="auto"/>
        <w:right w:val="none" w:sz="0" w:space="0" w:color="auto"/>
      </w:divBdr>
    </w:div>
    <w:div w:id="801114603">
      <w:bodyDiv w:val="1"/>
      <w:marLeft w:val="0"/>
      <w:marRight w:val="0"/>
      <w:marTop w:val="0"/>
      <w:marBottom w:val="0"/>
      <w:divBdr>
        <w:top w:val="none" w:sz="0" w:space="0" w:color="auto"/>
        <w:left w:val="none" w:sz="0" w:space="0" w:color="auto"/>
        <w:bottom w:val="none" w:sz="0" w:space="0" w:color="auto"/>
        <w:right w:val="none" w:sz="0" w:space="0" w:color="auto"/>
      </w:divBdr>
    </w:div>
    <w:div w:id="801456987">
      <w:bodyDiv w:val="1"/>
      <w:marLeft w:val="0"/>
      <w:marRight w:val="0"/>
      <w:marTop w:val="0"/>
      <w:marBottom w:val="0"/>
      <w:divBdr>
        <w:top w:val="none" w:sz="0" w:space="0" w:color="auto"/>
        <w:left w:val="none" w:sz="0" w:space="0" w:color="auto"/>
        <w:bottom w:val="none" w:sz="0" w:space="0" w:color="auto"/>
        <w:right w:val="none" w:sz="0" w:space="0" w:color="auto"/>
      </w:divBdr>
    </w:div>
    <w:div w:id="803086136">
      <w:bodyDiv w:val="1"/>
      <w:marLeft w:val="0"/>
      <w:marRight w:val="0"/>
      <w:marTop w:val="0"/>
      <w:marBottom w:val="0"/>
      <w:divBdr>
        <w:top w:val="none" w:sz="0" w:space="0" w:color="auto"/>
        <w:left w:val="none" w:sz="0" w:space="0" w:color="auto"/>
        <w:bottom w:val="none" w:sz="0" w:space="0" w:color="auto"/>
        <w:right w:val="none" w:sz="0" w:space="0" w:color="auto"/>
      </w:divBdr>
    </w:div>
    <w:div w:id="803543195">
      <w:bodyDiv w:val="1"/>
      <w:marLeft w:val="0"/>
      <w:marRight w:val="0"/>
      <w:marTop w:val="0"/>
      <w:marBottom w:val="0"/>
      <w:divBdr>
        <w:top w:val="none" w:sz="0" w:space="0" w:color="auto"/>
        <w:left w:val="none" w:sz="0" w:space="0" w:color="auto"/>
        <w:bottom w:val="none" w:sz="0" w:space="0" w:color="auto"/>
        <w:right w:val="none" w:sz="0" w:space="0" w:color="auto"/>
      </w:divBdr>
    </w:div>
    <w:div w:id="809638191">
      <w:bodyDiv w:val="1"/>
      <w:marLeft w:val="0"/>
      <w:marRight w:val="0"/>
      <w:marTop w:val="0"/>
      <w:marBottom w:val="0"/>
      <w:divBdr>
        <w:top w:val="none" w:sz="0" w:space="0" w:color="auto"/>
        <w:left w:val="none" w:sz="0" w:space="0" w:color="auto"/>
        <w:bottom w:val="none" w:sz="0" w:space="0" w:color="auto"/>
        <w:right w:val="none" w:sz="0" w:space="0" w:color="auto"/>
      </w:divBdr>
    </w:div>
    <w:div w:id="813722350">
      <w:bodyDiv w:val="1"/>
      <w:marLeft w:val="0"/>
      <w:marRight w:val="0"/>
      <w:marTop w:val="0"/>
      <w:marBottom w:val="0"/>
      <w:divBdr>
        <w:top w:val="none" w:sz="0" w:space="0" w:color="auto"/>
        <w:left w:val="none" w:sz="0" w:space="0" w:color="auto"/>
        <w:bottom w:val="none" w:sz="0" w:space="0" w:color="auto"/>
        <w:right w:val="none" w:sz="0" w:space="0" w:color="auto"/>
      </w:divBdr>
    </w:div>
    <w:div w:id="814370379">
      <w:bodyDiv w:val="1"/>
      <w:marLeft w:val="0"/>
      <w:marRight w:val="0"/>
      <w:marTop w:val="0"/>
      <w:marBottom w:val="0"/>
      <w:divBdr>
        <w:top w:val="none" w:sz="0" w:space="0" w:color="auto"/>
        <w:left w:val="none" w:sz="0" w:space="0" w:color="auto"/>
        <w:bottom w:val="none" w:sz="0" w:space="0" w:color="auto"/>
        <w:right w:val="none" w:sz="0" w:space="0" w:color="auto"/>
      </w:divBdr>
    </w:div>
    <w:div w:id="815806195">
      <w:bodyDiv w:val="1"/>
      <w:marLeft w:val="0"/>
      <w:marRight w:val="0"/>
      <w:marTop w:val="0"/>
      <w:marBottom w:val="0"/>
      <w:divBdr>
        <w:top w:val="none" w:sz="0" w:space="0" w:color="auto"/>
        <w:left w:val="none" w:sz="0" w:space="0" w:color="auto"/>
        <w:bottom w:val="none" w:sz="0" w:space="0" w:color="auto"/>
        <w:right w:val="none" w:sz="0" w:space="0" w:color="auto"/>
      </w:divBdr>
    </w:div>
    <w:div w:id="816848515">
      <w:bodyDiv w:val="1"/>
      <w:marLeft w:val="0"/>
      <w:marRight w:val="0"/>
      <w:marTop w:val="0"/>
      <w:marBottom w:val="0"/>
      <w:divBdr>
        <w:top w:val="none" w:sz="0" w:space="0" w:color="auto"/>
        <w:left w:val="none" w:sz="0" w:space="0" w:color="auto"/>
        <w:bottom w:val="none" w:sz="0" w:space="0" w:color="auto"/>
        <w:right w:val="none" w:sz="0" w:space="0" w:color="auto"/>
      </w:divBdr>
    </w:div>
    <w:div w:id="827670792">
      <w:bodyDiv w:val="1"/>
      <w:marLeft w:val="0"/>
      <w:marRight w:val="0"/>
      <w:marTop w:val="0"/>
      <w:marBottom w:val="0"/>
      <w:divBdr>
        <w:top w:val="none" w:sz="0" w:space="0" w:color="auto"/>
        <w:left w:val="none" w:sz="0" w:space="0" w:color="auto"/>
        <w:bottom w:val="none" w:sz="0" w:space="0" w:color="auto"/>
        <w:right w:val="none" w:sz="0" w:space="0" w:color="auto"/>
      </w:divBdr>
    </w:div>
    <w:div w:id="837233438">
      <w:bodyDiv w:val="1"/>
      <w:marLeft w:val="0"/>
      <w:marRight w:val="0"/>
      <w:marTop w:val="0"/>
      <w:marBottom w:val="0"/>
      <w:divBdr>
        <w:top w:val="none" w:sz="0" w:space="0" w:color="auto"/>
        <w:left w:val="none" w:sz="0" w:space="0" w:color="auto"/>
        <w:bottom w:val="none" w:sz="0" w:space="0" w:color="auto"/>
        <w:right w:val="none" w:sz="0" w:space="0" w:color="auto"/>
      </w:divBdr>
    </w:div>
    <w:div w:id="843132209">
      <w:bodyDiv w:val="1"/>
      <w:marLeft w:val="0"/>
      <w:marRight w:val="0"/>
      <w:marTop w:val="0"/>
      <w:marBottom w:val="0"/>
      <w:divBdr>
        <w:top w:val="none" w:sz="0" w:space="0" w:color="auto"/>
        <w:left w:val="none" w:sz="0" w:space="0" w:color="auto"/>
        <w:bottom w:val="none" w:sz="0" w:space="0" w:color="auto"/>
        <w:right w:val="none" w:sz="0" w:space="0" w:color="auto"/>
      </w:divBdr>
    </w:div>
    <w:div w:id="843742371">
      <w:bodyDiv w:val="1"/>
      <w:marLeft w:val="0"/>
      <w:marRight w:val="0"/>
      <w:marTop w:val="0"/>
      <w:marBottom w:val="0"/>
      <w:divBdr>
        <w:top w:val="none" w:sz="0" w:space="0" w:color="auto"/>
        <w:left w:val="none" w:sz="0" w:space="0" w:color="auto"/>
        <w:bottom w:val="none" w:sz="0" w:space="0" w:color="auto"/>
        <w:right w:val="none" w:sz="0" w:space="0" w:color="auto"/>
      </w:divBdr>
    </w:div>
    <w:div w:id="851455864">
      <w:bodyDiv w:val="1"/>
      <w:marLeft w:val="0"/>
      <w:marRight w:val="0"/>
      <w:marTop w:val="0"/>
      <w:marBottom w:val="0"/>
      <w:divBdr>
        <w:top w:val="none" w:sz="0" w:space="0" w:color="auto"/>
        <w:left w:val="none" w:sz="0" w:space="0" w:color="auto"/>
        <w:bottom w:val="none" w:sz="0" w:space="0" w:color="auto"/>
        <w:right w:val="none" w:sz="0" w:space="0" w:color="auto"/>
      </w:divBdr>
    </w:div>
    <w:div w:id="851797191">
      <w:bodyDiv w:val="1"/>
      <w:marLeft w:val="0"/>
      <w:marRight w:val="0"/>
      <w:marTop w:val="0"/>
      <w:marBottom w:val="0"/>
      <w:divBdr>
        <w:top w:val="none" w:sz="0" w:space="0" w:color="auto"/>
        <w:left w:val="none" w:sz="0" w:space="0" w:color="auto"/>
        <w:bottom w:val="none" w:sz="0" w:space="0" w:color="auto"/>
        <w:right w:val="none" w:sz="0" w:space="0" w:color="auto"/>
      </w:divBdr>
    </w:div>
    <w:div w:id="860169670">
      <w:bodyDiv w:val="1"/>
      <w:marLeft w:val="0"/>
      <w:marRight w:val="0"/>
      <w:marTop w:val="0"/>
      <w:marBottom w:val="0"/>
      <w:divBdr>
        <w:top w:val="none" w:sz="0" w:space="0" w:color="auto"/>
        <w:left w:val="none" w:sz="0" w:space="0" w:color="auto"/>
        <w:bottom w:val="none" w:sz="0" w:space="0" w:color="auto"/>
        <w:right w:val="none" w:sz="0" w:space="0" w:color="auto"/>
      </w:divBdr>
      <w:divsChild>
        <w:div w:id="956763086">
          <w:marLeft w:val="0"/>
          <w:marRight w:val="0"/>
          <w:marTop w:val="0"/>
          <w:marBottom w:val="0"/>
          <w:divBdr>
            <w:top w:val="none" w:sz="0" w:space="0" w:color="auto"/>
            <w:left w:val="none" w:sz="0" w:space="0" w:color="auto"/>
            <w:bottom w:val="none" w:sz="0" w:space="0" w:color="auto"/>
            <w:right w:val="none" w:sz="0" w:space="0" w:color="auto"/>
          </w:divBdr>
        </w:div>
        <w:div w:id="1614970702">
          <w:marLeft w:val="0"/>
          <w:marRight w:val="0"/>
          <w:marTop w:val="0"/>
          <w:marBottom w:val="0"/>
          <w:divBdr>
            <w:top w:val="none" w:sz="0" w:space="0" w:color="auto"/>
            <w:left w:val="none" w:sz="0" w:space="0" w:color="auto"/>
            <w:bottom w:val="none" w:sz="0" w:space="0" w:color="auto"/>
            <w:right w:val="none" w:sz="0" w:space="0" w:color="auto"/>
          </w:divBdr>
        </w:div>
        <w:div w:id="146020952">
          <w:marLeft w:val="0"/>
          <w:marRight w:val="0"/>
          <w:marTop w:val="0"/>
          <w:marBottom w:val="0"/>
          <w:divBdr>
            <w:top w:val="none" w:sz="0" w:space="0" w:color="auto"/>
            <w:left w:val="none" w:sz="0" w:space="0" w:color="auto"/>
            <w:bottom w:val="none" w:sz="0" w:space="0" w:color="auto"/>
            <w:right w:val="none" w:sz="0" w:space="0" w:color="auto"/>
          </w:divBdr>
        </w:div>
        <w:div w:id="1095859961">
          <w:marLeft w:val="0"/>
          <w:marRight w:val="0"/>
          <w:marTop w:val="0"/>
          <w:marBottom w:val="0"/>
          <w:divBdr>
            <w:top w:val="none" w:sz="0" w:space="0" w:color="auto"/>
            <w:left w:val="none" w:sz="0" w:space="0" w:color="auto"/>
            <w:bottom w:val="none" w:sz="0" w:space="0" w:color="auto"/>
            <w:right w:val="none" w:sz="0" w:space="0" w:color="auto"/>
          </w:divBdr>
        </w:div>
      </w:divsChild>
    </w:div>
    <w:div w:id="860170075">
      <w:bodyDiv w:val="1"/>
      <w:marLeft w:val="0"/>
      <w:marRight w:val="0"/>
      <w:marTop w:val="0"/>
      <w:marBottom w:val="0"/>
      <w:divBdr>
        <w:top w:val="none" w:sz="0" w:space="0" w:color="auto"/>
        <w:left w:val="none" w:sz="0" w:space="0" w:color="auto"/>
        <w:bottom w:val="none" w:sz="0" w:space="0" w:color="auto"/>
        <w:right w:val="none" w:sz="0" w:space="0" w:color="auto"/>
      </w:divBdr>
    </w:div>
    <w:div w:id="865102079">
      <w:bodyDiv w:val="1"/>
      <w:marLeft w:val="0"/>
      <w:marRight w:val="0"/>
      <w:marTop w:val="0"/>
      <w:marBottom w:val="0"/>
      <w:divBdr>
        <w:top w:val="none" w:sz="0" w:space="0" w:color="auto"/>
        <w:left w:val="none" w:sz="0" w:space="0" w:color="auto"/>
        <w:bottom w:val="none" w:sz="0" w:space="0" w:color="auto"/>
        <w:right w:val="none" w:sz="0" w:space="0" w:color="auto"/>
      </w:divBdr>
    </w:div>
    <w:div w:id="866017960">
      <w:bodyDiv w:val="1"/>
      <w:marLeft w:val="0"/>
      <w:marRight w:val="0"/>
      <w:marTop w:val="0"/>
      <w:marBottom w:val="0"/>
      <w:divBdr>
        <w:top w:val="none" w:sz="0" w:space="0" w:color="auto"/>
        <w:left w:val="none" w:sz="0" w:space="0" w:color="auto"/>
        <w:bottom w:val="none" w:sz="0" w:space="0" w:color="auto"/>
        <w:right w:val="none" w:sz="0" w:space="0" w:color="auto"/>
      </w:divBdr>
    </w:div>
    <w:div w:id="871571049">
      <w:bodyDiv w:val="1"/>
      <w:marLeft w:val="0"/>
      <w:marRight w:val="0"/>
      <w:marTop w:val="0"/>
      <w:marBottom w:val="0"/>
      <w:divBdr>
        <w:top w:val="none" w:sz="0" w:space="0" w:color="auto"/>
        <w:left w:val="none" w:sz="0" w:space="0" w:color="auto"/>
        <w:bottom w:val="none" w:sz="0" w:space="0" w:color="auto"/>
        <w:right w:val="none" w:sz="0" w:space="0" w:color="auto"/>
      </w:divBdr>
    </w:div>
    <w:div w:id="872423449">
      <w:bodyDiv w:val="1"/>
      <w:marLeft w:val="0"/>
      <w:marRight w:val="0"/>
      <w:marTop w:val="0"/>
      <w:marBottom w:val="0"/>
      <w:divBdr>
        <w:top w:val="none" w:sz="0" w:space="0" w:color="auto"/>
        <w:left w:val="none" w:sz="0" w:space="0" w:color="auto"/>
        <w:bottom w:val="none" w:sz="0" w:space="0" w:color="auto"/>
        <w:right w:val="none" w:sz="0" w:space="0" w:color="auto"/>
      </w:divBdr>
    </w:div>
    <w:div w:id="876626606">
      <w:bodyDiv w:val="1"/>
      <w:marLeft w:val="0"/>
      <w:marRight w:val="0"/>
      <w:marTop w:val="0"/>
      <w:marBottom w:val="0"/>
      <w:divBdr>
        <w:top w:val="none" w:sz="0" w:space="0" w:color="auto"/>
        <w:left w:val="none" w:sz="0" w:space="0" w:color="auto"/>
        <w:bottom w:val="none" w:sz="0" w:space="0" w:color="auto"/>
        <w:right w:val="none" w:sz="0" w:space="0" w:color="auto"/>
      </w:divBdr>
    </w:div>
    <w:div w:id="878932605">
      <w:bodyDiv w:val="1"/>
      <w:marLeft w:val="0"/>
      <w:marRight w:val="0"/>
      <w:marTop w:val="0"/>
      <w:marBottom w:val="0"/>
      <w:divBdr>
        <w:top w:val="none" w:sz="0" w:space="0" w:color="auto"/>
        <w:left w:val="none" w:sz="0" w:space="0" w:color="auto"/>
        <w:bottom w:val="none" w:sz="0" w:space="0" w:color="auto"/>
        <w:right w:val="none" w:sz="0" w:space="0" w:color="auto"/>
      </w:divBdr>
    </w:div>
    <w:div w:id="879559486">
      <w:bodyDiv w:val="1"/>
      <w:marLeft w:val="0"/>
      <w:marRight w:val="0"/>
      <w:marTop w:val="0"/>
      <w:marBottom w:val="0"/>
      <w:divBdr>
        <w:top w:val="none" w:sz="0" w:space="0" w:color="auto"/>
        <w:left w:val="none" w:sz="0" w:space="0" w:color="auto"/>
        <w:bottom w:val="none" w:sz="0" w:space="0" w:color="auto"/>
        <w:right w:val="none" w:sz="0" w:space="0" w:color="auto"/>
      </w:divBdr>
    </w:div>
    <w:div w:id="880168414">
      <w:bodyDiv w:val="1"/>
      <w:marLeft w:val="0"/>
      <w:marRight w:val="0"/>
      <w:marTop w:val="0"/>
      <w:marBottom w:val="0"/>
      <w:divBdr>
        <w:top w:val="none" w:sz="0" w:space="0" w:color="auto"/>
        <w:left w:val="none" w:sz="0" w:space="0" w:color="auto"/>
        <w:bottom w:val="none" w:sz="0" w:space="0" w:color="auto"/>
        <w:right w:val="none" w:sz="0" w:space="0" w:color="auto"/>
      </w:divBdr>
    </w:div>
    <w:div w:id="881792505">
      <w:bodyDiv w:val="1"/>
      <w:marLeft w:val="0"/>
      <w:marRight w:val="0"/>
      <w:marTop w:val="0"/>
      <w:marBottom w:val="0"/>
      <w:divBdr>
        <w:top w:val="none" w:sz="0" w:space="0" w:color="auto"/>
        <w:left w:val="none" w:sz="0" w:space="0" w:color="auto"/>
        <w:bottom w:val="none" w:sz="0" w:space="0" w:color="auto"/>
        <w:right w:val="none" w:sz="0" w:space="0" w:color="auto"/>
      </w:divBdr>
    </w:div>
    <w:div w:id="889607173">
      <w:bodyDiv w:val="1"/>
      <w:marLeft w:val="0"/>
      <w:marRight w:val="0"/>
      <w:marTop w:val="0"/>
      <w:marBottom w:val="0"/>
      <w:divBdr>
        <w:top w:val="none" w:sz="0" w:space="0" w:color="auto"/>
        <w:left w:val="none" w:sz="0" w:space="0" w:color="auto"/>
        <w:bottom w:val="none" w:sz="0" w:space="0" w:color="auto"/>
        <w:right w:val="none" w:sz="0" w:space="0" w:color="auto"/>
      </w:divBdr>
    </w:div>
    <w:div w:id="891815958">
      <w:bodyDiv w:val="1"/>
      <w:marLeft w:val="0"/>
      <w:marRight w:val="0"/>
      <w:marTop w:val="0"/>
      <w:marBottom w:val="0"/>
      <w:divBdr>
        <w:top w:val="none" w:sz="0" w:space="0" w:color="auto"/>
        <w:left w:val="none" w:sz="0" w:space="0" w:color="auto"/>
        <w:bottom w:val="none" w:sz="0" w:space="0" w:color="auto"/>
        <w:right w:val="none" w:sz="0" w:space="0" w:color="auto"/>
      </w:divBdr>
    </w:div>
    <w:div w:id="896819195">
      <w:bodyDiv w:val="1"/>
      <w:marLeft w:val="0"/>
      <w:marRight w:val="0"/>
      <w:marTop w:val="0"/>
      <w:marBottom w:val="0"/>
      <w:divBdr>
        <w:top w:val="none" w:sz="0" w:space="0" w:color="auto"/>
        <w:left w:val="none" w:sz="0" w:space="0" w:color="auto"/>
        <w:bottom w:val="none" w:sz="0" w:space="0" w:color="auto"/>
        <w:right w:val="none" w:sz="0" w:space="0" w:color="auto"/>
      </w:divBdr>
    </w:div>
    <w:div w:id="898325921">
      <w:bodyDiv w:val="1"/>
      <w:marLeft w:val="0"/>
      <w:marRight w:val="0"/>
      <w:marTop w:val="0"/>
      <w:marBottom w:val="0"/>
      <w:divBdr>
        <w:top w:val="none" w:sz="0" w:space="0" w:color="auto"/>
        <w:left w:val="none" w:sz="0" w:space="0" w:color="auto"/>
        <w:bottom w:val="none" w:sz="0" w:space="0" w:color="auto"/>
        <w:right w:val="none" w:sz="0" w:space="0" w:color="auto"/>
      </w:divBdr>
    </w:div>
    <w:div w:id="900675231">
      <w:bodyDiv w:val="1"/>
      <w:marLeft w:val="0"/>
      <w:marRight w:val="0"/>
      <w:marTop w:val="0"/>
      <w:marBottom w:val="0"/>
      <w:divBdr>
        <w:top w:val="none" w:sz="0" w:space="0" w:color="auto"/>
        <w:left w:val="none" w:sz="0" w:space="0" w:color="auto"/>
        <w:bottom w:val="none" w:sz="0" w:space="0" w:color="auto"/>
        <w:right w:val="none" w:sz="0" w:space="0" w:color="auto"/>
      </w:divBdr>
    </w:div>
    <w:div w:id="901403216">
      <w:bodyDiv w:val="1"/>
      <w:marLeft w:val="0"/>
      <w:marRight w:val="0"/>
      <w:marTop w:val="0"/>
      <w:marBottom w:val="0"/>
      <w:divBdr>
        <w:top w:val="none" w:sz="0" w:space="0" w:color="auto"/>
        <w:left w:val="none" w:sz="0" w:space="0" w:color="auto"/>
        <w:bottom w:val="none" w:sz="0" w:space="0" w:color="auto"/>
        <w:right w:val="none" w:sz="0" w:space="0" w:color="auto"/>
      </w:divBdr>
    </w:div>
    <w:div w:id="904073403">
      <w:bodyDiv w:val="1"/>
      <w:marLeft w:val="0"/>
      <w:marRight w:val="0"/>
      <w:marTop w:val="0"/>
      <w:marBottom w:val="0"/>
      <w:divBdr>
        <w:top w:val="none" w:sz="0" w:space="0" w:color="auto"/>
        <w:left w:val="none" w:sz="0" w:space="0" w:color="auto"/>
        <w:bottom w:val="none" w:sz="0" w:space="0" w:color="auto"/>
        <w:right w:val="none" w:sz="0" w:space="0" w:color="auto"/>
      </w:divBdr>
    </w:div>
    <w:div w:id="906577420">
      <w:bodyDiv w:val="1"/>
      <w:marLeft w:val="0"/>
      <w:marRight w:val="0"/>
      <w:marTop w:val="0"/>
      <w:marBottom w:val="0"/>
      <w:divBdr>
        <w:top w:val="none" w:sz="0" w:space="0" w:color="auto"/>
        <w:left w:val="none" w:sz="0" w:space="0" w:color="auto"/>
        <w:bottom w:val="none" w:sz="0" w:space="0" w:color="auto"/>
        <w:right w:val="none" w:sz="0" w:space="0" w:color="auto"/>
      </w:divBdr>
    </w:div>
    <w:div w:id="909199116">
      <w:bodyDiv w:val="1"/>
      <w:marLeft w:val="0"/>
      <w:marRight w:val="0"/>
      <w:marTop w:val="0"/>
      <w:marBottom w:val="0"/>
      <w:divBdr>
        <w:top w:val="none" w:sz="0" w:space="0" w:color="auto"/>
        <w:left w:val="none" w:sz="0" w:space="0" w:color="auto"/>
        <w:bottom w:val="none" w:sz="0" w:space="0" w:color="auto"/>
        <w:right w:val="none" w:sz="0" w:space="0" w:color="auto"/>
      </w:divBdr>
    </w:div>
    <w:div w:id="911351908">
      <w:bodyDiv w:val="1"/>
      <w:marLeft w:val="0"/>
      <w:marRight w:val="0"/>
      <w:marTop w:val="0"/>
      <w:marBottom w:val="0"/>
      <w:divBdr>
        <w:top w:val="none" w:sz="0" w:space="0" w:color="auto"/>
        <w:left w:val="none" w:sz="0" w:space="0" w:color="auto"/>
        <w:bottom w:val="none" w:sz="0" w:space="0" w:color="auto"/>
        <w:right w:val="none" w:sz="0" w:space="0" w:color="auto"/>
      </w:divBdr>
    </w:div>
    <w:div w:id="914126805">
      <w:bodyDiv w:val="1"/>
      <w:marLeft w:val="0"/>
      <w:marRight w:val="0"/>
      <w:marTop w:val="0"/>
      <w:marBottom w:val="0"/>
      <w:divBdr>
        <w:top w:val="none" w:sz="0" w:space="0" w:color="auto"/>
        <w:left w:val="none" w:sz="0" w:space="0" w:color="auto"/>
        <w:bottom w:val="none" w:sz="0" w:space="0" w:color="auto"/>
        <w:right w:val="none" w:sz="0" w:space="0" w:color="auto"/>
      </w:divBdr>
    </w:div>
    <w:div w:id="917010576">
      <w:bodyDiv w:val="1"/>
      <w:marLeft w:val="0"/>
      <w:marRight w:val="0"/>
      <w:marTop w:val="0"/>
      <w:marBottom w:val="0"/>
      <w:divBdr>
        <w:top w:val="none" w:sz="0" w:space="0" w:color="auto"/>
        <w:left w:val="none" w:sz="0" w:space="0" w:color="auto"/>
        <w:bottom w:val="none" w:sz="0" w:space="0" w:color="auto"/>
        <w:right w:val="none" w:sz="0" w:space="0" w:color="auto"/>
      </w:divBdr>
    </w:div>
    <w:div w:id="917640790">
      <w:bodyDiv w:val="1"/>
      <w:marLeft w:val="0"/>
      <w:marRight w:val="0"/>
      <w:marTop w:val="0"/>
      <w:marBottom w:val="0"/>
      <w:divBdr>
        <w:top w:val="none" w:sz="0" w:space="0" w:color="auto"/>
        <w:left w:val="none" w:sz="0" w:space="0" w:color="auto"/>
        <w:bottom w:val="none" w:sz="0" w:space="0" w:color="auto"/>
        <w:right w:val="none" w:sz="0" w:space="0" w:color="auto"/>
      </w:divBdr>
    </w:div>
    <w:div w:id="920799480">
      <w:bodyDiv w:val="1"/>
      <w:marLeft w:val="0"/>
      <w:marRight w:val="0"/>
      <w:marTop w:val="0"/>
      <w:marBottom w:val="0"/>
      <w:divBdr>
        <w:top w:val="none" w:sz="0" w:space="0" w:color="auto"/>
        <w:left w:val="none" w:sz="0" w:space="0" w:color="auto"/>
        <w:bottom w:val="none" w:sz="0" w:space="0" w:color="auto"/>
        <w:right w:val="none" w:sz="0" w:space="0" w:color="auto"/>
      </w:divBdr>
    </w:div>
    <w:div w:id="922295423">
      <w:bodyDiv w:val="1"/>
      <w:marLeft w:val="0"/>
      <w:marRight w:val="0"/>
      <w:marTop w:val="0"/>
      <w:marBottom w:val="0"/>
      <w:divBdr>
        <w:top w:val="none" w:sz="0" w:space="0" w:color="auto"/>
        <w:left w:val="none" w:sz="0" w:space="0" w:color="auto"/>
        <w:bottom w:val="none" w:sz="0" w:space="0" w:color="auto"/>
        <w:right w:val="none" w:sz="0" w:space="0" w:color="auto"/>
      </w:divBdr>
      <w:divsChild>
        <w:div w:id="1362973084">
          <w:marLeft w:val="0"/>
          <w:marRight w:val="0"/>
          <w:marTop w:val="15"/>
          <w:marBottom w:val="0"/>
          <w:divBdr>
            <w:top w:val="none" w:sz="0" w:space="0" w:color="auto"/>
            <w:left w:val="none" w:sz="0" w:space="0" w:color="auto"/>
            <w:bottom w:val="none" w:sz="0" w:space="0" w:color="auto"/>
            <w:right w:val="none" w:sz="0" w:space="0" w:color="auto"/>
          </w:divBdr>
          <w:divsChild>
            <w:div w:id="550580776">
              <w:marLeft w:val="0"/>
              <w:marRight w:val="0"/>
              <w:marTop w:val="0"/>
              <w:marBottom w:val="0"/>
              <w:divBdr>
                <w:top w:val="none" w:sz="0" w:space="0" w:color="auto"/>
                <w:left w:val="none" w:sz="0" w:space="0" w:color="auto"/>
                <w:bottom w:val="none" w:sz="0" w:space="0" w:color="auto"/>
                <w:right w:val="none" w:sz="0" w:space="0" w:color="auto"/>
              </w:divBdr>
              <w:divsChild>
                <w:div w:id="949119219">
                  <w:marLeft w:val="0"/>
                  <w:marRight w:val="0"/>
                  <w:marTop w:val="0"/>
                  <w:marBottom w:val="0"/>
                  <w:divBdr>
                    <w:top w:val="none" w:sz="0" w:space="0" w:color="auto"/>
                    <w:left w:val="none" w:sz="0" w:space="0" w:color="auto"/>
                    <w:bottom w:val="none" w:sz="0" w:space="0" w:color="auto"/>
                    <w:right w:val="none" w:sz="0" w:space="0" w:color="auto"/>
                  </w:divBdr>
                </w:div>
                <w:div w:id="1483737276">
                  <w:marLeft w:val="0"/>
                  <w:marRight w:val="0"/>
                  <w:marTop w:val="0"/>
                  <w:marBottom w:val="0"/>
                  <w:divBdr>
                    <w:top w:val="none" w:sz="0" w:space="0" w:color="auto"/>
                    <w:left w:val="none" w:sz="0" w:space="0" w:color="auto"/>
                    <w:bottom w:val="none" w:sz="0" w:space="0" w:color="auto"/>
                    <w:right w:val="none" w:sz="0" w:space="0" w:color="auto"/>
                  </w:divBdr>
                </w:div>
                <w:div w:id="702826340">
                  <w:marLeft w:val="0"/>
                  <w:marRight w:val="0"/>
                  <w:marTop w:val="0"/>
                  <w:marBottom w:val="0"/>
                  <w:divBdr>
                    <w:top w:val="none" w:sz="0" w:space="0" w:color="auto"/>
                    <w:left w:val="none" w:sz="0" w:space="0" w:color="auto"/>
                    <w:bottom w:val="none" w:sz="0" w:space="0" w:color="auto"/>
                    <w:right w:val="none" w:sz="0" w:space="0" w:color="auto"/>
                  </w:divBdr>
                </w:div>
                <w:div w:id="1840656726">
                  <w:marLeft w:val="0"/>
                  <w:marRight w:val="0"/>
                  <w:marTop w:val="0"/>
                  <w:marBottom w:val="0"/>
                  <w:divBdr>
                    <w:top w:val="none" w:sz="0" w:space="0" w:color="auto"/>
                    <w:left w:val="none" w:sz="0" w:space="0" w:color="auto"/>
                    <w:bottom w:val="none" w:sz="0" w:space="0" w:color="auto"/>
                    <w:right w:val="none" w:sz="0" w:space="0" w:color="auto"/>
                  </w:divBdr>
                </w:div>
                <w:div w:id="953251915">
                  <w:marLeft w:val="0"/>
                  <w:marRight w:val="0"/>
                  <w:marTop w:val="0"/>
                  <w:marBottom w:val="0"/>
                  <w:divBdr>
                    <w:top w:val="none" w:sz="0" w:space="0" w:color="auto"/>
                    <w:left w:val="none" w:sz="0" w:space="0" w:color="auto"/>
                    <w:bottom w:val="none" w:sz="0" w:space="0" w:color="auto"/>
                    <w:right w:val="none" w:sz="0" w:space="0" w:color="auto"/>
                  </w:divBdr>
                </w:div>
                <w:div w:id="2052533198">
                  <w:marLeft w:val="0"/>
                  <w:marRight w:val="0"/>
                  <w:marTop w:val="0"/>
                  <w:marBottom w:val="0"/>
                  <w:divBdr>
                    <w:top w:val="none" w:sz="0" w:space="0" w:color="auto"/>
                    <w:left w:val="none" w:sz="0" w:space="0" w:color="auto"/>
                    <w:bottom w:val="none" w:sz="0" w:space="0" w:color="auto"/>
                    <w:right w:val="none" w:sz="0" w:space="0" w:color="auto"/>
                  </w:divBdr>
                </w:div>
                <w:div w:id="55864487">
                  <w:marLeft w:val="0"/>
                  <w:marRight w:val="0"/>
                  <w:marTop w:val="0"/>
                  <w:marBottom w:val="0"/>
                  <w:divBdr>
                    <w:top w:val="none" w:sz="0" w:space="0" w:color="auto"/>
                    <w:left w:val="none" w:sz="0" w:space="0" w:color="auto"/>
                    <w:bottom w:val="none" w:sz="0" w:space="0" w:color="auto"/>
                    <w:right w:val="none" w:sz="0" w:space="0" w:color="auto"/>
                  </w:divBdr>
                </w:div>
                <w:div w:id="1898856760">
                  <w:marLeft w:val="0"/>
                  <w:marRight w:val="0"/>
                  <w:marTop w:val="0"/>
                  <w:marBottom w:val="0"/>
                  <w:divBdr>
                    <w:top w:val="none" w:sz="0" w:space="0" w:color="auto"/>
                    <w:left w:val="none" w:sz="0" w:space="0" w:color="auto"/>
                    <w:bottom w:val="none" w:sz="0" w:space="0" w:color="auto"/>
                    <w:right w:val="none" w:sz="0" w:space="0" w:color="auto"/>
                  </w:divBdr>
                </w:div>
                <w:div w:id="433869218">
                  <w:marLeft w:val="0"/>
                  <w:marRight w:val="0"/>
                  <w:marTop w:val="0"/>
                  <w:marBottom w:val="0"/>
                  <w:divBdr>
                    <w:top w:val="none" w:sz="0" w:space="0" w:color="auto"/>
                    <w:left w:val="none" w:sz="0" w:space="0" w:color="auto"/>
                    <w:bottom w:val="none" w:sz="0" w:space="0" w:color="auto"/>
                    <w:right w:val="none" w:sz="0" w:space="0" w:color="auto"/>
                  </w:divBdr>
                </w:div>
                <w:div w:id="1426345471">
                  <w:marLeft w:val="0"/>
                  <w:marRight w:val="0"/>
                  <w:marTop w:val="0"/>
                  <w:marBottom w:val="0"/>
                  <w:divBdr>
                    <w:top w:val="none" w:sz="0" w:space="0" w:color="auto"/>
                    <w:left w:val="none" w:sz="0" w:space="0" w:color="auto"/>
                    <w:bottom w:val="none" w:sz="0" w:space="0" w:color="auto"/>
                    <w:right w:val="none" w:sz="0" w:space="0" w:color="auto"/>
                  </w:divBdr>
                </w:div>
                <w:div w:id="1181314778">
                  <w:marLeft w:val="0"/>
                  <w:marRight w:val="0"/>
                  <w:marTop w:val="0"/>
                  <w:marBottom w:val="0"/>
                  <w:divBdr>
                    <w:top w:val="none" w:sz="0" w:space="0" w:color="auto"/>
                    <w:left w:val="none" w:sz="0" w:space="0" w:color="auto"/>
                    <w:bottom w:val="none" w:sz="0" w:space="0" w:color="auto"/>
                    <w:right w:val="none" w:sz="0" w:space="0" w:color="auto"/>
                  </w:divBdr>
                </w:div>
                <w:div w:id="1302615378">
                  <w:marLeft w:val="0"/>
                  <w:marRight w:val="0"/>
                  <w:marTop w:val="0"/>
                  <w:marBottom w:val="0"/>
                  <w:divBdr>
                    <w:top w:val="none" w:sz="0" w:space="0" w:color="auto"/>
                    <w:left w:val="none" w:sz="0" w:space="0" w:color="auto"/>
                    <w:bottom w:val="none" w:sz="0" w:space="0" w:color="auto"/>
                    <w:right w:val="none" w:sz="0" w:space="0" w:color="auto"/>
                  </w:divBdr>
                </w:div>
                <w:div w:id="1300575293">
                  <w:marLeft w:val="0"/>
                  <w:marRight w:val="0"/>
                  <w:marTop w:val="0"/>
                  <w:marBottom w:val="0"/>
                  <w:divBdr>
                    <w:top w:val="none" w:sz="0" w:space="0" w:color="auto"/>
                    <w:left w:val="none" w:sz="0" w:space="0" w:color="auto"/>
                    <w:bottom w:val="none" w:sz="0" w:space="0" w:color="auto"/>
                    <w:right w:val="none" w:sz="0" w:space="0" w:color="auto"/>
                  </w:divBdr>
                </w:div>
                <w:div w:id="389504769">
                  <w:marLeft w:val="0"/>
                  <w:marRight w:val="0"/>
                  <w:marTop w:val="0"/>
                  <w:marBottom w:val="0"/>
                  <w:divBdr>
                    <w:top w:val="none" w:sz="0" w:space="0" w:color="auto"/>
                    <w:left w:val="none" w:sz="0" w:space="0" w:color="auto"/>
                    <w:bottom w:val="none" w:sz="0" w:space="0" w:color="auto"/>
                    <w:right w:val="none" w:sz="0" w:space="0" w:color="auto"/>
                  </w:divBdr>
                </w:div>
                <w:div w:id="1524903583">
                  <w:marLeft w:val="0"/>
                  <w:marRight w:val="0"/>
                  <w:marTop w:val="0"/>
                  <w:marBottom w:val="0"/>
                  <w:divBdr>
                    <w:top w:val="none" w:sz="0" w:space="0" w:color="auto"/>
                    <w:left w:val="none" w:sz="0" w:space="0" w:color="auto"/>
                    <w:bottom w:val="none" w:sz="0" w:space="0" w:color="auto"/>
                    <w:right w:val="none" w:sz="0" w:space="0" w:color="auto"/>
                  </w:divBdr>
                </w:div>
                <w:div w:id="551891028">
                  <w:marLeft w:val="0"/>
                  <w:marRight w:val="0"/>
                  <w:marTop w:val="0"/>
                  <w:marBottom w:val="0"/>
                  <w:divBdr>
                    <w:top w:val="none" w:sz="0" w:space="0" w:color="auto"/>
                    <w:left w:val="none" w:sz="0" w:space="0" w:color="auto"/>
                    <w:bottom w:val="none" w:sz="0" w:space="0" w:color="auto"/>
                    <w:right w:val="none" w:sz="0" w:space="0" w:color="auto"/>
                  </w:divBdr>
                </w:div>
                <w:div w:id="587349399">
                  <w:marLeft w:val="0"/>
                  <w:marRight w:val="0"/>
                  <w:marTop w:val="0"/>
                  <w:marBottom w:val="0"/>
                  <w:divBdr>
                    <w:top w:val="none" w:sz="0" w:space="0" w:color="auto"/>
                    <w:left w:val="none" w:sz="0" w:space="0" w:color="auto"/>
                    <w:bottom w:val="none" w:sz="0" w:space="0" w:color="auto"/>
                    <w:right w:val="none" w:sz="0" w:space="0" w:color="auto"/>
                  </w:divBdr>
                </w:div>
                <w:div w:id="1666736133">
                  <w:marLeft w:val="0"/>
                  <w:marRight w:val="0"/>
                  <w:marTop w:val="0"/>
                  <w:marBottom w:val="0"/>
                  <w:divBdr>
                    <w:top w:val="none" w:sz="0" w:space="0" w:color="auto"/>
                    <w:left w:val="none" w:sz="0" w:space="0" w:color="auto"/>
                    <w:bottom w:val="none" w:sz="0" w:space="0" w:color="auto"/>
                    <w:right w:val="none" w:sz="0" w:space="0" w:color="auto"/>
                  </w:divBdr>
                </w:div>
                <w:div w:id="1010915996">
                  <w:marLeft w:val="0"/>
                  <w:marRight w:val="0"/>
                  <w:marTop w:val="0"/>
                  <w:marBottom w:val="0"/>
                  <w:divBdr>
                    <w:top w:val="none" w:sz="0" w:space="0" w:color="auto"/>
                    <w:left w:val="none" w:sz="0" w:space="0" w:color="auto"/>
                    <w:bottom w:val="none" w:sz="0" w:space="0" w:color="auto"/>
                    <w:right w:val="none" w:sz="0" w:space="0" w:color="auto"/>
                  </w:divBdr>
                </w:div>
                <w:div w:id="1141921266">
                  <w:marLeft w:val="0"/>
                  <w:marRight w:val="0"/>
                  <w:marTop w:val="0"/>
                  <w:marBottom w:val="0"/>
                  <w:divBdr>
                    <w:top w:val="none" w:sz="0" w:space="0" w:color="auto"/>
                    <w:left w:val="none" w:sz="0" w:space="0" w:color="auto"/>
                    <w:bottom w:val="none" w:sz="0" w:space="0" w:color="auto"/>
                    <w:right w:val="none" w:sz="0" w:space="0" w:color="auto"/>
                  </w:divBdr>
                </w:div>
                <w:div w:id="1093863139">
                  <w:marLeft w:val="0"/>
                  <w:marRight w:val="0"/>
                  <w:marTop w:val="0"/>
                  <w:marBottom w:val="0"/>
                  <w:divBdr>
                    <w:top w:val="none" w:sz="0" w:space="0" w:color="auto"/>
                    <w:left w:val="none" w:sz="0" w:space="0" w:color="auto"/>
                    <w:bottom w:val="none" w:sz="0" w:space="0" w:color="auto"/>
                    <w:right w:val="none" w:sz="0" w:space="0" w:color="auto"/>
                  </w:divBdr>
                </w:div>
                <w:div w:id="124888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918994">
          <w:marLeft w:val="0"/>
          <w:marRight w:val="0"/>
          <w:marTop w:val="15"/>
          <w:marBottom w:val="0"/>
          <w:divBdr>
            <w:top w:val="none" w:sz="0" w:space="0" w:color="auto"/>
            <w:left w:val="none" w:sz="0" w:space="0" w:color="auto"/>
            <w:bottom w:val="none" w:sz="0" w:space="0" w:color="auto"/>
            <w:right w:val="none" w:sz="0" w:space="0" w:color="auto"/>
          </w:divBdr>
          <w:divsChild>
            <w:div w:id="223948702">
              <w:marLeft w:val="0"/>
              <w:marRight w:val="0"/>
              <w:marTop w:val="0"/>
              <w:marBottom w:val="0"/>
              <w:divBdr>
                <w:top w:val="none" w:sz="0" w:space="0" w:color="auto"/>
                <w:left w:val="none" w:sz="0" w:space="0" w:color="auto"/>
                <w:bottom w:val="none" w:sz="0" w:space="0" w:color="auto"/>
                <w:right w:val="none" w:sz="0" w:space="0" w:color="auto"/>
              </w:divBdr>
              <w:divsChild>
                <w:div w:id="2062946786">
                  <w:marLeft w:val="0"/>
                  <w:marRight w:val="0"/>
                  <w:marTop w:val="0"/>
                  <w:marBottom w:val="0"/>
                  <w:divBdr>
                    <w:top w:val="none" w:sz="0" w:space="0" w:color="auto"/>
                    <w:left w:val="none" w:sz="0" w:space="0" w:color="auto"/>
                    <w:bottom w:val="none" w:sz="0" w:space="0" w:color="auto"/>
                    <w:right w:val="none" w:sz="0" w:space="0" w:color="auto"/>
                  </w:divBdr>
                </w:div>
                <w:div w:id="704717884">
                  <w:marLeft w:val="0"/>
                  <w:marRight w:val="0"/>
                  <w:marTop w:val="0"/>
                  <w:marBottom w:val="0"/>
                  <w:divBdr>
                    <w:top w:val="none" w:sz="0" w:space="0" w:color="auto"/>
                    <w:left w:val="none" w:sz="0" w:space="0" w:color="auto"/>
                    <w:bottom w:val="none" w:sz="0" w:space="0" w:color="auto"/>
                    <w:right w:val="none" w:sz="0" w:space="0" w:color="auto"/>
                  </w:divBdr>
                </w:div>
                <w:div w:id="305088536">
                  <w:marLeft w:val="0"/>
                  <w:marRight w:val="0"/>
                  <w:marTop w:val="0"/>
                  <w:marBottom w:val="0"/>
                  <w:divBdr>
                    <w:top w:val="none" w:sz="0" w:space="0" w:color="auto"/>
                    <w:left w:val="none" w:sz="0" w:space="0" w:color="auto"/>
                    <w:bottom w:val="none" w:sz="0" w:space="0" w:color="auto"/>
                    <w:right w:val="none" w:sz="0" w:space="0" w:color="auto"/>
                  </w:divBdr>
                </w:div>
                <w:div w:id="1493568535">
                  <w:marLeft w:val="0"/>
                  <w:marRight w:val="0"/>
                  <w:marTop w:val="0"/>
                  <w:marBottom w:val="0"/>
                  <w:divBdr>
                    <w:top w:val="none" w:sz="0" w:space="0" w:color="auto"/>
                    <w:left w:val="none" w:sz="0" w:space="0" w:color="auto"/>
                    <w:bottom w:val="none" w:sz="0" w:space="0" w:color="auto"/>
                    <w:right w:val="none" w:sz="0" w:space="0" w:color="auto"/>
                  </w:divBdr>
                </w:div>
                <w:div w:id="1809785490">
                  <w:marLeft w:val="0"/>
                  <w:marRight w:val="0"/>
                  <w:marTop w:val="0"/>
                  <w:marBottom w:val="0"/>
                  <w:divBdr>
                    <w:top w:val="none" w:sz="0" w:space="0" w:color="auto"/>
                    <w:left w:val="none" w:sz="0" w:space="0" w:color="auto"/>
                    <w:bottom w:val="none" w:sz="0" w:space="0" w:color="auto"/>
                    <w:right w:val="none" w:sz="0" w:space="0" w:color="auto"/>
                  </w:divBdr>
                </w:div>
                <w:div w:id="1439521295">
                  <w:marLeft w:val="0"/>
                  <w:marRight w:val="0"/>
                  <w:marTop w:val="0"/>
                  <w:marBottom w:val="0"/>
                  <w:divBdr>
                    <w:top w:val="none" w:sz="0" w:space="0" w:color="auto"/>
                    <w:left w:val="none" w:sz="0" w:space="0" w:color="auto"/>
                    <w:bottom w:val="none" w:sz="0" w:space="0" w:color="auto"/>
                    <w:right w:val="none" w:sz="0" w:space="0" w:color="auto"/>
                  </w:divBdr>
                </w:div>
                <w:div w:id="626549650">
                  <w:marLeft w:val="0"/>
                  <w:marRight w:val="0"/>
                  <w:marTop w:val="0"/>
                  <w:marBottom w:val="0"/>
                  <w:divBdr>
                    <w:top w:val="none" w:sz="0" w:space="0" w:color="auto"/>
                    <w:left w:val="none" w:sz="0" w:space="0" w:color="auto"/>
                    <w:bottom w:val="none" w:sz="0" w:space="0" w:color="auto"/>
                    <w:right w:val="none" w:sz="0" w:space="0" w:color="auto"/>
                  </w:divBdr>
                </w:div>
                <w:div w:id="2093744145">
                  <w:marLeft w:val="0"/>
                  <w:marRight w:val="0"/>
                  <w:marTop w:val="0"/>
                  <w:marBottom w:val="0"/>
                  <w:divBdr>
                    <w:top w:val="none" w:sz="0" w:space="0" w:color="auto"/>
                    <w:left w:val="none" w:sz="0" w:space="0" w:color="auto"/>
                    <w:bottom w:val="none" w:sz="0" w:space="0" w:color="auto"/>
                    <w:right w:val="none" w:sz="0" w:space="0" w:color="auto"/>
                  </w:divBdr>
                </w:div>
                <w:div w:id="545068077">
                  <w:marLeft w:val="0"/>
                  <w:marRight w:val="0"/>
                  <w:marTop w:val="0"/>
                  <w:marBottom w:val="0"/>
                  <w:divBdr>
                    <w:top w:val="none" w:sz="0" w:space="0" w:color="auto"/>
                    <w:left w:val="none" w:sz="0" w:space="0" w:color="auto"/>
                    <w:bottom w:val="none" w:sz="0" w:space="0" w:color="auto"/>
                    <w:right w:val="none" w:sz="0" w:space="0" w:color="auto"/>
                  </w:divBdr>
                </w:div>
                <w:div w:id="247346622">
                  <w:marLeft w:val="0"/>
                  <w:marRight w:val="0"/>
                  <w:marTop w:val="0"/>
                  <w:marBottom w:val="0"/>
                  <w:divBdr>
                    <w:top w:val="none" w:sz="0" w:space="0" w:color="auto"/>
                    <w:left w:val="none" w:sz="0" w:space="0" w:color="auto"/>
                    <w:bottom w:val="none" w:sz="0" w:space="0" w:color="auto"/>
                    <w:right w:val="none" w:sz="0" w:space="0" w:color="auto"/>
                  </w:divBdr>
                </w:div>
                <w:div w:id="1441611647">
                  <w:marLeft w:val="0"/>
                  <w:marRight w:val="0"/>
                  <w:marTop w:val="0"/>
                  <w:marBottom w:val="0"/>
                  <w:divBdr>
                    <w:top w:val="none" w:sz="0" w:space="0" w:color="auto"/>
                    <w:left w:val="none" w:sz="0" w:space="0" w:color="auto"/>
                    <w:bottom w:val="none" w:sz="0" w:space="0" w:color="auto"/>
                    <w:right w:val="none" w:sz="0" w:space="0" w:color="auto"/>
                  </w:divBdr>
                </w:div>
                <w:div w:id="261963569">
                  <w:marLeft w:val="0"/>
                  <w:marRight w:val="0"/>
                  <w:marTop w:val="0"/>
                  <w:marBottom w:val="0"/>
                  <w:divBdr>
                    <w:top w:val="none" w:sz="0" w:space="0" w:color="auto"/>
                    <w:left w:val="none" w:sz="0" w:space="0" w:color="auto"/>
                    <w:bottom w:val="none" w:sz="0" w:space="0" w:color="auto"/>
                    <w:right w:val="none" w:sz="0" w:space="0" w:color="auto"/>
                  </w:divBdr>
                </w:div>
                <w:div w:id="1692417076">
                  <w:marLeft w:val="0"/>
                  <w:marRight w:val="0"/>
                  <w:marTop w:val="0"/>
                  <w:marBottom w:val="0"/>
                  <w:divBdr>
                    <w:top w:val="none" w:sz="0" w:space="0" w:color="auto"/>
                    <w:left w:val="none" w:sz="0" w:space="0" w:color="auto"/>
                    <w:bottom w:val="none" w:sz="0" w:space="0" w:color="auto"/>
                    <w:right w:val="none" w:sz="0" w:space="0" w:color="auto"/>
                  </w:divBdr>
                </w:div>
                <w:div w:id="834952669">
                  <w:marLeft w:val="0"/>
                  <w:marRight w:val="0"/>
                  <w:marTop w:val="0"/>
                  <w:marBottom w:val="0"/>
                  <w:divBdr>
                    <w:top w:val="none" w:sz="0" w:space="0" w:color="auto"/>
                    <w:left w:val="none" w:sz="0" w:space="0" w:color="auto"/>
                    <w:bottom w:val="none" w:sz="0" w:space="0" w:color="auto"/>
                    <w:right w:val="none" w:sz="0" w:space="0" w:color="auto"/>
                  </w:divBdr>
                </w:div>
                <w:div w:id="210000533">
                  <w:marLeft w:val="0"/>
                  <w:marRight w:val="0"/>
                  <w:marTop w:val="0"/>
                  <w:marBottom w:val="0"/>
                  <w:divBdr>
                    <w:top w:val="none" w:sz="0" w:space="0" w:color="auto"/>
                    <w:left w:val="none" w:sz="0" w:space="0" w:color="auto"/>
                    <w:bottom w:val="none" w:sz="0" w:space="0" w:color="auto"/>
                    <w:right w:val="none" w:sz="0" w:space="0" w:color="auto"/>
                  </w:divBdr>
                </w:div>
                <w:div w:id="671377598">
                  <w:marLeft w:val="0"/>
                  <w:marRight w:val="0"/>
                  <w:marTop w:val="0"/>
                  <w:marBottom w:val="0"/>
                  <w:divBdr>
                    <w:top w:val="none" w:sz="0" w:space="0" w:color="auto"/>
                    <w:left w:val="none" w:sz="0" w:space="0" w:color="auto"/>
                    <w:bottom w:val="none" w:sz="0" w:space="0" w:color="auto"/>
                    <w:right w:val="none" w:sz="0" w:space="0" w:color="auto"/>
                  </w:divBdr>
                </w:div>
                <w:div w:id="1950551199">
                  <w:marLeft w:val="0"/>
                  <w:marRight w:val="0"/>
                  <w:marTop w:val="0"/>
                  <w:marBottom w:val="0"/>
                  <w:divBdr>
                    <w:top w:val="none" w:sz="0" w:space="0" w:color="auto"/>
                    <w:left w:val="none" w:sz="0" w:space="0" w:color="auto"/>
                    <w:bottom w:val="none" w:sz="0" w:space="0" w:color="auto"/>
                    <w:right w:val="none" w:sz="0" w:space="0" w:color="auto"/>
                  </w:divBdr>
                </w:div>
                <w:div w:id="917329746">
                  <w:marLeft w:val="0"/>
                  <w:marRight w:val="0"/>
                  <w:marTop w:val="0"/>
                  <w:marBottom w:val="0"/>
                  <w:divBdr>
                    <w:top w:val="none" w:sz="0" w:space="0" w:color="auto"/>
                    <w:left w:val="none" w:sz="0" w:space="0" w:color="auto"/>
                    <w:bottom w:val="none" w:sz="0" w:space="0" w:color="auto"/>
                    <w:right w:val="none" w:sz="0" w:space="0" w:color="auto"/>
                  </w:divBdr>
                </w:div>
                <w:div w:id="2077312812">
                  <w:marLeft w:val="0"/>
                  <w:marRight w:val="0"/>
                  <w:marTop w:val="0"/>
                  <w:marBottom w:val="0"/>
                  <w:divBdr>
                    <w:top w:val="none" w:sz="0" w:space="0" w:color="auto"/>
                    <w:left w:val="none" w:sz="0" w:space="0" w:color="auto"/>
                    <w:bottom w:val="none" w:sz="0" w:space="0" w:color="auto"/>
                    <w:right w:val="none" w:sz="0" w:space="0" w:color="auto"/>
                  </w:divBdr>
                </w:div>
                <w:div w:id="92287336">
                  <w:marLeft w:val="0"/>
                  <w:marRight w:val="0"/>
                  <w:marTop w:val="0"/>
                  <w:marBottom w:val="0"/>
                  <w:divBdr>
                    <w:top w:val="none" w:sz="0" w:space="0" w:color="auto"/>
                    <w:left w:val="none" w:sz="0" w:space="0" w:color="auto"/>
                    <w:bottom w:val="none" w:sz="0" w:space="0" w:color="auto"/>
                    <w:right w:val="none" w:sz="0" w:space="0" w:color="auto"/>
                  </w:divBdr>
                </w:div>
                <w:div w:id="1922833694">
                  <w:marLeft w:val="0"/>
                  <w:marRight w:val="0"/>
                  <w:marTop w:val="0"/>
                  <w:marBottom w:val="0"/>
                  <w:divBdr>
                    <w:top w:val="none" w:sz="0" w:space="0" w:color="auto"/>
                    <w:left w:val="none" w:sz="0" w:space="0" w:color="auto"/>
                    <w:bottom w:val="none" w:sz="0" w:space="0" w:color="auto"/>
                    <w:right w:val="none" w:sz="0" w:space="0" w:color="auto"/>
                  </w:divBdr>
                </w:div>
                <w:div w:id="686177378">
                  <w:marLeft w:val="0"/>
                  <w:marRight w:val="0"/>
                  <w:marTop w:val="0"/>
                  <w:marBottom w:val="0"/>
                  <w:divBdr>
                    <w:top w:val="none" w:sz="0" w:space="0" w:color="auto"/>
                    <w:left w:val="none" w:sz="0" w:space="0" w:color="auto"/>
                    <w:bottom w:val="none" w:sz="0" w:space="0" w:color="auto"/>
                    <w:right w:val="none" w:sz="0" w:space="0" w:color="auto"/>
                  </w:divBdr>
                </w:div>
                <w:div w:id="638922688">
                  <w:marLeft w:val="0"/>
                  <w:marRight w:val="0"/>
                  <w:marTop w:val="0"/>
                  <w:marBottom w:val="0"/>
                  <w:divBdr>
                    <w:top w:val="none" w:sz="0" w:space="0" w:color="auto"/>
                    <w:left w:val="none" w:sz="0" w:space="0" w:color="auto"/>
                    <w:bottom w:val="none" w:sz="0" w:space="0" w:color="auto"/>
                    <w:right w:val="none" w:sz="0" w:space="0" w:color="auto"/>
                  </w:divBdr>
                </w:div>
                <w:div w:id="2067292990">
                  <w:marLeft w:val="0"/>
                  <w:marRight w:val="0"/>
                  <w:marTop w:val="0"/>
                  <w:marBottom w:val="0"/>
                  <w:divBdr>
                    <w:top w:val="none" w:sz="0" w:space="0" w:color="auto"/>
                    <w:left w:val="none" w:sz="0" w:space="0" w:color="auto"/>
                    <w:bottom w:val="none" w:sz="0" w:space="0" w:color="auto"/>
                    <w:right w:val="none" w:sz="0" w:space="0" w:color="auto"/>
                  </w:divBdr>
                </w:div>
                <w:div w:id="1598177392">
                  <w:marLeft w:val="0"/>
                  <w:marRight w:val="0"/>
                  <w:marTop w:val="0"/>
                  <w:marBottom w:val="0"/>
                  <w:divBdr>
                    <w:top w:val="none" w:sz="0" w:space="0" w:color="auto"/>
                    <w:left w:val="none" w:sz="0" w:space="0" w:color="auto"/>
                    <w:bottom w:val="none" w:sz="0" w:space="0" w:color="auto"/>
                    <w:right w:val="none" w:sz="0" w:space="0" w:color="auto"/>
                  </w:divBdr>
                </w:div>
                <w:div w:id="629287678">
                  <w:marLeft w:val="0"/>
                  <w:marRight w:val="0"/>
                  <w:marTop w:val="0"/>
                  <w:marBottom w:val="0"/>
                  <w:divBdr>
                    <w:top w:val="none" w:sz="0" w:space="0" w:color="auto"/>
                    <w:left w:val="none" w:sz="0" w:space="0" w:color="auto"/>
                    <w:bottom w:val="none" w:sz="0" w:space="0" w:color="auto"/>
                    <w:right w:val="none" w:sz="0" w:space="0" w:color="auto"/>
                  </w:divBdr>
                </w:div>
                <w:div w:id="1756975799">
                  <w:marLeft w:val="0"/>
                  <w:marRight w:val="0"/>
                  <w:marTop w:val="0"/>
                  <w:marBottom w:val="0"/>
                  <w:divBdr>
                    <w:top w:val="none" w:sz="0" w:space="0" w:color="auto"/>
                    <w:left w:val="none" w:sz="0" w:space="0" w:color="auto"/>
                    <w:bottom w:val="none" w:sz="0" w:space="0" w:color="auto"/>
                    <w:right w:val="none" w:sz="0" w:space="0" w:color="auto"/>
                  </w:divBdr>
                </w:div>
                <w:div w:id="1294018068">
                  <w:marLeft w:val="0"/>
                  <w:marRight w:val="0"/>
                  <w:marTop w:val="0"/>
                  <w:marBottom w:val="0"/>
                  <w:divBdr>
                    <w:top w:val="none" w:sz="0" w:space="0" w:color="auto"/>
                    <w:left w:val="none" w:sz="0" w:space="0" w:color="auto"/>
                    <w:bottom w:val="none" w:sz="0" w:space="0" w:color="auto"/>
                    <w:right w:val="none" w:sz="0" w:space="0" w:color="auto"/>
                  </w:divBdr>
                </w:div>
                <w:div w:id="1504322721">
                  <w:marLeft w:val="0"/>
                  <w:marRight w:val="0"/>
                  <w:marTop w:val="0"/>
                  <w:marBottom w:val="0"/>
                  <w:divBdr>
                    <w:top w:val="none" w:sz="0" w:space="0" w:color="auto"/>
                    <w:left w:val="none" w:sz="0" w:space="0" w:color="auto"/>
                    <w:bottom w:val="none" w:sz="0" w:space="0" w:color="auto"/>
                    <w:right w:val="none" w:sz="0" w:space="0" w:color="auto"/>
                  </w:divBdr>
                </w:div>
                <w:div w:id="1446997096">
                  <w:marLeft w:val="0"/>
                  <w:marRight w:val="0"/>
                  <w:marTop w:val="0"/>
                  <w:marBottom w:val="0"/>
                  <w:divBdr>
                    <w:top w:val="none" w:sz="0" w:space="0" w:color="auto"/>
                    <w:left w:val="none" w:sz="0" w:space="0" w:color="auto"/>
                    <w:bottom w:val="none" w:sz="0" w:space="0" w:color="auto"/>
                    <w:right w:val="none" w:sz="0" w:space="0" w:color="auto"/>
                  </w:divBdr>
                </w:div>
                <w:div w:id="2004816135">
                  <w:marLeft w:val="0"/>
                  <w:marRight w:val="0"/>
                  <w:marTop w:val="0"/>
                  <w:marBottom w:val="0"/>
                  <w:divBdr>
                    <w:top w:val="none" w:sz="0" w:space="0" w:color="auto"/>
                    <w:left w:val="none" w:sz="0" w:space="0" w:color="auto"/>
                    <w:bottom w:val="none" w:sz="0" w:space="0" w:color="auto"/>
                    <w:right w:val="none" w:sz="0" w:space="0" w:color="auto"/>
                  </w:divBdr>
                </w:div>
                <w:div w:id="1328244508">
                  <w:marLeft w:val="0"/>
                  <w:marRight w:val="0"/>
                  <w:marTop w:val="0"/>
                  <w:marBottom w:val="0"/>
                  <w:divBdr>
                    <w:top w:val="none" w:sz="0" w:space="0" w:color="auto"/>
                    <w:left w:val="none" w:sz="0" w:space="0" w:color="auto"/>
                    <w:bottom w:val="none" w:sz="0" w:space="0" w:color="auto"/>
                    <w:right w:val="none" w:sz="0" w:space="0" w:color="auto"/>
                  </w:divBdr>
                </w:div>
                <w:div w:id="1423331212">
                  <w:marLeft w:val="0"/>
                  <w:marRight w:val="0"/>
                  <w:marTop w:val="0"/>
                  <w:marBottom w:val="0"/>
                  <w:divBdr>
                    <w:top w:val="none" w:sz="0" w:space="0" w:color="auto"/>
                    <w:left w:val="none" w:sz="0" w:space="0" w:color="auto"/>
                    <w:bottom w:val="none" w:sz="0" w:space="0" w:color="auto"/>
                    <w:right w:val="none" w:sz="0" w:space="0" w:color="auto"/>
                  </w:divBdr>
                </w:div>
                <w:div w:id="1585869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766701">
          <w:marLeft w:val="0"/>
          <w:marRight w:val="0"/>
          <w:marTop w:val="15"/>
          <w:marBottom w:val="0"/>
          <w:divBdr>
            <w:top w:val="none" w:sz="0" w:space="0" w:color="auto"/>
            <w:left w:val="none" w:sz="0" w:space="0" w:color="auto"/>
            <w:bottom w:val="none" w:sz="0" w:space="0" w:color="auto"/>
            <w:right w:val="none" w:sz="0" w:space="0" w:color="auto"/>
          </w:divBdr>
          <w:divsChild>
            <w:div w:id="437994684">
              <w:marLeft w:val="0"/>
              <w:marRight w:val="0"/>
              <w:marTop w:val="0"/>
              <w:marBottom w:val="0"/>
              <w:divBdr>
                <w:top w:val="none" w:sz="0" w:space="0" w:color="auto"/>
                <w:left w:val="none" w:sz="0" w:space="0" w:color="auto"/>
                <w:bottom w:val="none" w:sz="0" w:space="0" w:color="auto"/>
                <w:right w:val="none" w:sz="0" w:space="0" w:color="auto"/>
              </w:divBdr>
              <w:divsChild>
                <w:div w:id="203256245">
                  <w:marLeft w:val="0"/>
                  <w:marRight w:val="0"/>
                  <w:marTop w:val="0"/>
                  <w:marBottom w:val="0"/>
                  <w:divBdr>
                    <w:top w:val="none" w:sz="0" w:space="0" w:color="auto"/>
                    <w:left w:val="none" w:sz="0" w:space="0" w:color="auto"/>
                    <w:bottom w:val="none" w:sz="0" w:space="0" w:color="auto"/>
                    <w:right w:val="none" w:sz="0" w:space="0" w:color="auto"/>
                  </w:divBdr>
                </w:div>
                <w:div w:id="1176113122">
                  <w:marLeft w:val="0"/>
                  <w:marRight w:val="0"/>
                  <w:marTop w:val="0"/>
                  <w:marBottom w:val="0"/>
                  <w:divBdr>
                    <w:top w:val="none" w:sz="0" w:space="0" w:color="auto"/>
                    <w:left w:val="none" w:sz="0" w:space="0" w:color="auto"/>
                    <w:bottom w:val="none" w:sz="0" w:space="0" w:color="auto"/>
                    <w:right w:val="none" w:sz="0" w:space="0" w:color="auto"/>
                  </w:divBdr>
                </w:div>
                <w:div w:id="1827160467">
                  <w:marLeft w:val="0"/>
                  <w:marRight w:val="0"/>
                  <w:marTop w:val="0"/>
                  <w:marBottom w:val="0"/>
                  <w:divBdr>
                    <w:top w:val="none" w:sz="0" w:space="0" w:color="auto"/>
                    <w:left w:val="none" w:sz="0" w:space="0" w:color="auto"/>
                    <w:bottom w:val="none" w:sz="0" w:space="0" w:color="auto"/>
                    <w:right w:val="none" w:sz="0" w:space="0" w:color="auto"/>
                  </w:divBdr>
                </w:div>
                <w:div w:id="1000347888">
                  <w:marLeft w:val="0"/>
                  <w:marRight w:val="0"/>
                  <w:marTop w:val="0"/>
                  <w:marBottom w:val="0"/>
                  <w:divBdr>
                    <w:top w:val="none" w:sz="0" w:space="0" w:color="auto"/>
                    <w:left w:val="none" w:sz="0" w:space="0" w:color="auto"/>
                    <w:bottom w:val="none" w:sz="0" w:space="0" w:color="auto"/>
                    <w:right w:val="none" w:sz="0" w:space="0" w:color="auto"/>
                  </w:divBdr>
                </w:div>
                <w:div w:id="1183789079">
                  <w:marLeft w:val="0"/>
                  <w:marRight w:val="0"/>
                  <w:marTop w:val="0"/>
                  <w:marBottom w:val="0"/>
                  <w:divBdr>
                    <w:top w:val="none" w:sz="0" w:space="0" w:color="auto"/>
                    <w:left w:val="none" w:sz="0" w:space="0" w:color="auto"/>
                    <w:bottom w:val="none" w:sz="0" w:space="0" w:color="auto"/>
                    <w:right w:val="none" w:sz="0" w:space="0" w:color="auto"/>
                  </w:divBdr>
                </w:div>
                <w:div w:id="1738358484">
                  <w:marLeft w:val="0"/>
                  <w:marRight w:val="0"/>
                  <w:marTop w:val="0"/>
                  <w:marBottom w:val="0"/>
                  <w:divBdr>
                    <w:top w:val="none" w:sz="0" w:space="0" w:color="auto"/>
                    <w:left w:val="none" w:sz="0" w:space="0" w:color="auto"/>
                    <w:bottom w:val="none" w:sz="0" w:space="0" w:color="auto"/>
                    <w:right w:val="none" w:sz="0" w:space="0" w:color="auto"/>
                  </w:divBdr>
                </w:div>
                <w:div w:id="1681934654">
                  <w:marLeft w:val="0"/>
                  <w:marRight w:val="0"/>
                  <w:marTop w:val="0"/>
                  <w:marBottom w:val="0"/>
                  <w:divBdr>
                    <w:top w:val="none" w:sz="0" w:space="0" w:color="auto"/>
                    <w:left w:val="none" w:sz="0" w:space="0" w:color="auto"/>
                    <w:bottom w:val="none" w:sz="0" w:space="0" w:color="auto"/>
                    <w:right w:val="none" w:sz="0" w:space="0" w:color="auto"/>
                  </w:divBdr>
                </w:div>
                <w:div w:id="1909535917">
                  <w:marLeft w:val="0"/>
                  <w:marRight w:val="0"/>
                  <w:marTop w:val="0"/>
                  <w:marBottom w:val="0"/>
                  <w:divBdr>
                    <w:top w:val="none" w:sz="0" w:space="0" w:color="auto"/>
                    <w:left w:val="none" w:sz="0" w:space="0" w:color="auto"/>
                    <w:bottom w:val="none" w:sz="0" w:space="0" w:color="auto"/>
                    <w:right w:val="none" w:sz="0" w:space="0" w:color="auto"/>
                  </w:divBdr>
                </w:div>
                <w:div w:id="1634285516">
                  <w:marLeft w:val="0"/>
                  <w:marRight w:val="0"/>
                  <w:marTop w:val="0"/>
                  <w:marBottom w:val="0"/>
                  <w:divBdr>
                    <w:top w:val="none" w:sz="0" w:space="0" w:color="auto"/>
                    <w:left w:val="none" w:sz="0" w:space="0" w:color="auto"/>
                    <w:bottom w:val="none" w:sz="0" w:space="0" w:color="auto"/>
                    <w:right w:val="none" w:sz="0" w:space="0" w:color="auto"/>
                  </w:divBdr>
                </w:div>
                <w:div w:id="550574665">
                  <w:marLeft w:val="0"/>
                  <w:marRight w:val="0"/>
                  <w:marTop w:val="0"/>
                  <w:marBottom w:val="0"/>
                  <w:divBdr>
                    <w:top w:val="none" w:sz="0" w:space="0" w:color="auto"/>
                    <w:left w:val="none" w:sz="0" w:space="0" w:color="auto"/>
                    <w:bottom w:val="none" w:sz="0" w:space="0" w:color="auto"/>
                    <w:right w:val="none" w:sz="0" w:space="0" w:color="auto"/>
                  </w:divBdr>
                </w:div>
                <w:div w:id="46269894">
                  <w:marLeft w:val="0"/>
                  <w:marRight w:val="0"/>
                  <w:marTop w:val="0"/>
                  <w:marBottom w:val="0"/>
                  <w:divBdr>
                    <w:top w:val="none" w:sz="0" w:space="0" w:color="auto"/>
                    <w:left w:val="none" w:sz="0" w:space="0" w:color="auto"/>
                    <w:bottom w:val="none" w:sz="0" w:space="0" w:color="auto"/>
                    <w:right w:val="none" w:sz="0" w:space="0" w:color="auto"/>
                  </w:divBdr>
                </w:div>
                <w:div w:id="1990089346">
                  <w:marLeft w:val="0"/>
                  <w:marRight w:val="0"/>
                  <w:marTop w:val="0"/>
                  <w:marBottom w:val="0"/>
                  <w:divBdr>
                    <w:top w:val="none" w:sz="0" w:space="0" w:color="auto"/>
                    <w:left w:val="none" w:sz="0" w:space="0" w:color="auto"/>
                    <w:bottom w:val="none" w:sz="0" w:space="0" w:color="auto"/>
                    <w:right w:val="none" w:sz="0" w:space="0" w:color="auto"/>
                  </w:divBdr>
                </w:div>
                <w:div w:id="1107388749">
                  <w:marLeft w:val="0"/>
                  <w:marRight w:val="0"/>
                  <w:marTop w:val="0"/>
                  <w:marBottom w:val="0"/>
                  <w:divBdr>
                    <w:top w:val="none" w:sz="0" w:space="0" w:color="auto"/>
                    <w:left w:val="none" w:sz="0" w:space="0" w:color="auto"/>
                    <w:bottom w:val="none" w:sz="0" w:space="0" w:color="auto"/>
                    <w:right w:val="none" w:sz="0" w:space="0" w:color="auto"/>
                  </w:divBdr>
                </w:div>
                <w:div w:id="1561595400">
                  <w:marLeft w:val="0"/>
                  <w:marRight w:val="0"/>
                  <w:marTop w:val="0"/>
                  <w:marBottom w:val="0"/>
                  <w:divBdr>
                    <w:top w:val="none" w:sz="0" w:space="0" w:color="auto"/>
                    <w:left w:val="none" w:sz="0" w:space="0" w:color="auto"/>
                    <w:bottom w:val="none" w:sz="0" w:space="0" w:color="auto"/>
                    <w:right w:val="none" w:sz="0" w:space="0" w:color="auto"/>
                  </w:divBdr>
                </w:div>
                <w:div w:id="1700083124">
                  <w:marLeft w:val="0"/>
                  <w:marRight w:val="0"/>
                  <w:marTop w:val="0"/>
                  <w:marBottom w:val="0"/>
                  <w:divBdr>
                    <w:top w:val="none" w:sz="0" w:space="0" w:color="auto"/>
                    <w:left w:val="none" w:sz="0" w:space="0" w:color="auto"/>
                    <w:bottom w:val="none" w:sz="0" w:space="0" w:color="auto"/>
                    <w:right w:val="none" w:sz="0" w:space="0" w:color="auto"/>
                  </w:divBdr>
                </w:div>
                <w:div w:id="1142622038">
                  <w:marLeft w:val="0"/>
                  <w:marRight w:val="0"/>
                  <w:marTop w:val="0"/>
                  <w:marBottom w:val="0"/>
                  <w:divBdr>
                    <w:top w:val="none" w:sz="0" w:space="0" w:color="auto"/>
                    <w:left w:val="none" w:sz="0" w:space="0" w:color="auto"/>
                    <w:bottom w:val="none" w:sz="0" w:space="0" w:color="auto"/>
                    <w:right w:val="none" w:sz="0" w:space="0" w:color="auto"/>
                  </w:divBdr>
                </w:div>
                <w:div w:id="45881440">
                  <w:marLeft w:val="0"/>
                  <w:marRight w:val="0"/>
                  <w:marTop w:val="0"/>
                  <w:marBottom w:val="0"/>
                  <w:divBdr>
                    <w:top w:val="none" w:sz="0" w:space="0" w:color="auto"/>
                    <w:left w:val="none" w:sz="0" w:space="0" w:color="auto"/>
                    <w:bottom w:val="none" w:sz="0" w:space="0" w:color="auto"/>
                    <w:right w:val="none" w:sz="0" w:space="0" w:color="auto"/>
                  </w:divBdr>
                </w:div>
                <w:div w:id="597786307">
                  <w:marLeft w:val="0"/>
                  <w:marRight w:val="0"/>
                  <w:marTop w:val="0"/>
                  <w:marBottom w:val="0"/>
                  <w:divBdr>
                    <w:top w:val="none" w:sz="0" w:space="0" w:color="auto"/>
                    <w:left w:val="none" w:sz="0" w:space="0" w:color="auto"/>
                    <w:bottom w:val="none" w:sz="0" w:space="0" w:color="auto"/>
                    <w:right w:val="none" w:sz="0" w:space="0" w:color="auto"/>
                  </w:divBdr>
                </w:div>
                <w:div w:id="733510099">
                  <w:marLeft w:val="0"/>
                  <w:marRight w:val="0"/>
                  <w:marTop w:val="0"/>
                  <w:marBottom w:val="0"/>
                  <w:divBdr>
                    <w:top w:val="none" w:sz="0" w:space="0" w:color="auto"/>
                    <w:left w:val="none" w:sz="0" w:space="0" w:color="auto"/>
                    <w:bottom w:val="none" w:sz="0" w:space="0" w:color="auto"/>
                    <w:right w:val="none" w:sz="0" w:space="0" w:color="auto"/>
                  </w:divBdr>
                </w:div>
                <w:div w:id="1281842008">
                  <w:marLeft w:val="0"/>
                  <w:marRight w:val="0"/>
                  <w:marTop w:val="0"/>
                  <w:marBottom w:val="0"/>
                  <w:divBdr>
                    <w:top w:val="none" w:sz="0" w:space="0" w:color="auto"/>
                    <w:left w:val="none" w:sz="0" w:space="0" w:color="auto"/>
                    <w:bottom w:val="none" w:sz="0" w:space="0" w:color="auto"/>
                    <w:right w:val="none" w:sz="0" w:space="0" w:color="auto"/>
                  </w:divBdr>
                </w:div>
                <w:div w:id="1907376277">
                  <w:marLeft w:val="0"/>
                  <w:marRight w:val="0"/>
                  <w:marTop w:val="0"/>
                  <w:marBottom w:val="0"/>
                  <w:divBdr>
                    <w:top w:val="none" w:sz="0" w:space="0" w:color="auto"/>
                    <w:left w:val="none" w:sz="0" w:space="0" w:color="auto"/>
                    <w:bottom w:val="none" w:sz="0" w:space="0" w:color="auto"/>
                    <w:right w:val="none" w:sz="0" w:space="0" w:color="auto"/>
                  </w:divBdr>
                </w:div>
                <w:div w:id="718237511">
                  <w:marLeft w:val="0"/>
                  <w:marRight w:val="0"/>
                  <w:marTop w:val="0"/>
                  <w:marBottom w:val="0"/>
                  <w:divBdr>
                    <w:top w:val="none" w:sz="0" w:space="0" w:color="auto"/>
                    <w:left w:val="none" w:sz="0" w:space="0" w:color="auto"/>
                    <w:bottom w:val="none" w:sz="0" w:space="0" w:color="auto"/>
                    <w:right w:val="none" w:sz="0" w:space="0" w:color="auto"/>
                  </w:divBdr>
                </w:div>
                <w:div w:id="727612448">
                  <w:marLeft w:val="0"/>
                  <w:marRight w:val="0"/>
                  <w:marTop w:val="0"/>
                  <w:marBottom w:val="0"/>
                  <w:divBdr>
                    <w:top w:val="none" w:sz="0" w:space="0" w:color="auto"/>
                    <w:left w:val="none" w:sz="0" w:space="0" w:color="auto"/>
                    <w:bottom w:val="none" w:sz="0" w:space="0" w:color="auto"/>
                    <w:right w:val="none" w:sz="0" w:space="0" w:color="auto"/>
                  </w:divBdr>
                </w:div>
                <w:div w:id="1913272186">
                  <w:marLeft w:val="0"/>
                  <w:marRight w:val="0"/>
                  <w:marTop w:val="0"/>
                  <w:marBottom w:val="0"/>
                  <w:divBdr>
                    <w:top w:val="none" w:sz="0" w:space="0" w:color="auto"/>
                    <w:left w:val="none" w:sz="0" w:space="0" w:color="auto"/>
                    <w:bottom w:val="none" w:sz="0" w:space="0" w:color="auto"/>
                    <w:right w:val="none" w:sz="0" w:space="0" w:color="auto"/>
                  </w:divBdr>
                </w:div>
                <w:div w:id="1448425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497547">
          <w:marLeft w:val="0"/>
          <w:marRight w:val="0"/>
          <w:marTop w:val="15"/>
          <w:marBottom w:val="0"/>
          <w:divBdr>
            <w:top w:val="none" w:sz="0" w:space="0" w:color="auto"/>
            <w:left w:val="none" w:sz="0" w:space="0" w:color="auto"/>
            <w:bottom w:val="none" w:sz="0" w:space="0" w:color="auto"/>
            <w:right w:val="none" w:sz="0" w:space="0" w:color="auto"/>
          </w:divBdr>
          <w:divsChild>
            <w:div w:id="603613835">
              <w:marLeft w:val="0"/>
              <w:marRight w:val="0"/>
              <w:marTop w:val="0"/>
              <w:marBottom w:val="0"/>
              <w:divBdr>
                <w:top w:val="none" w:sz="0" w:space="0" w:color="auto"/>
                <w:left w:val="none" w:sz="0" w:space="0" w:color="auto"/>
                <w:bottom w:val="none" w:sz="0" w:space="0" w:color="auto"/>
                <w:right w:val="none" w:sz="0" w:space="0" w:color="auto"/>
              </w:divBdr>
              <w:divsChild>
                <w:div w:id="1510480687">
                  <w:marLeft w:val="0"/>
                  <w:marRight w:val="0"/>
                  <w:marTop w:val="0"/>
                  <w:marBottom w:val="0"/>
                  <w:divBdr>
                    <w:top w:val="none" w:sz="0" w:space="0" w:color="auto"/>
                    <w:left w:val="none" w:sz="0" w:space="0" w:color="auto"/>
                    <w:bottom w:val="none" w:sz="0" w:space="0" w:color="auto"/>
                    <w:right w:val="none" w:sz="0" w:space="0" w:color="auto"/>
                  </w:divBdr>
                </w:div>
                <w:div w:id="1906379276">
                  <w:marLeft w:val="0"/>
                  <w:marRight w:val="0"/>
                  <w:marTop w:val="0"/>
                  <w:marBottom w:val="0"/>
                  <w:divBdr>
                    <w:top w:val="none" w:sz="0" w:space="0" w:color="auto"/>
                    <w:left w:val="none" w:sz="0" w:space="0" w:color="auto"/>
                    <w:bottom w:val="none" w:sz="0" w:space="0" w:color="auto"/>
                    <w:right w:val="none" w:sz="0" w:space="0" w:color="auto"/>
                  </w:divBdr>
                </w:div>
                <w:div w:id="2100322186">
                  <w:marLeft w:val="0"/>
                  <w:marRight w:val="0"/>
                  <w:marTop w:val="0"/>
                  <w:marBottom w:val="0"/>
                  <w:divBdr>
                    <w:top w:val="none" w:sz="0" w:space="0" w:color="auto"/>
                    <w:left w:val="none" w:sz="0" w:space="0" w:color="auto"/>
                    <w:bottom w:val="none" w:sz="0" w:space="0" w:color="auto"/>
                    <w:right w:val="none" w:sz="0" w:space="0" w:color="auto"/>
                  </w:divBdr>
                </w:div>
                <w:div w:id="1509981707">
                  <w:marLeft w:val="0"/>
                  <w:marRight w:val="0"/>
                  <w:marTop w:val="0"/>
                  <w:marBottom w:val="0"/>
                  <w:divBdr>
                    <w:top w:val="none" w:sz="0" w:space="0" w:color="auto"/>
                    <w:left w:val="none" w:sz="0" w:space="0" w:color="auto"/>
                    <w:bottom w:val="none" w:sz="0" w:space="0" w:color="auto"/>
                    <w:right w:val="none" w:sz="0" w:space="0" w:color="auto"/>
                  </w:divBdr>
                </w:div>
                <w:div w:id="158927234">
                  <w:marLeft w:val="0"/>
                  <w:marRight w:val="0"/>
                  <w:marTop w:val="0"/>
                  <w:marBottom w:val="0"/>
                  <w:divBdr>
                    <w:top w:val="none" w:sz="0" w:space="0" w:color="auto"/>
                    <w:left w:val="none" w:sz="0" w:space="0" w:color="auto"/>
                    <w:bottom w:val="none" w:sz="0" w:space="0" w:color="auto"/>
                    <w:right w:val="none" w:sz="0" w:space="0" w:color="auto"/>
                  </w:divBdr>
                </w:div>
                <w:div w:id="1327126999">
                  <w:marLeft w:val="0"/>
                  <w:marRight w:val="0"/>
                  <w:marTop w:val="0"/>
                  <w:marBottom w:val="0"/>
                  <w:divBdr>
                    <w:top w:val="none" w:sz="0" w:space="0" w:color="auto"/>
                    <w:left w:val="none" w:sz="0" w:space="0" w:color="auto"/>
                    <w:bottom w:val="none" w:sz="0" w:space="0" w:color="auto"/>
                    <w:right w:val="none" w:sz="0" w:space="0" w:color="auto"/>
                  </w:divBdr>
                </w:div>
                <w:div w:id="796096956">
                  <w:marLeft w:val="0"/>
                  <w:marRight w:val="0"/>
                  <w:marTop w:val="0"/>
                  <w:marBottom w:val="0"/>
                  <w:divBdr>
                    <w:top w:val="none" w:sz="0" w:space="0" w:color="auto"/>
                    <w:left w:val="none" w:sz="0" w:space="0" w:color="auto"/>
                    <w:bottom w:val="none" w:sz="0" w:space="0" w:color="auto"/>
                    <w:right w:val="none" w:sz="0" w:space="0" w:color="auto"/>
                  </w:divBdr>
                </w:div>
                <w:div w:id="1391424258">
                  <w:marLeft w:val="0"/>
                  <w:marRight w:val="0"/>
                  <w:marTop w:val="0"/>
                  <w:marBottom w:val="0"/>
                  <w:divBdr>
                    <w:top w:val="none" w:sz="0" w:space="0" w:color="auto"/>
                    <w:left w:val="none" w:sz="0" w:space="0" w:color="auto"/>
                    <w:bottom w:val="none" w:sz="0" w:space="0" w:color="auto"/>
                    <w:right w:val="none" w:sz="0" w:space="0" w:color="auto"/>
                  </w:divBdr>
                </w:div>
                <w:div w:id="805702973">
                  <w:marLeft w:val="0"/>
                  <w:marRight w:val="0"/>
                  <w:marTop w:val="0"/>
                  <w:marBottom w:val="0"/>
                  <w:divBdr>
                    <w:top w:val="none" w:sz="0" w:space="0" w:color="auto"/>
                    <w:left w:val="none" w:sz="0" w:space="0" w:color="auto"/>
                    <w:bottom w:val="none" w:sz="0" w:space="0" w:color="auto"/>
                    <w:right w:val="none" w:sz="0" w:space="0" w:color="auto"/>
                  </w:divBdr>
                </w:div>
                <w:div w:id="1621565410">
                  <w:marLeft w:val="0"/>
                  <w:marRight w:val="0"/>
                  <w:marTop w:val="0"/>
                  <w:marBottom w:val="0"/>
                  <w:divBdr>
                    <w:top w:val="none" w:sz="0" w:space="0" w:color="auto"/>
                    <w:left w:val="none" w:sz="0" w:space="0" w:color="auto"/>
                    <w:bottom w:val="none" w:sz="0" w:space="0" w:color="auto"/>
                    <w:right w:val="none" w:sz="0" w:space="0" w:color="auto"/>
                  </w:divBdr>
                </w:div>
                <w:div w:id="918099844">
                  <w:marLeft w:val="0"/>
                  <w:marRight w:val="0"/>
                  <w:marTop w:val="0"/>
                  <w:marBottom w:val="0"/>
                  <w:divBdr>
                    <w:top w:val="none" w:sz="0" w:space="0" w:color="auto"/>
                    <w:left w:val="none" w:sz="0" w:space="0" w:color="auto"/>
                    <w:bottom w:val="none" w:sz="0" w:space="0" w:color="auto"/>
                    <w:right w:val="none" w:sz="0" w:space="0" w:color="auto"/>
                  </w:divBdr>
                </w:div>
                <w:div w:id="1004865513">
                  <w:marLeft w:val="0"/>
                  <w:marRight w:val="0"/>
                  <w:marTop w:val="0"/>
                  <w:marBottom w:val="0"/>
                  <w:divBdr>
                    <w:top w:val="none" w:sz="0" w:space="0" w:color="auto"/>
                    <w:left w:val="none" w:sz="0" w:space="0" w:color="auto"/>
                    <w:bottom w:val="none" w:sz="0" w:space="0" w:color="auto"/>
                    <w:right w:val="none" w:sz="0" w:space="0" w:color="auto"/>
                  </w:divBdr>
                </w:div>
                <w:div w:id="1954945948">
                  <w:marLeft w:val="0"/>
                  <w:marRight w:val="0"/>
                  <w:marTop w:val="0"/>
                  <w:marBottom w:val="0"/>
                  <w:divBdr>
                    <w:top w:val="none" w:sz="0" w:space="0" w:color="auto"/>
                    <w:left w:val="none" w:sz="0" w:space="0" w:color="auto"/>
                    <w:bottom w:val="none" w:sz="0" w:space="0" w:color="auto"/>
                    <w:right w:val="none" w:sz="0" w:space="0" w:color="auto"/>
                  </w:divBdr>
                </w:div>
                <w:div w:id="1016924480">
                  <w:marLeft w:val="0"/>
                  <w:marRight w:val="0"/>
                  <w:marTop w:val="0"/>
                  <w:marBottom w:val="0"/>
                  <w:divBdr>
                    <w:top w:val="none" w:sz="0" w:space="0" w:color="auto"/>
                    <w:left w:val="none" w:sz="0" w:space="0" w:color="auto"/>
                    <w:bottom w:val="none" w:sz="0" w:space="0" w:color="auto"/>
                    <w:right w:val="none" w:sz="0" w:space="0" w:color="auto"/>
                  </w:divBdr>
                </w:div>
                <w:div w:id="1799297358">
                  <w:marLeft w:val="0"/>
                  <w:marRight w:val="0"/>
                  <w:marTop w:val="0"/>
                  <w:marBottom w:val="0"/>
                  <w:divBdr>
                    <w:top w:val="none" w:sz="0" w:space="0" w:color="auto"/>
                    <w:left w:val="none" w:sz="0" w:space="0" w:color="auto"/>
                    <w:bottom w:val="none" w:sz="0" w:space="0" w:color="auto"/>
                    <w:right w:val="none" w:sz="0" w:space="0" w:color="auto"/>
                  </w:divBdr>
                </w:div>
                <w:div w:id="1422946004">
                  <w:marLeft w:val="0"/>
                  <w:marRight w:val="0"/>
                  <w:marTop w:val="0"/>
                  <w:marBottom w:val="0"/>
                  <w:divBdr>
                    <w:top w:val="none" w:sz="0" w:space="0" w:color="auto"/>
                    <w:left w:val="none" w:sz="0" w:space="0" w:color="auto"/>
                    <w:bottom w:val="none" w:sz="0" w:space="0" w:color="auto"/>
                    <w:right w:val="none" w:sz="0" w:space="0" w:color="auto"/>
                  </w:divBdr>
                </w:div>
                <w:div w:id="1834948202">
                  <w:marLeft w:val="0"/>
                  <w:marRight w:val="0"/>
                  <w:marTop w:val="0"/>
                  <w:marBottom w:val="0"/>
                  <w:divBdr>
                    <w:top w:val="none" w:sz="0" w:space="0" w:color="auto"/>
                    <w:left w:val="none" w:sz="0" w:space="0" w:color="auto"/>
                    <w:bottom w:val="none" w:sz="0" w:space="0" w:color="auto"/>
                    <w:right w:val="none" w:sz="0" w:space="0" w:color="auto"/>
                  </w:divBdr>
                </w:div>
                <w:div w:id="1990597161">
                  <w:marLeft w:val="0"/>
                  <w:marRight w:val="0"/>
                  <w:marTop w:val="0"/>
                  <w:marBottom w:val="0"/>
                  <w:divBdr>
                    <w:top w:val="none" w:sz="0" w:space="0" w:color="auto"/>
                    <w:left w:val="none" w:sz="0" w:space="0" w:color="auto"/>
                    <w:bottom w:val="none" w:sz="0" w:space="0" w:color="auto"/>
                    <w:right w:val="none" w:sz="0" w:space="0" w:color="auto"/>
                  </w:divBdr>
                </w:div>
                <w:div w:id="531192231">
                  <w:marLeft w:val="0"/>
                  <w:marRight w:val="0"/>
                  <w:marTop w:val="0"/>
                  <w:marBottom w:val="0"/>
                  <w:divBdr>
                    <w:top w:val="none" w:sz="0" w:space="0" w:color="auto"/>
                    <w:left w:val="none" w:sz="0" w:space="0" w:color="auto"/>
                    <w:bottom w:val="none" w:sz="0" w:space="0" w:color="auto"/>
                    <w:right w:val="none" w:sz="0" w:space="0" w:color="auto"/>
                  </w:divBdr>
                </w:div>
                <w:div w:id="2112698332">
                  <w:marLeft w:val="0"/>
                  <w:marRight w:val="0"/>
                  <w:marTop w:val="0"/>
                  <w:marBottom w:val="0"/>
                  <w:divBdr>
                    <w:top w:val="none" w:sz="0" w:space="0" w:color="auto"/>
                    <w:left w:val="none" w:sz="0" w:space="0" w:color="auto"/>
                    <w:bottom w:val="none" w:sz="0" w:space="0" w:color="auto"/>
                    <w:right w:val="none" w:sz="0" w:space="0" w:color="auto"/>
                  </w:divBdr>
                </w:div>
                <w:div w:id="76749425">
                  <w:marLeft w:val="0"/>
                  <w:marRight w:val="0"/>
                  <w:marTop w:val="0"/>
                  <w:marBottom w:val="0"/>
                  <w:divBdr>
                    <w:top w:val="none" w:sz="0" w:space="0" w:color="auto"/>
                    <w:left w:val="none" w:sz="0" w:space="0" w:color="auto"/>
                    <w:bottom w:val="none" w:sz="0" w:space="0" w:color="auto"/>
                    <w:right w:val="none" w:sz="0" w:space="0" w:color="auto"/>
                  </w:divBdr>
                </w:div>
                <w:div w:id="1874920070">
                  <w:marLeft w:val="0"/>
                  <w:marRight w:val="0"/>
                  <w:marTop w:val="0"/>
                  <w:marBottom w:val="0"/>
                  <w:divBdr>
                    <w:top w:val="none" w:sz="0" w:space="0" w:color="auto"/>
                    <w:left w:val="none" w:sz="0" w:space="0" w:color="auto"/>
                    <w:bottom w:val="none" w:sz="0" w:space="0" w:color="auto"/>
                    <w:right w:val="none" w:sz="0" w:space="0" w:color="auto"/>
                  </w:divBdr>
                </w:div>
                <w:div w:id="1721174279">
                  <w:marLeft w:val="0"/>
                  <w:marRight w:val="0"/>
                  <w:marTop w:val="0"/>
                  <w:marBottom w:val="0"/>
                  <w:divBdr>
                    <w:top w:val="none" w:sz="0" w:space="0" w:color="auto"/>
                    <w:left w:val="none" w:sz="0" w:space="0" w:color="auto"/>
                    <w:bottom w:val="none" w:sz="0" w:space="0" w:color="auto"/>
                    <w:right w:val="none" w:sz="0" w:space="0" w:color="auto"/>
                  </w:divBdr>
                </w:div>
                <w:div w:id="1482885815">
                  <w:marLeft w:val="0"/>
                  <w:marRight w:val="0"/>
                  <w:marTop w:val="0"/>
                  <w:marBottom w:val="0"/>
                  <w:divBdr>
                    <w:top w:val="none" w:sz="0" w:space="0" w:color="auto"/>
                    <w:left w:val="none" w:sz="0" w:space="0" w:color="auto"/>
                    <w:bottom w:val="none" w:sz="0" w:space="0" w:color="auto"/>
                    <w:right w:val="none" w:sz="0" w:space="0" w:color="auto"/>
                  </w:divBdr>
                </w:div>
                <w:div w:id="726030582">
                  <w:marLeft w:val="0"/>
                  <w:marRight w:val="0"/>
                  <w:marTop w:val="0"/>
                  <w:marBottom w:val="0"/>
                  <w:divBdr>
                    <w:top w:val="none" w:sz="0" w:space="0" w:color="auto"/>
                    <w:left w:val="none" w:sz="0" w:space="0" w:color="auto"/>
                    <w:bottom w:val="none" w:sz="0" w:space="0" w:color="auto"/>
                    <w:right w:val="none" w:sz="0" w:space="0" w:color="auto"/>
                  </w:divBdr>
                </w:div>
                <w:div w:id="20208135">
                  <w:marLeft w:val="0"/>
                  <w:marRight w:val="0"/>
                  <w:marTop w:val="0"/>
                  <w:marBottom w:val="0"/>
                  <w:divBdr>
                    <w:top w:val="none" w:sz="0" w:space="0" w:color="auto"/>
                    <w:left w:val="none" w:sz="0" w:space="0" w:color="auto"/>
                    <w:bottom w:val="none" w:sz="0" w:space="0" w:color="auto"/>
                    <w:right w:val="none" w:sz="0" w:space="0" w:color="auto"/>
                  </w:divBdr>
                </w:div>
                <w:div w:id="1404837394">
                  <w:marLeft w:val="0"/>
                  <w:marRight w:val="0"/>
                  <w:marTop w:val="0"/>
                  <w:marBottom w:val="0"/>
                  <w:divBdr>
                    <w:top w:val="none" w:sz="0" w:space="0" w:color="auto"/>
                    <w:left w:val="none" w:sz="0" w:space="0" w:color="auto"/>
                    <w:bottom w:val="none" w:sz="0" w:space="0" w:color="auto"/>
                    <w:right w:val="none" w:sz="0" w:space="0" w:color="auto"/>
                  </w:divBdr>
                </w:div>
                <w:div w:id="948270527">
                  <w:marLeft w:val="0"/>
                  <w:marRight w:val="0"/>
                  <w:marTop w:val="0"/>
                  <w:marBottom w:val="0"/>
                  <w:divBdr>
                    <w:top w:val="none" w:sz="0" w:space="0" w:color="auto"/>
                    <w:left w:val="none" w:sz="0" w:space="0" w:color="auto"/>
                    <w:bottom w:val="none" w:sz="0" w:space="0" w:color="auto"/>
                    <w:right w:val="none" w:sz="0" w:space="0" w:color="auto"/>
                  </w:divBdr>
                </w:div>
                <w:div w:id="1151558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74688">
          <w:marLeft w:val="0"/>
          <w:marRight w:val="0"/>
          <w:marTop w:val="15"/>
          <w:marBottom w:val="0"/>
          <w:divBdr>
            <w:top w:val="none" w:sz="0" w:space="0" w:color="auto"/>
            <w:left w:val="none" w:sz="0" w:space="0" w:color="auto"/>
            <w:bottom w:val="none" w:sz="0" w:space="0" w:color="auto"/>
            <w:right w:val="none" w:sz="0" w:space="0" w:color="auto"/>
          </w:divBdr>
          <w:divsChild>
            <w:div w:id="636030500">
              <w:marLeft w:val="0"/>
              <w:marRight w:val="0"/>
              <w:marTop w:val="0"/>
              <w:marBottom w:val="0"/>
              <w:divBdr>
                <w:top w:val="none" w:sz="0" w:space="0" w:color="auto"/>
                <w:left w:val="none" w:sz="0" w:space="0" w:color="auto"/>
                <w:bottom w:val="none" w:sz="0" w:space="0" w:color="auto"/>
                <w:right w:val="none" w:sz="0" w:space="0" w:color="auto"/>
              </w:divBdr>
              <w:divsChild>
                <w:div w:id="1580868942">
                  <w:marLeft w:val="0"/>
                  <w:marRight w:val="0"/>
                  <w:marTop w:val="0"/>
                  <w:marBottom w:val="0"/>
                  <w:divBdr>
                    <w:top w:val="none" w:sz="0" w:space="0" w:color="auto"/>
                    <w:left w:val="none" w:sz="0" w:space="0" w:color="auto"/>
                    <w:bottom w:val="none" w:sz="0" w:space="0" w:color="auto"/>
                    <w:right w:val="none" w:sz="0" w:space="0" w:color="auto"/>
                  </w:divBdr>
                </w:div>
                <w:div w:id="1170411280">
                  <w:marLeft w:val="0"/>
                  <w:marRight w:val="0"/>
                  <w:marTop w:val="0"/>
                  <w:marBottom w:val="0"/>
                  <w:divBdr>
                    <w:top w:val="none" w:sz="0" w:space="0" w:color="auto"/>
                    <w:left w:val="none" w:sz="0" w:space="0" w:color="auto"/>
                    <w:bottom w:val="none" w:sz="0" w:space="0" w:color="auto"/>
                    <w:right w:val="none" w:sz="0" w:space="0" w:color="auto"/>
                  </w:divBdr>
                </w:div>
                <w:div w:id="1993244321">
                  <w:marLeft w:val="0"/>
                  <w:marRight w:val="0"/>
                  <w:marTop w:val="0"/>
                  <w:marBottom w:val="0"/>
                  <w:divBdr>
                    <w:top w:val="none" w:sz="0" w:space="0" w:color="auto"/>
                    <w:left w:val="none" w:sz="0" w:space="0" w:color="auto"/>
                    <w:bottom w:val="none" w:sz="0" w:space="0" w:color="auto"/>
                    <w:right w:val="none" w:sz="0" w:space="0" w:color="auto"/>
                  </w:divBdr>
                </w:div>
                <w:div w:id="473260839">
                  <w:marLeft w:val="0"/>
                  <w:marRight w:val="0"/>
                  <w:marTop w:val="0"/>
                  <w:marBottom w:val="0"/>
                  <w:divBdr>
                    <w:top w:val="none" w:sz="0" w:space="0" w:color="auto"/>
                    <w:left w:val="none" w:sz="0" w:space="0" w:color="auto"/>
                    <w:bottom w:val="none" w:sz="0" w:space="0" w:color="auto"/>
                    <w:right w:val="none" w:sz="0" w:space="0" w:color="auto"/>
                  </w:divBdr>
                </w:div>
                <w:div w:id="1984962895">
                  <w:marLeft w:val="0"/>
                  <w:marRight w:val="0"/>
                  <w:marTop w:val="0"/>
                  <w:marBottom w:val="0"/>
                  <w:divBdr>
                    <w:top w:val="none" w:sz="0" w:space="0" w:color="auto"/>
                    <w:left w:val="none" w:sz="0" w:space="0" w:color="auto"/>
                    <w:bottom w:val="none" w:sz="0" w:space="0" w:color="auto"/>
                    <w:right w:val="none" w:sz="0" w:space="0" w:color="auto"/>
                  </w:divBdr>
                </w:div>
                <w:div w:id="1930698536">
                  <w:marLeft w:val="0"/>
                  <w:marRight w:val="0"/>
                  <w:marTop w:val="0"/>
                  <w:marBottom w:val="0"/>
                  <w:divBdr>
                    <w:top w:val="none" w:sz="0" w:space="0" w:color="auto"/>
                    <w:left w:val="none" w:sz="0" w:space="0" w:color="auto"/>
                    <w:bottom w:val="none" w:sz="0" w:space="0" w:color="auto"/>
                    <w:right w:val="none" w:sz="0" w:space="0" w:color="auto"/>
                  </w:divBdr>
                </w:div>
                <w:div w:id="1667633843">
                  <w:marLeft w:val="0"/>
                  <w:marRight w:val="0"/>
                  <w:marTop w:val="0"/>
                  <w:marBottom w:val="0"/>
                  <w:divBdr>
                    <w:top w:val="none" w:sz="0" w:space="0" w:color="auto"/>
                    <w:left w:val="none" w:sz="0" w:space="0" w:color="auto"/>
                    <w:bottom w:val="none" w:sz="0" w:space="0" w:color="auto"/>
                    <w:right w:val="none" w:sz="0" w:space="0" w:color="auto"/>
                  </w:divBdr>
                </w:div>
                <w:div w:id="1853496983">
                  <w:marLeft w:val="0"/>
                  <w:marRight w:val="0"/>
                  <w:marTop w:val="0"/>
                  <w:marBottom w:val="0"/>
                  <w:divBdr>
                    <w:top w:val="none" w:sz="0" w:space="0" w:color="auto"/>
                    <w:left w:val="none" w:sz="0" w:space="0" w:color="auto"/>
                    <w:bottom w:val="none" w:sz="0" w:space="0" w:color="auto"/>
                    <w:right w:val="none" w:sz="0" w:space="0" w:color="auto"/>
                  </w:divBdr>
                </w:div>
                <w:div w:id="83109269">
                  <w:marLeft w:val="0"/>
                  <w:marRight w:val="0"/>
                  <w:marTop w:val="0"/>
                  <w:marBottom w:val="0"/>
                  <w:divBdr>
                    <w:top w:val="none" w:sz="0" w:space="0" w:color="auto"/>
                    <w:left w:val="none" w:sz="0" w:space="0" w:color="auto"/>
                    <w:bottom w:val="none" w:sz="0" w:space="0" w:color="auto"/>
                    <w:right w:val="none" w:sz="0" w:space="0" w:color="auto"/>
                  </w:divBdr>
                </w:div>
                <w:div w:id="1243643774">
                  <w:marLeft w:val="0"/>
                  <w:marRight w:val="0"/>
                  <w:marTop w:val="0"/>
                  <w:marBottom w:val="0"/>
                  <w:divBdr>
                    <w:top w:val="none" w:sz="0" w:space="0" w:color="auto"/>
                    <w:left w:val="none" w:sz="0" w:space="0" w:color="auto"/>
                    <w:bottom w:val="none" w:sz="0" w:space="0" w:color="auto"/>
                    <w:right w:val="none" w:sz="0" w:space="0" w:color="auto"/>
                  </w:divBdr>
                </w:div>
                <w:div w:id="1091312502">
                  <w:marLeft w:val="0"/>
                  <w:marRight w:val="0"/>
                  <w:marTop w:val="0"/>
                  <w:marBottom w:val="0"/>
                  <w:divBdr>
                    <w:top w:val="none" w:sz="0" w:space="0" w:color="auto"/>
                    <w:left w:val="none" w:sz="0" w:space="0" w:color="auto"/>
                    <w:bottom w:val="none" w:sz="0" w:space="0" w:color="auto"/>
                    <w:right w:val="none" w:sz="0" w:space="0" w:color="auto"/>
                  </w:divBdr>
                </w:div>
                <w:div w:id="87236605">
                  <w:marLeft w:val="0"/>
                  <w:marRight w:val="0"/>
                  <w:marTop w:val="0"/>
                  <w:marBottom w:val="0"/>
                  <w:divBdr>
                    <w:top w:val="none" w:sz="0" w:space="0" w:color="auto"/>
                    <w:left w:val="none" w:sz="0" w:space="0" w:color="auto"/>
                    <w:bottom w:val="none" w:sz="0" w:space="0" w:color="auto"/>
                    <w:right w:val="none" w:sz="0" w:space="0" w:color="auto"/>
                  </w:divBdr>
                </w:div>
                <w:div w:id="801188230">
                  <w:marLeft w:val="0"/>
                  <w:marRight w:val="0"/>
                  <w:marTop w:val="0"/>
                  <w:marBottom w:val="0"/>
                  <w:divBdr>
                    <w:top w:val="none" w:sz="0" w:space="0" w:color="auto"/>
                    <w:left w:val="none" w:sz="0" w:space="0" w:color="auto"/>
                    <w:bottom w:val="none" w:sz="0" w:space="0" w:color="auto"/>
                    <w:right w:val="none" w:sz="0" w:space="0" w:color="auto"/>
                  </w:divBdr>
                </w:div>
                <w:div w:id="534274777">
                  <w:marLeft w:val="0"/>
                  <w:marRight w:val="0"/>
                  <w:marTop w:val="0"/>
                  <w:marBottom w:val="0"/>
                  <w:divBdr>
                    <w:top w:val="none" w:sz="0" w:space="0" w:color="auto"/>
                    <w:left w:val="none" w:sz="0" w:space="0" w:color="auto"/>
                    <w:bottom w:val="none" w:sz="0" w:space="0" w:color="auto"/>
                    <w:right w:val="none" w:sz="0" w:space="0" w:color="auto"/>
                  </w:divBdr>
                </w:div>
                <w:div w:id="1329332976">
                  <w:marLeft w:val="0"/>
                  <w:marRight w:val="0"/>
                  <w:marTop w:val="0"/>
                  <w:marBottom w:val="0"/>
                  <w:divBdr>
                    <w:top w:val="none" w:sz="0" w:space="0" w:color="auto"/>
                    <w:left w:val="none" w:sz="0" w:space="0" w:color="auto"/>
                    <w:bottom w:val="none" w:sz="0" w:space="0" w:color="auto"/>
                    <w:right w:val="none" w:sz="0" w:space="0" w:color="auto"/>
                  </w:divBdr>
                </w:div>
                <w:div w:id="1098141532">
                  <w:marLeft w:val="0"/>
                  <w:marRight w:val="0"/>
                  <w:marTop w:val="0"/>
                  <w:marBottom w:val="0"/>
                  <w:divBdr>
                    <w:top w:val="none" w:sz="0" w:space="0" w:color="auto"/>
                    <w:left w:val="none" w:sz="0" w:space="0" w:color="auto"/>
                    <w:bottom w:val="none" w:sz="0" w:space="0" w:color="auto"/>
                    <w:right w:val="none" w:sz="0" w:space="0" w:color="auto"/>
                  </w:divBdr>
                </w:div>
                <w:div w:id="599022087">
                  <w:marLeft w:val="0"/>
                  <w:marRight w:val="0"/>
                  <w:marTop w:val="0"/>
                  <w:marBottom w:val="0"/>
                  <w:divBdr>
                    <w:top w:val="none" w:sz="0" w:space="0" w:color="auto"/>
                    <w:left w:val="none" w:sz="0" w:space="0" w:color="auto"/>
                    <w:bottom w:val="none" w:sz="0" w:space="0" w:color="auto"/>
                    <w:right w:val="none" w:sz="0" w:space="0" w:color="auto"/>
                  </w:divBdr>
                </w:div>
                <w:div w:id="1416367056">
                  <w:marLeft w:val="0"/>
                  <w:marRight w:val="0"/>
                  <w:marTop w:val="0"/>
                  <w:marBottom w:val="0"/>
                  <w:divBdr>
                    <w:top w:val="none" w:sz="0" w:space="0" w:color="auto"/>
                    <w:left w:val="none" w:sz="0" w:space="0" w:color="auto"/>
                    <w:bottom w:val="none" w:sz="0" w:space="0" w:color="auto"/>
                    <w:right w:val="none" w:sz="0" w:space="0" w:color="auto"/>
                  </w:divBdr>
                </w:div>
                <w:div w:id="1047221860">
                  <w:marLeft w:val="0"/>
                  <w:marRight w:val="0"/>
                  <w:marTop w:val="0"/>
                  <w:marBottom w:val="0"/>
                  <w:divBdr>
                    <w:top w:val="none" w:sz="0" w:space="0" w:color="auto"/>
                    <w:left w:val="none" w:sz="0" w:space="0" w:color="auto"/>
                    <w:bottom w:val="none" w:sz="0" w:space="0" w:color="auto"/>
                    <w:right w:val="none" w:sz="0" w:space="0" w:color="auto"/>
                  </w:divBdr>
                </w:div>
                <w:div w:id="1686903994">
                  <w:marLeft w:val="0"/>
                  <w:marRight w:val="0"/>
                  <w:marTop w:val="0"/>
                  <w:marBottom w:val="0"/>
                  <w:divBdr>
                    <w:top w:val="none" w:sz="0" w:space="0" w:color="auto"/>
                    <w:left w:val="none" w:sz="0" w:space="0" w:color="auto"/>
                    <w:bottom w:val="none" w:sz="0" w:space="0" w:color="auto"/>
                    <w:right w:val="none" w:sz="0" w:space="0" w:color="auto"/>
                  </w:divBdr>
                </w:div>
                <w:div w:id="349841787">
                  <w:marLeft w:val="0"/>
                  <w:marRight w:val="0"/>
                  <w:marTop w:val="0"/>
                  <w:marBottom w:val="0"/>
                  <w:divBdr>
                    <w:top w:val="none" w:sz="0" w:space="0" w:color="auto"/>
                    <w:left w:val="none" w:sz="0" w:space="0" w:color="auto"/>
                    <w:bottom w:val="none" w:sz="0" w:space="0" w:color="auto"/>
                    <w:right w:val="none" w:sz="0" w:space="0" w:color="auto"/>
                  </w:divBdr>
                </w:div>
                <w:div w:id="1703481583">
                  <w:marLeft w:val="0"/>
                  <w:marRight w:val="0"/>
                  <w:marTop w:val="0"/>
                  <w:marBottom w:val="0"/>
                  <w:divBdr>
                    <w:top w:val="none" w:sz="0" w:space="0" w:color="auto"/>
                    <w:left w:val="none" w:sz="0" w:space="0" w:color="auto"/>
                    <w:bottom w:val="none" w:sz="0" w:space="0" w:color="auto"/>
                    <w:right w:val="none" w:sz="0" w:space="0" w:color="auto"/>
                  </w:divBdr>
                </w:div>
                <w:div w:id="574825365">
                  <w:marLeft w:val="0"/>
                  <w:marRight w:val="0"/>
                  <w:marTop w:val="0"/>
                  <w:marBottom w:val="0"/>
                  <w:divBdr>
                    <w:top w:val="none" w:sz="0" w:space="0" w:color="auto"/>
                    <w:left w:val="none" w:sz="0" w:space="0" w:color="auto"/>
                    <w:bottom w:val="none" w:sz="0" w:space="0" w:color="auto"/>
                    <w:right w:val="none" w:sz="0" w:space="0" w:color="auto"/>
                  </w:divBdr>
                </w:div>
                <w:div w:id="534926855">
                  <w:marLeft w:val="0"/>
                  <w:marRight w:val="0"/>
                  <w:marTop w:val="0"/>
                  <w:marBottom w:val="0"/>
                  <w:divBdr>
                    <w:top w:val="none" w:sz="0" w:space="0" w:color="auto"/>
                    <w:left w:val="none" w:sz="0" w:space="0" w:color="auto"/>
                    <w:bottom w:val="none" w:sz="0" w:space="0" w:color="auto"/>
                    <w:right w:val="none" w:sz="0" w:space="0" w:color="auto"/>
                  </w:divBdr>
                </w:div>
                <w:div w:id="1706445646">
                  <w:marLeft w:val="0"/>
                  <w:marRight w:val="0"/>
                  <w:marTop w:val="0"/>
                  <w:marBottom w:val="0"/>
                  <w:divBdr>
                    <w:top w:val="none" w:sz="0" w:space="0" w:color="auto"/>
                    <w:left w:val="none" w:sz="0" w:space="0" w:color="auto"/>
                    <w:bottom w:val="none" w:sz="0" w:space="0" w:color="auto"/>
                    <w:right w:val="none" w:sz="0" w:space="0" w:color="auto"/>
                  </w:divBdr>
                </w:div>
                <w:div w:id="343094227">
                  <w:marLeft w:val="0"/>
                  <w:marRight w:val="0"/>
                  <w:marTop w:val="0"/>
                  <w:marBottom w:val="0"/>
                  <w:divBdr>
                    <w:top w:val="none" w:sz="0" w:space="0" w:color="auto"/>
                    <w:left w:val="none" w:sz="0" w:space="0" w:color="auto"/>
                    <w:bottom w:val="none" w:sz="0" w:space="0" w:color="auto"/>
                    <w:right w:val="none" w:sz="0" w:space="0" w:color="auto"/>
                  </w:divBdr>
                </w:div>
                <w:div w:id="1133330920">
                  <w:marLeft w:val="0"/>
                  <w:marRight w:val="0"/>
                  <w:marTop w:val="0"/>
                  <w:marBottom w:val="0"/>
                  <w:divBdr>
                    <w:top w:val="none" w:sz="0" w:space="0" w:color="auto"/>
                    <w:left w:val="none" w:sz="0" w:space="0" w:color="auto"/>
                    <w:bottom w:val="none" w:sz="0" w:space="0" w:color="auto"/>
                    <w:right w:val="none" w:sz="0" w:space="0" w:color="auto"/>
                  </w:divBdr>
                </w:div>
                <w:div w:id="1934164248">
                  <w:marLeft w:val="0"/>
                  <w:marRight w:val="0"/>
                  <w:marTop w:val="0"/>
                  <w:marBottom w:val="0"/>
                  <w:divBdr>
                    <w:top w:val="none" w:sz="0" w:space="0" w:color="auto"/>
                    <w:left w:val="none" w:sz="0" w:space="0" w:color="auto"/>
                    <w:bottom w:val="none" w:sz="0" w:space="0" w:color="auto"/>
                    <w:right w:val="none" w:sz="0" w:space="0" w:color="auto"/>
                  </w:divBdr>
                </w:div>
                <w:div w:id="189781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041636">
          <w:marLeft w:val="0"/>
          <w:marRight w:val="0"/>
          <w:marTop w:val="15"/>
          <w:marBottom w:val="0"/>
          <w:divBdr>
            <w:top w:val="none" w:sz="0" w:space="0" w:color="auto"/>
            <w:left w:val="none" w:sz="0" w:space="0" w:color="auto"/>
            <w:bottom w:val="none" w:sz="0" w:space="0" w:color="auto"/>
            <w:right w:val="none" w:sz="0" w:space="0" w:color="auto"/>
          </w:divBdr>
          <w:divsChild>
            <w:div w:id="2058501962">
              <w:marLeft w:val="0"/>
              <w:marRight w:val="0"/>
              <w:marTop w:val="0"/>
              <w:marBottom w:val="0"/>
              <w:divBdr>
                <w:top w:val="none" w:sz="0" w:space="0" w:color="auto"/>
                <w:left w:val="none" w:sz="0" w:space="0" w:color="auto"/>
                <w:bottom w:val="none" w:sz="0" w:space="0" w:color="auto"/>
                <w:right w:val="none" w:sz="0" w:space="0" w:color="auto"/>
              </w:divBdr>
              <w:divsChild>
                <w:div w:id="1609042464">
                  <w:marLeft w:val="0"/>
                  <w:marRight w:val="0"/>
                  <w:marTop w:val="0"/>
                  <w:marBottom w:val="0"/>
                  <w:divBdr>
                    <w:top w:val="none" w:sz="0" w:space="0" w:color="auto"/>
                    <w:left w:val="none" w:sz="0" w:space="0" w:color="auto"/>
                    <w:bottom w:val="none" w:sz="0" w:space="0" w:color="auto"/>
                    <w:right w:val="none" w:sz="0" w:space="0" w:color="auto"/>
                  </w:divBdr>
                </w:div>
                <w:div w:id="1921061955">
                  <w:marLeft w:val="0"/>
                  <w:marRight w:val="0"/>
                  <w:marTop w:val="0"/>
                  <w:marBottom w:val="0"/>
                  <w:divBdr>
                    <w:top w:val="none" w:sz="0" w:space="0" w:color="auto"/>
                    <w:left w:val="none" w:sz="0" w:space="0" w:color="auto"/>
                    <w:bottom w:val="none" w:sz="0" w:space="0" w:color="auto"/>
                    <w:right w:val="none" w:sz="0" w:space="0" w:color="auto"/>
                  </w:divBdr>
                </w:div>
                <w:div w:id="1438132483">
                  <w:marLeft w:val="0"/>
                  <w:marRight w:val="0"/>
                  <w:marTop w:val="0"/>
                  <w:marBottom w:val="0"/>
                  <w:divBdr>
                    <w:top w:val="none" w:sz="0" w:space="0" w:color="auto"/>
                    <w:left w:val="none" w:sz="0" w:space="0" w:color="auto"/>
                    <w:bottom w:val="none" w:sz="0" w:space="0" w:color="auto"/>
                    <w:right w:val="none" w:sz="0" w:space="0" w:color="auto"/>
                  </w:divBdr>
                </w:div>
                <w:div w:id="1963999495">
                  <w:marLeft w:val="0"/>
                  <w:marRight w:val="0"/>
                  <w:marTop w:val="0"/>
                  <w:marBottom w:val="0"/>
                  <w:divBdr>
                    <w:top w:val="none" w:sz="0" w:space="0" w:color="auto"/>
                    <w:left w:val="none" w:sz="0" w:space="0" w:color="auto"/>
                    <w:bottom w:val="none" w:sz="0" w:space="0" w:color="auto"/>
                    <w:right w:val="none" w:sz="0" w:space="0" w:color="auto"/>
                  </w:divBdr>
                </w:div>
                <w:div w:id="1042251097">
                  <w:marLeft w:val="0"/>
                  <w:marRight w:val="0"/>
                  <w:marTop w:val="0"/>
                  <w:marBottom w:val="0"/>
                  <w:divBdr>
                    <w:top w:val="none" w:sz="0" w:space="0" w:color="auto"/>
                    <w:left w:val="none" w:sz="0" w:space="0" w:color="auto"/>
                    <w:bottom w:val="none" w:sz="0" w:space="0" w:color="auto"/>
                    <w:right w:val="none" w:sz="0" w:space="0" w:color="auto"/>
                  </w:divBdr>
                </w:div>
                <w:div w:id="1587767230">
                  <w:marLeft w:val="0"/>
                  <w:marRight w:val="0"/>
                  <w:marTop w:val="0"/>
                  <w:marBottom w:val="0"/>
                  <w:divBdr>
                    <w:top w:val="none" w:sz="0" w:space="0" w:color="auto"/>
                    <w:left w:val="none" w:sz="0" w:space="0" w:color="auto"/>
                    <w:bottom w:val="none" w:sz="0" w:space="0" w:color="auto"/>
                    <w:right w:val="none" w:sz="0" w:space="0" w:color="auto"/>
                  </w:divBdr>
                </w:div>
                <w:div w:id="92821528">
                  <w:marLeft w:val="0"/>
                  <w:marRight w:val="0"/>
                  <w:marTop w:val="0"/>
                  <w:marBottom w:val="0"/>
                  <w:divBdr>
                    <w:top w:val="none" w:sz="0" w:space="0" w:color="auto"/>
                    <w:left w:val="none" w:sz="0" w:space="0" w:color="auto"/>
                    <w:bottom w:val="none" w:sz="0" w:space="0" w:color="auto"/>
                    <w:right w:val="none" w:sz="0" w:space="0" w:color="auto"/>
                  </w:divBdr>
                </w:div>
                <w:div w:id="695081974">
                  <w:marLeft w:val="0"/>
                  <w:marRight w:val="0"/>
                  <w:marTop w:val="0"/>
                  <w:marBottom w:val="0"/>
                  <w:divBdr>
                    <w:top w:val="none" w:sz="0" w:space="0" w:color="auto"/>
                    <w:left w:val="none" w:sz="0" w:space="0" w:color="auto"/>
                    <w:bottom w:val="none" w:sz="0" w:space="0" w:color="auto"/>
                    <w:right w:val="none" w:sz="0" w:space="0" w:color="auto"/>
                  </w:divBdr>
                </w:div>
                <w:div w:id="986860603">
                  <w:marLeft w:val="0"/>
                  <w:marRight w:val="0"/>
                  <w:marTop w:val="0"/>
                  <w:marBottom w:val="0"/>
                  <w:divBdr>
                    <w:top w:val="none" w:sz="0" w:space="0" w:color="auto"/>
                    <w:left w:val="none" w:sz="0" w:space="0" w:color="auto"/>
                    <w:bottom w:val="none" w:sz="0" w:space="0" w:color="auto"/>
                    <w:right w:val="none" w:sz="0" w:space="0" w:color="auto"/>
                  </w:divBdr>
                </w:div>
                <w:div w:id="611715246">
                  <w:marLeft w:val="0"/>
                  <w:marRight w:val="0"/>
                  <w:marTop w:val="0"/>
                  <w:marBottom w:val="0"/>
                  <w:divBdr>
                    <w:top w:val="none" w:sz="0" w:space="0" w:color="auto"/>
                    <w:left w:val="none" w:sz="0" w:space="0" w:color="auto"/>
                    <w:bottom w:val="none" w:sz="0" w:space="0" w:color="auto"/>
                    <w:right w:val="none" w:sz="0" w:space="0" w:color="auto"/>
                  </w:divBdr>
                </w:div>
                <w:div w:id="2111852173">
                  <w:marLeft w:val="0"/>
                  <w:marRight w:val="0"/>
                  <w:marTop w:val="0"/>
                  <w:marBottom w:val="0"/>
                  <w:divBdr>
                    <w:top w:val="none" w:sz="0" w:space="0" w:color="auto"/>
                    <w:left w:val="none" w:sz="0" w:space="0" w:color="auto"/>
                    <w:bottom w:val="none" w:sz="0" w:space="0" w:color="auto"/>
                    <w:right w:val="none" w:sz="0" w:space="0" w:color="auto"/>
                  </w:divBdr>
                </w:div>
                <w:div w:id="503789797">
                  <w:marLeft w:val="0"/>
                  <w:marRight w:val="0"/>
                  <w:marTop w:val="0"/>
                  <w:marBottom w:val="0"/>
                  <w:divBdr>
                    <w:top w:val="none" w:sz="0" w:space="0" w:color="auto"/>
                    <w:left w:val="none" w:sz="0" w:space="0" w:color="auto"/>
                    <w:bottom w:val="none" w:sz="0" w:space="0" w:color="auto"/>
                    <w:right w:val="none" w:sz="0" w:space="0" w:color="auto"/>
                  </w:divBdr>
                </w:div>
                <w:div w:id="916324614">
                  <w:marLeft w:val="0"/>
                  <w:marRight w:val="0"/>
                  <w:marTop w:val="0"/>
                  <w:marBottom w:val="0"/>
                  <w:divBdr>
                    <w:top w:val="none" w:sz="0" w:space="0" w:color="auto"/>
                    <w:left w:val="none" w:sz="0" w:space="0" w:color="auto"/>
                    <w:bottom w:val="none" w:sz="0" w:space="0" w:color="auto"/>
                    <w:right w:val="none" w:sz="0" w:space="0" w:color="auto"/>
                  </w:divBdr>
                </w:div>
                <w:div w:id="1541556055">
                  <w:marLeft w:val="0"/>
                  <w:marRight w:val="0"/>
                  <w:marTop w:val="0"/>
                  <w:marBottom w:val="0"/>
                  <w:divBdr>
                    <w:top w:val="none" w:sz="0" w:space="0" w:color="auto"/>
                    <w:left w:val="none" w:sz="0" w:space="0" w:color="auto"/>
                    <w:bottom w:val="none" w:sz="0" w:space="0" w:color="auto"/>
                    <w:right w:val="none" w:sz="0" w:space="0" w:color="auto"/>
                  </w:divBdr>
                </w:div>
                <w:div w:id="1933199784">
                  <w:marLeft w:val="0"/>
                  <w:marRight w:val="0"/>
                  <w:marTop w:val="0"/>
                  <w:marBottom w:val="0"/>
                  <w:divBdr>
                    <w:top w:val="none" w:sz="0" w:space="0" w:color="auto"/>
                    <w:left w:val="none" w:sz="0" w:space="0" w:color="auto"/>
                    <w:bottom w:val="none" w:sz="0" w:space="0" w:color="auto"/>
                    <w:right w:val="none" w:sz="0" w:space="0" w:color="auto"/>
                  </w:divBdr>
                </w:div>
                <w:div w:id="1437677142">
                  <w:marLeft w:val="0"/>
                  <w:marRight w:val="0"/>
                  <w:marTop w:val="0"/>
                  <w:marBottom w:val="0"/>
                  <w:divBdr>
                    <w:top w:val="none" w:sz="0" w:space="0" w:color="auto"/>
                    <w:left w:val="none" w:sz="0" w:space="0" w:color="auto"/>
                    <w:bottom w:val="none" w:sz="0" w:space="0" w:color="auto"/>
                    <w:right w:val="none" w:sz="0" w:space="0" w:color="auto"/>
                  </w:divBdr>
                </w:div>
                <w:div w:id="108092312">
                  <w:marLeft w:val="0"/>
                  <w:marRight w:val="0"/>
                  <w:marTop w:val="0"/>
                  <w:marBottom w:val="0"/>
                  <w:divBdr>
                    <w:top w:val="none" w:sz="0" w:space="0" w:color="auto"/>
                    <w:left w:val="none" w:sz="0" w:space="0" w:color="auto"/>
                    <w:bottom w:val="none" w:sz="0" w:space="0" w:color="auto"/>
                    <w:right w:val="none" w:sz="0" w:space="0" w:color="auto"/>
                  </w:divBdr>
                </w:div>
                <w:div w:id="2050761248">
                  <w:marLeft w:val="0"/>
                  <w:marRight w:val="0"/>
                  <w:marTop w:val="0"/>
                  <w:marBottom w:val="0"/>
                  <w:divBdr>
                    <w:top w:val="none" w:sz="0" w:space="0" w:color="auto"/>
                    <w:left w:val="none" w:sz="0" w:space="0" w:color="auto"/>
                    <w:bottom w:val="none" w:sz="0" w:space="0" w:color="auto"/>
                    <w:right w:val="none" w:sz="0" w:space="0" w:color="auto"/>
                  </w:divBdr>
                </w:div>
                <w:div w:id="902716946">
                  <w:marLeft w:val="0"/>
                  <w:marRight w:val="0"/>
                  <w:marTop w:val="0"/>
                  <w:marBottom w:val="0"/>
                  <w:divBdr>
                    <w:top w:val="none" w:sz="0" w:space="0" w:color="auto"/>
                    <w:left w:val="none" w:sz="0" w:space="0" w:color="auto"/>
                    <w:bottom w:val="none" w:sz="0" w:space="0" w:color="auto"/>
                    <w:right w:val="none" w:sz="0" w:space="0" w:color="auto"/>
                  </w:divBdr>
                </w:div>
                <w:div w:id="1923029918">
                  <w:marLeft w:val="0"/>
                  <w:marRight w:val="0"/>
                  <w:marTop w:val="0"/>
                  <w:marBottom w:val="0"/>
                  <w:divBdr>
                    <w:top w:val="none" w:sz="0" w:space="0" w:color="auto"/>
                    <w:left w:val="none" w:sz="0" w:space="0" w:color="auto"/>
                    <w:bottom w:val="none" w:sz="0" w:space="0" w:color="auto"/>
                    <w:right w:val="none" w:sz="0" w:space="0" w:color="auto"/>
                  </w:divBdr>
                </w:div>
                <w:div w:id="331686339">
                  <w:marLeft w:val="0"/>
                  <w:marRight w:val="0"/>
                  <w:marTop w:val="0"/>
                  <w:marBottom w:val="0"/>
                  <w:divBdr>
                    <w:top w:val="none" w:sz="0" w:space="0" w:color="auto"/>
                    <w:left w:val="none" w:sz="0" w:space="0" w:color="auto"/>
                    <w:bottom w:val="none" w:sz="0" w:space="0" w:color="auto"/>
                    <w:right w:val="none" w:sz="0" w:space="0" w:color="auto"/>
                  </w:divBdr>
                </w:div>
                <w:div w:id="922185554">
                  <w:marLeft w:val="0"/>
                  <w:marRight w:val="0"/>
                  <w:marTop w:val="0"/>
                  <w:marBottom w:val="0"/>
                  <w:divBdr>
                    <w:top w:val="none" w:sz="0" w:space="0" w:color="auto"/>
                    <w:left w:val="none" w:sz="0" w:space="0" w:color="auto"/>
                    <w:bottom w:val="none" w:sz="0" w:space="0" w:color="auto"/>
                    <w:right w:val="none" w:sz="0" w:space="0" w:color="auto"/>
                  </w:divBdr>
                </w:div>
                <w:div w:id="1271430995">
                  <w:marLeft w:val="0"/>
                  <w:marRight w:val="0"/>
                  <w:marTop w:val="0"/>
                  <w:marBottom w:val="0"/>
                  <w:divBdr>
                    <w:top w:val="none" w:sz="0" w:space="0" w:color="auto"/>
                    <w:left w:val="none" w:sz="0" w:space="0" w:color="auto"/>
                    <w:bottom w:val="none" w:sz="0" w:space="0" w:color="auto"/>
                    <w:right w:val="none" w:sz="0" w:space="0" w:color="auto"/>
                  </w:divBdr>
                </w:div>
                <w:div w:id="1354108320">
                  <w:marLeft w:val="0"/>
                  <w:marRight w:val="0"/>
                  <w:marTop w:val="0"/>
                  <w:marBottom w:val="0"/>
                  <w:divBdr>
                    <w:top w:val="none" w:sz="0" w:space="0" w:color="auto"/>
                    <w:left w:val="none" w:sz="0" w:space="0" w:color="auto"/>
                    <w:bottom w:val="none" w:sz="0" w:space="0" w:color="auto"/>
                    <w:right w:val="none" w:sz="0" w:space="0" w:color="auto"/>
                  </w:divBdr>
                </w:div>
                <w:div w:id="999773202">
                  <w:marLeft w:val="0"/>
                  <w:marRight w:val="0"/>
                  <w:marTop w:val="0"/>
                  <w:marBottom w:val="0"/>
                  <w:divBdr>
                    <w:top w:val="none" w:sz="0" w:space="0" w:color="auto"/>
                    <w:left w:val="none" w:sz="0" w:space="0" w:color="auto"/>
                    <w:bottom w:val="none" w:sz="0" w:space="0" w:color="auto"/>
                    <w:right w:val="none" w:sz="0" w:space="0" w:color="auto"/>
                  </w:divBdr>
                </w:div>
                <w:div w:id="1479224349">
                  <w:marLeft w:val="0"/>
                  <w:marRight w:val="0"/>
                  <w:marTop w:val="0"/>
                  <w:marBottom w:val="0"/>
                  <w:divBdr>
                    <w:top w:val="none" w:sz="0" w:space="0" w:color="auto"/>
                    <w:left w:val="none" w:sz="0" w:space="0" w:color="auto"/>
                    <w:bottom w:val="none" w:sz="0" w:space="0" w:color="auto"/>
                    <w:right w:val="none" w:sz="0" w:space="0" w:color="auto"/>
                  </w:divBdr>
                </w:div>
                <w:div w:id="1960405579">
                  <w:marLeft w:val="0"/>
                  <w:marRight w:val="0"/>
                  <w:marTop w:val="0"/>
                  <w:marBottom w:val="0"/>
                  <w:divBdr>
                    <w:top w:val="none" w:sz="0" w:space="0" w:color="auto"/>
                    <w:left w:val="none" w:sz="0" w:space="0" w:color="auto"/>
                    <w:bottom w:val="none" w:sz="0" w:space="0" w:color="auto"/>
                    <w:right w:val="none" w:sz="0" w:space="0" w:color="auto"/>
                  </w:divBdr>
                </w:div>
                <w:div w:id="1897162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924480">
          <w:marLeft w:val="0"/>
          <w:marRight w:val="0"/>
          <w:marTop w:val="15"/>
          <w:marBottom w:val="0"/>
          <w:divBdr>
            <w:top w:val="none" w:sz="0" w:space="0" w:color="auto"/>
            <w:left w:val="none" w:sz="0" w:space="0" w:color="auto"/>
            <w:bottom w:val="none" w:sz="0" w:space="0" w:color="auto"/>
            <w:right w:val="none" w:sz="0" w:space="0" w:color="auto"/>
          </w:divBdr>
          <w:divsChild>
            <w:div w:id="893270753">
              <w:marLeft w:val="0"/>
              <w:marRight w:val="0"/>
              <w:marTop w:val="0"/>
              <w:marBottom w:val="0"/>
              <w:divBdr>
                <w:top w:val="none" w:sz="0" w:space="0" w:color="auto"/>
                <w:left w:val="none" w:sz="0" w:space="0" w:color="auto"/>
                <w:bottom w:val="none" w:sz="0" w:space="0" w:color="auto"/>
                <w:right w:val="none" w:sz="0" w:space="0" w:color="auto"/>
              </w:divBdr>
              <w:divsChild>
                <w:div w:id="1482769640">
                  <w:marLeft w:val="0"/>
                  <w:marRight w:val="0"/>
                  <w:marTop w:val="0"/>
                  <w:marBottom w:val="0"/>
                  <w:divBdr>
                    <w:top w:val="none" w:sz="0" w:space="0" w:color="auto"/>
                    <w:left w:val="none" w:sz="0" w:space="0" w:color="auto"/>
                    <w:bottom w:val="none" w:sz="0" w:space="0" w:color="auto"/>
                    <w:right w:val="none" w:sz="0" w:space="0" w:color="auto"/>
                  </w:divBdr>
                </w:div>
                <w:div w:id="494809401">
                  <w:marLeft w:val="0"/>
                  <w:marRight w:val="0"/>
                  <w:marTop w:val="0"/>
                  <w:marBottom w:val="0"/>
                  <w:divBdr>
                    <w:top w:val="none" w:sz="0" w:space="0" w:color="auto"/>
                    <w:left w:val="none" w:sz="0" w:space="0" w:color="auto"/>
                    <w:bottom w:val="none" w:sz="0" w:space="0" w:color="auto"/>
                    <w:right w:val="none" w:sz="0" w:space="0" w:color="auto"/>
                  </w:divBdr>
                </w:div>
                <w:div w:id="788308">
                  <w:marLeft w:val="0"/>
                  <w:marRight w:val="0"/>
                  <w:marTop w:val="0"/>
                  <w:marBottom w:val="0"/>
                  <w:divBdr>
                    <w:top w:val="none" w:sz="0" w:space="0" w:color="auto"/>
                    <w:left w:val="none" w:sz="0" w:space="0" w:color="auto"/>
                    <w:bottom w:val="none" w:sz="0" w:space="0" w:color="auto"/>
                    <w:right w:val="none" w:sz="0" w:space="0" w:color="auto"/>
                  </w:divBdr>
                </w:div>
                <w:div w:id="431048597">
                  <w:marLeft w:val="0"/>
                  <w:marRight w:val="0"/>
                  <w:marTop w:val="0"/>
                  <w:marBottom w:val="0"/>
                  <w:divBdr>
                    <w:top w:val="none" w:sz="0" w:space="0" w:color="auto"/>
                    <w:left w:val="none" w:sz="0" w:space="0" w:color="auto"/>
                    <w:bottom w:val="none" w:sz="0" w:space="0" w:color="auto"/>
                    <w:right w:val="none" w:sz="0" w:space="0" w:color="auto"/>
                  </w:divBdr>
                </w:div>
                <w:div w:id="1025716508">
                  <w:marLeft w:val="0"/>
                  <w:marRight w:val="0"/>
                  <w:marTop w:val="0"/>
                  <w:marBottom w:val="0"/>
                  <w:divBdr>
                    <w:top w:val="none" w:sz="0" w:space="0" w:color="auto"/>
                    <w:left w:val="none" w:sz="0" w:space="0" w:color="auto"/>
                    <w:bottom w:val="none" w:sz="0" w:space="0" w:color="auto"/>
                    <w:right w:val="none" w:sz="0" w:space="0" w:color="auto"/>
                  </w:divBdr>
                </w:div>
                <w:div w:id="628512921">
                  <w:marLeft w:val="0"/>
                  <w:marRight w:val="0"/>
                  <w:marTop w:val="0"/>
                  <w:marBottom w:val="0"/>
                  <w:divBdr>
                    <w:top w:val="none" w:sz="0" w:space="0" w:color="auto"/>
                    <w:left w:val="none" w:sz="0" w:space="0" w:color="auto"/>
                    <w:bottom w:val="none" w:sz="0" w:space="0" w:color="auto"/>
                    <w:right w:val="none" w:sz="0" w:space="0" w:color="auto"/>
                  </w:divBdr>
                </w:div>
                <w:div w:id="389622605">
                  <w:marLeft w:val="0"/>
                  <w:marRight w:val="0"/>
                  <w:marTop w:val="0"/>
                  <w:marBottom w:val="0"/>
                  <w:divBdr>
                    <w:top w:val="none" w:sz="0" w:space="0" w:color="auto"/>
                    <w:left w:val="none" w:sz="0" w:space="0" w:color="auto"/>
                    <w:bottom w:val="none" w:sz="0" w:space="0" w:color="auto"/>
                    <w:right w:val="none" w:sz="0" w:space="0" w:color="auto"/>
                  </w:divBdr>
                </w:div>
                <w:div w:id="1152719517">
                  <w:marLeft w:val="0"/>
                  <w:marRight w:val="0"/>
                  <w:marTop w:val="0"/>
                  <w:marBottom w:val="0"/>
                  <w:divBdr>
                    <w:top w:val="none" w:sz="0" w:space="0" w:color="auto"/>
                    <w:left w:val="none" w:sz="0" w:space="0" w:color="auto"/>
                    <w:bottom w:val="none" w:sz="0" w:space="0" w:color="auto"/>
                    <w:right w:val="none" w:sz="0" w:space="0" w:color="auto"/>
                  </w:divBdr>
                </w:div>
                <w:div w:id="396631645">
                  <w:marLeft w:val="0"/>
                  <w:marRight w:val="0"/>
                  <w:marTop w:val="0"/>
                  <w:marBottom w:val="0"/>
                  <w:divBdr>
                    <w:top w:val="none" w:sz="0" w:space="0" w:color="auto"/>
                    <w:left w:val="none" w:sz="0" w:space="0" w:color="auto"/>
                    <w:bottom w:val="none" w:sz="0" w:space="0" w:color="auto"/>
                    <w:right w:val="none" w:sz="0" w:space="0" w:color="auto"/>
                  </w:divBdr>
                </w:div>
                <w:div w:id="1425998356">
                  <w:marLeft w:val="0"/>
                  <w:marRight w:val="0"/>
                  <w:marTop w:val="0"/>
                  <w:marBottom w:val="0"/>
                  <w:divBdr>
                    <w:top w:val="none" w:sz="0" w:space="0" w:color="auto"/>
                    <w:left w:val="none" w:sz="0" w:space="0" w:color="auto"/>
                    <w:bottom w:val="none" w:sz="0" w:space="0" w:color="auto"/>
                    <w:right w:val="none" w:sz="0" w:space="0" w:color="auto"/>
                  </w:divBdr>
                </w:div>
                <w:div w:id="1275751517">
                  <w:marLeft w:val="0"/>
                  <w:marRight w:val="0"/>
                  <w:marTop w:val="0"/>
                  <w:marBottom w:val="0"/>
                  <w:divBdr>
                    <w:top w:val="none" w:sz="0" w:space="0" w:color="auto"/>
                    <w:left w:val="none" w:sz="0" w:space="0" w:color="auto"/>
                    <w:bottom w:val="none" w:sz="0" w:space="0" w:color="auto"/>
                    <w:right w:val="none" w:sz="0" w:space="0" w:color="auto"/>
                  </w:divBdr>
                </w:div>
                <w:div w:id="1401976837">
                  <w:marLeft w:val="0"/>
                  <w:marRight w:val="0"/>
                  <w:marTop w:val="0"/>
                  <w:marBottom w:val="0"/>
                  <w:divBdr>
                    <w:top w:val="none" w:sz="0" w:space="0" w:color="auto"/>
                    <w:left w:val="none" w:sz="0" w:space="0" w:color="auto"/>
                    <w:bottom w:val="none" w:sz="0" w:space="0" w:color="auto"/>
                    <w:right w:val="none" w:sz="0" w:space="0" w:color="auto"/>
                  </w:divBdr>
                </w:div>
                <w:div w:id="379060250">
                  <w:marLeft w:val="0"/>
                  <w:marRight w:val="0"/>
                  <w:marTop w:val="0"/>
                  <w:marBottom w:val="0"/>
                  <w:divBdr>
                    <w:top w:val="none" w:sz="0" w:space="0" w:color="auto"/>
                    <w:left w:val="none" w:sz="0" w:space="0" w:color="auto"/>
                    <w:bottom w:val="none" w:sz="0" w:space="0" w:color="auto"/>
                    <w:right w:val="none" w:sz="0" w:space="0" w:color="auto"/>
                  </w:divBdr>
                </w:div>
                <w:div w:id="2061243438">
                  <w:marLeft w:val="0"/>
                  <w:marRight w:val="0"/>
                  <w:marTop w:val="0"/>
                  <w:marBottom w:val="0"/>
                  <w:divBdr>
                    <w:top w:val="none" w:sz="0" w:space="0" w:color="auto"/>
                    <w:left w:val="none" w:sz="0" w:space="0" w:color="auto"/>
                    <w:bottom w:val="none" w:sz="0" w:space="0" w:color="auto"/>
                    <w:right w:val="none" w:sz="0" w:space="0" w:color="auto"/>
                  </w:divBdr>
                </w:div>
                <w:div w:id="638264849">
                  <w:marLeft w:val="0"/>
                  <w:marRight w:val="0"/>
                  <w:marTop w:val="0"/>
                  <w:marBottom w:val="0"/>
                  <w:divBdr>
                    <w:top w:val="none" w:sz="0" w:space="0" w:color="auto"/>
                    <w:left w:val="none" w:sz="0" w:space="0" w:color="auto"/>
                    <w:bottom w:val="none" w:sz="0" w:space="0" w:color="auto"/>
                    <w:right w:val="none" w:sz="0" w:space="0" w:color="auto"/>
                  </w:divBdr>
                </w:div>
                <w:div w:id="1934237855">
                  <w:marLeft w:val="0"/>
                  <w:marRight w:val="0"/>
                  <w:marTop w:val="0"/>
                  <w:marBottom w:val="0"/>
                  <w:divBdr>
                    <w:top w:val="none" w:sz="0" w:space="0" w:color="auto"/>
                    <w:left w:val="none" w:sz="0" w:space="0" w:color="auto"/>
                    <w:bottom w:val="none" w:sz="0" w:space="0" w:color="auto"/>
                    <w:right w:val="none" w:sz="0" w:space="0" w:color="auto"/>
                  </w:divBdr>
                </w:div>
                <w:div w:id="36781531">
                  <w:marLeft w:val="0"/>
                  <w:marRight w:val="0"/>
                  <w:marTop w:val="0"/>
                  <w:marBottom w:val="0"/>
                  <w:divBdr>
                    <w:top w:val="none" w:sz="0" w:space="0" w:color="auto"/>
                    <w:left w:val="none" w:sz="0" w:space="0" w:color="auto"/>
                    <w:bottom w:val="none" w:sz="0" w:space="0" w:color="auto"/>
                    <w:right w:val="none" w:sz="0" w:space="0" w:color="auto"/>
                  </w:divBdr>
                </w:div>
                <w:div w:id="387456674">
                  <w:marLeft w:val="0"/>
                  <w:marRight w:val="0"/>
                  <w:marTop w:val="0"/>
                  <w:marBottom w:val="0"/>
                  <w:divBdr>
                    <w:top w:val="none" w:sz="0" w:space="0" w:color="auto"/>
                    <w:left w:val="none" w:sz="0" w:space="0" w:color="auto"/>
                    <w:bottom w:val="none" w:sz="0" w:space="0" w:color="auto"/>
                    <w:right w:val="none" w:sz="0" w:space="0" w:color="auto"/>
                  </w:divBdr>
                </w:div>
                <w:div w:id="794952207">
                  <w:marLeft w:val="0"/>
                  <w:marRight w:val="0"/>
                  <w:marTop w:val="0"/>
                  <w:marBottom w:val="0"/>
                  <w:divBdr>
                    <w:top w:val="none" w:sz="0" w:space="0" w:color="auto"/>
                    <w:left w:val="none" w:sz="0" w:space="0" w:color="auto"/>
                    <w:bottom w:val="none" w:sz="0" w:space="0" w:color="auto"/>
                    <w:right w:val="none" w:sz="0" w:space="0" w:color="auto"/>
                  </w:divBdr>
                </w:div>
                <w:div w:id="1958901874">
                  <w:marLeft w:val="0"/>
                  <w:marRight w:val="0"/>
                  <w:marTop w:val="0"/>
                  <w:marBottom w:val="0"/>
                  <w:divBdr>
                    <w:top w:val="none" w:sz="0" w:space="0" w:color="auto"/>
                    <w:left w:val="none" w:sz="0" w:space="0" w:color="auto"/>
                    <w:bottom w:val="none" w:sz="0" w:space="0" w:color="auto"/>
                    <w:right w:val="none" w:sz="0" w:space="0" w:color="auto"/>
                  </w:divBdr>
                </w:div>
                <w:div w:id="1328247273">
                  <w:marLeft w:val="0"/>
                  <w:marRight w:val="0"/>
                  <w:marTop w:val="0"/>
                  <w:marBottom w:val="0"/>
                  <w:divBdr>
                    <w:top w:val="none" w:sz="0" w:space="0" w:color="auto"/>
                    <w:left w:val="none" w:sz="0" w:space="0" w:color="auto"/>
                    <w:bottom w:val="none" w:sz="0" w:space="0" w:color="auto"/>
                    <w:right w:val="none" w:sz="0" w:space="0" w:color="auto"/>
                  </w:divBdr>
                </w:div>
                <w:div w:id="825169960">
                  <w:marLeft w:val="0"/>
                  <w:marRight w:val="0"/>
                  <w:marTop w:val="0"/>
                  <w:marBottom w:val="0"/>
                  <w:divBdr>
                    <w:top w:val="none" w:sz="0" w:space="0" w:color="auto"/>
                    <w:left w:val="none" w:sz="0" w:space="0" w:color="auto"/>
                    <w:bottom w:val="none" w:sz="0" w:space="0" w:color="auto"/>
                    <w:right w:val="none" w:sz="0" w:space="0" w:color="auto"/>
                  </w:divBdr>
                </w:div>
                <w:div w:id="1322613543">
                  <w:marLeft w:val="0"/>
                  <w:marRight w:val="0"/>
                  <w:marTop w:val="0"/>
                  <w:marBottom w:val="0"/>
                  <w:divBdr>
                    <w:top w:val="none" w:sz="0" w:space="0" w:color="auto"/>
                    <w:left w:val="none" w:sz="0" w:space="0" w:color="auto"/>
                    <w:bottom w:val="none" w:sz="0" w:space="0" w:color="auto"/>
                    <w:right w:val="none" w:sz="0" w:space="0" w:color="auto"/>
                  </w:divBdr>
                </w:div>
                <w:div w:id="867721202">
                  <w:marLeft w:val="0"/>
                  <w:marRight w:val="0"/>
                  <w:marTop w:val="0"/>
                  <w:marBottom w:val="0"/>
                  <w:divBdr>
                    <w:top w:val="none" w:sz="0" w:space="0" w:color="auto"/>
                    <w:left w:val="none" w:sz="0" w:space="0" w:color="auto"/>
                    <w:bottom w:val="none" w:sz="0" w:space="0" w:color="auto"/>
                    <w:right w:val="none" w:sz="0" w:space="0" w:color="auto"/>
                  </w:divBdr>
                </w:div>
                <w:div w:id="1702705098">
                  <w:marLeft w:val="0"/>
                  <w:marRight w:val="0"/>
                  <w:marTop w:val="0"/>
                  <w:marBottom w:val="0"/>
                  <w:divBdr>
                    <w:top w:val="none" w:sz="0" w:space="0" w:color="auto"/>
                    <w:left w:val="none" w:sz="0" w:space="0" w:color="auto"/>
                    <w:bottom w:val="none" w:sz="0" w:space="0" w:color="auto"/>
                    <w:right w:val="none" w:sz="0" w:space="0" w:color="auto"/>
                  </w:divBdr>
                </w:div>
                <w:div w:id="1672828739">
                  <w:marLeft w:val="0"/>
                  <w:marRight w:val="0"/>
                  <w:marTop w:val="0"/>
                  <w:marBottom w:val="0"/>
                  <w:divBdr>
                    <w:top w:val="none" w:sz="0" w:space="0" w:color="auto"/>
                    <w:left w:val="none" w:sz="0" w:space="0" w:color="auto"/>
                    <w:bottom w:val="none" w:sz="0" w:space="0" w:color="auto"/>
                    <w:right w:val="none" w:sz="0" w:space="0" w:color="auto"/>
                  </w:divBdr>
                </w:div>
                <w:div w:id="1495030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538596">
          <w:marLeft w:val="0"/>
          <w:marRight w:val="0"/>
          <w:marTop w:val="15"/>
          <w:marBottom w:val="0"/>
          <w:divBdr>
            <w:top w:val="none" w:sz="0" w:space="0" w:color="auto"/>
            <w:left w:val="none" w:sz="0" w:space="0" w:color="auto"/>
            <w:bottom w:val="none" w:sz="0" w:space="0" w:color="auto"/>
            <w:right w:val="none" w:sz="0" w:space="0" w:color="auto"/>
          </w:divBdr>
          <w:divsChild>
            <w:div w:id="982127062">
              <w:marLeft w:val="0"/>
              <w:marRight w:val="0"/>
              <w:marTop w:val="0"/>
              <w:marBottom w:val="0"/>
              <w:divBdr>
                <w:top w:val="none" w:sz="0" w:space="0" w:color="auto"/>
                <w:left w:val="none" w:sz="0" w:space="0" w:color="auto"/>
                <w:bottom w:val="none" w:sz="0" w:space="0" w:color="auto"/>
                <w:right w:val="none" w:sz="0" w:space="0" w:color="auto"/>
              </w:divBdr>
              <w:divsChild>
                <w:div w:id="2068524794">
                  <w:marLeft w:val="0"/>
                  <w:marRight w:val="0"/>
                  <w:marTop w:val="0"/>
                  <w:marBottom w:val="0"/>
                  <w:divBdr>
                    <w:top w:val="none" w:sz="0" w:space="0" w:color="auto"/>
                    <w:left w:val="none" w:sz="0" w:space="0" w:color="auto"/>
                    <w:bottom w:val="none" w:sz="0" w:space="0" w:color="auto"/>
                    <w:right w:val="none" w:sz="0" w:space="0" w:color="auto"/>
                  </w:divBdr>
                </w:div>
                <w:div w:id="1396466678">
                  <w:marLeft w:val="0"/>
                  <w:marRight w:val="0"/>
                  <w:marTop w:val="0"/>
                  <w:marBottom w:val="0"/>
                  <w:divBdr>
                    <w:top w:val="none" w:sz="0" w:space="0" w:color="auto"/>
                    <w:left w:val="none" w:sz="0" w:space="0" w:color="auto"/>
                    <w:bottom w:val="none" w:sz="0" w:space="0" w:color="auto"/>
                    <w:right w:val="none" w:sz="0" w:space="0" w:color="auto"/>
                  </w:divBdr>
                </w:div>
                <w:div w:id="1912809931">
                  <w:marLeft w:val="0"/>
                  <w:marRight w:val="0"/>
                  <w:marTop w:val="0"/>
                  <w:marBottom w:val="0"/>
                  <w:divBdr>
                    <w:top w:val="none" w:sz="0" w:space="0" w:color="auto"/>
                    <w:left w:val="none" w:sz="0" w:space="0" w:color="auto"/>
                    <w:bottom w:val="none" w:sz="0" w:space="0" w:color="auto"/>
                    <w:right w:val="none" w:sz="0" w:space="0" w:color="auto"/>
                  </w:divBdr>
                </w:div>
                <w:div w:id="1852261215">
                  <w:marLeft w:val="0"/>
                  <w:marRight w:val="0"/>
                  <w:marTop w:val="0"/>
                  <w:marBottom w:val="0"/>
                  <w:divBdr>
                    <w:top w:val="none" w:sz="0" w:space="0" w:color="auto"/>
                    <w:left w:val="none" w:sz="0" w:space="0" w:color="auto"/>
                    <w:bottom w:val="none" w:sz="0" w:space="0" w:color="auto"/>
                    <w:right w:val="none" w:sz="0" w:space="0" w:color="auto"/>
                  </w:divBdr>
                </w:div>
                <w:div w:id="693653678">
                  <w:marLeft w:val="0"/>
                  <w:marRight w:val="0"/>
                  <w:marTop w:val="0"/>
                  <w:marBottom w:val="0"/>
                  <w:divBdr>
                    <w:top w:val="none" w:sz="0" w:space="0" w:color="auto"/>
                    <w:left w:val="none" w:sz="0" w:space="0" w:color="auto"/>
                    <w:bottom w:val="none" w:sz="0" w:space="0" w:color="auto"/>
                    <w:right w:val="none" w:sz="0" w:space="0" w:color="auto"/>
                  </w:divBdr>
                </w:div>
                <w:div w:id="1091661074">
                  <w:marLeft w:val="0"/>
                  <w:marRight w:val="0"/>
                  <w:marTop w:val="0"/>
                  <w:marBottom w:val="0"/>
                  <w:divBdr>
                    <w:top w:val="none" w:sz="0" w:space="0" w:color="auto"/>
                    <w:left w:val="none" w:sz="0" w:space="0" w:color="auto"/>
                    <w:bottom w:val="none" w:sz="0" w:space="0" w:color="auto"/>
                    <w:right w:val="none" w:sz="0" w:space="0" w:color="auto"/>
                  </w:divBdr>
                </w:div>
                <w:div w:id="1888836074">
                  <w:marLeft w:val="0"/>
                  <w:marRight w:val="0"/>
                  <w:marTop w:val="0"/>
                  <w:marBottom w:val="0"/>
                  <w:divBdr>
                    <w:top w:val="none" w:sz="0" w:space="0" w:color="auto"/>
                    <w:left w:val="none" w:sz="0" w:space="0" w:color="auto"/>
                    <w:bottom w:val="none" w:sz="0" w:space="0" w:color="auto"/>
                    <w:right w:val="none" w:sz="0" w:space="0" w:color="auto"/>
                  </w:divBdr>
                </w:div>
                <w:div w:id="258803256">
                  <w:marLeft w:val="0"/>
                  <w:marRight w:val="0"/>
                  <w:marTop w:val="0"/>
                  <w:marBottom w:val="0"/>
                  <w:divBdr>
                    <w:top w:val="none" w:sz="0" w:space="0" w:color="auto"/>
                    <w:left w:val="none" w:sz="0" w:space="0" w:color="auto"/>
                    <w:bottom w:val="none" w:sz="0" w:space="0" w:color="auto"/>
                    <w:right w:val="none" w:sz="0" w:space="0" w:color="auto"/>
                  </w:divBdr>
                </w:div>
                <w:div w:id="341205308">
                  <w:marLeft w:val="0"/>
                  <w:marRight w:val="0"/>
                  <w:marTop w:val="0"/>
                  <w:marBottom w:val="0"/>
                  <w:divBdr>
                    <w:top w:val="none" w:sz="0" w:space="0" w:color="auto"/>
                    <w:left w:val="none" w:sz="0" w:space="0" w:color="auto"/>
                    <w:bottom w:val="none" w:sz="0" w:space="0" w:color="auto"/>
                    <w:right w:val="none" w:sz="0" w:space="0" w:color="auto"/>
                  </w:divBdr>
                </w:div>
                <w:div w:id="1910460705">
                  <w:marLeft w:val="0"/>
                  <w:marRight w:val="0"/>
                  <w:marTop w:val="0"/>
                  <w:marBottom w:val="0"/>
                  <w:divBdr>
                    <w:top w:val="none" w:sz="0" w:space="0" w:color="auto"/>
                    <w:left w:val="none" w:sz="0" w:space="0" w:color="auto"/>
                    <w:bottom w:val="none" w:sz="0" w:space="0" w:color="auto"/>
                    <w:right w:val="none" w:sz="0" w:space="0" w:color="auto"/>
                  </w:divBdr>
                </w:div>
                <w:div w:id="241069300">
                  <w:marLeft w:val="0"/>
                  <w:marRight w:val="0"/>
                  <w:marTop w:val="0"/>
                  <w:marBottom w:val="0"/>
                  <w:divBdr>
                    <w:top w:val="none" w:sz="0" w:space="0" w:color="auto"/>
                    <w:left w:val="none" w:sz="0" w:space="0" w:color="auto"/>
                    <w:bottom w:val="none" w:sz="0" w:space="0" w:color="auto"/>
                    <w:right w:val="none" w:sz="0" w:space="0" w:color="auto"/>
                  </w:divBdr>
                </w:div>
                <w:div w:id="1954941450">
                  <w:marLeft w:val="0"/>
                  <w:marRight w:val="0"/>
                  <w:marTop w:val="0"/>
                  <w:marBottom w:val="0"/>
                  <w:divBdr>
                    <w:top w:val="none" w:sz="0" w:space="0" w:color="auto"/>
                    <w:left w:val="none" w:sz="0" w:space="0" w:color="auto"/>
                    <w:bottom w:val="none" w:sz="0" w:space="0" w:color="auto"/>
                    <w:right w:val="none" w:sz="0" w:space="0" w:color="auto"/>
                  </w:divBdr>
                </w:div>
                <w:div w:id="712536662">
                  <w:marLeft w:val="0"/>
                  <w:marRight w:val="0"/>
                  <w:marTop w:val="0"/>
                  <w:marBottom w:val="0"/>
                  <w:divBdr>
                    <w:top w:val="none" w:sz="0" w:space="0" w:color="auto"/>
                    <w:left w:val="none" w:sz="0" w:space="0" w:color="auto"/>
                    <w:bottom w:val="none" w:sz="0" w:space="0" w:color="auto"/>
                    <w:right w:val="none" w:sz="0" w:space="0" w:color="auto"/>
                  </w:divBdr>
                </w:div>
                <w:div w:id="1764571875">
                  <w:marLeft w:val="0"/>
                  <w:marRight w:val="0"/>
                  <w:marTop w:val="0"/>
                  <w:marBottom w:val="0"/>
                  <w:divBdr>
                    <w:top w:val="none" w:sz="0" w:space="0" w:color="auto"/>
                    <w:left w:val="none" w:sz="0" w:space="0" w:color="auto"/>
                    <w:bottom w:val="none" w:sz="0" w:space="0" w:color="auto"/>
                    <w:right w:val="none" w:sz="0" w:space="0" w:color="auto"/>
                  </w:divBdr>
                </w:div>
                <w:div w:id="712845179">
                  <w:marLeft w:val="0"/>
                  <w:marRight w:val="0"/>
                  <w:marTop w:val="0"/>
                  <w:marBottom w:val="0"/>
                  <w:divBdr>
                    <w:top w:val="none" w:sz="0" w:space="0" w:color="auto"/>
                    <w:left w:val="none" w:sz="0" w:space="0" w:color="auto"/>
                    <w:bottom w:val="none" w:sz="0" w:space="0" w:color="auto"/>
                    <w:right w:val="none" w:sz="0" w:space="0" w:color="auto"/>
                  </w:divBdr>
                </w:div>
                <w:div w:id="966860342">
                  <w:marLeft w:val="0"/>
                  <w:marRight w:val="0"/>
                  <w:marTop w:val="0"/>
                  <w:marBottom w:val="0"/>
                  <w:divBdr>
                    <w:top w:val="none" w:sz="0" w:space="0" w:color="auto"/>
                    <w:left w:val="none" w:sz="0" w:space="0" w:color="auto"/>
                    <w:bottom w:val="none" w:sz="0" w:space="0" w:color="auto"/>
                    <w:right w:val="none" w:sz="0" w:space="0" w:color="auto"/>
                  </w:divBdr>
                </w:div>
                <w:div w:id="259993751">
                  <w:marLeft w:val="0"/>
                  <w:marRight w:val="0"/>
                  <w:marTop w:val="0"/>
                  <w:marBottom w:val="0"/>
                  <w:divBdr>
                    <w:top w:val="none" w:sz="0" w:space="0" w:color="auto"/>
                    <w:left w:val="none" w:sz="0" w:space="0" w:color="auto"/>
                    <w:bottom w:val="none" w:sz="0" w:space="0" w:color="auto"/>
                    <w:right w:val="none" w:sz="0" w:space="0" w:color="auto"/>
                  </w:divBdr>
                </w:div>
                <w:div w:id="535197736">
                  <w:marLeft w:val="0"/>
                  <w:marRight w:val="0"/>
                  <w:marTop w:val="0"/>
                  <w:marBottom w:val="0"/>
                  <w:divBdr>
                    <w:top w:val="none" w:sz="0" w:space="0" w:color="auto"/>
                    <w:left w:val="none" w:sz="0" w:space="0" w:color="auto"/>
                    <w:bottom w:val="none" w:sz="0" w:space="0" w:color="auto"/>
                    <w:right w:val="none" w:sz="0" w:space="0" w:color="auto"/>
                  </w:divBdr>
                </w:div>
                <w:div w:id="923874051">
                  <w:marLeft w:val="0"/>
                  <w:marRight w:val="0"/>
                  <w:marTop w:val="0"/>
                  <w:marBottom w:val="0"/>
                  <w:divBdr>
                    <w:top w:val="none" w:sz="0" w:space="0" w:color="auto"/>
                    <w:left w:val="none" w:sz="0" w:space="0" w:color="auto"/>
                    <w:bottom w:val="none" w:sz="0" w:space="0" w:color="auto"/>
                    <w:right w:val="none" w:sz="0" w:space="0" w:color="auto"/>
                  </w:divBdr>
                </w:div>
                <w:div w:id="152528800">
                  <w:marLeft w:val="0"/>
                  <w:marRight w:val="0"/>
                  <w:marTop w:val="0"/>
                  <w:marBottom w:val="0"/>
                  <w:divBdr>
                    <w:top w:val="none" w:sz="0" w:space="0" w:color="auto"/>
                    <w:left w:val="none" w:sz="0" w:space="0" w:color="auto"/>
                    <w:bottom w:val="none" w:sz="0" w:space="0" w:color="auto"/>
                    <w:right w:val="none" w:sz="0" w:space="0" w:color="auto"/>
                  </w:divBdr>
                </w:div>
                <w:div w:id="2136679909">
                  <w:marLeft w:val="0"/>
                  <w:marRight w:val="0"/>
                  <w:marTop w:val="0"/>
                  <w:marBottom w:val="0"/>
                  <w:divBdr>
                    <w:top w:val="none" w:sz="0" w:space="0" w:color="auto"/>
                    <w:left w:val="none" w:sz="0" w:space="0" w:color="auto"/>
                    <w:bottom w:val="none" w:sz="0" w:space="0" w:color="auto"/>
                    <w:right w:val="none" w:sz="0" w:space="0" w:color="auto"/>
                  </w:divBdr>
                </w:div>
                <w:div w:id="1147435169">
                  <w:marLeft w:val="0"/>
                  <w:marRight w:val="0"/>
                  <w:marTop w:val="0"/>
                  <w:marBottom w:val="0"/>
                  <w:divBdr>
                    <w:top w:val="none" w:sz="0" w:space="0" w:color="auto"/>
                    <w:left w:val="none" w:sz="0" w:space="0" w:color="auto"/>
                    <w:bottom w:val="none" w:sz="0" w:space="0" w:color="auto"/>
                    <w:right w:val="none" w:sz="0" w:space="0" w:color="auto"/>
                  </w:divBdr>
                </w:div>
                <w:div w:id="1632638433">
                  <w:marLeft w:val="0"/>
                  <w:marRight w:val="0"/>
                  <w:marTop w:val="0"/>
                  <w:marBottom w:val="0"/>
                  <w:divBdr>
                    <w:top w:val="none" w:sz="0" w:space="0" w:color="auto"/>
                    <w:left w:val="none" w:sz="0" w:space="0" w:color="auto"/>
                    <w:bottom w:val="none" w:sz="0" w:space="0" w:color="auto"/>
                    <w:right w:val="none" w:sz="0" w:space="0" w:color="auto"/>
                  </w:divBdr>
                </w:div>
                <w:div w:id="1678581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599373">
          <w:marLeft w:val="0"/>
          <w:marRight w:val="0"/>
          <w:marTop w:val="15"/>
          <w:marBottom w:val="0"/>
          <w:divBdr>
            <w:top w:val="none" w:sz="0" w:space="0" w:color="auto"/>
            <w:left w:val="none" w:sz="0" w:space="0" w:color="auto"/>
            <w:bottom w:val="none" w:sz="0" w:space="0" w:color="auto"/>
            <w:right w:val="none" w:sz="0" w:space="0" w:color="auto"/>
          </w:divBdr>
          <w:divsChild>
            <w:div w:id="312178556">
              <w:marLeft w:val="0"/>
              <w:marRight w:val="0"/>
              <w:marTop w:val="0"/>
              <w:marBottom w:val="0"/>
              <w:divBdr>
                <w:top w:val="none" w:sz="0" w:space="0" w:color="auto"/>
                <w:left w:val="none" w:sz="0" w:space="0" w:color="auto"/>
                <w:bottom w:val="none" w:sz="0" w:space="0" w:color="auto"/>
                <w:right w:val="none" w:sz="0" w:space="0" w:color="auto"/>
              </w:divBdr>
              <w:divsChild>
                <w:div w:id="1166091187">
                  <w:marLeft w:val="0"/>
                  <w:marRight w:val="0"/>
                  <w:marTop w:val="0"/>
                  <w:marBottom w:val="0"/>
                  <w:divBdr>
                    <w:top w:val="none" w:sz="0" w:space="0" w:color="auto"/>
                    <w:left w:val="none" w:sz="0" w:space="0" w:color="auto"/>
                    <w:bottom w:val="none" w:sz="0" w:space="0" w:color="auto"/>
                    <w:right w:val="none" w:sz="0" w:space="0" w:color="auto"/>
                  </w:divBdr>
                </w:div>
                <w:div w:id="397627844">
                  <w:marLeft w:val="0"/>
                  <w:marRight w:val="0"/>
                  <w:marTop w:val="0"/>
                  <w:marBottom w:val="0"/>
                  <w:divBdr>
                    <w:top w:val="none" w:sz="0" w:space="0" w:color="auto"/>
                    <w:left w:val="none" w:sz="0" w:space="0" w:color="auto"/>
                    <w:bottom w:val="none" w:sz="0" w:space="0" w:color="auto"/>
                    <w:right w:val="none" w:sz="0" w:space="0" w:color="auto"/>
                  </w:divBdr>
                </w:div>
                <w:div w:id="1977443385">
                  <w:marLeft w:val="0"/>
                  <w:marRight w:val="0"/>
                  <w:marTop w:val="0"/>
                  <w:marBottom w:val="0"/>
                  <w:divBdr>
                    <w:top w:val="none" w:sz="0" w:space="0" w:color="auto"/>
                    <w:left w:val="none" w:sz="0" w:space="0" w:color="auto"/>
                    <w:bottom w:val="none" w:sz="0" w:space="0" w:color="auto"/>
                    <w:right w:val="none" w:sz="0" w:space="0" w:color="auto"/>
                  </w:divBdr>
                </w:div>
                <w:div w:id="1966038926">
                  <w:marLeft w:val="0"/>
                  <w:marRight w:val="0"/>
                  <w:marTop w:val="0"/>
                  <w:marBottom w:val="0"/>
                  <w:divBdr>
                    <w:top w:val="none" w:sz="0" w:space="0" w:color="auto"/>
                    <w:left w:val="none" w:sz="0" w:space="0" w:color="auto"/>
                    <w:bottom w:val="none" w:sz="0" w:space="0" w:color="auto"/>
                    <w:right w:val="none" w:sz="0" w:space="0" w:color="auto"/>
                  </w:divBdr>
                </w:div>
                <w:div w:id="1843232272">
                  <w:marLeft w:val="0"/>
                  <w:marRight w:val="0"/>
                  <w:marTop w:val="0"/>
                  <w:marBottom w:val="0"/>
                  <w:divBdr>
                    <w:top w:val="none" w:sz="0" w:space="0" w:color="auto"/>
                    <w:left w:val="none" w:sz="0" w:space="0" w:color="auto"/>
                    <w:bottom w:val="none" w:sz="0" w:space="0" w:color="auto"/>
                    <w:right w:val="none" w:sz="0" w:space="0" w:color="auto"/>
                  </w:divBdr>
                </w:div>
                <w:div w:id="1317153219">
                  <w:marLeft w:val="0"/>
                  <w:marRight w:val="0"/>
                  <w:marTop w:val="0"/>
                  <w:marBottom w:val="0"/>
                  <w:divBdr>
                    <w:top w:val="none" w:sz="0" w:space="0" w:color="auto"/>
                    <w:left w:val="none" w:sz="0" w:space="0" w:color="auto"/>
                    <w:bottom w:val="none" w:sz="0" w:space="0" w:color="auto"/>
                    <w:right w:val="none" w:sz="0" w:space="0" w:color="auto"/>
                  </w:divBdr>
                </w:div>
                <w:div w:id="1002123109">
                  <w:marLeft w:val="0"/>
                  <w:marRight w:val="0"/>
                  <w:marTop w:val="0"/>
                  <w:marBottom w:val="0"/>
                  <w:divBdr>
                    <w:top w:val="none" w:sz="0" w:space="0" w:color="auto"/>
                    <w:left w:val="none" w:sz="0" w:space="0" w:color="auto"/>
                    <w:bottom w:val="none" w:sz="0" w:space="0" w:color="auto"/>
                    <w:right w:val="none" w:sz="0" w:space="0" w:color="auto"/>
                  </w:divBdr>
                </w:div>
                <w:div w:id="1049647589">
                  <w:marLeft w:val="0"/>
                  <w:marRight w:val="0"/>
                  <w:marTop w:val="0"/>
                  <w:marBottom w:val="0"/>
                  <w:divBdr>
                    <w:top w:val="none" w:sz="0" w:space="0" w:color="auto"/>
                    <w:left w:val="none" w:sz="0" w:space="0" w:color="auto"/>
                    <w:bottom w:val="none" w:sz="0" w:space="0" w:color="auto"/>
                    <w:right w:val="none" w:sz="0" w:space="0" w:color="auto"/>
                  </w:divBdr>
                </w:div>
                <w:div w:id="1497722466">
                  <w:marLeft w:val="0"/>
                  <w:marRight w:val="0"/>
                  <w:marTop w:val="0"/>
                  <w:marBottom w:val="0"/>
                  <w:divBdr>
                    <w:top w:val="none" w:sz="0" w:space="0" w:color="auto"/>
                    <w:left w:val="none" w:sz="0" w:space="0" w:color="auto"/>
                    <w:bottom w:val="none" w:sz="0" w:space="0" w:color="auto"/>
                    <w:right w:val="none" w:sz="0" w:space="0" w:color="auto"/>
                  </w:divBdr>
                </w:div>
                <w:div w:id="1003627499">
                  <w:marLeft w:val="0"/>
                  <w:marRight w:val="0"/>
                  <w:marTop w:val="0"/>
                  <w:marBottom w:val="0"/>
                  <w:divBdr>
                    <w:top w:val="none" w:sz="0" w:space="0" w:color="auto"/>
                    <w:left w:val="none" w:sz="0" w:space="0" w:color="auto"/>
                    <w:bottom w:val="none" w:sz="0" w:space="0" w:color="auto"/>
                    <w:right w:val="none" w:sz="0" w:space="0" w:color="auto"/>
                  </w:divBdr>
                </w:div>
                <w:div w:id="2005234891">
                  <w:marLeft w:val="0"/>
                  <w:marRight w:val="0"/>
                  <w:marTop w:val="0"/>
                  <w:marBottom w:val="0"/>
                  <w:divBdr>
                    <w:top w:val="none" w:sz="0" w:space="0" w:color="auto"/>
                    <w:left w:val="none" w:sz="0" w:space="0" w:color="auto"/>
                    <w:bottom w:val="none" w:sz="0" w:space="0" w:color="auto"/>
                    <w:right w:val="none" w:sz="0" w:space="0" w:color="auto"/>
                  </w:divBdr>
                </w:div>
                <w:div w:id="1230000124">
                  <w:marLeft w:val="0"/>
                  <w:marRight w:val="0"/>
                  <w:marTop w:val="0"/>
                  <w:marBottom w:val="0"/>
                  <w:divBdr>
                    <w:top w:val="none" w:sz="0" w:space="0" w:color="auto"/>
                    <w:left w:val="none" w:sz="0" w:space="0" w:color="auto"/>
                    <w:bottom w:val="none" w:sz="0" w:space="0" w:color="auto"/>
                    <w:right w:val="none" w:sz="0" w:space="0" w:color="auto"/>
                  </w:divBdr>
                </w:div>
                <w:div w:id="680669651">
                  <w:marLeft w:val="0"/>
                  <w:marRight w:val="0"/>
                  <w:marTop w:val="0"/>
                  <w:marBottom w:val="0"/>
                  <w:divBdr>
                    <w:top w:val="none" w:sz="0" w:space="0" w:color="auto"/>
                    <w:left w:val="none" w:sz="0" w:space="0" w:color="auto"/>
                    <w:bottom w:val="none" w:sz="0" w:space="0" w:color="auto"/>
                    <w:right w:val="none" w:sz="0" w:space="0" w:color="auto"/>
                  </w:divBdr>
                </w:div>
                <w:div w:id="17052832">
                  <w:marLeft w:val="0"/>
                  <w:marRight w:val="0"/>
                  <w:marTop w:val="0"/>
                  <w:marBottom w:val="0"/>
                  <w:divBdr>
                    <w:top w:val="none" w:sz="0" w:space="0" w:color="auto"/>
                    <w:left w:val="none" w:sz="0" w:space="0" w:color="auto"/>
                    <w:bottom w:val="none" w:sz="0" w:space="0" w:color="auto"/>
                    <w:right w:val="none" w:sz="0" w:space="0" w:color="auto"/>
                  </w:divBdr>
                </w:div>
                <w:div w:id="1844319728">
                  <w:marLeft w:val="0"/>
                  <w:marRight w:val="0"/>
                  <w:marTop w:val="0"/>
                  <w:marBottom w:val="0"/>
                  <w:divBdr>
                    <w:top w:val="none" w:sz="0" w:space="0" w:color="auto"/>
                    <w:left w:val="none" w:sz="0" w:space="0" w:color="auto"/>
                    <w:bottom w:val="none" w:sz="0" w:space="0" w:color="auto"/>
                    <w:right w:val="none" w:sz="0" w:space="0" w:color="auto"/>
                  </w:divBdr>
                </w:div>
                <w:div w:id="653488949">
                  <w:marLeft w:val="0"/>
                  <w:marRight w:val="0"/>
                  <w:marTop w:val="0"/>
                  <w:marBottom w:val="0"/>
                  <w:divBdr>
                    <w:top w:val="none" w:sz="0" w:space="0" w:color="auto"/>
                    <w:left w:val="none" w:sz="0" w:space="0" w:color="auto"/>
                    <w:bottom w:val="none" w:sz="0" w:space="0" w:color="auto"/>
                    <w:right w:val="none" w:sz="0" w:space="0" w:color="auto"/>
                  </w:divBdr>
                </w:div>
                <w:div w:id="1822194408">
                  <w:marLeft w:val="0"/>
                  <w:marRight w:val="0"/>
                  <w:marTop w:val="0"/>
                  <w:marBottom w:val="0"/>
                  <w:divBdr>
                    <w:top w:val="none" w:sz="0" w:space="0" w:color="auto"/>
                    <w:left w:val="none" w:sz="0" w:space="0" w:color="auto"/>
                    <w:bottom w:val="none" w:sz="0" w:space="0" w:color="auto"/>
                    <w:right w:val="none" w:sz="0" w:space="0" w:color="auto"/>
                  </w:divBdr>
                </w:div>
                <w:div w:id="1369993013">
                  <w:marLeft w:val="0"/>
                  <w:marRight w:val="0"/>
                  <w:marTop w:val="0"/>
                  <w:marBottom w:val="0"/>
                  <w:divBdr>
                    <w:top w:val="none" w:sz="0" w:space="0" w:color="auto"/>
                    <w:left w:val="none" w:sz="0" w:space="0" w:color="auto"/>
                    <w:bottom w:val="none" w:sz="0" w:space="0" w:color="auto"/>
                    <w:right w:val="none" w:sz="0" w:space="0" w:color="auto"/>
                  </w:divBdr>
                </w:div>
                <w:div w:id="2008706402">
                  <w:marLeft w:val="0"/>
                  <w:marRight w:val="0"/>
                  <w:marTop w:val="0"/>
                  <w:marBottom w:val="0"/>
                  <w:divBdr>
                    <w:top w:val="none" w:sz="0" w:space="0" w:color="auto"/>
                    <w:left w:val="none" w:sz="0" w:space="0" w:color="auto"/>
                    <w:bottom w:val="none" w:sz="0" w:space="0" w:color="auto"/>
                    <w:right w:val="none" w:sz="0" w:space="0" w:color="auto"/>
                  </w:divBdr>
                </w:div>
                <w:div w:id="2029869359">
                  <w:marLeft w:val="0"/>
                  <w:marRight w:val="0"/>
                  <w:marTop w:val="0"/>
                  <w:marBottom w:val="0"/>
                  <w:divBdr>
                    <w:top w:val="none" w:sz="0" w:space="0" w:color="auto"/>
                    <w:left w:val="none" w:sz="0" w:space="0" w:color="auto"/>
                    <w:bottom w:val="none" w:sz="0" w:space="0" w:color="auto"/>
                    <w:right w:val="none" w:sz="0" w:space="0" w:color="auto"/>
                  </w:divBdr>
                </w:div>
                <w:div w:id="251087336">
                  <w:marLeft w:val="0"/>
                  <w:marRight w:val="0"/>
                  <w:marTop w:val="0"/>
                  <w:marBottom w:val="0"/>
                  <w:divBdr>
                    <w:top w:val="none" w:sz="0" w:space="0" w:color="auto"/>
                    <w:left w:val="none" w:sz="0" w:space="0" w:color="auto"/>
                    <w:bottom w:val="none" w:sz="0" w:space="0" w:color="auto"/>
                    <w:right w:val="none" w:sz="0" w:space="0" w:color="auto"/>
                  </w:divBdr>
                </w:div>
                <w:div w:id="1897010033">
                  <w:marLeft w:val="0"/>
                  <w:marRight w:val="0"/>
                  <w:marTop w:val="0"/>
                  <w:marBottom w:val="0"/>
                  <w:divBdr>
                    <w:top w:val="none" w:sz="0" w:space="0" w:color="auto"/>
                    <w:left w:val="none" w:sz="0" w:space="0" w:color="auto"/>
                    <w:bottom w:val="none" w:sz="0" w:space="0" w:color="auto"/>
                    <w:right w:val="none" w:sz="0" w:space="0" w:color="auto"/>
                  </w:divBdr>
                </w:div>
                <w:div w:id="1469126431">
                  <w:marLeft w:val="0"/>
                  <w:marRight w:val="0"/>
                  <w:marTop w:val="0"/>
                  <w:marBottom w:val="0"/>
                  <w:divBdr>
                    <w:top w:val="none" w:sz="0" w:space="0" w:color="auto"/>
                    <w:left w:val="none" w:sz="0" w:space="0" w:color="auto"/>
                    <w:bottom w:val="none" w:sz="0" w:space="0" w:color="auto"/>
                    <w:right w:val="none" w:sz="0" w:space="0" w:color="auto"/>
                  </w:divBdr>
                </w:div>
                <w:div w:id="2101677127">
                  <w:marLeft w:val="0"/>
                  <w:marRight w:val="0"/>
                  <w:marTop w:val="0"/>
                  <w:marBottom w:val="0"/>
                  <w:divBdr>
                    <w:top w:val="none" w:sz="0" w:space="0" w:color="auto"/>
                    <w:left w:val="none" w:sz="0" w:space="0" w:color="auto"/>
                    <w:bottom w:val="none" w:sz="0" w:space="0" w:color="auto"/>
                    <w:right w:val="none" w:sz="0" w:space="0" w:color="auto"/>
                  </w:divBdr>
                </w:div>
                <w:div w:id="2135169047">
                  <w:marLeft w:val="0"/>
                  <w:marRight w:val="0"/>
                  <w:marTop w:val="0"/>
                  <w:marBottom w:val="0"/>
                  <w:divBdr>
                    <w:top w:val="none" w:sz="0" w:space="0" w:color="auto"/>
                    <w:left w:val="none" w:sz="0" w:space="0" w:color="auto"/>
                    <w:bottom w:val="none" w:sz="0" w:space="0" w:color="auto"/>
                    <w:right w:val="none" w:sz="0" w:space="0" w:color="auto"/>
                  </w:divBdr>
                </w:div>
                <w:div w:id="701131708">
                  <w:marLeft w:val="0"/>
                  <w:marRight w:val="0"/>
                  <w:marTop w:val="0"/>
                  <w:marBottom w:val="0"/>
                  <w:divBdr>
                    <w:top w:val="none" w:sz="0" w:space="0" w:color="auto"/>
                    <w:left w:val="none" w:sz="0" w:space="0" w:color="auto"/>
                    <w:bottom w:val="none" w:sz="0" w:space="0" w:color="auto"/>
                    <w:right w:val="none" w:sz="0" w:space="0" w:color="auto"/>
                  </w:divBdr>
                </w:div>
                <w:div w:id="756947762">
                  <w:marLeft w:val="0"/>
                  <w:marRight w:val="0"/>
                  <w:marTop w:val="0"/>
                  <w:marBottom w:val="0"/>
                  <w:divBdr>
                    <w:top w:val="none" w:sz="0" w:space="0" w:color="auto"/>
                    <w:left w:val="none" w:sz="0" w:space="0" w:color="auto"/>
                    <w:bottom w:val="none" w:sz="0" w:space="0" w:color="auto"/>
                    <w:right w:val="none" w:sz="0" w:space="0" w:color="auto"/>
                  </w:divBdr>
                </w:div>
                <w:div w:id="1685671536">
                  <w:marLeft w:val="0"/>
                  <w:marRight w:val="0"/>
                  <w:marTop w:val="0"/>
                  <w:marBottom w:val="0"/>
                  <w:divBdr>
                    <w:top w:val="none" w:sz="0" w:space="0" w:color="auto"/>
                    <w:left w:val="none" w:sz="0" w:space="0" w:color="auto"/>
                    <w:bottom w:val="none" w:sz="0" w:space="0" w:color="auto"/>
                    <w:right w:val="none" w:sz="0" w:space="0" w:color="auto"/>
                  </w:divBdr>
                </w:div>
                <w:div w:id="793402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981965">
          <w:marLeft w:val="0"/>
          <w:marRight w:val="0"/>
          <w:marTop w:val="15"/>
          <w:marBottom w:val="0"/>
          <w:divBdr>
            <w:top w:val="none" w:sz="0" w:space="0" w:color="auto"/>
            <w:left w:val="none" w:sz="0" w:space="0" w:color="auto"/>
            <w:bottom w:val="none" w:sz="0" w:space="0" w:color="auto"/>
            <w:right w:val="none" w:sz="0" w:space="0" w:color="auto"/>
          </w:divBdr>
          <w:divsChild>
            <w:div w:id="86315415">
              <w:marLeft w:val="0"/>
              <w:marRight w:val="0"/>
              <w:marTop w:val="0"/>
              <w:marBottom w:val="0"/>
              <w:divBdr>
                <w:top w:val="none" w:sz="0" w:space="0" w:color="auto"/>
                <w:left w:val="none" w:sz="0" w:space="0" w:color="auto"/>
                <w:bottom w:val="none" w:sz="0" w:space="0" w:color="auto"/>
                <w:right w:val="none" w:sz="0" w:space="0" w:color="auto"/>
              </w:divBdr>
              <w:divsChild>
                <w:div w:id="315762454">
                  <w:marLeft w:val="0"/>
                  <w:marRight w:val="0"/>
                  <w:marTop w:val="0"/>
                  <w:marBottom w:val="0"/>
                  <w:divBdr>
                    <w:top w:val="none" w:sz="0" w:space="0" w:color="auto"/>
                    <w:left w:val="none" w:sz="0" w:space="0" w:color="auto"/>
                    <w:bottom w:val="none" w:sz="0" w:space="0" w:color="auto"/>
                    <w:right w:val="none" w:sz="0" w:space="0" w:color="auto"/>
                  </w:divBdr>
                </w:div>
                <w:div w:id="387803027">
                  <w:marLeft w:val="0"/>
                  <w:marRight w:val="0"/>
                  <w:marTop w:val="0"/>
                  <w:marBottom w:val="0"/>
                  <w:divBdr>
                    <w:top w:val="none" w:sz="0" w:space="0" w:color="auto"/>
                    <w:left w:val="none" w:sz="0" w:space="0" w:color="auto"/>
                    <w:bottom w:val="none" w:sz="0" w:space="0" w:color="auto"/>
                    <w:right w:val="none" w:sz="0" w:space="0" w:color="auto"/>
                  </w:divBdr>
                </w:div>
                <w:div w:id="159203540">
                  <w:marLeft w:val="0"/>
                  <w:marRight w:val="0"/>
                  <w:marTop w:val="0"/>
                  <w:marBottom w:val="0"/>
                  <w:divBdr>
                    <w:top w:val="none" w:sz="0" w:space="0" w:color="auto"/>
                    <w:left w:val="none" w:sz="0" w:space="0" w:color="auto"/>
                    <w:bottom w:val="none" w:sz="0" w:space="0" w:color="auto"/>
                    <w:right w:val="none" w:sz="0" w:space="0" w:color="auto"/>
                  </w:divBdr>
                </w:div>
                <w:div w:id="741879302">
                  <w:marLeft w:val="0"/>
                  <w:marRight w:val="0"/>
                  <w:marTop w:val="0"/>
                  <w:marBottom w:val="0"/>
                  <w:divBdr>
                    <w:top w:val="none" w:sz="0" w:space="0" w:color="auto"/>
                    <w:left w:val="none" w:sz="0" w:space="0" w:color="auto"/>
                    <w:bottom w:val="none" w:sz="0" w:space="0" w:color="auto"/>
                    <w:right w:val="none" w:sz="0" w:space="0" w:color="auto"/>
                  </w:divBdr>
                </w:div>
                <w:div w:id="935361533">
                  <w:marLeft w:val="0"/>
                  <w:marRight w:val="0"/>
                  <w:marTop w:val="0"/>
                  <w:marBottom w:val="0"/>
                  <w:divBdr>
                    <w:top w:val="none" w:sz="0" w:space="0" w:color="auto"/>
                    <w:left w:val="none" w:sz="0" w:space="0" w:color="auto"/>
                    <w:bottom w:val="none" w:sz="0" w:space="0" w:color="auto"/>
                    <w:right w:val="none" w:sz="0" w:space="0" w:color="auto"/>
                  </w:divBdr>
                </w:div>
                <w:div w:id="1262566805">
                  <w:marLeft w:val="0"/>
                  <w:marRight w:val="0"/>
                  <w:marTop w:val="0"/>
                  <w:marBottom w:val="0"/>
                  <w:divBdr>
                    <w:top w:val="none" w:sz="0" w:space="0" w:color="auto"/>
                    <w:left w:val="none" w:sz="0" w:space="0" w:color="auto"/>
                    <w:bottom w:val="none" w:sz="0" w:space="0" w:color="auto"/>
                    <w:right w:val="none" w:sz="0" w:space="0" w:color="auto"/>
                  </w:divBdr>
                </w:div>
                <w:div w:id="114253285">
                  <w:marLeft w:val="0"/>
                  <w:marRight w:val="0"/>
                  <w:marTop w:val="0"/>
                  <w:marBottom w:val="0"/>
                  <w:divBdr>
                    <w:top w:val="none" w:sz="0" w:space="0" w:color="auto"/>
                    <w:left w:val="none" w:sz="0" w:space="0" w:color="auto"/>
                    <w:bottom w:val="none" w:sz="0" w:space="0" w:color="auto"/>
                    <w:right w:val="none" w:sz="0" w:space="0" w:color="auto"/>
                  </w:divBdr>
                </w:div>
                <w:div w:id="1076777806">
                  <w:marLeft w:val="0"/>
                  <w:marRight w:val="0"/>
                  <w:marTop w:val="0"/>
                  <w:marBottom w:val="0"/>
                  <w:divBdr>
                    <w:top w:val="none" w:sz="0" w:space="0" w:color="auto"/>
                    <w:left w:val="none" w:sz="0" w:space="0" w:color="auto"/>
                    <w:bottom w:val="none" w:sz="0" w:space="0" w:color="auto"/>
                    <w:right w:val="none" w:sz="0" w:space="0" w:color="auto"/>
                  </w:divBdr>
                </w:div>
                <w:div w:id="139538171">
                  <w:marLeft w:val="0"/>
                  <w:marRight w:val="0"/>
                  <w:marTop w:val="0"/>
                  <w:marBottom w:val="0"/>
                  <w:divBdr>
                    <w:top w:val="none" w:sz="0" w:space="0" w:color="auto"/>
                    <w:left w:val="none" w:sz="0" w:space="0" w:color="auto"/>
                    <w:bottom w:val="none" w:sz="0" w:space="0" w:color="auto"/>
                    <w:right w:val="none" w:sz="0" w:space="0" w:color="auto"/>
                  </w:divBdr>
                </w:div>
                <w:div w:id="1764178128">
                  <w:marLeft w:val="0"/>
                  <w:marRight w:val="0"/>
                  <w:marTop w:val="0"/>
                  <w:marBottom w:val="0"/>
                  <w:divBdr>
                    <w:top w:val="none" w:sz="0" w:space="0" w:color="auto"/>
                    <w:left w:val="none" w:sz="0" w:space="0" w:color="auto"/>
                    <w:bottom w:val="none" w:sz="0" w:space="0" w:color="auto"/>
                    <w:right w:val="none" w:sz="0" w:space="0" w:color="auto"/>
                  </w:divBdr>
                </w:div>
                <w:div w:id="379325849">
                  <w:marLeft w:val="0"/>
                  <w:marRight w:val="0"/>
                  <w:marTop w:val="0"/>
                  <w:marBottom w:val="0"/>
                  <w:divBdr>
                    <w:top w:val="none" w:sz="0" w:space="0" w:color="auto"/>
                    <w:left w:val="none" w:sz="0" w:space="0" w:color="auto"/>
                    <w:bottom w:val="none" w:sz="0" w:space="0" w:color="auto"/>
                    <w:right w:val="none" w:sz="0" w:space="0" w:color="auto"/>
                  </w:divBdr>
                </w:div>
                <w:div w:id="559294820">
                  <w:marLeft w:val="0"/>
                  <w:marRight w:val="0"/>
                  <w:marTop w:val="0"/>
                  <w:marBottom w:val="0"/>
                  <w:divBdr>
                    <w:top w:val="none" w:sz="0" w:space="0" w:color="auto"/>
                    <w:left w:val="none" w:sz="0" w:space="0" w:color="auto"/>
                    <w:bottom w:val="none" w:sz="0" w:space="0" w:color="auto"/>
                    <w:right w:val="none" w:sz="0" w:space="0" w:color="auto"/>
                  </w:divBdr>
                </w:div>
                <w:div w:id="1889221606">
                  <w:marLeft w:val="0"/>
                  <w:marRight w:val="0"/>
                  <w:marTop w:val="0"/>
                  <w:marBottom w:val="0"/>
                  <w:divBdr>
                    <w:top w:val="none" w:sz="0" w:space="0" w:color="auto"/>
                    <w:left w:val="none" w:sz="0" w:space="0" w:color="auto"/>
                    <w:bottom w:val="none" w:sz="0" w:space="0" w:color="auto"/>
                    <w:right w:val="none" w:sz="0" w:space="0" w:color="auto"/>
                  </w:divBdr>
                </w:div>
                <w:div w:id="1971010832">
                  <w:marLeft w:val="0"/>
                  <w:marRight w:val="0"/>
                  <w:marTop w:val="0"/>
                  <w:marBottom w:val="0"/>
                  <w:divBdr>
                    <w:top w:val="none" w:sz="0" w:space="0" w:color="auto"/>
                    <w:left w:val="none" w:sz="0" w:space="0" w:color="auto"/>
                    <w:bottom w:val="none" w:sz="0" w:space="0" w:color="auto"/>
                    <w:right w:val="none" w:sz="0" w:space="0" w:color="auto"/>
                  </w:divBdr>
                </w:div>
                <w:div w:id="598102228">
                  <w:marLeft w:val="0"/>
                  <w:marRight w:val="0"/>
                  <w:marTop w:val="0"/>
                  <w:marBottom w:val="0"/>
                  <w:divBdr>
                    <w:top w:val="none" w:sz="0" w:space="0" w:color="auto"/>
                    <w:left w:val="none" w:sz="0" w:space="0" w:color="auto"/>
                    <w:bottom w:val="none" w:sz="0" w:space="0" w:color="auto"/>
                    <w:right w:val="none" w:sz="0" w:space="0" w:color="auto"/>
                  </w:divBdr>
                </w:div>
                <w:div w:id="1751660016">
                  <w:marLeft w:val="0"/>
                  <w:marRight w:val="0"/>
                  <w:marTop w:val="0"/>
                  <w:marBottom w:val="0"/>
                  <w:divBdr>
                    <w:top w:val="none" w:sz="0" w:space="0" w:color="auto"/>
                    <w:left w:val="none" w:sz="0" w:space="0" w:color="auto"/>
                    <w:bottom w:val="none" w:sz="0" w:space="0" w:color="auto"/>
                    <w:right w:val="none" w:sz="0" w:space="0" w:color="auto"/>
                  </w:divBdr>
                </w:div>
                <w:div w:id="1261644021">
                  <w:marLeft w:val="0"/>
                  <w:marRight w:val="0"/>
                  <w:marTop w:val="0"/>
                  <w:marBottom w:val="0"/>
                  <w:divBdr>
                    <w:top w:val="none" w:sz="0" w:space="0" w:color="auto"/>
                    <w:left w:val="none" w:sz="0" w:space="0" w:color="auto"/>
                    <w:bottom w:val="none" w:sz="0" w:space="0" w:color="auto"/>
                    <w:right w:val="none" w:sz="0" w:space="0" w:color="auto"/>
                  </w:divBdr>
                </w:div>
                <w:div w:id="1385061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2371808">
      <w:bodyDiv w:val="1"/>
      <w:marLeft w:val="0"/>
      <w:marRight w:val="0"/>
      <w:marTop w:val="0"/>
      <w:marBottom w:val="0"/>
      <w:divBdr>
        <w:top w:val="none" w:sz="0" w:space="0" w:color="auto"/>
        <w:left w:val="none" w:sz="0" w:space="0" w:color="auto"/>
        <w:bottom w:val="none" w:sz="0" w:space="0" w:color="auto"/>
        <w:right w:val="none" w:sz="0" w:space="0" w:color="auto"/>
      </w:divBdr>
    </w:div>
    <w:div w:id="925073245">
      <w:bodyDiv w:val="1"/>
      <w:marLeft w:val="0"/>
      <w:marRight w:val="0"/>
      <w:marTop w:val="0"/>
      <w:marBottom w:val="0"/>
      <w:divBdr>
        <w:top w:val="none" w:sz="0" w:space="0" w:color="auto"/>
        <w:left w:val="none" w:sz="0" w:space="0" w:color="auto"/>
        <w:bottom w:val="none" w:sz="0" w:space="0" w:color="auto"/>
        <w:right w:val="none" w:sz="0" w:space="0" w:color="auto"/>
      </w:divBdr>
    </w:div>
    <w:div w:id="927540038">
      <w:bodyDiv w:val="1"/>
      <w:marLeft w:val="0"/>
      <w:marRight w:val="0"/>
      <w:marTop w:val="0"/>
      <w:marBottom w:val="0"/>
      <w:divBdr>
        <w:top w:val="none" w:sz="0" w:space="0" w:color="auto"/>
        <w:left w:val="none" w:sz="0" w:space="0" w:color="auto"/>
        <w:bottom w:val="none" w:sz="0" w:space="0" w:color="auto"/>
        <w:right w:val="none" w:sz="0" w:space="0" w:color="auto"/>
      </w:divBdr>
    </w:div>
    <w:div w:id="934289399">
      <w:bodyDiv w:val="1"/>
      <w:marLeft w:val="0"/>
      <w:marRight w:val="0"/>
      <w:marTop w:val="0"/>
      <w:marBottom w:val="0"/>
      <w:divBdr>
        <w:top w:val="none" w:sz="0" w:space="0" w:color="auto"/>
        <w:left w:val="none" w:sz="0" w:space="0" w:color="auto"/>
        <w:bottom w:val="none" w:sz="0" w:space="0" w:color="auto"/>
        <w:right w:val="none" w:sz="0" w:space="0" w:color="auto"/>
      </w:divBdr>
    </w:div>
    <w:div w:id="934436329">
      <w:bodyDiv w:val="1"/>
      <w:marLeft w:val="0"/>
      <w:marRight w:val="0"/>
      <w:marTop w:val="0"/>
      <w:marBottom w:val="0"/>
      <w:divBdr>
        <w:top w:val="none" w:sz="0" w:space="0" w:color="auto"/>
        <w:left w:val="none" w:sz="0" w:space="0" w:color="auto"/>
        <w:bottom w:val="none" w:sz="0" w:space="0" w:color="auto"/>
        <w:right w:val="none" w:sz="0" w:space="0" w:color="auto"/>
      </w:divBdr>
    </w:div>
    <w:div w:id="935017892">
      <w:bodyDiv w:val="1"/>
      <w:marLeft w:val="0"/>
      <w:marRight w:val="0"/>
      <w:marTop w:val="0"/>
      <w:marBottom w:val="0"/>
      <w:divBdr>
        <w:top w:val="none" w:sz="0" w:space="0" w:color="auto"/>
        <w:left w:val="none" w:sz="0" w:space="0" w:color="auto"/>
        <w:bottom w:val="none" w:sz="0" w:space="0" w:color="auto"/>
        <w:right w:val="none" w:sz="0" w:space="0" w:color="auto"/>
      </w:divBdr>
    </w:div>
    <w:div w:id="937296436">
      <w:bodyDiv w:val="1"/>
      <w:marLeft w:val="0"/>
      <w:marRight w:val="0"/>
      <w:marTop w:val="0"/>
      <w:marBottom w:val="0"/>
      <w:divBdr>
        <w:top w:val="none" w:sz="0" w:space="0" w:color="auto"/>
        <w:left w:val="none" w:sz="0" w:space="0" w:color="auto"/>
        <w:bottom w:val="none" w:sz="0" w:space="0" w:color="auto"/>
        <w:right w:val="none" w:sz="0" w:space="0" w:color="auto"/>
      </w:divBdr>
    </w:div>
    <w:div w:id="938147951">
      <w:bodyDiv w:val="1"/>
      <w:marLeft w:val="0"/>
      <w:marRight w:val="0"/>
      <w:marTop w:val="0"/>
      <w:marBottom w:val="0"/>
      <w:divBdr>
        <w:top w:val="none" w:sz="0" w:space="0" w:color="auto"/>
        <w:left w:val="none" w:sz="0" w:space="0" w:color="auto"/>
        <w:bottom w:val="none" w:sz="0" w:space="0" w:color="auto"/>
        <w:right w:val="none" w:sz="0" w:space="0" w:color="auto"/>
      </w:divBdr>
    </w:div>
    <w:div w:id="939412864">
      <w:bodyDiv w:val="1"/>
      <w:marLeft w:val="0"/>
      <w:marRight w:val="0"/>
      <w:marTop w:val="0"/>
      <w:marBottom w:val="0"/>
      <w:divBdr>
        <w:top w:val="none" w:sz="0" w:space="0" w:color="auto"/>
        <w:left w:val="none" w:sz="0" w:space="0" w:color="auto"/>
        <w:bottom w:val="none" w:sz="0" w:space="0" w:color="auto"/>
        <w:right w:val="none" w:sz="0" w:space="0" w:color="auto"/>
      </w:divBdr>
    </w:div>
    <w:div w:id="941493521">
      <w:bodyDiv w:val="1"/>
      <w:marLeft w:val="0"/>
      <w:marRight w:val="0"/>
      <w:marTop w:val="0"/>
      <w:marBottom w:val="0"/>
      <w:divBdr>
        <w:top w:val="none" w:sz="0" w:space="0" w:color="auto"/>
        <w:left w:val="none" w:sz="0" w:space="0" w:color="auto"/>
        <w:bottom w:val="none" w:sz="0" w:space="0" w:color="auto"/>
        <w:right w:val="none" w:sz="0" w:space="0" w:color="auto"/>
      </w:divBdr>
      <w:divsChild>
        <w:div w:id="1332441888">
          <w:marLeft w:val="0"/>
          <w:marRight w:val="0"/>
          <w:marTop w:val="0"/>
          <w:marBottom w:val="0"/>
          <w:divBdr>
            <w:top w:val="none" w:sz="0" w:space="0" w:color="auto"/>
            <w:left w:val="none" w:sz="0" w:space="0" w:color="auto"/>
            <w:bottom w:val="none" w:sz="0" w:space="0" w:color="auto"/>
            <w:right w:val="none" w:sz="0" w:space="0" w:color="auto"/>
          </w:divBdr>
        </w:div>
      </w:divsChild>
    </w:div>
    <w:div w:id="941570607">
      <w:bodyDiv w:val="1"/>
      <w:marLeft w:val="0"/>
      <w:marRight w:val="0"/>
      <w:marTop w:val="0"/>
      <w:marBottom w:val="0"/>
      <w:divBdr>
        <w:top w:val="none" w:sz="0" w:space="0" w:color="auto"/>
        <w:left w:val="none" w:sz="0" w:space="0" w:color="auto"/>
        <w:bottom w:val="none" w:sz="0" w:space="0" w:color="auto"/>
        <w:right w:val="none" w:sz="0" w:space="0" w:color="auto"/>
      </w:divBdr>
    </w:div>
    <w:div w:id="941759722">
      <w:bodyDiv w:val="1"/>
      <w:marLeft w:val="0"/>
      <w:marRight w:val="0"/>
      <w:marTop w:val="0"/>
      <w:marBottom w:val="0"/>
      <w:divBdr>
        <w:top w:val="none" w:sz="0" w:space="0" w:color="auto"/>
        <w:left w:val="none" w:sz="0" w:space="0" w:color="auto"/>
        <w:bottom w:val="none" w:sz="0" w:space="0" w:color="auto"/>
        <w:right w:val="none" w:sz="0" w:space="0" w:color="auto"/>
      </w:divBdr>
    </w:div>
    <w:div w:id="946035886">
      <w:bodyDiv w:val="1"/>
      <w:marLeft w:val="0"/>
      <w:marRight w:val="0"/>
      <w:marTop w:val="0"/>
      <w:marBottom w:val="0"/>
      <w:divBdr>
        <w:top w:val="none" w:sz="0" w:space="0" w:color="auto"/>
        <w:left w:val="none" w:sz="0" w:space="0" w:color="auto"/>
        <w:bottom w:val="none" w:sz="0" w:space="0" w:color="auto"/>
        <w:right w:val="none" w:sz="0" w:space="0" w:color="auto"/>
      </w:divBdr>
    </w:div>
    <w:div w:id="954940637">
      <w:bodyDiv w:val="1"/>
      <w:marLeft w:val="0"/>
      <w:marRight w:val="0"/>
      <w:marTop w:val="0"/>
      <w:marBottom w:val="0"/>
      <w:divBdr>
        <w:top w:val="none" w:sz="0" w:space="0" w:color="auto"/>
        <w:left w:val="none" w:sz="0" w:space="0" w:color="auto"/>
        <w:bottom w:val="none" w:sz="0" w:space="0" w:color="auto"/>
        <w:right w:val="none" w:sz="0" w:space="0" w:color="auto"/>
      </w:divBdr>
    </w:div>
    <w:div w:id="956327583">
      <w:bodyDiv w:val="1"/>
      <w:marLeft w:val="0"/>
      <w:marRight w:val="0"/>
      <w:marTop w:val="0"/>
      <w:marBottom w:val="0"/>
      <w:divBdr>
        <w:top w:val="none" w:sz="0" w:space="0" w:color="auto"/>
        <w:left w:val="none" w:sz="0" w:space="0" w:color="auto"/>
        <w:bottom w:val="none" w:sz="0" w:space="0" w:color="auto"/>
        <w:right w:val="none" w:sz="0" w:space="0" w:color="auto"/>
      </w:divBdr>
      <w:divsChild>
        <w:div w:id="916594495">
          <w:marLeft w:val="0"/>
          <w:marRight w:val="0"/>
          <w:marTop w:val="0"/>
          <w:marBottom w:val="0"/>
          <w:divBdr>
            <w:top w:val="none" w:sz="0" w:space="0" w:color="auto"/>
            <w:left w:val="none" w:sz="0" w:space="0" w:color="auto"/>
            <w:bottom w:val="none" w:sz="0" w:space="0" w:color="auto"/>
            <w:right w:val="none" w:sz="0" w:space="0" w:color="auto"/>
          </w:divBdr>
        </w:div>
      </w:divsChild>
    </w:div>
    <w:div w:id="957758608">
      <w:bodyDiv w:val="1"/>
      <w:marLeft w:val="0"/>
      <w:marRight w:val="0"/>
      <w:marTop w:val="0"/>
      <w:marBottom w:val="0"/>
      <w:divBdr>
        <w:top w:val="none" w:sz="0" w:space="0" w:color="auto"/>
        <w:left w:val="none" w:sz="0" w:space="0" w:color="auto"/>
        <w:bottom w:val="none" w:sz="0" w:space="0" w:color="auto"/>
        <w:right w:val="none" w:sz="0" w:space="0" w:color="auto"/>
      </w:divBdr>
    </w:div>
    <w:div w:id="960497286">
      <w:bodyDiv w:val="1"/>
      <w:marLeft w:val="0"/>
      <w:marRight w:val="0"/>
      <w:marTop w:val="0"/>
      <w:marBottom w:val="0"/>
      <w:divBdr>
        <w:top w:val="none" w:sz="0" w:space="0" w:color="auto"/>
        <w:left w:val="none" w:sz="0" w:space="0" w:color="auto"/>
        <w:bottom w:val="none" w:sz="0" w:space="0" w:color="auto"/>
        <w:right w:val="none" w:sz="0" w:space="0" w:color="auto"/>
      </w:divBdr>
    </w:div>
    <w:div w:id="960847013">
      <w:bodyDiv w:val="1"/>
      <w:marLeft w:val="0"/>
      <w:marRight w:val="0"/>
      <w:marTop w:val="0"/>
      <w:marBottom w:val="0"/>
      <w:divBdr>
        <w:top w:val="none" w:sz="0" w:space="0" w:color="auto"/>
        <w:left w:val="none" w:sz="0" w:space="0" w:color="auto"/>
        <w:bottom w:val="none" w:sz="0" w:space="0" w:color="auto"/>
        <w:right w:val="none" w:sz="0" w:space="0" w:color="auto"/>
      </w:divBdr>
    </w:div>
    <w:div w:id="961152878">
      <w:bodyDiv w:val="1"/>
      <w:marLeft w:val="0"/>
      <w:marRight w:val="0"/>
      <w:marTop w:val="0"/>
      <w:marBottom w:val="0"/>
      <w:divBdr>
        <w:top w:val="none" w:sz="0" w:space="0" w:color="auto"/>
        <w:left w:val="none" w:sz="0" w:space="0" w:color="auto"/>
        <w:bottom w:val="none" w:sz="0" w:space="0" w:color="auto"/>
        <w:right w:val="none" w:sz="0" w:space="0" w:color="auto"/>
      </w:divBdr>
    </w:div>
    <w:div w:id="971444358">
      <w:bodyDiv w:val="1"/>
      <w:marLeft w:val="0"/>
      <w:marRight w:val="0"/>
      <w:marTop w:val="0"/>
      <w:marBottom w:val="0"/>
      <w:divBdr>
        <w:top w:val="none" w:sz="0" w:space="0" w:color="auto"/>
        <w:left w:val="none" w:sz="0" w:space="0" w:color="auto"/>
        <w:bottom w:val="none" w:sz="0" w:space="0" w:color="auto"/>
        <w:right w:val="none" w:sz="0" w:space="0" w:color="auto"/>
      </w:divBdr>
    </w:div>
    <w:div w:id="974945536">
      <w:bodyDiv w:val="1"/>
      <w:marLeft w:val="0"/>
      <w:marRight w:val="0"/>
      <w:marTop w:val="0"/>
      <w:marBottom w:val="0"/>
      <w:divBdr>
        <w:top w:val="none" w:sz="0" w:space="0" w:color="auto"/>
        <w:left w:val="none" w:sz="0" w:space="0" w:color="auto"/>
        <w:bottom w:val="none" w:sz="0" w:space="0" w:color="auto"/>
        <w:right w:val="none" w:sz="0" w:space="0" w:color="auto"/>
      </w:divBdr>
    </w:div>
    <w:div w:id="981811464">
      <w:bodyDiv w:val="1"/>
      <w:marLeft w:val="0"/>
      <w:marRight w:val="0"/>
      <w:marTop w:val="0"/>
      <w:marBottom w:val="0"/>
      <w:divBdr>
        <w:top w:val="none" w:sz="0" w:space="0" w:color="auto"/>
        <w:left w:val="none" w:sz="0" w:space="0" w:color="auto"/>
        <w:bottom w:val="none" w:sz="0" w:space="0" w:color="auto"/>
        <w:right w:val="none" w:sz="0" w:space="0" w:color="auto"/>
      </w:divBdr>
    </w:div>
    <w:div w:id="985744426">
      <w:bodyDiv w:val="1"/>
      <w:marLeft w:val="0"/>
      <w:marRight w:val="0"/>
      <w:marTop w:val="0"/>
      <w:marBottom w:val="0"/>
      <w:divBdr>
        <w:top w:val="none" w:sz="0" w:space="0" w:color="auto"/>
        <w:left w:val="none" w:sz="0" w:space="0" w:color="auto"/>
        <w:bottom w:val="none" w:sz="0" w:space="0" w:color="auto"/>
        <w:right w:val="none" w:sz="0" w:space="0" w:color="auto"/>
      </w:divBdr>
    </w:div>
    <w:div w:id="986206602">
      <w:bodyDiv w:val="1"/>
      <w:marLeft w:val="0"/>
      <w:marRight w:val="0"/>
      <w:marTop w:val="0"/>
      <w:marBottom w:val="0"/>
      <w:divBdr>
        <w:top w:val="none" w:sz="0" w:space="0" w:color="auto"/>
        <w:left w:val="none" w:sz="0" w:space="0" w:color="auto"/>
        <w:bottom w:val="none" w:sz="0" w:space="0" w:color="auto"/>
        <w:right w:val="none" w:sz="0" w:space="0" w:color="auto"/>
      </w:divBdr>
    </w:div>
    <w:div w:id="989791511">
      <w:bodyDiv w:val="1"/>
      <w:marLeft w:val="0"/>
      <w:marRight w:val="0"/>
      <w:marTop w:val="0"/>
      <w:marBottom w:val="0"/>
      <w:divBdr>
        <w:top w:val="none" w:sz="0" w:space="0" w:color="auto"/>
        <w:left w:val="none" w:sz="0" w:space="0" w:color="auto"/>
        <w:bottom w:val="none" w:sz="0" w:space="0" w:color="auto"/>
        <w:right w:val="none" w:sz="0" w:space="0" w:color="auto"/>
      </w:divBdr>
    </w:div>
    <w:div w:id="994146794">
      <w:bodyDiv w:val="1"/>
      <w:marLeft w:val="0"/>
      <w:marRight w:val="0"/>
      <w:marTop w:val="0"/>
      <w:marBottom w:val="0"/>
      <w:divBdr>
        <w:top w:val="none" w:sz="0" w:space="0" w:color="auto"/>
        <w:left w:val="none" w:sz="0" w:space="0" w:color="auto"/>
        <w:bottom w:val="none" w:sz="0" w:space="0" w:color="auto"/>
        <w:right w:val="none" w:sz="0" w:space="0" w:color="auto"/>
      </w:divBdr>
    </w:div>
    <w:div w:id="1002664294">
      <w:bodyDiv w:val="1"/>
      <w:marLeft w:val="0"/>
      <w:marRight w:val="0"/>
      <w:marTop w:val="0"/>
      <w:marBottom w:val="0"/>
      <w:divBdr>
        <w:top w:val="none" w:sz="0" w:space="0" w:color="auto"/>
        <w:left w:val="none" w:sz="0" w:space="0" w:color="auto"/>
        <w:bottom w:val="none" w:sz="0" w:space="0" w:color="auto"/>
        <w:right w:val="none" w:sz="0" w:space="0" w:color="auto"/>
      </w:divBdr>
    </w:div>
    <w:div w:id="1004237633">
      <w:bodyDiv w:val="1"/>
      <w:marLeft w:val="0"/>
      <w:marRight w:val="0"/>
      <w:marTop w:val="0"/>
      <w:marBottom w:val="0"/>
      <w:divBdr>
        <w:top w:val="none" w:sz="0" w:space="0" w:color="auto"/>
        <w:left w:val="none" w:sz="0" w:space="0" w:color="auto"/>
        <w:bottom w:val="none" w:sz="0" w:space="0" w:color="auto"/>
        <w:right w:val="none" w:sz="0" w:space="0" w:color="auto"/>
      </w:divBdr>
    </w:div>
    <w:div w:id="1007055961">
      <w:bodyDiv w:val="1"/>
      <w:marLeft w:val="0"/>
      <w:marRight w:val="0"/>
      <w:marTop w:val="0"/>
      <w:marBottom w:val="0"/>
      <w:divBdr>
        <w:top w:val="none" w:sz="0" w:space="0" w:color="auto"/>
        <w:left w:val="none" w:sz="0" w:space="0" w:color="auto"/>
        <w:bottom w:val="none" w:sz="0" w:space="0" w:color="auto"/>
        <w:right w:val="none" w:sz="0" w:space="0" w:color="auto"/>
      </w:divBdr>
    </w:div>
    <w:div w:id="1015958542">
      <w:bodyDiv w:val="1"/>
      <w:marLeft w:val="0"/>
      <w:marRight w:val="0"/>
      <w:marTop w:val="0"/>
      <w:marBottom w:val="0"/>
      <w:divBdr>
        <w:top w:val="none" w:sz="0" w:space="0" w:color="auto"/>
        <w:left w:val="none" w:sz="0" w:space="0" w:color="auto"/>
        <w:bottom w:val="none" w:sz="0" w:space="0" w:color="auto"/>
        <w:right w:val="none" w:sz="0" w:space="0" w:color="auto"/>
      </w:divBdr>
    </w:div>
    <w:div w:id="1017196046">
      <w:bodyDiv w:val="1"/>
      <w:marLeft w:val="0"/>
      <w:marRight w:val="0"/>
      <w:marTop w:val="0"/>
      <w:marBottom w:val="0"/>
      <w:divBdr>
        <w:top w:val="none" w:sz="0" w:space="0" w:color="auto"/>
        <w:left w:val="none" w:sz="0" w:space="0" w:color="auto"/>
        <w:bottom w:val="none" w:sz="0" w:space="0" w:color="auto"/>
        <w:right w:val="none" w:sz="0" w:space="0" w:color="auto"/>
      </w:divBdr>
    </w:div>
    <w:div w:id="1018700594">
      <w:bodyDiv w:val="1"/>
      <w:marLeft w:val="0"/>
      <w:marRight w:val="0"/>
      <w:marTop w:val="0"/>
      <w:marBottom w:val="0"/>
      <w:divBdr>
        <w:top w:val="none" w:sz="0" w:space="0" w:color="auto"/>
        <w:left w:val="none" w:sz="0" w:space="0" w:color="auto"/>
        <w:bottom w:val="none" w:sz="0" w:space="0" w:color="auto"/>
        <w:right w:val="none" w:sz="0" w:space="0" w:color="auto"/>
      </w:divBdr>
    </w:div>
    <w:div w:id="1021054809">
      <w:bodyDiv w:val="1"/>
      <w:marLeft w:val="0"/>
      <w:marRight w:val="0"/>
      <w:marTop w:val="0"/>
      <w:marBottom w:val="0"/>
      <w:divBdr>
        <w:top w:val="none" w:sz="0" w:space="0" w:color="auto"/>
        <w:left w:val="none" w:sz="0" w:space="0" w:color="auto"/>
        <w:bottom w:val="none" w:sz="0" w:space="0" w:color="auto"/>
        <w:right w:val="none" w:sz="0" w:space="0" w:color="auto"/>
      </w:divBdr>
    </w:div>
    <w:div w:id="1025054272">
      <w:bodyDiv w:val="1"/>
      <w:marLeft w:val="0"/>
      <w:marRight w:val="0"/>
      <w:marTop w:val="0"/>
      <w:marBottom w:val="0"/>
      <w:divBdr>
        <w:top w:val="none" w:sz="0" w:space="0" w:color="auto"/>
        <w:left w:val="none" w:sz="0" w:space="0" w:color="auto"/>
        <w:bottom w:val="none" w:sz="0" w:space="0" w:color="auto"/>
        <w:right w:val="none" w:sz="0" w:space="0" w:color="auto"/>
      </w:divBdr>
    </w:div>
    <w:div w:id="1027100579">
      <w:bodyDiv w:val="1"/>
      <w:marLeft w:val="0"/>
      <w:marRight w:val="0"/>
      <w:marTop w:val="0"/>
      <w:marBottom w:val="0"/>
      <w:divBdr>
        <w:top w:val="none" w:sz="0" w:space="0" w:color="auto"/>
        <w:left w:val="none" w:sz="0" w:space="0" w:color="auto"/>
        <w:bottom w:val="none" w:sz="0" w:space="0" w:color="auto"/>
        <w:right w:val="none" w:sz="0" w:space="0" w:color="auto"/>
      </w:divBdr>
    </w:div>
    <w:div w:id="1028873105">
      <w:bodyDiv w:val="1"/>
      <w:marLeft w:val="0"/>
      <w:marRight w:val="0"/>
      <w:marTop w:val="0"/>
      <w:marBottom w:val="0"/>
      <w:divBdr>
        <w:top w:val="none" w:sz="0" w:space="0" w:color="auto"/>
        <w:left w:val="none" w:sz="0" w:space="0" w:color="auto"/>
        <w:bottom w:val="none" w:sz="0" w:space="0" w:color="auto"/>
        <w:right w:val="none" w:sz="0" w:space="0" w:color="auto"/>
      </w:divBdr>
    </w:div>
    <w:div w:id="1030183786">
      <w:bodyDiv w:val="1"/>
      <w:marLeft w:val="0"/>
      <w:marRight w:val="0"/>
      <w:marTop w:val="0"/>
      <w:marBottom w:val="0"/>
      <w:divBdr>
        <w:top w:val="none" w:sz="0" w:space="0" w:color="auto"/>
        <w:left w:val="none" w:sz="0" w:space="0" w:color="auto"/>
        <w:bottom w:val="none" w:sz="0" w:space="0" w:color="auto"/>
        <w:right w:val="none" w:sz="0" w:space="0" w:color="auto"/>
      </w:divBdr>
    </w:div>
    <w:div w:id="1034691123">
      <w:bodyDiv w:val="1"/>
      <w:marLeft w:val="0"/>
      <w:marRight w:val="0"/>
      <w:marTop w:val="0"/>
      <w:marBottom w:val="0"/>
      <w:divBdr>
        <w:top w:val="none" w:sz="0" w:space="0" w:color="auto"/>
        <w:left w:val="none" w:sz="0" w:space="0" w:color="auto"/>
        <w:bottom w:val="none" w:sz="0" w:space="0" w:color="auto"/>
        <w:right w:val="none" w:sz="0" w:space="0" w:color="auto"/>
      </w:divBdr>
    </w:div>
    <w:div w:id="1038360477">
      <w:bodyDiv w:val="1"/>
      <w:marLeft w:val="0"/>
      <w:marRight w:val="0"/>
      <w:marTop w:val="0"/>
      <w:marBottom w:val="0"/>
      <w:divBdr>
        <w:top w:val="none" w:sz="0" w:space="0" w:color="auto"/>
        <w:left w:val="none" w:sz="0" w:space="0" w:color="auto"/>
        <w:bottom w:val="none" w:sz="0" w:space="0" w:color="auto"/>
        <w:right w:val="none" w:sz="0" w:space="0" w:color="auto"/>
      </w:divBdr>
    </w:div>
    <w:div w:id="1038890733">
      <w:bodyDiv w:val="1"/>
      <w:marLeft w:val="0"/>
      <w:marRight w:val="0"/>
      <w:marTop w:val="0"/>
      <w:marBottom w:val="0"/>
      <w:divBdr>
        <w:top w:val="none" w:sz="0" w:space="0" w:color="auto"/>
        <w:left w:val="none" w:sz="0" w:space="0" w:color="auto"/>
        <w:bottom w:val="none" w:sz="0" w:space="0" w:color="auto"/>
        <w:right w:val="none" w:sz="0" w:space="0" w:color="auto"/>
      </w:divBdr>
    </w:div>
    <w:div w:id="1040668632">
      <w:bodyDiv w:val="1"/>
      <w:marLeft w:val="0"/>
      <w:marRight w:val="0"/>
      <w:marTop w:val="0"/>
      <w:marBottom w:val="0"/>
      <w:divBdr>
        <w:top w:val="none" w:sz="0" w:space="0" w:color="auto"/>
        <w:left w:val="none" w:sz="0" w:space="0" w:color="auto"/>
        <w:bottom w:val="none" w:sz="0" w:space="0" w:color="auto"/>
        <w:right w:val="none" w:sz="0" w:space="0" w:color="auto"/>
      </w:divBdr>
    </w:div>
    <w:div w:id="1045257012">
      <w:bodyDiv w:val="1"/>
      <w:marLeft w:val="0"/>
      <w:marRight w:val="0"/>
      <w:marTop w:val="0"/>
      <w:marBottom w:val="0"/>
      <w:divBdr>
        <w:top w:val="none" w:sz="0" w:space="0" w:color="auto"/>
        <w:left w:val="none" w:sz="0" w:space="0" w:color="auto"/>
        <w:bottom w:val="none" w:sz="0" w:space="0" w:color="auto"/>
        <w:right w:val="none" w:sz="0" w:space="0" w:color="auto"/>
      </w:divBdr>
    </w:div>
    <w:div w:id="1045373253">
      <w:bodyDiv w:val="1"/>
      <w:marLeft w:val="0"/>
      <w:marRight w:val="0"/>
      <w:marTop w:val="0"/>
      <w:marBottom w:val="0"/>
      <w:divBdr>
        <w:top w:val="none" w:sz="0" w:space="0" w:color="auto"/>
        <w:left w:val="none" w:sz="0" w:space="0" w:color="auto"/>
        <w:bottom w:val="none" w:sz="0" w:space="0" w:color="auto"/>
        <w:right w:val="none" w:sz="0" w:space="0" w:color="auto"/>
      </w:divBdr>
    </w:div>
    <w:div w:id="1046372251">
      <w:bodyDiv w:val="1"/>
      <w:marLeft w:val="0"/>
      <w:marRight w:val="0"/>
      <w:marTop w:val="0"/>
      <w:marBottom w:val="0"/>
      <w:divBdr>
        <w:top w:val="none" w:sz="0" w:space="0" w:color="auto"/>
        <w:left w:val="none" w:sz="0" w:space="0" w:color="auto"/>
        <w:bottom w:val="none" w:sz="0" w:space="0" w:color="auto"/>
        <w:right w:val="none" w:sz="0" w:space="0" w:color="auto"/>
      </w:divBdr>
    </w:div>
    <w:div w:id="1046444773">
      <w:bodyDiv w:val="1"/>
      <w:marLeft w:val="0"/>
      <w:marRight w:val="0"/>
      <w:marTop w:val="0"/>
      <w:marBottom w:val="0"/>
      <w:divBdr>
        <w:top w:val="none" w:sz="0" w:space="0" w:color="auto"/>
        <w:left w:val="none" w:sz="0" w:space="0" w:color="auto"/>
        <w:bottom w:val="none" w:sz="0" w:space="0" w:color="auto"/>
        <w:right w:val="none" w:sz="0" w:space="0" w:color="auto"/>
      </w:divBdr>
    </w:div>
    <w:div w:id="1047801778">
      <w:bodyDiv w:val="1"/>
      <w:marLeft w:val="0"/>
      <w:marRight w:val="0"/>
      <w:marTop w:val="0"/>
      <w:marBottom w:val="0"/>
      <w:divBdr>
        <w:top w:val="none" w:sz="0" w:space="0" w:color="auto"/>
        <w:left w:val="none" w:sz="0" w:space="0" w:color="auto"/>
        <w:bottom w:val="none" w:sz="0" w:space="0" w:color="auto"/>
        <w:right w:val="none" w:sz="0" w:space="0" w:color="auto"/>
      </w:divBdr>
    </w:div>
    <w:div w:id="1052540453">
      <w:bodyDiv w:val="1"/>
      <w:marLeft w:val="0"/>
      <w:marRight w:val="0"/>
      <w:marTop w:val="0"/>
      <w:marBottom w:val="0"/>
      <w:divBdr>
        <w:top w:val="none" w:sz="0" w:space="0" w:color="auto"/>
        <w:left w:val="none" w:sz="0" w:space="0" w:color="auto"/>
        <w:bottom w:val="none" w:sz="0" w:space="0" w:color="auto"/>
        <w:right w:val="none" w:sz="0" w:space="0" w:color="auto"/>
      </w:divBdr>
      <w:divsChild>
        <w:div w:id="286620115">
          <w:marLeft w:val="0"/>
          <w:marRight w:val="0"/>
          <w:marTop w:val="0"/>
          <w:marBottom w:val="0"/>
          <w:divBdr>
            <w:top w:val="none" w:sz="0" w:space="0" w:color="auto"/>
            <w:left w:val="none" w:sz="0" w:space="0" w:color="auto"/>
            <w:bottom w:val="none" w:sz="0" w:space="0" w:color="auto"/>
            <w:right w:val="none" w:sz="0" w:space="0" w:color="auto"/>
          </w:divBdr>
        </w:div>
        <w:div w:id="736708421">
          <w:marLeft w:val="0"/>
          <w:marRight w:val="0"/>
          <w:marTop w:val="0"/>
          <w:marBottom w:val="0"/>
          <w:divBdr>
            <w:top w:val="none" w:sz="0" w:space="0" w:color="auto"/>
            <w:left w:val="none" w:sz="0" w:space="0" w:color="auto"/>
            <w:bottom w:val="none" w:sz="0" w:space="0" w:color="auto"/>
            <w:right w:val="none" w:sz="0" w:space="0" w:color="auto"/>
          </w:divBdr>
        </w:div>
        <w:div w:id="1123495543">
          <w:marLeft w:val="0"/>
          <w:marRight w:val="0"/>
          <w:marTop w:val="0"/>
          <w:marBottom w:val="0"/>
          <w:divBdr>
            <w:top w:val="none" w:sz="0" w:space="0" w:color="auto"/>
            <w:left w:val="none" w:sz="0" w:space="0" w:color="auto"/>
            <w:bottom w:val="none" w:sz="0" w:space="0" w:color="auto"/>
            <w:right w:val="none" w:sz="0" w:space="0" w:color="auto"/>
          </w:divBdr>
        </w:div>
      </w:divsChild>
    </w:div>
    <w:div w:id="1063989033">
      <w:bodyDiv w:val="1"/>
      <w:marLeft w:val="0"/>
      <w:marRight w:val="0"/>
      <w:marTop w:val="0"/>
      <w:marBottom w:val="0"/>
      <w:divBdr>
        <w:top w:val="none" w:sz="0" w:space="0" w:color="auto"/>
        <w:left w:val="none" w:sz="0" w:space="0" w:color="auto"/>
        <w:bottom w:val="none" w:sz="0" w:space="0" w:color="auto"/>
        <w:right w:val="none" w:sz="0" w:space="0" w:color="auto"/>
      </w:divBdr>
    </w:div>
    <w:div w:id="1064568611">
      <w:bodyDiv w:val="1"/>
      <w:marLeft w:val="0"/>
      <w:marRight w:val="0"/>
      <w:marTop w:val="0"/>
      <w:marBottom w:val="0"/>
      <w:divBdr>
        <w:top w:val="none" w:sz="0" w:space="0" w:color="auto"/>
        <w:left w:val="none" w:sz="0" w:space="0" w:color="auto"/>
        <w:bottom w:val="none" w:sz="0" w:space="0" w:color="auto"/>
        <w:right w:val="none" w:sz="0" w:space="0" w:color="auto"/>
      </w:divBdr>
    </w:div>
    <w:div w:id="1070158874">
      <w:bodyDiv w:val="1"/>
      <w:marLeft w:val="0"/>
      <w:marRight w:val="0"/>
      <w:marTop w:val="0"/>
      <w:marBottom w:val="0"/>
      <w:divBdr>
        <w:top w:val="none" w:sz="0" w:space="0" w:color="auto"/>
        <w:left w:val="none" w:sz="0" w:space="0" w:color="auto"/>
        <w:bottom w:val="none" w:sz="0" w:space="0" w:color="auto"/>
        <w:right w:val="none" w:sz="0" w:space="0" w:color="auto"/>
      </w:divBdr>
    </w:div>
    <w:div w:id="1070424795">
      <w:bodyDiv w:val="1"/>
      <w:marLeft w:val="0"/>
      <w:marRight w:val="0"/>
      <w:marTop w:val="0"/>
      <w:marBottom w:val="0"/>
      <w:divBdr>
        <w:top w:val="none" w:sz="0" w:space="0" w:color="auto"/>
        <w:left w:val="none" w:sz="0" w:space="0" w:color="auto"/>
        <w:bottom w:val="none" w:sz="0" w:space="0" w:color="auto"/>
        <w:right w:val="none" w:sz="0" w:space="0" w:color="auto"/>
      </w:divBdr>
      <w:divsChild>
        <w:div w:id="1500924825">
          <w:marLeft w:val="0"/>
          <w:marRight w:val="0"/>
          <w:marTop w:val="0"/>
          <w:marBottom w:val="0"/>
          <w:divBdr>
            <w:top w:val="none" w:sz="0" w:space="0" w:color="auto"/>
            <w:left w:val="none" w:sz="0" w:space="0" w:color="auto"/>
            <w:bottom w:val="none" w:sz="0" w:space="0" w:color="auto"/>
            <w:right w:val="none" w:sz="0" w:space="0" w:color="auto"/>
          </w:divBdr>
        </w:div>
      </w:divsChild>
    </w:div>
    <w:div w:id="1073623592">
      <w:bodyDiv w:val="1"/>
      <w:marLeft w:val="0"/>
      <w:marRight w:val="0"/>
      <w:marTop w:val="0"/>
      <w:marBottom w:val="0"/>
      <w:divBdr>
        <w:top w:val="none" w:sz="0" w:space="0" w:color="auto"/>
        <w:left w:val="none" w:sz="0" w:space="0" w:color="auto"/>
        <w:bottom w:val="none" w:sz="0" w:space="0" w:color="auto"/>
        <w:right w:val="none" w:sz="0" w:space="0" w:color="auto"/>
      </w:divBdr>
    </w:div>
    <w:div w:id="1074619867">
      <w:bodyDiv w:val="1"/>
      <w:marLeft w:val="0"/>
      <w:marRight w:val="0"/>
      <w:marTop w:val="0"/>
      <w:marBottom w:val="0"/>
      <w:divBdr>
        <w:top w:val="none" w:sz="0" w:space="0" w:color="auto"/>
        <w:left w:val="none" w:sz="0" w:space="0" w:color="auto"/>
        <w:bottom w:val="none" w:sz="0" w:space="0" w:color="auto"/>
        <w:right w:val="none" w:sz="0" w:space="0" w:color="auto"/>
      </w:divBdr>
    </w:div>
    <w:div w:id="1077705016">
      <w:bodyDiv w:val="1"/>
      <w:marLeft w:val="0"/>
      <w:marRight w:val="0"/>
      <w:marTop w:val="0"/>
      <w:marBottom w:val="0"/>
      <w:divBdr>
        <w:top w:val="none" w:sz="0" w:space="0" w:color="auto"/>
        <w:left w:val="none" w:sz="0" w:space="0" w:color="auto"/>
        <w:bottom w:val="none" w:sz="0" w:space="0" w:color="auto"/>
        <w:right w:val="none" w:sz="0" w:space="0" w:color="auto"/>
      </w:divBdr>
    </w:div>
    <w:div w:id="1081290222">
      <w:bodyDiv w:val="1"/>
      <w:marLeft w:val="0"/>
      <w:marRight w:val="0"/>
      <w:marTop w:val="0"/>
      <w:marBottom w:val="0"/>
      <w:divBdr>
        <w:top w:val="none" w:sz="0" w:space="0" w:color="auto"/>
        <w:left w:val="none" w:sz="0" w:space="0" w:color="auto"/>
        <w:bottom w:val="none" w:sz="0" w:space="0" w:color="auto"/>
        <w:right w:val="none" w:sz="0" w:space="0" w:color="auto"/>
      </w:divBdr>
    </w:div>
    <w:div w:id="1081945072">
      <w:bodyDiv w:val="1"/>
      <w:marLeft w:val="0"/>
      <w:marRight w:val="0"/>
      <w:marTop w:val="0"/>
      <w:marBottom w:val="0"/>
      <w:divBdr>
        <w:top w:val="none" w:sz="0" w:space="0" w:color="auto"/>
        <w:left w:val="none" w:sz="0" w:space="0" w:color="auto"/>
        <w:bottom w:val="none" w:sz="0" w:space="0" w:color="auto"/>
        <w:right w:val="none" w:sz="0" w:space="0" w:color="auto"/>
      </w:divBdr>
    </w:div>
    <w:div w:id="1083378234">
      <w:bodyDiv w:val="1"/>
      <w:marLeft w:val="0"/>
      <w:marRight w:val="0"/>
      <w:marTop w:val="0"/>
      <w:marBottom w:val="0"/>
      <w:divBdr>
        <w:top w:val="none" w:sz="0" w:space="0" w:color="auto"/>
        <w:left w:val="none" w:sz="0" w:space="0" w:color="auto"/>
        <w:bottom w:val="none" w:sz="0" w:space="0" w:color="auto"/>
        <w:right w:val="none" w:sz="0" w:space="0" w:color="auto"/>
      </w:divBdr>
    </w:div>
    <w:div w:id="1086657837">
      <w:bodyDiv w:val="1"/>
      <w:marLeft w:val="0"/>
      <w:marRight w:val="0"/>
      <w:marTop w:val="0"/>
      <w:marBottom w:val="0"/>
      <w:divBdr>
        <w:top w:val="none" w:sz="0" w:space="0" w:color="auto"/>
        <w:left w:val="none" w:sz="0" w:space="0" w:color="auto"/>
        <w:bottom w:val="none" w:sz="0" w:space="0" w:color="auto"/>
        <w:right w:val="none" w:sz="0" w:space="0" w:color="auto"/>
      </w:divBdr>
    </w:div>
    <w:div w:id="1086993428">
      <w:bodyDiv w:val="1"/>
      <w:marLeft w:val="0"/>
      <w:marRight w:val="0"/>
      <w:marTop w:val="0"/>
      <w:marBottom w:val="0"/>
      <w:divBdr>
        <w:top w:val="none" w:sz="0" w:space="0" w:color="auto"/>
        <w:left w:val="none" w:sz="0" w:space="0" w:color="auto"/>
        <w:bottom w:val="none" w:sz="0" w:space="0" w:color="auto"/>
        <w:right w:val="none" w:sz="0" w:space="0" w:color="auto"/>
      </w:divBdr>
    </w:div>
    <w:div w:id="1088648736">
      <w:bodyDiv w:val="1"/>
      <w:marLeft w:val="0"/>
      <w:marRight w:val="0"/>
      <w:marTop w:val="0"/>
      <w:marBottom w:val="0"/>
      <w:divBdr>
        <w:top w:val="none" w:sz="0" w:space="0" w:color="auto"/>
        <w:left w:val="none" w:sz="0" w:space="0" w:color="auto"/>
        <w:bottom w:val="none" w:sz="0" w:space="0" w:color="auto"/>
        <w:right w:val="none" w:sz="0" w:space="0" w:color="auto"/>
      </w:divBdr>
    </w:div>
    <w:div w:id="1090469706">
      <w:bodyDiv w:val="1"/>
      <w:marLeft w:val="0"/>
      <w:marRight w:val="0"/>
      <w:marTop w:val="0"/>
      <w:marBottom w:val="0"/>
      <w:divBdr>
        <w:top w:val="none" w:sz="0" w:space="0" w:color="auto"/>
        <w:left w:val="none" w:sz="0" w:space="0" w:color="auto"/>
        <w:bottom w:val="none" w:sz="0" w:space="0" w:color="auto"/>
        <w:right w:val="none" w:sz="0" w:space="0" w:color="auto"/>
      </w:divBdr>
    </w:div>
    <w:div w:id="1092048763">
      <w:bodyDiv w:val="1"/>
      <w:marLeft w:val="0"/>
      <w:marRight w:val="0"/>
      <w:marTop w:val="0"/>
      <w:marBottom w:val="0"/>
      <w:divBdr>
        <w:top w:val="none" w:sz="0" w:space="0" w:color="auto"/>
        <w:left w:val="none" w:sz="0" w:space="0" w:color="auto"/>
        <w:bottom w:val="none" w:sz="0" w:space="0" w:color="auto"/>
        <w:right w:val="none" w:sz="0" w:space="0" w:color="auto"/>
      </w:divBdr>
    </w:div>
    <w:div w:id="1093280936">
      <w:bodyDiv w:val="1"/>
      <w:marLeft w:val="0"/>
      <w:marRight w:val="0"/>
      <w:marTop w:val="0"/>
      <w:marBottom w:val="0"/>
      <w:divBdr>
        <w:top w:val="none" w:sz="0" w:space="0" w:color="auto"/>
        <w:left w:val="none" w:sz="0" w:space="0" w:color="auto"/>
        <w:bottom w:val="none" w:sz="0" w:space="0" w:color="auto"/>
        <w:right w:val="none" w:sz="0" w:space="0" w:color="auto"/>
      </w:divBdr>
    </w:div>
    <w:div w:id="1098140161">
      <w:bodyDiv w:val="1"/>
      <w:marLeft w:val="0"/>
      <w:marRight w:val="0"/>
      <w:marTop w:val="0"/>
      <w:marBottom w:val="0"/>
      <w:divBdr>
        <w:top w:val="none" w:sz="0" w:space="0" w:color="auto"/>
        <w:left w:val="none" w:sz="0" w:space="0" w:color="auto"/>
        <w:bottom w:val="none" w:sz="0" w:space="0" w:color="auto"/>
        <w:right w:val="none" w:sz="0" w:space="0" w:color="auto"/>
      </w:divBdr>
    </w:div>
    <w:div w:id="1100637338">
      <w:bodyDiv w:val="1"/>
      <w:marLeft w:val="0"/>
      <w:marRight w:val="0"/>
      <w:marTop w:val="0"/>
      <w:marBottom w:val="0"/>
      <w:divBdr>
        <w:top w:val="none" w:sz="0" w:space="0" w:color="auto"/>
        <w:left w:val="none" w:sz="0" w:space="0" w:color="auto"/>
        <w:bottom w:val="none" w:sz="0" w:space="0" w:color="auto"/>
        <w:right w:val="none" w:sz="0" w:space="0" w:color="auto"/>
      </w:divBdr>
    </w:div>
    <w:div w:id="1105424592">
      <w:bodyDiv w:val="1"/>
      <w:marLeft w:val="0"/>
      <w:marRight w:val="0"/>
      <w:marTop w:val="0"/>
      <w:marBottom w:val="0"/>
      <w:divBdr>
        <w:top w:val="none" w:sz="0" w:space="0" w:color="auto"/>
        <w:left w:val="none" w:sz="0" w:space="0" w:color="auto"/>
        <w:bottom w:val="none" w:sz="0" w:space="0" w:color="auto"/>
        <w:right w:val="none" w:sz="0" w:space="0" w:color="auto"/>
      </w:divBdr>
    </w:div>
    <w:div w:id="1109200885">
      <w:bodyDiv w:val="1"/>
      <w:marLeft w:val="0"/>
      <w:marRight w:val="0"/>
      <w:marTop w:val="0"/>
      <w:marBottom w:val="0"/>
      <w:divBdr>
        <w:top w:val="none" w:sz="0" w:space="0" w:color="auto"/>
        <w:left w:val="none" w:sz="0" w:space="0" w:color="auto"/>
        <w:bottom w:val="none" w:sz="0" w:space="0" w:color="auto"/>
        <w:right w:val="none" w:sz="0" w:space="0" w:color="auto"/>
      </w:divBdr>
    </w:div>
    <w:div w:id="1116102474">
      <w:bodyDiv w:val="1"/>
      <w:marLeft w:val="0"/>
      <w:marRight w:val="0"/>
      <w:marTop w:val="0"/>
      <w:marBottom w:val="0"/>
      <w:divBdr>
        <w:top w:val="none" w:sz="0" w:space="0" w:color="auto"/>
        <w:left w:val="none" w:sz="0" w:space="0" w:color="auto"/>
        <w:bottom w:val="none" w:sz="0" w:space="0" w:color="auto"/>
        <w:right w:val="none" w:sz="0" w:space="0" w:color="auto"/>
      </w:divBdr>
      <w:divsChild>
        <w:div w:id="815609499">
          <w:marLeft w:val="0"/>
          <w:marRight w:val="0"/>
          <w:marTop w:val="0"/>
          <w:marBottom w:val="0"/>
          <w:divBdr>
            <w:top w:val="none" w:sz="0" w:space="0" w:color="auto"/>
            <w:left w:val="none" w:sz="0" w:space="0" w:color="auto"/>
            <w:bottom w:val="none" w:sz="0" w:space="0" w:color="auto"/>
            <w:right w:val="none" w:sz="0" w:space="0" w:color="auto"/>
          </w:divBdr>
        </w:div>
        <w:div w:id="341207473">
          <w:marLeft w:val="0"/>
          <w:marRight w:val="0"/>
          <w:marTop w:val="0"/>
          <w:marBottom w:val="0"/>
          <w:divBdr>
            <w:top w:val="none" w:sz="0" w:space="0" w:color="auto"/>
            <w:left w:val="none" w:sz="0" w:space="0" w:color="auto"/>
            <w:bottom w:val="none" w:sz="0" w:space="0" w:color="auto"/>
            <w:right w:val="none" w:sz="0" w:space="0" w:color="auto"/>
          </w:divBdr>
          <w:divsChild>
            <w:div w:id="633367346">
              <w:marLeft w:val="0"/>
              <w:marRight w:val="0"/>
              <w:marTop w:val="0"/>
              <w:marBottom w:val="0"/>
              <w:divBdr>
                <w:top w:val="none" w:sz="0" w:space="0" w:color="auto"/>
                <w:left w:val="none" w:sz="0" w:space="0" w:color="auto"/>
                <w:bottom w:val="none" w:sz="0" w:space="0" w:color="auto"/>
                <w:right w:val="none" w:sz="0" w:space="0" w:color="auto"/>
              </w:divBdr>
              <w:divsChild>
                <w:div w:id="2018579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2967215">
      <w:bodyDiv w:val="1"/>
      <w:marLeft w:val="0"/>
      <w:marRight w:val="0"/>
      <w:marTop w:val="0"/>
      <w:marBottom w:val="0"/>
      <w:divBdr>
        <w:top w:val="none" w:sz="0" w:space="0" w:color="auto"/>
        <w:left w:val="none" w:sz="0" w:space="0" w:color="auto"/>
        <w:bottom w:val="none" w:sz="0" w:space="0" w:color="auto"/>
        <w:right w:val="none" w:sz="0" w:space="0" w:color="auto"/>
      </w:divBdr>
    </w:div>
    <w:div w:id="1123495442">
      <w:bodyDiv w:val="1"/>
      <w:marLeft w:val="0"/>
      <w:marRight w:val="0"/>
      <w:marTop w:val="0"/>
      <w:marBottom w:val="0"/>
      <w:divBdr>
        <w:top w:val="none" w:sz="0" w:space="0" w:color="auto"/>
        <w:left w:val="none" w:sz="0" w:space="0" w:color="auto"/>
        <w:bottom w:val="none" w:sz="0" w:space="0" w:color="auto"/>
        <w:right w:val="none" w:sz="0" w:space="0" w:color="auto"/>
      </w:divBdr>
    </w:div>
    <w:div w:id="1126121228">
      <w:bodyDiv w:val="1"/>
      <w:marLeft w:val="0"/>
      <w:marRight w:val="0"/>
      <w:marTop w:val="0"/>
      <w:marBottom w:val="0"/>
      <w:divBdr>
        <w:top w:val="none" w:sz="0" w:space="0" w:color="auto"/>
        <w:left w:val="none" w:sz="0" w:space="0" w:color="auto"/>
        <w:bottom w:val="none" w:sz="0" w:space="0" w:color="auto"/>
        <w:right w:val="none" w:sz="0" w:space="0" w:color="auto"/>
      </w:divBdr>
    </w:div>
    <w:div w:id="1132479019">
      <w:bodyDiv w:val="1"/>
      <w:marLeft w:val="0"/>
      <w:marRight w:val="0"/>
      <w:marTop w:val="0"/>
      <w:marBottom w:val="0"/>
      <w:divBdr>
        <w:top w:val="none" w:sz="0" w:space="0" w:color="auto"/>
        <w:left w:val="none" w:sz="0" w:space="0" w:color="auto"/>
        <w:bottom w:val="none" w:sz="0" w:space="0" w:color="auto"/>
        <w:right w:val="none" w:sz="0" w:space="0" w:color="auto"/>
      </w:divBdr>
    </w:div>
    <w:div w:id="1135414923">
      <w:bodyDiv w:val="1"/>
      <w:marLeft w:val="0"/>
      <w:marRight w:val="0"/>
      <w:marTop w:val="0"/>
      <w:marBottom w:val="0"/>
      <w:divBdr>
        <w:top w:val="none" w:sz="0" w:space="0" w:color="auto"/>
        <w:left w:val="none" w:sz="0" w:space="0" w:color="auto"/>
        <w:bottom w:val="none" w:sz="0" w:space="0" w:color="auto"/>
        <w:right w:val="none" w:sz="0" w:space="0" w:color="auto"/>
      </w:divBdr>
      <w:divsChild>
        <w:div w:id="1718314423">
          <w:marLeft w:val="0"/>
          <w:marRight w:val="0"/>
          <w:marTop w:val="0"/>
          <w:marBottom w:val="0"/>
          <w:divBdr>
            <w:top w:val="none" w:sz="0" w:space="0" w:color="auto"/>
            <w:left w:val="none" w:sz="0" w:space="0" w:color="auto"/>
            <w:bottom w:val="none" w:sz="0" w:space="0" w:color="auto"/>
            <w:right w:val="none" w:sz="0" w:space="0" w:color="auto"/>
          </w:divBdr>
        </w:div>
        <w:div w:id="1079250913">
          <w:marLeft w:val="0"/>
          <w:marRight w:val="0"/>
          <w:marTop w:val="0"/>
          <w:marBottom w:val="0"/>
          <w:divBdr>
            <w:top w:val="none" w:sz="0" w:space="0" w:color="auto"/>
            <w:left w:val="none" w:sz="0" w:space="0" w:color="auto"/>
            <w:bottom w:val="none" w:sz="0" w:space="0" w:color="auto"/>
            <w:right w:val="none" w:sz="0" w:space="0" w:color="auto"/>
          </w:divBdr>
        </w:div>
        <w:div w:id="712340404">
          <w:marLeft w:val="0"/>
          <w:marRight w:val="0"/>
          <w:marTop w:val="0"/>
          <w:marBottom w:val="0"/>
          <w:divBdr>
            <w:top w:val="none" w:sz="0" w:space="0" w:color="auto"/>
            <w:left w:val="none" w:sz="0" w:space="0" w:color="auto"/>
            <w:bottom w:val="none" w:sz="0" w:space="0" w:color="auto"/>
            <w:right w:val="none" w:sz="0" w:space="0" w:color="auto"/>
          </w:divBdr>
        </w:div>
        <w:div w:id="1946300497">
          <w:marLeft w:val="0"/>
          <w:marRight w:val="0"/>
          <w:marTop w:val="0"/>
          <w:marBottom w:val="0"/>
          <w:divBdr>
            <w:top w:val="none" w:sz="0" w:space="0" w:color="auto"/>
            <w:left w:val="none" w:sz="0" w:space="0" w:color="auto"/>
            <w:bottom w:val="none" w:sz="0" w:space="0" w:color="auto"/>
            <w:right w:val="none" w:sz="0" w:space="0" w:color="auto"/>
          </w:divBdr>
        </w:div>
        <w:div w:id="657459696">
          <w:marLeft w:val="0"/>
          <w:marRight w:val="0"/>
          <w:marTop w:val="0"/>
          <w:marBottom w:val="0"/>
          <w:divBdr>
            <w:top w:val="none" w:sz="0" w:space="0" w:color="auto"/>
            <w:left w:val="none" w:sz="0" w:space="0" w:color="auto"/>
            <w:bottom w:val="none" w:sz="0" w:space="0" w:color="auto"/>
            <w:right w:val="none" w:sz="0" w:space="0" w:color="auto"/>
          </w:divBdr>
        </w:div>
      </w:divsChild>
    </w:div>
    <w:div w:id="1136215433">
      <w:bodyDiv w:val="1"/>
      <w:marLeft w:val="0"/>
      <w:marRight w:val="0"/>
      <w:marTop w:val="0"/>
      <w:marBottom w:val="0"/>
      <w:divBdr>
        <w:top w:val="none" w:sz="0" w:space="0" w:color="auto"/>
        <w:left w:val="none" w:sz="0" w:space="0" w:color="auto"/>
        <w:bottom w:val="none" w:sz="0" w:space="0" w:color="auto"/>
        <w:right w:val="none" w:sz="0" w:space="0" w:color="auto"/>
      </w:divBdr>
    </w:div>
    <w:div w:id="1137333126">
      <w:bodyDiv w:val="1"/>
      <w:marLeft w:val="0"/>
      <w:marRight w:val="0"/>
      <w:marTop w:val="0"/>
      <w:marBottom w:val="0"/>
      <w:divBdr>
        <w:top w:val="none" w:sz="0" w:space="0" w:color="auto"/>
        <w:left w:val="none" w:sz="0" w:space="0" w:color="auto"/>
        <w:bottom w:val="none" w:sz="0" w:space="0" w:color="auto"/>
        <w:right w:val="none" w:sz="0" w:space="0" w:color="auto"/>
      </w:divBdr>
    </w:div>
    <w:div w:id="1141773032">
      <w:bodyDiv w:val="1"/>
      <w:marLeft w:val="0"/>
      <w:marRight w:val="0"/>
      <w:marTop w:val="0"/>
      <w:marBottom w:val="0"/>
      <w:divBdr>
        <w:top w:val="none" w:sz="0" w:space="0" w:color="auto"/>
        <w:left w:val="none" w:sz="0" w:space="0" w:color="auto"/>
        <w:bottom w:val="none" w:sz="0" w:space="0" w:color="auto"/>
        <w:right w:val="none" w:sz="0" w:space="0" w:color="auto"/>
      </w:divBdr>
    </w:div>
    <w:div w:id="1146438393">
      <w:bodyDiv w:val="1"/>
      <w:marLeft w:val="0"/>
      <w:marRight w:val="0"/>
      <w:marTop w:val="0"/>
      <w:marBottom w:val="0"/>
      <w:divBdr>
        <w:top w:val="none" w:sz="0" w:space="0" w:color="auto"/>
        <w:left w:val="none" w:sz="0" w:space="0" w:color="auto"/>
        <w:bottom w:val="none" w:sz="0" w:space="0" w:color="auto"/>
        <w:right w:val="none" w:sz="0" w:space="0" w:color="auto"/>
      </w:divBdr>
    </w:div>
    <w:div w:id="1147551882">
      <w:bodyDiv w:val="1"/>
      <w:marLeft w:val="0"/>
      <w:marRight w:val="0"/>
      <w:marTop w:val="0"/>
      <w:marBottom w:val="0"/>
      <w:divBdr>
        <w:top w:val="none" w:sz="0" w:space="0" w:color="auto"/>
        <w:left w:val="none" w:sz="0" w:space="0" w:color="auto"/>
        <w:bottom w:val="none" w:sz="0" w:space="0" w:color="auto"/>
        <w:right w:val="none" w:sz="0" w:space="0" w:color="auto"/>
      </w:divBdr>
    </w:div>
    <w:div w:id="1149857555">
      <w:bodyDiv w:val="1"/>
      <w:marLeft w:val="0"/>
      <w:marRight w:val="0"/>
      <w:marTop w:val="0"/>
      <w:marBottom w:val="0"/>
      <w:divBdr>
        <w:top w:val="none" w:sz="0" w:space="0" w:color="auto"/>
        <w:left w:val="none" w:sz="0" w:space="0" w:color="auto"/>
        <w:bottom w:val="none" w:sz="0" w:space="0" w:color="auto"/>
        <w:right w:val="none" w:sz="0" w:space="0" w:color="auto"/>
      </w:divBdr>
    </w:div>
    <w:div w:id="1150101932">
      <w:bodyDiv w:val="1"/>
      <w:marLeft w:val="0"/>
      <w:marRight w:val="0"/>
      <w:marTop w:val="0"/>
      <w:marBottom w:val="0"/>
      <w:divBdr>
        <w:top w:val="none" w:sz="0" w:space="0" w:color="auto"/>
        <w:left w:val="none" w:sz="0" w:space="0" w:color="auto"/>
        <w:bottom w:val="none" w:sz="0" w:space="0" w:color="auto"/>
        <w:right w:val="none" w:sz="0" w:space="0" w:color="auto"/>
      </w:divBdr>
    </w:div>
    <w:div w:id="1154293349">
      <w:bodyDiv w:val="1"/>
      <w:marLeft w:val="0"/>
      <w:marRight w:val="0"/>
      <w:marTop w:val="0"/>
      <w:marBottom w:val="0"/>
      <w:divBdr>
        <w:top w:val="none" w:sz="0" w:space="0" w:color="auto"/>
        <w:left w:val="none" w:sz="0" w:space="0" w:color="auto"/>
        <w:bottom w:val="none" w:sz="0" w:space="0" w:color="auto"/>
        <w:right w:val="none" w:sz="0" w:space="0" w:color="auto"/>
      </w:divBdr>
      <w:divsChild>
        <w:div w:id="992413654">
          <w:marLeft w:val="0"/>
          <w:marRight w:val="0"/>
          <w:marTop w:val="0"/>
          <w:marBottom w:val="0"/>
          <w:divBdr>
            <w:top w:val="none" w:sz="0" w:space="0" w:color="auto"/>
            <w:left w:val="none" w:sz="0" w:space="0" w:color="auto"/>
            <w:bottom w:val="none" w:sz="0" w:space="0" w:color="auto"/>
            <w:right w:val="none" w:sz="0" w:space="0" w:color="auto"/>
          </w:divBdr>
        </w:div>
        <w:div w:id="756907227">
          <w:marLeft w:val="0"/>
          <w:marRight w:val="0"/>
          <w:marTop w:val="0"/>
          <w:marBottom w:val="0"/>
          <w:divBdr>
            <w:top w:val="none" w:sz="0" w:space="0" w:color="auto"/>
            <w:left w:val="none" w:sz="0" w:space="0" w:color="auto"/>
            <w:bottom w:val="none" w:sz="0" w:space="0" w:color="auto"/>
            <w:right w:val="none" w:sz="0" w:space="0" w:color="auto"/>
          </w:divBdr>
        </w:div>
        <w:div w:id="157431142">
          <w:marLeft w:val="0"/>
          <w:marRight w:val="0"/>
          <w:marTop w:val="0"/>
          <w:marBottom w:val="0"/>
          <w:divBdr>
            <w:top w:val="none" w:sz="0" w:space="0" w:color="auto"/>
            <w:left w:val="none" w:sz="0" w:space="0" w:color="auto"/>
            <w:bottom w:val="none" w:sz="0" w:space="0" w:color="auto"/>
            <w:right w:val="none" w:sz="0" w:space="0" w:color="auto"/>
          </w:divBdr>
        </w:div>
        <w:div w:id="857887957">
          <w:marLeft w:val="0"/>
          <w:marRight w:val="0"/>
          <w:marTop w:val="0"/>
          <w:marBottom w:val="0"/>
          <w:divBdr>
            <w:top w:val="none" w:sz="0" w:space="0" w:color="auto"/>
            <w:left w:val="none" w:sz="0" w:space="0" w:color="auto"/>
            <w:bottom w:val="none" w:sz="0" w:space="0" w:color="auto"/>
            <w:right w:val="none" w:sz="0" w:space="0" w:color="auto"/>
          </w:divBdr>
        </w:div>
        <w:div w:id="174729798">
          <w:marLeft w:val="0"/>
          <w:marRight w:val="0"/>
          <w:marTop w:val="0"/>
          <w:marBottom w:val="0"/>
          <w:divBdr>
            <w:top w:val="none" w:sz="0" w:space="0" w:color="auto"/>
            <w:left w:val="none" w:sz="0" w:space="0" w:color="auto"/>
            <w:bottom w:val="none" w:sz="0" w:space="0" w:color="auto"/>
            <w:right w:val="none" w:sz="0" w:space="0" w:color="auto"/>
          </w:divBdr>
        </w:div>
        <w:div w:id="1138181636">
          <w:marLeft w:val="0"/>
          <w:marRight w:val="0"/>
          <w:marTop w:val="0"/>
          <w:marBottom w:val="0"/>
          <w:divBdr>
            <w:top w:val="none" w:sz="0" w:space="0" w:color="auto"/>
            <w:left w:val="none" w:sz="0" w:space="0" w:color="auto"/>
            <w:bottom w:val="none" w:sz="0" w:space="0" w:color="auto"/>
            <w:right w:val="none" w:sz="0" w:space="0" w:color="auto"/>
          </w:divBdr>
        </w:div>
        <w:div w:id="806237587">
          <w:marLeft w:val="0"/>
          <w:marRight w:val="0"/>
          <w:marTop w:val="0"/>
          <w:marBottom w:val="0"/>
          <w:divBdr>
            <w:top w:val="none" w:sz="0" w:space="0" w:color="auto"/>
            <w:left w:val="none" w:sz="0" w:space="0" w:color="auto"/>
            <w:bottom w:val="none" w:sz="0" w:space="0" w:color="auto"/>
            <w:right w:val="none" w:sz="0" w:space="0" w:color="auto"/>
          </w:divBdr>
        </w:div>
        <w:div w:id="1813672308">
          <w:marLeft w:val="0"/>
          <w:marRight w:val="0"/>
          <w:marTop w:val="0"/>
          <w:marBottom w:val="0"/>
          <w:divBdr>
            <w:top w:val="none" w:sz="0" w:space="0" w:color="auto"/>
            <w:left w:val="none" w:sz="0" w:space="0" w:color="auto"/>
            <w:bottom w:val="none" w:sz="0" w:space="0" w:color="auto"/>
            <w:right w:val="none" w:sz="0" w:space="0" w:color="auto"/>
          </w:divBdr>
        </w:div>
        <w:div w:id="493767997">
          <w:marLeft w:val="0"/>
          <w:marRight w:val="0"/>
          <w:marTop w:val="0"/>
          <w:marBottom w:val="0"/>
          <w:divBdr>
            <w:top w:val="none" w:sz="0" w:space="0" w:color="auto"/>
            <w:left w:val="none" w:sz="0" w:space="0" w:color="auto"/>
            <w:bottom w:val="none" w:sz="0" w:space="0" w:color="auto"/>
            <w:right w:val="none" w:sz="0" w:space="0" w:color="auto"/>
          </w:divBdr>
        </w:div>
        <w:div w:id="1136994380">
          <w:marLeft w:val="0"/>
          <w:marRight w:val="0"/>
          <w:marTop w:val="0"/>
          <w:marBottom w:val="0"/>
          <w:divBdr>
            <w:top w:val="none" w:sz="0" w:space="0" w:color="auto"/>
            <w:left w:val="none" w:sz="0" w:space="0" w:color="auto"/>
            <w:bottom w:val="none" w:sz="0" w:space="0" w:color="auto"/>
            <w:right w:val="none" w:sz="0" w:space="0" w:color="auto"/>
          </w:divBdr>
        </w:div>
        <w:div w:id="1987318857">
          <w:marLeft w:val="0"/>
          <w:marRight w:val="0"/>
          <w:marTop w:val="0"/>
          <w:marBottom w:val="0"/>
          <w:divBdr>
            <w:top w:val="none" w:sz="0" w:space="0" w:color="auto"/>
            <w:left w:val="none" w:sz="0" w:space="0" w:color="auto"/>
            <w:bottom w:val="none" w:sz="0" w:space="0" w:color="auto"/>
            <w:right w:val="none" w:sz="0" w:space="0" w:color="auto"/>
          </w:divBdr>
        </w:div>
        <w:div w:id="899751526">
          <w:marLeft w:val="0"/>
          <w:marRight w:val="0"/>
          <w:marTop w:val="0"/>
          <w:marBottom w:val="0"/>
          <w:divBdr>
            <w:top w:val="none" w:sz="0" w:space="0" w:color="auto"/>
            <w:left w:val="none" w:sz="0" w:space="0" w:color="auto"/>
            <w:bottom w:val="none" w:sz="0" w:space="0" w:color="auto"/>
            <w:right w:val="none" w:sz="0" w:space="0" w:color="auto"/>
          </w:divBdr>
        </w:div>
        <w:div w:id="1355494383">
          <w:marLeft w:val="0"/>
          <w:marRight w:val="0"/>
          <w:marTop w:val="0"/>
          <w:marBottom w:val="0"/>
          <w:divBdr>
            <w:top w:val="none" w:sz="0" w:space="0" w:color="auto"/>
            <w:left w:val="none" w:sz="0" w:space="0" w:color="auto"/>
            <w:bottom w:val="none" w:sz="0" w:space="0" w:color="auto"/>
            <w:right w:val="none" w:sz="0" w:space="0" w:color="auto"/>
          </w:divBdr>
        </w:div>
        <w:div w:id="1861552599">
          <w:marLeft w:val="0"/>
          <w:marRight w:val="0"/>
          <w:marTop w:val="0"/>
          <w:marBottom w:val="0"/>
          <w:divBdr>
            <w:top w:val="none" w:sz="0" w:space="0" w:color="auto"/>
            <w:left w:val="none" w:sz="0" w:space="0" w:color="auto"/>
            <w:bottom w:val="none" w:sz="0" w:space="0" w:color="auto"/>
            <w:right w:val="none" w:sz="0" w:space="0" w:color="auto"/>
          </w:divBdr>
        </w:div>
        <w:div w:id="454448991">
          <w:marLeft w:val="0"/>
          <w:marRight w:val="0"/>
          <w:marTop w:val="0"/>
          <w:marBottom w:val="0"/>
          <w:divBdr>
            <w:top w:val="none" w:sz="0" w:space="0" w:color="auto"/>
            <w:left w:val="none" w:sz="0" w:space="0" w:color="auto"/>
            <w:bottom w:val="none" w:sz="0" w:space="0" w:color="auto"/>
            <w:right w:val="none" w:sz="0" w:space="0" w:color="auto"/>
          </w:divBdr>
        </w:div>
        <w:div w:id="171535718">
          <w:marLeft w:val="0"/>
          <w:marRight w:val="0"/>
          <w:marTop w:val="0"/>
          <w:marBottom w:val="0"/>
          <w:divBdr>
            <w:top w:val="none" w:sz="0" w:space="0" w:color="auto"/>
            <w:left w:val="none" w:sz="0" w:space="0" w:color="auto"/>
            <w:bottom w:val="none" w:sz="0" w:space="0" w:color="auto"/>
            <w:right w:val="none" w:sz="0" w:space="0" w:color="auto"/>
          </w:divBdr>
        </w:div>
        <w:div w:id="154614498">
          <w:marLeft w:val="0"/>
          <w:marRight w:val="0"/>
          <w:marTop w:val="0"/>
          <w:marBottom w:val="0"/>
          <w:divBdr>
            <w:top w:val="none" w:sz="0" w:space="0" w:color="auto"/>
            <w:left w:val="none" w:sz="0" w:space="0" w:color="auto"/>
            <w:bottom w:val="none" w:sz="0" w:space="0" w:color="auto"/>
            <w:right w:val="none" w:sz="0" w:space="0" w:color="auto"/>
          </w:divBdr>
        </w:div>
        <w:div w:id="334848000">
          <w:marLeft w:val="0"/>
          <w:marRight w:val="0"/>
          <w:marTop w:val="0"/>
          <w:marBottom w:val="0"/>
          <w:divBdr>
            <w:top w:val="none" w:sz="0" w:space="0" w:color="auto"/>
            <w:left w:val="none" w:sz="0" w:space="0" w:color="auto"/>
            <w:bottom w:val="none" w:sz="0" w:space="0" w:color="auto"/>
            <w:right w:val="none" w:sz="0" w:space="0" w:color="auto"/>
          </w:divBdr>
        </w:div>
        <w:div w:id="2123760403">
          <w:marLeft w:val="0"/>
          <w:marRight w:val="0"/>
          <w:marTop w:val="0"/>
          <w:marBottom w:val="0"/>
          <w:divBdr>
            <w:top w:val="none" w:sz="0" w:space="0" w:color="auto"/>
            <w:left w:val="none" w:sz="0" w:space="0" w:color="auto"/>
            <w:bottom w:val="none" w:sz="0" w:space="0" w:color="auto"/>
            <w:right w:val="none" w:sz="0" w:space="0" w:color="auto"/>
          </w:divBdr>
        </w:div>
        <w:div w:id="1805809794">
          <w:marLeft w:val="0"/>
          <w:marRight w:val="0"/>
          <w:marTop w:val="0"/>
          <w:marBottom w:val="0"/>
          <w:divBdr>
            <w:top w:val="none" w:sz="0" w:space="0" w:color="auto"/>
            <w:left w:val="none" w:sz="0" w:space="0" w:color="auto"/>
            <w:bottom w:val="none" w:sz="0" w:space="0" w:color="auto"/>
            <w:right w:val="none" w:sz="0" w:space="0" w:color="auto"/>
          </w:divBdr>
        </w:div>
        <w:div w:id="867522185">
          <w:marLeft w:val="0"/>
          <w:marRight w:val="0"/>
          <w:marTop w:val="0"/>
          <w:marBottom w:val="0"/>
          <w:divBdr>
            <w:top w:val="none" w:sz="0" w:space="0" w:color="auto"/>
            <w:left w:val="none" w:sz="0" w:space="0" w:color="auto"/>
            <w:bottom w:val="none" w:sz="0" w:space="0" w:color="auto"/>
            <w:right w:val="none" w:sz="0" w:space="0" w:color="auto"/>
          </w:divBdr>
        </w:div>
        <w:div w:id="1493713868">
          <w:marLeft w:val="0"/>
          <w:marRight w:val="0"/>
          <w:marTop w:val="0"/>
          <w:marBottom w:val="0"/>
          <w:divBdr>
            <w:top w:val="none" w:sz="0" w:space="0" w:color="auto"/>
            <w:left w:val="none" w:sz="0" w:space="0" w:color="auto"/>
            <w:bottom w:val="none" w:sz="0" w:space="0" w:color="auto"/>
            <w:right w:val="none" w:sz="0" w:space="0" w:color="auto"/>
          </w:divBdr>
        </w:div>
        <w:div w:id="163129694">
          <w:marLeft w:val="0"/>
          <w:marRight w:val="0"/>
          <w:marTop w:val="0"/>
          <w:marBottom w:val="0"/>
          <w:divBdr>
            <w:top w:val="none" w:sz="0" w:space="0" w:color="auto"/>
            <w:left w:val="none" w:sz="0" w:space="0" w:color="auto"/>
            <w:bottom w:val="none" w:sz="0" w:space="0" w:color="auto"/>
            <w:right w:val="none" w:sz="0" w:space="0" w:color="auto"/>
          </w:divBdr>
        </w:div>
        <w:div w:id="498423748">
          <w:marLeft w:val="0"/>
          <w:marRight w:val="0"/>
          <w:marTop w:val="0"/>
          <w:marBottom w:val="0"/>
          <w:divBdr>
            <w:top w:val="none" w:sz="0" w:space="0" w:color="auto"/>
            <w:left w:val="none" w:sz="0" w:space="0" w:color="auto"/>
            <w:bottom w:val="none" w:sz="0" w:space="0" w:color="auto"/>
            <w:right w:val="none" w:sz="0" w:space="0" w:color="auto"/>
          </w:divBdr>
        </w:div>
        <w:div w:id="502547322">
          <w:marLeft w:val="0"/>
          <w:marRight w:val="0"/>
          <w:marTop w:val="0"/>
          <w:marBottom w:val="0"/>
          <w:divBdr>
            <w:top w:val="none" w:sz="0" w:space="0" w:color="auto"/>
            <w:left w:val="none" w:sz="0" w:space="0" w:color="auto"/>
            <w:bottom w:val="none" w:sz="0" w:space="0" w:color="auto"/>
            <w:right w:val="none" w:sz="0" w:space="0" w:color="auto"/>
          </w:divBdr>
        </w:div>
        <w:div w:id="838424845">
          <w:marLeft w:val="0"/>
          <w:marRight w:val="0"/>
          <w:marTop w:val="0"/>
          <w:marBottom w:val="0"/>
          <w:divBdr>
            <w:top w:val="none" w:sz="0" w:space="0" w:color="auto"/>
            <w:left w:val="none" w:sz="0" w:space="0" w:color="auto"/>
            <w:bottom w:val="none" w:sz="0" w:space="0" w:color="auto"/>
            <w:right w:val="none" w:sz="0" w:space="0" w:color="auto"/>
          </w:divBdr>
        </w:div>
        <w:div w:id="1923292594">
          <w:marLeft w:val="0"/>
          <w:marRight w:val="0"/>
          <w:marTop w:val="0"/>
          <w:marBottom w:val="0"/>
          <w:divBdr>
            <w:top w:val="none" w:sz="0" w:space="0" w:color="auto"/>
            <w:left w:val="none" w:sz="0" w:space="0" w:color="auto"/>
            <w:bottom w:val="none" w:sz="0" w:space="0" w:color="auto"/>
            <w:right w:val="none" w:sz="0" w:space="0" w:color="auto"/>
          </w:divBdr>
        </w:div>
        <w:div w:id="1043289494">
          <w:marLeft w:val="0"/>
          <w:marRight w:val="0"/>
          <w:marTop w:val="0"/>
          <w:marBottom w:val="0"/>
          <w:divBdr>
            <w:top w:val="none" w:sz="0" w:space="0" w:color="auto"/>
            <w:left w:val="none" w:sz="0" w:space="0" w:color="auto"/>
            <w:bottom w:val="none" w:sz="0" w:space="0" w:color="auto"/>
            <w:right w:val="none" w:sz="0" w:space="0" w:color="auto"/>
          </w:divBdr>
        </w:div>
        <w:div w:id="239869061">
          <w:marLeft w:val="0"/>
          <w:marRight w:val="0"/>
          <w:marTop w:val="0"/>
          <w:marBottom w:val="0"/>
          <w:divBdr>
            <w:top w:val="none" w:sz="0" w:space="0" w:color="auto"/>
            <w:left w:val="none" w:sz="0" w:space="0" w:color="auto"/>
            <w:bottom w:val="none" w:sz="0" w:space="0" w:color="auto"/>
            <w:right w:val="none" w:sz="0" w:space="0" w:color="auto"/>
          </w:divBdr>
        </w:div>
        <w:div w:id="883564988">
          <w:marLeft w:val="0"/>
          <w:marRight w:val="0"/>
          <w:marTop w:val="0"/>
          <w:marBottom w:val="0"/>
          <w:divBdr>
            <w:top w:val="none" w:sz="0" w:space="0" w:color="auto"/>
            <w:left w:val="none" w:sz="0" w:space="0" w:color="auto"/>
            <w:bottom w:val="none" w:sz="0" w:space="0" w:color="auto"/>
            <w:right w:val="none" w:sz="0" w:space="0" w:color="auto"/>
          </w:divBdr>
        </w:div>
        <w:div w:id="954094726">
          <w:marLeft w:val="0"/>
          <w:marRight w:val="0"/>
          <w:marTop w:val="0"/>
          <w:marBottom w:val="0"/>
          <w:divBdr>
            <w:top w:val="none" w:sz="0" w:space="0" w:color="auto"/>
            <w:left w:val="none" w:sz="0" w:space="0" w:color="auto"/>
            <w:bottom w:val="none" w:sz="0" w:space="0" w:color="auto"/>
            <w:right w:val="none" w:sz="0" w:space="0" w:color="auto"/>
          </w:divBdr>
        </w:div>
        <w:div w:id="878323091">
          <w:marLeft w:val="0"/>
          <w:marRight w:val="0"/>
          <w:marTop w:val="0"/>
          <w:marBottom w:val="0"/>
          <w:divBdr>
            <w:top w:val="none" w:sz="0" w:space="0" w:color="auto"/>
            <w:left w:val="none" w:sz="0" w:space="0" w:color="auto"/>
            <w:bottom w:val="none" w:sz="0" w:space="0" w:color="auto"/>
            <w:right w:val="none" w:sz="0" w:space="0" w:color="auto"/>
          </w:divBdr>
        </w:div>
        <w:div w:id="357051024">
          <w:marLeft w:val="0"/>
          <w:marRight w:val="0"/>
          <w:marTop w:val="0"/>
          <w:marBottom w:val="0"/>
          <w:divBdr>
            <w:top w:val="none" w:sz="0" w:space="0" w:color="auto"/>
            <w:left w:val="none" w:sz="0" w:space="0" w:color="auto"/>
            <w:bottom w:val="none" w:sz="0" w:space="0" w:color="auto"/>
            <w:right w:val="none" w:sz="0" w:space="0" w:color="auto"/>
          </w:divBdr>
        </w:div>
        <w:div w:id="1716155787">
          <w:marLeft w:val="0"/>
          <w:marRight w:val="0"/>
          <w:marTop w:val="0"/>
          <w:marBottom w:val="0"/>
          <w:divBdr>
            <w:top w:val="none" w:sz="0" w:space="0" w:color="auto"/>
            <w:left w:val="none" w:sz="0" w:space="0" w:color="auto"/>
            <w:bottom w:val="none" w:sz="0" w:space="0" w:color="auto"/>
            <w:right w:val="none" w:sz="0" w:space="0" w:color="auto"/>
          </w:divBdr>
        </w:div>
        <w:div w:id="157504795">
          <w:marLeft w:val="0"/>
          <w:marRight w:val="0"/>
          <w:marTop w:val="0"/>
          <w:marBottom w:val="0"/>
          <w:divBdr>
            <w:top w:val="none" w:sz="0" w:space="0" w:color="auto"/>
            <w:left w:val="none" w:sz="0" w:space="0" w:color="auto"/>
            <w:bottom w:val="none" w:sz="0" w:space="0" w:color="auto"/>
            <w:right w:val="none" w:sz="0" w:space="0" w:color="auto"/>
          </w:divBdr>
        </w:div>
        <w:div w:id="524487041">
          <w:marLeft w:val="0"/>
          <w:marRight w:val="0"/>
          <w:marTop w:val="0"/>
          <w:marBottom w:val="0"/>
          <w:divBdr>
            <w:top w:val="none" w:sz="0" w:space="0" w:color="auto"/>
            <w:left w:val="none" w:sz="0" w:space="0" w:color="auto"/>
            <w:bottom w:val="none" w:sz="0" w:space="0" w:color="auto"/>
            <w:right w:val="none" w:sz="0" w:space="0" w:color="auto"/>
          </w:divBdr>
        </w:div>
        <w:div w:id="765540390">
          <w:marLeft w:val="0"/>
          <w:marRight w:val="0"/>
          <w:marTop w:val="0"/>
          <w:marBottom w:val="0"/>
          <w:divBdr>
            <w:top w:val="none" w:sz="0" w:space="0" w:color="auto"/>
            <w:left w:val="none" w:sz="0" w:space="0" w:color="auto"/>
            <w:bottom w:val="none" w:sz="0" w:space="0" w:color="auto"/>
            <w:right w:val="none" w:sz="0" w:space="0" w:color="auto"/>
          </w:divBdr>
        </w:div>
        <w:div w:id="532767700">
          <w:marLeft w:val="0"/>
          <w:marRight w:val="0"/>
          <w:marTop w:val="0"/>
          <w:marBottom w:val="0"/>
          <w:divBdr>
            <w:top w:val="none" w:sz="0" w:space="0" w:color="auto"/>
            <w:left w:val="none" w:sz="0" w:space="0" w:color="auto"/>
            <w:bottom w:val="none" w:sz="0" w:space="0" w:color="auto"/>
            <w:right w:val="none" w:sz="0" w:space="0" w:color="auto"/>
          </w:divBdr>
        </w:div>
        <w:div w:id="1610698330">
          <w:marLeft w:val="0"/>
          <w:marRight w:val="0"/>
          <w:marTop w:val="0"/>
          <w:marBottom w:val="0"/>
          <w:divBdr>
            <w:top w:val="none" w:sz="0" w:space="0" w:color="auto"/>
            <w:left w:val="none" w:sz="0" w:space="0" w:color="auto"/>
            <w:bottom w:val="none" w:sz="0" w:space="0" w:color="auto"/>
            <w:right w:val="none" w:sz="0" w:space="0" w:color="auto"/>
          </w:divBdr>
        </w:div>
        <w:div w:id="1769619501">
          <w:marLeft w:val="0"/>
          <w:marRight w:val="0"/>
          <w:marTop w:val="0"/>
          <w:marBottom w:val="0"/>
          <w:divBdr>
            <w:top w:val="none" w:sz="0" w:space="0" w:color="auto"/>
            <w:left w:val="none" w:sz="0" w:space="0" w:color="auto"/>
            <w:bottom w:val="none" w:sz="0" w:space="0" w:color="auto"/>
            <w:right w:val="none" w:sz="0" w:space="0" w:color="auto"/>
          </w:divBdr>
        </w:div>
        <w:div w:id="258801697">
          <w:marLeft w:val="0"/>
          <w:marRight w:val="0"/>
          <w:marTop w:val="0"/>
          <w:marBottom w:val="0"/>
          <w:divBdr>
            <w:top w:val="none" w:sz="0" w:space="0" w:color="auto"/>
            <w:left w:val="none" w:sz="0" w:space="0" w:color="auto"/>
            <w:bottom w:val="none" w:sz="0" w:space="0" w:color="auto"/>
            <w:right w:val="none" w:sz="0" w:space="0" w:color="auto"/>
          </w:divBdr>
        </w:div>
        <w:div w:id="7997355">
          <w:marLeft w:val="0"/>
          <w:marRight w:val="0"/>
          <w:marTop w:val="0"/>
          <w:marBottom w:val="0"/>
          <w:divBdr>
            <w:top w:val="none" w:sz="0" w:space="0" w:color="auto"/>
            <w:left w:val="none" w:sz="0" w:space="0" w:color="auto"/>
            <w:bottom w:val="none" w:sz="0" w:space="0" w:color="auto"/>
            <w:right w:val="none" w:sz="0" w:space="0" w:color="auto"/>
          </w:divBdr>
        </w:div>
        <w:div w:id="794905169">
          <w:marLeft w:val="0"/>
          <w:marRight w:val="0"/>
          <w:marTop w:val="0"/>
          <w:marBottom w:val="0"/>
          <w:divBdr>
            <w:top w:val="none" w:sz="0" w:space="0" w:color="auto"/>
            <w:left w:val="none" w:sz="0" w:space="0" w:color="auto"/>
            <w:bottom w:val="none" w:sz="0" w:space="0" w:color="auto"/>
            <w:right w:val="none" w:sz="0" w:space="0" w:color="auto"/>
          </w:divBdr>
        </w:div>
        <w:div w:id="429207134">
          <w:marLeft w:val="0"/>
          <w:marRight w:val="0"/>
          <w:marTop w:val="0"/>
          <w:marBottom w:val="0"/>
          <w:divBdr>
            <w:top w:val="none" w:sz="0" w:space="0" w:color="auto"/>
            <w:left w:val="none" w:sz="0" w:space="0" w:color="auto"/>
            <w:bottom w:val="none" w:sz="0" w:space="0" w:color="auto"/>
            <w:right w:val="none" w:sz="0" w:space="0" w:color="auto"/>
          </w:divBdr>
        </w:div>
        <w:div w:id="1873884867">
          <w:marLeft w:val="0"/>
          <w:marRight w:val="0"/>
          <w:marTop w:val="0"/>
          <w:marBottom w:val="0"/>
          <w:divBdr>
            <w:top w:val="none" w:sz="0" w:space="0" w:color="auto"/>
            <w:left w:val="none" w:sz="0" w:space="0" w:color="auto"/>
            <w:bottom w:val="none" w:sz="0" w:space="0" w:color="auto"/>
            <w:right w:val="none" w:sz="0" w:space="0" w:color="auto"/>
          </w:divBdr>
        </w:div>
        <w:div w:id="2030525368">
          <w:marLeft w:val="0"/>
          <w:marRight w:val="0"/>
          <w:marTop w:val="0"/>
          <w:marBottom w:val="0"/>
          <w:divBdr>
            <w:top w:val="none" w:sz="0" w:space="0" w:color="auto"/>
            <w:left w:val="none" w:sz="0" w:space="0" w:color="auto"/>
            <w:bottom w:val="none" w:sz="0" w:space="0" w:color="auto"/>
            <w:right w:val="none" w:sz="0" w:space="0" w:color="auto"/>
          </w:divBdr>
        </w:div>
        <w:div w:id="943998165">
          <w:marLeft w:val="0"/>
          <w:marRight w:val="0"/>
          <w:marTop w:val="0"/>
          <w:marBottom w:val="0"/>
          <w:divBdr>
            <w:top w:val="none" w:sz="0" w:space="0" w:color="auto"/>
            <w:left w:val="none" w:sz="0" w:space="0" w:color="auto"/>
            <w:bottom w:val="none" w:sz="0" w:space="0" w:color="auto"/>
            <w:right w:val="none" w:sz="0" w:space="0" w:color="auto"/>
          </w:divBdr>
        </w:div>
        <w:div w:id="1256398597">
          <w:marLeft w:val="0"/>
          <w:marRight w:val="0"/>
          <w:marTop w:val="0"/>
          <w:marBottom w:val="0"/>
          <w:divBdr>
            <w:top w:val="none" w:sz="0" w:space="0" w:color="auto"/>
            <w:left w:val="none" w:sz="0" w:space="0" w:color="auto"/>
            <w:bottom w:val="none" w:sz="0" w:space="0" w:color="auto"/>
            <w:right w:val="none" w:sz="0" w:space="0" w:color="auto"/>
          </w:divBdr>
        </w:div>
        <w:div w:id="126049479">
          <w:marLeft w:val="0"/>
          <w:marRight w:val="0"/>
          <w:marTop w:val="0"/>
          <w:marBottom w:val="0"/>
          <w:divBdr>
            <w:top w:val="none" w:sz="0" w:space="0" w:color="auto"/>
            <w:left w:val="none" w:sz="0" w:space="0" w:color="auto"/>
            <w:bottom w:val="none" w:sz="0" w:space="0" w:color="auto"/>
            <w:right w:val="none" w:sz="0" w:space="0" w:color="auto"/>
          </w:divBdr>
        </w:div>
        <w:div w:id="1520197725">
          <w:marLeft w:val="0"/>
          <w:marRight w:val="0"/>
          <w:marTop w:val="0"/>
          <w:marBottom w:val="0"/>
          <w:divBdr>
            <w:top w:val="none" w:sz="0" w:space="0" w:color="auto"/>
            <w:left w:val="none" w:sz="0" w:space="0" w:color="auto"/>
            <w:bottom w:val="none" w:sz="0" w:space="0" w:color="auto"/>
            <w:right w:val="none" w:sz="0" w:space="0" w:color="auto"/>
          </w:divBdr>
        </w:div>
        <w:div w:id="2025352845">
          <w:marLeft w:val="0"/>
          <w:marRight w:val="0"/>
          <w:marTop w:val="0"/>
          <w:marBottom w:val="0"/>
          <w:divBdr>
            <w:top w:val="none" w:sz="0" w:space="0" w:color="auto"/>
            <w:left w:val="none" w:sz="0" w:space="0" w:color="auto"/>
            <w:bottom w:val="none" w:sz="0" w:space="0" w:color="auto"/>
            <w:right w:val="none" w:sz="0" w:space="0" w:color="auto"/>
          </w:divBdr>
        </w:div>
        <w:div w:id="1227183046">
          <w:marLeft w:val="0"/>
          <w:marRight w:val="0"/>
          <w:marTop w:val="0"/>
          <w:marBottom w:val="0"/>
          <w:divBdr>
            <w:top w:val="none" w:sz="0" w:space="0" w:color="auto"/>
            <w:left w:val="none" w:sz="0" w:space="0" w:color="auto"/>
            <w:bottom w:val="none" w:sz="0" w:space="0" w:color="auto"/>
            <w:right w:val="none" w:sz="0" w:space="0" w:color="auto"/>
          </w:divBdr>
        </w:div>
        <w:div w:id="82722301">
          <w:marLeft w:val="0"/>
          <w:marRight w:val="0"/>
          <w:marTop w:val="0"/>
          <w:marBottom w:val="0"/>
          <w:divBdr>
            <w:top w:val="none" w:sz="0" w:space="0" w:color="auto"/>
            <w:left w:val="none" w:sz="0" w:space="0" w:color="auto"/>
            <w:bottom w:val="none" w:sz="0" w:space="0" w:color="auto"/>
            <w:right w:val="none" w:sz="0" w:space="0" w:color="auto"/>
          </w:divBdr>
        </w:div>
        <w:div w:id="651371084">
          <w:marLeft w:val="0"/>
          <w:marRight w:val="0"/>
          <w:marTop w:val="0"/>
          <w:marBottom w:val="0"/>
          <w:divBdr>
            <w:top w:val="none" w:sz="0" w:space="0" w:color="auto"/>
            <w:left w:val="none" w:sz="0" w:space="0" w:color="auto"/>
            <w:bottom w:val="none" w:sz="0" w:space="0" w:color="auto"/>
            <w:right w:val="none" w:sz="0" w:space="0" w:color="auto"/>
          </w:divBdr>
        </w:div>
        <w:div w:id="1606380583">
          <w:marLeft w:val="0"/>
          <w:marRight w:val="0"/>
          <w:marTop w:val="0"/>
          <w:marBottom w:val="0"/>
          <w:divBdr>
            <w:top w:val="none" w:sz="0" w:space="0" w:color="auto"/>
            <w:left w:val="none" w:sz="0" w:space="0" w:color="auto"/>
            <w:bottom w:val="none" w:sz="0" w:space="0" w:color="auto"/>
            <w:right w:val="none" w:sz="0" w:space="0" w:color="auto"/>
          </w:divBdr>
        </w:div>
        <w:div w:id="1230119880">
          <w:marLeft w:val="0"/>
          <w:marRight w:val="0"/>
          <w:marTop w:val="0"/>
          <w:marBottom w:val="0"/>
          <w:divBdr>
            <w:top w:val="none" w:sz="0" w:space="0" w:color="auto"/>
            <w:left w:val="none" w:sz="0" w:space="0" w:color="auto"/>
            <w:bottom w:val="none" w:sz="0" w:space="0" w:color="auto"/>
            <w:right w:val="none" w:sz="0" w:space="0" w:color="auto"/>
          </w:divBdr>
        </w:div>
        <w:div w:id="1111976664">
          <w:marLeft w:val="0"/>
          <w:marRight w:val="0"/>
          <w:marTop w:val="0"/>
          <w:marBottom w:val="0"/>
          <w:divBdr>
            <w:top w:val="none" w:sz="0" w:space="0" w:color="auto"/>
            <w:left w:val="none" w:sz="0" w:space="0" w:color="auto"/>
            <w:bottom w:val="none" w:sz="0" w:space="0" w:color="auto"/>
            <w:right w:val="none" w:sz="0" w:space="0" w:color="auto"/>
          </w:divBdr>
        </w:div>
        <w:div w:id="366413052">
          <w:marLeft w:val="0"/>
          <w:marRight w:val="0"/>
          <w:marTop w:val="0"/>
          <w:marBottom w:val="0"/>
          <w:divBdr>
            <w:top w:val="none" w:sz="0" w:space="0" w:color="auto"/>
            <w:left w:val="none" w:sz="0" w:space="0" w:color="auto"/>
            <w:bottom w:val="none" w:sz="0" w:space="0" w:color="auto"/>
            <w:right w:val="none" w:sz="0" w:space="0" w:color="auto"/>
          </w:divBdr>
        </w:div>
        <w:div w:id="1047417844">
          <w:marLeft w:val="0"/>
          <w:marRight w:val="0"/>
          <w:marTop w:val="0"/>
          <w:marBottom w:val="0"/>
          <w:divBdr>
            <w:top w:val="none" w:sz="0" w:space="0" w:color="auto"/>
            <w:left w:val="none" w:sz="0" w:space="0" w:color="auto"/>
            <w:bottom w:val="none" w:sz="0" w:space="0" w:color="auto"/>
            <w:right w:val="none" w:sz="0" w:space="0" w:color="auto"/>
          </w:divBdr>
        </w:div>
        <w:div w:id="1760373204">
          <w:marLeft w:val="0"/>
          <w:marRight w:val="0"/>
          <w:marTop w:val="0"/>
          <w:marBottom w:val="0"/>
          <w:divBdr>
            <w:top w:val="none" w:sz="0" w:space="0" w:color="auto"/>
            <w:left w:val="none" w:sz="0" w:space="0" w:color="auto"/>
            <w:bottom w:val="none" w:sz="0" w:space="0" w:color="auto"/>
            <w:right w:val="none" w:sz="0" w:space="0" w:color="auto"/>
          </w:divBdr>
        </w:div>
        <w:div w:id="1237588128">
          <w:marLeft w:val="0"/>
          <w:marRight w:val="0"/>
          <w:marTop w:val="0"/>
          <w:marBottom w:val="0"/>
          <w:divBdr>
            <w:top w:val="none" w:sz="0" w:space="0" w:color="auto"/>
            <w:left w:val="none" w:sz="0" w:space="0" w:color="auto"/>
            <w:bottom w:val="none" w:sz="0" w:space="0" w:color="auto"/>
            <w:right w:val="none" w:sz="0" w:space="0" w:color="auto"/>
          </w:divBdr>
        </w:div>
        <w:div w:id="1117145362">
          <w:marLeft w:val="0"/>
          <w:marRight w:val="0"/>
          <w:marTop w:val="0"/>
          <w:marBottom w:val="0"/>
          <w:divBdr>
            <w:top w:val="none" w:sz="0" w:space="0" w:color="auto"/>
            <w:left w:val="none" w:sz="0" w:space="0" w:color="auto"/>
            <w:bottom w:val="none" w:sz="0" w:space="0" w:color="auto"/>
            <w:right w:val="none" w:sz="0" w:space="0" w:color="auto"/>
          </w:divBdr>
        </w:div>
        <w:div w:id="1110782246">
          <w:marLeft w:val="0"/>
          <w:marRight w:val="0"/>
          <w:marTop w:val="0"/>
          <w:marBottom w:val="0"/>
          <w:divBdr>
            <w:top w:val="none" w:sz="0" w:space="0" w:color="auto"/>
            <w:left w:val="none" w:sz="0" w:space="0" w:color="auto"/>
            <w:bottom w:val="none" w:sz="0" w:space="0" w:color="auto"/>
            <w:right w:val="none" w:sz="0" w:space="0" w:color="auto"/>
          </w:divBdr>
        </w:div>
        <w:div w:id="198668276">
          <w:marLeft w:val="0"/>
          <w:marRight w:val="0"/>
          <w:marTop w:val="0"/>
          <w:marBottom w:val="0"/>
          <w:divBdr>
            <w:top w:val="none" w:sz="0" w:space="0" w:color="auto"/>
            <w:left w:val="none" w:sz="0" w:space="0" w:color="auto"/>
            <w:bottom w:val="none" w:sz="0" w:space="0" w:color="auto"/>
            <w:right w:val="none" w:sz="0" w:space="0" w:color="auto"/>
          </w:divBdr>
        </w:div>
        <w:div w:id="2137334151">
          <w:marLeft w:val="0"/>
          <w:marRight w:val="0"/>
          <w:marTop w:val="0"/>
          <w:marBottom w:val="0"/>
          <w:divBdr>
            <w:top w:val="none" w:sz="0" w:space="0" w:color="auto"/>
            <w:left w:val="none" w:sz="0" w:space="0" w:color="auto"/>
            <w:bottom w:val="none" w:sz="0" w:space="0" w:color="auto"/>
            <w:right w:val="none" w:sz="0" w:space="0" w:color="auto"/>
          </w:divBdr>
        </w:div>
        <w:div w:id="1165319816">
          <w:marLeft w:val="0"/>
          <w:marRight w:val="0"/>
          <w:marTop w:val="0"/>
          <w:marBottom w:val="0"/>
          <w:divBdr>
            <w:top w:val="none" w:sz="0" w:space="0" w:color="auto"/>
            <w:left w:val="none" w:sz="0" w:space="0" w:color="auto"/>
            <w:bottom w:val="none" w:sz="0" w:space="0" w:color="auto"/>
            <w:right w:val="none" w:sz="0" w:space="0" w:color="auto"/>
          </w:divBdr>
        </w:div>
        <w:div w:id="690028820">
          <w:marLeft w:val="0"/>
          <w:marRight w:val="0"/>
          <w:marTop w:val="0"/>
          <w:marBottom w:val="0"/>
          <w:divBdr>
            <w:top w:val="none" w:sz="0" w:space="0" w:color="auto"/>
            <w:left w:val="none" w:sz="0" w:space="0" w:color="auto"/>
            <w:bottom w:val="none" w:sz="0" w:space="0" w:color="auto"/>
            <w:right w:val="none" w:sz="0" w:space="0" w:color="auto"/>
          </w:divBdr>
        </w:div>
        <w:div w:id="1799837022">
          <w:marLeft w:val="0"/>
          <w:marRight w:val="0"/>
          <w:marTop w:val="0"/>
          <w:marBottom w:val="0"/>
          <w:divBdr>
            <w:top w:val="none" w:sz="0" w:space="0" w:color="auto"/>
            <w:left w:val="none" w:sz="0" w:space="0" w:color="auto"/>
            <w:bottom w:val="none" w:sz="0" w:space="0" w:color="auto"/>
            <w:right w:val="none" w:sz="0" w:space="0" w:color="auto"/>
          </w:divBdr>
        </w:div>
        <w:div w:id="390538165">
          <w:marLeft w:val="0"/>
          <w:marRight w:val="0"/>
          <w:marTop w:val="0"/>
          <w:marBottom w:val="0"/>
          <w:divBdr>
            <w:top w:val="none" w:sz="0" w:space="0" w:color="auto"/>
            <w:left w:val="none" w:sz="0" w:space="0" w:color="auto"/>
            <w:bottom w:val="none" w:sz="0" w:space="0" w:color="auto"/>
            <w:right w:val="none" w:sz="0" w:space="0" w:color="auto"/>
          </w:divBdr>
        </w:div>
        <w:div w:id="1507208955">
          <w:marLeft w:val="0"/>
          <w:marRight w:val="0"/>
          <w:marTop w:val="0"/>
          <w:marBottom w:val="0"/>
          <w:divBdr>
            <w:top w:val="none" w:sz="0" w:space="0" w:color="auto"/>
            <w:left w:val="none" w:sz="0" w:space="0" w:color="auto"/>
            <w:bottom w:val="none" w:sz="0" w:space="0" w:color="auto"/>
            <w:right w:val="none" w:sz="0" w:space="0" w:color="auto"/>
          </w:divBdr>
        </w:div>
        <w:div w:id="1873228412">
          <w:marLeft w:val="0"/>
          <w:marRight w:val="0"/>
          <w:marTop w:val="0"/>
          <w:marBottom w:val="0"/>
          <w:divBdr>
            <w:top w:val="none" w:sz="0" w:space="0" w:color="auto"/>
            <w:left w:val="none" w:sz="0" w:space="0" w:color="auto"/>
            <w:bottom w:val="none" w:sz="0" w:space="0" w:color="auto"/>
            <w:right w:val="none" w:sz="0" w:space="0" w:color="auto"/>
          </w:divBdr>
        </w:div>
        <w:div w:id="1381392695">
          <w:marLeft w:val="0"/>
          <w:marRight w:val="0"/>
          <w:marTop w:val="0"/>
          <w:marBottom w:val="0"/>
          <w:divBdr>
            <w:top w:val="none" w:sz="0" w:space="0" w:color="auto"/>
            <w:left w:val="none" w:sz="0" w:space="0" w:color="auto"/>
            <w:bottom w:val="none" w:sz="0" w:space="0" w:color="auto"/>
            <w:right w:val="none" w:sz="0" w:space="0" w:color="auto"/>
          </w:divBdr>
        </w:div>
        <w:div w:id="398133229">
          <w:marLeft w:val="0"/>
          <w:marRight w:val="0"/>
          <w:marTop w:val="0"/>
          <w:marBottom w:val="0"/>
          <w:divBdr>
            <w:top w:val="none" w:sz="0" w:space="0" w:color="auto"/>
            <w:left w:val="none" w:sz="0" w:space="0" w:color="auto"/>
            <w:bottom w:val="none" w:sz="0" w:space="0" w:color="auto"/>
            <w:right w:val="none" w:sz="0" w:space="0" w:color="auto"/>
          </w:divBdr>
        </w:div>
        <w:div w:id="718475860">
          <w:marLeft w:val="0"/>
          <w:marRight w:val="0"/>
          <w:marTop w:val="0"/>
          <w:marBottom w:val="0"/>
          <w:divBdr>
            <w:top w:val="none" w:sz="0" w:space="0" w:color="auto"/>
            <w:left w:val="none" w:sz="0" w:space="0" w:color="auto"/>
            <w:bottom w:val="none" w:sz="0" w:space="0" w:color="auto"/>
            <w:right w:val="none" w:sz="0" w:space="0" w:color="auto"/>
          </w:divBdr>
        </w:div>
        <w:div w:id="676152720">
          <w:marLeft w:val="0"/>
          <w:marRight w:val="0"/>
          <w:marTop w:val="0"/>
          <w:marBottom w:val="0"/>
          <w:divBdr>
            <w:top w:val="none" w:sz="0" w:space="0" w:color="auto"/>
            <w:left w:val="none" w:sz="0" w:space="0" w:color="auto"/>
            <w:bottom w:val="none" w:sz="0" w:space="0" w:color="auto"/>
            <w:right w:val="none" w:sz="0" w:space="0" w:color="auto"/>
          </w:divBdr>
        </w:div>
        <w:div w:id="1316450924">
          <w:marLeft w:val="0"/>
          <w:marRight w:val="0"/>
          <w:marTop w:val="0"/>
          <w:marBottom w:val="0"/>
          <w:divBdr>
            <w:top w:val="none" w:sz="0" w:space="0" w:color="auto"/>
            <w:left w:val="none" w:sz="0" w:space="0" w:color="auto"/>
            <w:bottom w:val="none" w:sz="0" w:space="0" w:color="auto"/>
            <w:right w:val="none" w:sz="0" w:space="0" w:color="auto"/>
          </w:divBdr>
        </w:div>
        <w:div w:id="1381590795">
          <w:marLeft w:val="0"/>
          <w:marRight w:val="0"/>
          <w:marTop w:val="0"/>
          <w:marBottom w:val="0"/>
          <w:divBdr>
            <w:top w:val="none" w:sz="0" w:space="0" w:color="auto"/>
            <w:left w:val="none" w:sz="0" w:space="0" w:color="auto"/>
            <w:bottom w:val="none" w:sz="0" w:space="0" w:color="auto"/>
            <w:right w:val="none" w:sz="0" w:space="0" w:color="auto"/>
          </w:divBdr>
        </w:div>
        <w:div w:id="828330389">
          <w:marLeft w:val="0"/>
          <w:marRight w:val="0"/>
          <w:marTop w:val="0"/>
          <w:marBottom w:val="0"/>
          <w:divBdr>
            <w:top w:val="none" w:sz="0" w:space="0" w:color="auto"/>
            <w:left w:val="none" w:sz="0" w:space="0" w:color="auto"/>
            <w:bottom w:val="none" w:sz="0" w:space="0" w:color="auto"/>
            <w:right w:val="none" w:sz="0" w:space="0" w:color="auto"/>
          </w:divBdr>
        </w:div>
        <w:div w:id="1501895972">
          <w:marLeft w:val="0"/>
          <w:marRight w:val="0"/>
          <w:marTop w:val="0"/>
          <w:marBottom w:val="0"/>
          <w:divBdr>
            <w:top w:val="none" w:sz="0" w:space="0" w:color="auto"/>
            <w:left w:val="none" w:sz="0" w:space="0" w:color="auto"/>
            <w:bottom w:val="none" w:sz="0" w:space="0" w:color="auto"/>
            <w:right w:val="none" w:sz="0" w:space="0" w:color="auto"/>
          </w:divBdr>
        </w:div>
        <w:div w:id="35013864">
          <w:marLeft w:val="0"/>
          <w:marRight w:val="0"/>
          <w:marTop w:val="0"/>
          <w:marBottom w:val="0"/>
          <w:divBdr>
            <w:top w:val="none" w:sz="0" w:space="0" w:color="auto"/>
            <w:left w:val="none" w:sz="0" w:space="0" w:color="auto"/>
            <w:bottom w:val="none" w:sz="0" w:space="0" w:color="auto"/>
            <w:right w:val="none" w:sz="0" w:space="0" w:color="auto"/>
          </w:divBdr>
        </w:div>
        <w:div w:id="545609147">
          <w:marLeft w:val="0"/>
          <w:marRight w:val="0"/>
          <w:marTop w:val="0"/>
          <w:marBottom w:val="0"/>
          <w:divBdr>
            <w:top w:val="none" w:sz="0" w:space="0" w:color="auto"/>
            <w:left w:val="none" w:sz="0" w:space="0" w:color="auto"/>
            <w:bottom w:val="none" w:sz="0" w:space="0" w:color="auto"/>
            <w:right w:val="none" w:sz="0" w:space="0" w:color="auto"/>
          </w:divBdr>
        </w:div>
        <w:div w:id="2098092486">
          <w:marLeft w:val="0"/>
          <w:marRight w:val="0"/>
          <w:marTop w:val="0"/>
          <w:marBottom w:val="0"/>
          <w:divBdr>
            <w:top w:val="none" w:sz="0" w:space="0" w:color="auto"/>
            <w:left w:val="none" w:sz="0" w:space="0" w:color="auto"/>
            <w:bottom w:val="none" w:sz="0" w:space="0" w:color="auto"/>
            <w:right w:val="none" w:sz="0" w:space="0" w:color="auto"/>
          </w:divBdr>
        </w:div>
        <w:div w:id="527910090">
          <w:marLeft w:val="0"/>
          <w:marRight w:val="0"/>
          <w:marTop w:val="0"/>
          <w:marBottom w:val="0"/>
          <w:divBdr>
            <w:top w:val="none" w:sz="0" w:space="0" w:color="auto"/>
            <w:left w:val="none" w:sz="0" w:space="0" w:color="auto"/>
            <w:bottom w:val="none" w:sz="0" w:space="0" w:color="auto"/>
            <w:right w:val="none" w:sz="0" w:space="0" w:color="auto"/>
          </w:divBdr>
        </w:div>
        <w:div w:id="173805880">
          <w:marLeft w:val="0"/>
          <w:marRight w:val="0"/>
          <w:marTop w:val="0"/>
          <w:marBottom w:val="0"/>
          <w:divBdr>
            <w:top w:val="none" w:sz="0" w:space="0" w:color="auto"/>
            <w:left w:val="none" w:sz="0" w:space="0" w:color="auto"/>
            <w:bottom w:val="none" w:sz="0" w:space="0" w:color="auto"/>
            <w:right w:val="none" w:sz="0" w:space="0" w:color="auto"/>
          </w:divBdr>
        </w:div>
        <w:div w:id="565456494">
          <w:marLeft w:val="0"/>
          <w:marRight w:val="0"/>
          <w:marTop w:val="0"/>
          <w:marBottom w:val="0"/>
          <w:divBdr>
            <w:top w:val="none" w:sz="0" w:space="0" w:color="auto"/>
            <w:left w:val="none" w:sz="0" w:space="0" w:color="auto"/>
            <w:bottom w:val="none" w:sz="0" w:space="0" w:color="auto"/>
            <w:right w:val="none" w:sz="0" w:space="0" w:color="auto"/>
          </w:divBdr>
        </w:div>
        <w:div w:id="1522278415">
          <w:marLeft w:val="0"/>
          <w:marRight w:val="0"/>
          <w:marTop w:val="0"/>
          <w:marBottom w:val="0"/>
          <w:divBdr>
            <w:top w:val="none" w:sz="0" w:space="0" w:color="auto"/>
            <w:left w:val="none" w:sz="0" w:space="0" w:color="auto"/>
            <w:bottom w:val="none" w:sz="0" w:space="0" w:color="auto"/>
            <w:right w:val="none" w:sz="0" w:space="0" w:color="auto"/>
          </w:divBdr>
        </w:div>
        <w:div w:id="36272917">
          <w:marLeft w:val="0"/>
          <w:marRight w:val="0"/>
          <w:marTop w:val="0"/>
          <w:marBottom w:val="0"/>
          <w:divBdr>
            <w:top w:val="none" w:sz="0" w:space="0" w:color="auto"/>
            <w:left w:val="none" w:sz="0" w:space="0" w:color="auto"/>
            <w:bottom w:val="none" w:sz="0" w:space="0" w:color="auto"/>
            <w:right w:val="none" w:sz="0" w:space="0" w:color="auto"/>
          </w:divBdr>
        </w:div>
        <w:div w:id="2121297699">
          <w:marLeft w:val="0"/>
          <w:marRight w:val="0"/>
          <w:marTop w:val="0"/>
          <w:marBottom w:val="0"/>
          <w:divBdr>
            <w:top w:val="none" w:sz="0" w:space="0" w:color="auto"/>
            <w:left w:val="none" w:sz="0" w:space="0" w:color="auto"/>
            <w:bottom w:val="none" w:sz="0" w:space="0" w:color="auto"/>
            <w:right w:val="none" w:sz="0" w:space="0" w:color="auto"/>
          </w:divBdr>
        </w:div>
        <w:div w:id="763962351">
          <w:marLeft w:val="0"/>
          <w:marRight w:val="0"/>
          <w:marTop w:val="0"/>
          <w:marBottom w:val="0"/>
          <w:divBdr>
            <w:top w:val="none" w:sz="0" w:space="0" w:color="auto"/>
            <w:left w:val="none" w:sz="0" w:space="0" w:color="auto"/>
            <w:bottom w:val="none" w:sz="0" w:space="0" w:color="auto"/>
            <w:right w:val="none" w:sz="0" w:space="0" w:color="auto"/>
          </w:divBdr>
        </w:div>
        <w:div w:id="448276702">
          <w:marLeft w:val="0"/>
          <w:marRight w:val="0"/>
          <w:marTop w:val="0"/>
          <w:marBottom w:val="0"/>
          <w:divBdr>
            <w:top w:val="none" w:sz="0" w:space="0" w:color="auto"/>
            <w:left w:val="none" w:sz="0" w:space="0" w:color="auto"/>
            <w:bottom w:val="none" w:sz="0" w:space="0" w:color="auto"/>
            <w:right w:val="none" w:sz="0" w:space="0" w:color="auto"/>
          </w:divBdr>
        </w:div>
        <w:div w:id="1876455033">
          <w:marLeft w:val="0"/>
          <w:marRight w:val="0"/>
          <w:marTop w:val="0"/>
          <w:marBottom w:val="0"/>
          <w:divBdr>
            <w:top w:val="none" w:sz="0" w:space="0" w:color="auto"/>
            <w:left w:val="none" w:sz="0" w:space="0" w:color="auto"/>
            <w:bottom w:val="none" w:sz="0" w:space="0" w:color="auto"/>
            <w:right w:val="none" w:sz="0" w:space="0" w:color="auto"/>
          </w:divBdr>
        </w:div>
        <w:div w:id="1023091565">
          <w:marLeft w:val="0"/>
          <w:marRight w:val="0"/>
          <w:marTop w:val="0"/>
          <w:marBottom w:val="0"/>
          <w:divBdr>
            <w:top w:val="none" w:sz="0" w:space="0" w:color="auto"/>
            <w:left w:val="none" w:sz="0" w:space="0" w:color="auto"/>
            <w:bottom w:val="none" w:sz="0" w:space="0" w:color="auto"/>
            <w:right w:val="none" w:sz="0" w:space="0" w:color="auto"/>
          </w:divBdr>
        </w:div>
        <w:div w:id="822045859">
          <w:marLeft w:val="0"/>
          <w:marRight w:val="0"/>
          <w:marTop w:val="0"/>
          <w:marBottom w:val="0"/>
          <w:divBdr>
            <w:top w:val="none" w:sz="0" w:space="0" w:color="auto"/>
            <w:left w:val="none" w:sz="0" w:space="0" w:color="auto"/>
            <w:bottom w:val="none" w:sz="0" w:space="0" w:color="auto"/>
            <w:right w:val="none" w:sz="0" w:space="0" w:color="auto"/>
          </w:divBdr>
        </w:div>
        <w:div w:id="1144468782">
          <w:marLeft w:val="0"/>
          <w:marRight w:val="0"/>
          <w:marTop w:val="0"/>
          <w:marBottom w:val="0"/>
          <w:divBdr>
            <w:top w:val="none" w:sz="0" w:space="0" w:color="auto"/>
            <w:left w:val="none" w:sz="0" w:space="0" w:color="auto"/>
            <w:bottom w:val="none" w:sz="0" w:space="0" w:color="auto"/>
            <w:right w:val="none" w:sz="0" w:space="0" w:color="auto"/>
          </w:divBdr>
        </w:div>
        <w:div w:id="841627206">
          <w:marLeft w:val="0"/>
          <w:marRight w:val="0"/>
          <w:marTop w:val="0"/>
          <w:marBottom w:val="0"/>
          <w:divBdr>
            <w:top w:val="none" w:sz="0" w:space="0" w:color="auto"/>
            <w:left w:val="none" w:sz="0" w:space="0" w:color="auto"/>
            <w:bottom w:val="none" w:sz="0" w:space="0" w:color="auto"/>
            <w:right w:val="none" w:sz="0" w:space="0" w:color="auto"/>
          </w:divBdr>
        </w:div>
        <w:div w:id="961807546">
          <w:marLeft w:val="0"/>
          <w:marRight w:val="0"/>
          <w:marTop w:val="0"/>
          <w:marBottom w:val="0"/>
          <w:divBdr>
            <w:top w:val="none" w:sz="0" w:space="0" w:color="auto"/>
            <w:left w:val="none" w:sz="0" w:space="0" w:color="auto"/>
            <w:bottom w:val="none" w:sz="0" w:space="0" w:color="auto"/>
            <w:right w:val="none" w:sz="0" w:space="0" w:color="auto"/>
          </w:divBdr>
        </w:div>
        <w:div w:id="1778868138">
          <w:marLeft w:val="0"/>
          <w:marRight w:val="0"/>
          <w:marTop w:val="0"/>
          <w:marBottom w:val="0"/>
          <w:divBdr>
            <w:top w:val="none" w:sz="0" w:space="0" w:color="auto"/>
            <w:left w:val="none" w:sz="0" w:space="0" w:color="auto"/>
            <w:bottom w:val="none" w:sz="0" w:space="0" w:color="auto"/>
            <w:right w:val="none" w:sz="0" w:space="0" w:color="auto"/>
          </w:divBdr>
        </w:div>
        <w:div w:id="769860694">
          <w:marLeft w:val="0"/>
          <w:marRight w:val="0"/>
          <w:marTop w:val="0"/>
          <w:marBottom w:val="0"/>
          <w:divBdr>
            <w:top w:val="none" w:sz="0" w:space="0" w:color="auto"/>
            <w:left w:val="none" w:sz="0" w:space="0" w:color="auto"/>
            <w:bottom w:val="none" w:sz="0" w:space="0" w:color="auto"/>
            <w:right w:val="none" w:sz="0" w:space="0" w:color="auto"/>
          </w:divBdr>
        </w:div>
        <w:div w:id="107969512">
          <w:marLeft w:val="0"/>
          <w:marRight w:val="0"/>
          <w:marTop w:val="0"/>
          <w:marBottom w:val="0"/>
          <w:divBdr>
            <w:top w:val="none" w:sz="0" w:space="0" w:color="auto"/>
            <w:left w:val="none" w:sz="0" w:space="0" w:color="auto"/>
            <w:bottom w:val="none" w:sz="0" w:space="0" w:color="auto"/>
            <w:right w:val="none" w:sz="0" w:space="0" w:color="auto"/>
          </w:divBdr>
        </w:div>
        <w:div w:id="315031798">
          <w:marLeft w:val="0"/>
          <w:marRight w:val="0"/>
          <w:marTop w:val="0"/>
          <w:marBottom w:val="0"/>
          <w:divBdr>
            <w:top w:val="none" w:sz="0" w:space="0" w:color="auto"/>
            <w:left w:val="none" w:sz="0" w:space="0" w:color="auto"/>
            <w:bottom w:val="none" w:sz="0" w:space="0" w:color="auto"/>
            <w:right w:val="none" w:sz="0" w:space="0" w:color="auto"/>
          </w:divBdr>
        </w:div>
        <w:div w:id="1938173359">
          <w:marLeft w:val="0"/>
          <w:marRight w:val="0"/>
          <w:marTop w:val="0"/>
          <w:marBottom w:val="0"/>
          <w:divBdr>
            <w:top w:val="none" w:sz="0" w:space="0" w:color="auto"/>
            <w:left w:val="none" w:sz="0" w:space="0" w:color="auto"/>
            <w:bottom w:val="none" w:sz="0" w:space="0" w:color="auto"/>
            <w:right w:val="none" w:sz="0" w:space="0" w:color="auto"/>
          </w:divBdr>
        </w:div>
        <w:div w:id="403533587">
          <w:marLeft w:val="0"/>
          <w:marRight w:val="0"/>
          <w:marTop w:val="0"/>
          <w:marBottom w:val="0"/>
          <w:divBdr>
            <w:top w:val="none" w:sz="0" w:space="0" w:color="auto"/>
            <w:left w:val="none" w:sz="0" w:space="0" w:color="auto"/>
            <w:bottom w:val="none" w:sz="0" w:space="0" w:color="auto"/>
            <w:right w:val="none" w:sz="0" w:space="0" w:color="auto"/>
          </w:divBdr>
        </w:div>
        <w:div w:id="1465006953">
          <w:marLeft w:val="0"/>
          <w:marRight w:val="0"/>
          <w:marTop w:val="0"/>
          <w:marBottom w:val="0"/>
          <w:divBdr>
            <w:top w:val="none" w:sz="0" w:space="0" w:color="auto"/>
            <w:left w:val="none" w:sz="0" w:space="0" w:color="auto"/>
            <w:bottom w:val="none" w:sz="0" w:space="0" w:color="auto"/>
            <w:right w:val="none" w:sz="0" w:space="0" w:color="auto"/>
          </w:divBdr>
        </w:div>
        <w:div w:id="1024939719">
          <w:marLeft w:val="0"/>
          <w:marRight w:val="0"/>
          <w:marTop w:val="0"/>
          <w:marBottom w:val="0"/>
          <w:divBdr>
            <w:top w:val="none" w:sz="0" w:space="0" w:color="auto"/>
            <w:left w:val="none" w:sz="0" w:space="0" w:color="auto"/>
            <w:bottom w:val="none" w:sz="0" w:space="0" w:color="auto"/>
            <w:right w:val="none" w:sz="0" w:space="0" w:color="auto"/>
          </w:divBdr>
        </w:div>
        <w:div w:id="937326222">
          <w:marLeft w:val="0"/>
          <w:marRight w:val="0"/>
          <w:marTop w:val="0"/>
          <w:marBottom w:val="0"/>
          <w:divBdr>
            <w:top w:val="none" w:sz="0" w:space="0" w:color="auto"/>
            <w:left w:val="none" w:sz="0" w:space="0" w:color="auto"/>
            <w:bottom w:val="none" w:sz="0" w:space="0" w:color="auto"/>
            <w:right w:val="none" w:sz="0" w:space="0" w:color="auto"/>
          </w:divBdr>
        </w:div>
        <w:div w:id="1369842393">
          <w:marLeft w:val="0"/>
          <w:marRight w:val="0"/>
          <w:marTop w:val="0"/>
          <w:marBottom w:val="0"/>
          <w:divBdr>
            <w:top w:val="none" w:sz="0" w:space="0" w:color="auto"/>
            <w:left w:val="none" w:sz="0" w:space="0" w:color="auto"/>
            <w:bottom w:val="none" w:sz="0" w:space="0" w:color="auto"/>
            <w:right w:val="none" w:sz="0" w:space="0" w:color="auto"/>
          </w:divBdr>
        </w:div>
        <w:div w:id="1817380665">
          <w:marLeft w:val="0"/>
          <w:marRight w:val="0"/>
          <w:marTop w:val="0"/>
          <w:marBottom w:val="0"/>
          <w:divBdr>
            <w:top w:val="none" w:sz="0" w:space="0" w:color="auto"/>
            <w:left w:val="none" w:sz="0" w:space="0" w:color="auto"/>
            <w:bottom w:val="none" w:sz="0" w:space="0" w:color="auto"/>
            <w:right w:val="none" w:sz="0" w:space="0" w:color="auto"/>
          </w:divBdr>
        </w:div>
        <w:div w:id="681128676">
          <w:marLeft w:val="0"/>
          <w:marRight w:val="0"/>
          <w:marTop w:val="0"/>
          <w:marBottom w:val="0"/>
          <w:divBdr>
            <w:top w:val="none" w:sz="0" w:space="0" w:color="auto"/>
            <w:left w:val="none" w:sz="0" w:space="0" w:color="auto"/>
            <w:bottom w:val="none" w:sz="0" w:space="0" w:color="auto"/>
            <w:right w:val="none" w:sz="0" w:space="0" w:color="auto"/>
          </w:divBdr>
        </w:div>
        <w:div w:id="1507475866">
          <w:marLeft w:val="0"/>
          <w:marRight w:val="0"/>
          <w:marTop w:val="0"/>
          <w:marBottom w:val="0"/>
          <w:divBdr>
            <w:top w:val="none" w:sz="0" w:space="0" w:color="auto"/>
            <w:left w:val="none" w:sz="0" w:space="0" w:color="auto"/>
            <w:bottom w:val="none" w:sz="0" w:space="0" w:color="auto"/>
            <w:right w:val="none" w:sz="0" w:space="0" w:color="auto"/>
          </w:divBdr>
        </w:div>
        <w:div w:id="1451850821">
          <w:marLeft w:val="0"/>
          <w:marRight w:val="0"/>
          <w:marTop w:val="0"/>
          <w:marBottom w:val="0"/>
          <w:divBdr>
            <w:top w:val="none" w:sz="0" w:space="0" w:color="auto"/>
            <w:left w:val="none" w:sz="0" w:space="0" w:color="auto"/>
            <w:bottom w:val="none" w:sz="0" w:space="0" w:color="auto"/>
            <w:right w:val="none" w:sz="0" w:space="0" w:color="auto"/>
          </w:divBdr>
        </w:div>
        <w:div w:id="542787140">
          <w:marLeft w:val="0"/>
          <w:marRight w:val="0"/>
          <w:marTop w:val="0"/>
          <w:marBottom w:val="0"/>
          <w:divBdr>
            <w:top w:val="none" w:sz="0" w:space="0" w:color="auto"/>
            <w:left w:val="none" w:sz="0" w:space="0" w:color="auto"/>
            <w:bottom w:val="none" w:sz="0" w:space="0" w:color="auto"/>
            <w:right w:val="none" w:sz="0" w:space="0" w:color="auto"/>
          </w:divBdr>
        </w:div>
        <w:div w:id="1185750150">
          <w:marLeft w:val="0"/>
          <w:marRight w:val="0"/>
          <w:marTop w:val="0"/>
          <w:marBottom w:val="0"/>
          <w:divBdr>
            <w:top w:val="none" w:sz="0" w:space="0" w:color="auto"/>
            <w:left w:val="none" w:sz="0" w:space="0" w:color="auto"/>
            <w:bottom w:val="none" w:sz="0" w:space="0" w:color="auto"/>
            <w:right w:val="none" w:sz="0" w:space="0" w:color="auto"/>
          </w:divBdr>
        </w:div>
        <w:div w:id="1157693983">
          <w:marLeft w:val="0"/>
          <w:marRight w:val="0"/>
          <w:marTop w:val="0"/>
          <w:marBottom w:val="0"/>
          <w:divBdr>
            <w:top w:val="none" w:sz="0" w:space="0" w:color="auto"/>
            <w:left w:val="none" w:sz="0" w:space="0" w:color="auto"/>
            <w:bottom w:val="none" w:sz="0" w:space="0" w:color="auto"/>
            <w:right w:val="none" w:sz="0" w:space="0" w:color="auto"/>
          </w:divBdr>
        </w:div>
        <w:div w:id="1525752312">
          <w:marLeft w:val="0"/>
          <w:marRight w:val="0"/>
          <w:marTop w:val="0"/>
          <w:marBottom w:val="0"/>
          <w:divBdr>
            <w:top w:val="none" w:sz="0" w:space="0" w:color="auto"/>
            <w:left w:val="none" w:sz="0" w:space="0" w:color="auto"/>
            <w:bottom w:val="none" w:sz="0" w:space="0" w:color="auto"/>
            <w:right w:val="none" w:sz="0" w:space="0" w:color="auto"/>
          </w:divBdr>
        </w:div>
        <w:div w:id="1248224692">
          <w:marLeft w:val="0"/>
          <w:marRight w:val="0"/>
          <w:marTop w:val="0"/>
          <w:marBottom w:val="0"/>
          <w:divBdr>
            <w:top w:val="none" w:sz="0" w:space="0" w:color="auto"/>
            <w:left w:val="none" w:sz="0" w:space="0" w:color="auto"/>
            <w:bottom w:val="none" w:sz="0" w:space="0" w:color="auto"/>
            <w:right w:val="none" w:sz="0" w:space="0" w:color="auto"/>
          </w:divBdr>
        </w:div>
        <w:div w:id="1269971882">
          <w:marLeft w:val="0"/>
          <w:marRight w:val="0"/>
          <w:marTop w:val="0"/>
          <w:marBottom w:val="0"/>
          <w:divBdr>
            <w:top w:val="none" w:sz="0" w:space="0" w:color="auto"/>
            <w:left w:val="none" w:sz="0" w:space="0" w:color="auto"/>
            <w:bottom w:val="none" w:sz="0" w:space="0" w:color="auto"/>
            <w:right w:val="none" w:sz="0" w:space="0" w:color="auto"/>
          </w:divBdr>
        </w:div>
        <w:div w:id="1993873640">
          <w:marLeft w:val="0"/>
          <w:marRight w:val="0"/>
          <w:marTop w:val="0"/>
          <w:marBottom w:val="0"/>
          <w:divBdr>
            <w:top w:val="none" w:sz="0" w:space="0" w:color="auto"/>
            <w:left w:val="none" w:sz="0" w:space="0" w:color="auto"/>
            <w:bottom w:val="none" w:sz="0" w:space="0" w:color="auto"/>
            <w:right w:val="none" w:sz="0" w:space="0" w:color="auto"/>
          </w:divBdr>
        </w:div>
        <w:div w:id="230238581">
          <w:marLeft w:val="0"/>
          <w:marRight w:val="0"/>
          <w:marTop w:val="0"/>
          <w:marBottom w:val="0"/>
          <w:divBdr>
            <w:top w:val="none" w:sz="0" w:space="0" w:color="auto"/>
            <w:left w:val="none" w:sz="0" w:space="0" w:color="auto"/>
            <w:bottom w:val="none" w:sz="0" w:space="0" w:color="auto"/>
            <w:right w:val="none" w:sz="0" w:space="0" w:color="auto"/>
          </w:divBdr>
        </w:div>
        <w:div w:id="331837948">
          <w:marLeft w:val="0"/>
          <w:marRight w:val="0"/>
          <w:marTop w:val="0"/>
          <w:marBottom w:val="0"/>
          <w:divBdr>
            <w:top w:val="none" w:sz="0" w:space="0" w:color="auto"/>
            <w:left w:val="none" w:sz="0" w:space="0" w:color="auto"/>
            <w:bottom w:val="none" w:sz="0" w:space="0" w:color="auto"/>
            <w:right w:val="none" w:sz="0" w:space="0" w:color="auto"/>
          </w:divBdr>
        </w:div>
        <w:div w:id="1962614260">
          <w:marLeft w:val="0"/>
          <w:marRight w:val="0"/>
          <w:marTop w:val="0"/>
          <w:marBottom w:val="0"/>
          <w:divBdr>
            <w:top w:val="none" w:sz="0" w:space="0" w:color="auto"/>
            <w:left w:val="none" w:sz="0" w:space="0" w:color="auto"/>
            <w:bottom w:val="none" w:sz="0" w:space="0" w:color="auto"/>
            <w:right w:val="none" w:sz="0" w:space="0" w:color="auto"/>
          </w:divBdr>
        </w:div>
        <w:div w:id="443618559">
          <w:marLeft w:val="0"/>
          <w:marRight w:val="0"/>
          <w:marTop w:val="0"/>
          <w:marBottom w:val="0"/>
          <w:divBdr>
            <w:top w:val="none" w:sz="0" w:space="0" w:color="auto"/>
            <w:left w:val="none" w:sz="0" w:space="0" w:color="auto"/>
            <w:bottom w:val="none" w:sz="0" w:space="0" w:color="auto"/>
            <w:right w:val="none" w:sz="0" w:space="0" w:color="auto"/>
          </w:divBdr>
        </w:div>
        <w:div w:id="158812471">
          <w:marLeft w:val="0"/>
          <w:marRight w:val="0"/>
          <w:marTop w:val="0"/>
          <w:marBottom w:val="0"/>
          <w:divBdr>
            <w:top w:val="none" w:sz="0" w:space="0" w:color="auto"/>
            <w:left w:val="none" w:sz="0" w:space="0" w:color="auto"/>
            <w:bottom w:val="none" w:sz="0" w:space="0" w:color="auto"/>
            <w:right w:val="none" w:sz="0" w:space="0" w:color="auto"/>
          </w:divBdr>
        </w:div>
        <w:div w:id="1323586087">
          <w:marLeft w:val="0"/>
          <w:marRight w:val="0"/>
          <w:marTop w:val="0"/>
          <w:marBottom w:val="0"/>
          <w:divBdr>
            <w:top w:val="none" w:sz="0" w:space="0" w:color="auto"/>
            <w:left w:val="none" w:sz="0" w:space="0" w:color="auto"/>
            <w:bottom w:val="none" w:sz="0" w:space="0" w:color="auto"/>
            <w:right w:val="none" w:sz="0" w:space="0" w:color="auto"/>
          </w:divBdr>
        </w:div>
        <w:div w:id="1110008245">
          <w:marLeft w:val="0"/>
          <w:marRight w:val="0"/>
          <w:marTop w:val="0"/>
          <w:marBottom w:val="0"/>
          <w:divBdr>
            <w:top w:val="none" w:sz="0" w:space="0" w:color="auto"/>
            <w:left w:val="none" w:sz="0" w:space="0" w:color="auto"/>
            <w:bottom w:val="none" w:sz="0" w:space="0" w:color="auto"/>
            <w:right w:val="none" w:sz="0" w:space="0" w:color="auto"/>
          </w:divBdr>
        </w:div>
        <w:div w:id="2132092663">
          <w:marLeft w:val="0"/>
          <w:marRight w:val="0"/>
          <w:marTop w:val="0"/>
          <w:marBottom w:val="0"/>
          <w:divBdr>
            <w:top w:val="none" w:sz="0" w:space="0" w:color="auto"/>
            <w:left w:val="none" w:sz="0" w:space="0" w:color="auto"/>
            <w:bottom w:val="none" w:sz="0" w:space="0" w:color="auto"/>
            <w:right w:val="none" w:sz="0" w:space="0" w:color="auto"/>
          </w:divBdr>
        </w:div>
        <w:div w:id="1539510850">
          <w:marLeft w:val="0"/>
          <w:marRight w:val="0"/>
          <w:marTop w:val="0"/>
          <w:marBottom w:val="0"/>
          <w:divBdr>
            <w:top w:val="none" w:sz="0" w:space="0" w:color="auto"/>
            <w:left w:val="none" w:sz="0" w:space="0" w:color="auto"/>
            <w:bottom w:val="none" w:sz="0" w:space="0" w:color="auto"/>
            <w:right w:val="none" w:sz="0" w:space="0" w:color="auto"/>
          </w:divBdr>
        </w:div>
        <w:div w:id="2069377289">
          <w:marLeft w:val="0"/>
          <w:marRight w:val="0"/>
          <w:marTop w:val="0"/>
          <w:marBottom w:val="0"/>
          <w:divBdr>
            <w:top w:val="none" w:sz="0" w:space="0" w:color="auto"/>
            <w:left w:val="none" w:sz="0" w:space="0" w:color="auto"/>
            <w:bottom w:val="none" w:sz="0" w:space="0" w:color="auto"/>
            <w:right w:val="none" w:sz="0" w:space="0" w:color="auto"/>
          </w:divBdr>
        </w:div>
        <w:div w:id="1127549206">
          <w:marLeft w:val="0"/>
          <w:marRight w:val="0"/>
          <w:marTop w:val="0"/>
          <w:marBottom w:val="0"/>
          <w:divBdr>
            <w:top w:val="none" w:sz="0" w:space="0" w:color="auto"/>
            <w:left w:val="none" w:sz="0" w:space="0" w:color="auto"/>
            <w:bottom w:val="none" w:sz="0" w:space="0" w:color="auto"/>
            <w:right w:val="none" w:sz="0" w:space="0" w:color="auto"/>
          </w:divBdr>
        </w:div>
        <w:div w:id="582757889">
          <w:marLeft w:val="0"/>
          <w:marRight w:val="0"/>
          <w:marTop w:val="0"/>
          <w:marBottom w:val="0"/>
          <w:divBdr>
            <w:top w:val="none" w:sz="0" w:space="0" w:color="auto"/>
            <w:left w:val="none" w:sz="0" w:space="0" w:color="auto"/>
            <w:bottom w:val="none" w:sz="0" w:space="0" w:color="auto"/>
            <w:right w:val="none" w:sz="0" w:space="0" w:color="auto"/>
          </w:divBdr>
        </w:div>
        <w:div w:id="74939956">
          <w:marLeft w:val="0"/>
          <w:marRight w:val="0"/>
          <w:marTop w:val="0"/>
          <w:marBottom w:val="0"/>
          <w:divBdr>
            <w:top w:val="none" w:sz="0" w:space="0" w:color="auto"/>
            <w:left w:val="none" w:sz="0" w:space="0" w:color="auto"/>
            <w:bottom w:val="none" w:sz="0" w:space="0" w:color="auto"/>
            <w:right w:val="none" w:sz="0" w:space="0" w:color="auto"/>
          </w:divBdr>
        </w:div>
        <w:div w:id="1313946192">
          <w:marLeft w:val="0"/>
          <w:marRight w:val="0"/>
          <w:marTop w:val="0"/>
          <w:marBottom w:val="0"/>
          <w:divBdr>
            <w:top w:val="none" w:sz="0" w:space="0" w:color="auto"/>
            <w:left w:val="none" w:sz="0" w:space="0" w:color="auto"/>
            <w:bottom w:val="none" w:sz="0" w:space="0" w:color="auto"/>
            <w:right w:val="none" w:sz="0" w:space="0" w:color="auto"/>
          </w:divBdr>
        </w:div>
        <w:div w:id="643511309">
          <w:marLeft w:val="0"/>
          <w:marRight w:val="0"/>
          <w:marTop w:val="0"/>
          <w:marBottom w:val="0"/>
          <w:divBdr>
            <w:top w:val="none" w:sz="0" w:space="0" w:color="auto"/>
            <w:left w:val="none" w:sz="0" w:space="0" w:color="auto"/>
            <w:bottom w:val="none" w:sz="0" w:space="0" w:color="auto"/>
            <w:right w:val="none" w:sz="0" w:space="0" w:color="auto"/>
          </w:divBdr>
        </w:div>
        <w:div w:id="1972051026">
          <w:marLeft w:val="0"/>
          <w:marRight w:val="0"/>
          <w:marTop w:val="0"/>
          <w:marBottom w:val="0"/>
          <w:divBdr>
            <w:top w:val="none" w:sz="0" w:space="0" w:color="auto"/>
            <w:left w:val="none" w:sz="0" w:space="0" w:color="auto"/>
            <w:bottom w:val="none" w:sz="0" w:space="0" w:color="auto"/>
            <w:right w:val="none" w:sz="0" w:space="0" w:color="auto"/>
          </w:divBdr>
        </w:div>
        <w:div w:id="78524893">
          <w:marLeft w:val="0"/>
          <w:marRight w:val="0"/>
          <w:marTop w:val="0"/>
          <w:marBottom w:val="0"/>
          <w:divBdr>
            <w:top w:val="none" w:sz="0" w:space="0" w:color="auto"/>
            <w:left w:val="none" w:sz="0" w:space="0" w:color="auto"/>
            <w:bottom w:val="none" w:sz="0" w:space="0" w:color="auto"/>
            <w:right w:val="none" w:sz="0" w:space="0" w:color="auto"/>
          </w:divBdr>
        </w:div>
        <w:div w:id="224951991">
          <w:marLeft w:val="0"/>
          <w:marRight w:val="0"/>
          <w:marTop w:val="0"/>
          <w:marBottom w:val="0"/>
          <w:divBdr>
            <w:top w:val="none" w:sz="0" w:space="0" w:color="auto"/>
            <w:left w:val="none" w:sz="0" w:space="0" w:color="auto"/>
            <w:bottom w:val="none" w:sz="0" w:space="0" w:color="auto"/>
            <w:right w:val="none" w:sz="0" w:space="0" w:color="auto"/>
          </w:divBdr>
        </w:div>
        <w:div w:id="1700887402">
          <w:marLeft w:val="0"/>
          <w:marRight w:val="0"/>
          <w:marTop w:val="0"/>
          <w:marBottom w:val="0"/>
          <w:divBdr>
            <w:top w:val="none" w:sz="0" w:space="0" w:color="auto"/>
            <w:left w:val="none" w:sz="0" w:space="0" w:color="auto"/>
            <w:bottom w:val="none" w:sz="0" w:space="0" w:color="auto"/>
            <w:right w:val="none" w:sz="0" w:space="0" w:color="auto"/>
          </w:divBdr>
        </w:div>
        <w:div w:id="1034816545">
          <w:marLeft w:val="0"/>
          <w:marRight w:val="0"/>
          <w:marTop w:val="0"/>
          <w:marBottom w:val="0"/>
          <w:divBdr>
            <w:top w:val="none" w:sz="0" w:space="0" w:color="auto"/>
            <w:left w:val="none" w:sz="0" w:space="0" w:color="auto"/>
            <w:bottom w:val="none" w:sz="0" w:space="0" w:color="auto"/>
            <w:right w:val="none" w:sz="0" w:space="0" w:color="auto"/>
          </w:divBdr>
        </w:div>
        <w:div w:id="1808467739">
          <w:marLeft w:val="0"/>
          <w:marRight w:val="0"/>
          <w:marTop w:val="0"/>
          <w:marBottom w:val="0"/>
          <w:divBdr>
            <w:top w:val="none" w:sz="0" w:space="0" w:color="auto"/>
            <w:left w:val="none" w:sz="0" w:space="0" w:color="auto"/>
            <w:bottom w:val="none" w:sz="0" w:space="0" w:color="auto"/>
            <w:right w:val="none" w:sz="0" w:space="0" w:color="auto"/>
          </w:divBdr>
        </w:div>
        <w:div w:id="780225135">
          <w:marLeft w:val="0"/>
          <w:marRight w:val="0"/>
          <w:marTop w:val="0"/>
          <w:marBottom w:val="0"/>
          <w:divBdr>
            <w:top w:val="none" w:sz="0" w:space="0" w:color="auto"/>
            <w:left w:val="none" w:sz="0" w:space="0" w:color="auto"/>
            <w:bottom w:val="none" w:sz="0" w:space="0" w:color="auto"/>
            <w:right w:val="none" w:sz="0" w:space="0" w:color="auto"/>
          </w:divBdr>
        </w:div>
        <w:div w:id="429737748">
          <w:marLeft w:val="0"/>
          <w:marRight w:val="0"/>
          <w:marTop w:val="0"/>
          <w:marBottom w:val="0"/>
          <w:divBdr>
            <w:top w:val="none" w:sz="0" w:space="0" w:color="auto"/>
            <w:left w:val="none" w:sz="0" w:space="0" w:color="auto"/>
            <w:bottom w:val="none" w:sz="0" w:space="0" w:color="auto"/>
            <w:right w:val="none" w:sz="0" w:space="0" w:color="auto"/>
          </w:divBdr>
        </w:div>
        <w:div w:id="1530146113">
          <w:marLeft w:val="0"/>
          <w:marRight w:val="0"/>
          <w:marTop w:val="0"/>
          <w:marBottom w:val="0"/>
          <w:divBdr>
            <w:top w:val="none" w:sz="0" w:space="0" w:color="auto"/>
            <w:left w:val="none" w:sz="0" w:space="0" w:color="auto"/>
            <w:bottom w:val="none" w:sz="0" w:space="0" w:color="auto"/>
            <w:right w:val="none" w:sz="0" w:space="0" w:color="auto"/>
          </w:divBdr>
        </w:div>
        <w:div w:id="467169199">
          <w:marLeft w:val="0"/>
          <w:marRight w:val="0"/>
          <w:marTop w:val="0"/>
          <w:marBottom w:val="0"/>
          <w:divBdr>
            <w:top w:val="none" w:sz="0" w:space="0" w:color="auto"/>
            <w:left w:val="none" w:sz="0" w:space="0" w:color="auto"/>
            <w:bottom w:val="none" w:sz="0" w:space="0" w:color="auto"/>
            <w:right w:val="none" w:sz="0" w:space="0" w:color="auto"/>
          </w:divBdr>
        </w:div>
      </w:divsChild>
    </w:div>
    <w:div w:id="1155682133">
      <w:bodyDiv w:val="1"/>
      <w:marLeft w:val="0"/>
      <w:marRight w:val="0"/>
      <w:marTop w:val="0"/>
      <w:marBottom w:val="0"/>
      <w:divBdr>
        <w:top w:val="none" w:sz="0" w:space="0" w:color="auto"/>
        <w:left w:val="none" w:sz="0" w:space="0" w:color="auto"/>
        <w:bottom w:val="none" w:sz="0" w:space="0" w:color="auto"/>
        <w:right w:val="none" w:sz="0" w:space="0" w:color="auto"/>
      </w:divBdr>
    </w:div>
    <w:div w:id="1156607607">
      <w:bodyDiv w:val="1"/>
      <w:marLeft w:val="0"/>
      <w:marRight w:val="0"/>
      <w:marTop w:val="0"/>
      <w:marBottom w:val="0"/>
      <w:divBdr>
        <w:top w:val="none" w:sz="0" w:space="0" w:color="auto"/>
        <w:left w:val="none" w:sz="0" w:space="0" w:color="auto"/>
        <w:bottom w:val="none" w:sz="0" w:space="0" w:color="auto"/>
        <w:right w:val="none" w:sz="0" w:space="0" w:color="auto"/>
      </w:divBdr>
    </w:div>
    <w:div w:id="1158813931">
      <w:bodyDiv w:val="1"/>
      <w:marLeft w:val="0"/>
      <w:marRight w:val="0"/>
      <w:marTop w:val="0"/>
      <w:marBottom w:val="0"/>
      <w:divBdr>
        <w:top w:val="none" w:sz="0" w:space="0" w:color="auto"/>
        <w:left w:val="none" w:sz="0" w:space="0" w:color="auto"/>
        <w:bottom w:val="none" w:sz="0" w:space="0" w:color="auto"/>
        <w:right w:val="none" w:sz="0" w:space="0" w:color="auto"/>
      </w:divBdr>
    </w:div>
    <w:div w:id="1164590524">
      <w:bodyDiv w:val="1"/>
      <w:marLeft w:val="0"/>
      <w:marRight w:val="0"/>
      <w:marTop w:val="0"/>
      <w:marBottom w:val="0"/>
      <w:divBdr>
        <w:top w:val="none" w:sz="0" w:space="0" w:color="auto"/>
        <w:left w:val="none" w:sz="0" w:space="0" w:color="auto"/>
        <w:bottom w:val="none" w:sz="0" w:space="0" w:color="auto"/>
        <w:right w:val="none" w:sz="0" w:space="0" w:color="auto"/>
      </w:divBdr>
    </w:div>
    <w:div w:id="1165054514">
      <w:bodyDiv w:val="1"/>
      <w:marLeft w:val="0"/>
      <w:marRight w:val="0"/>
      <w:marTop w:val="0"/>
      <w:marBottom w:val="0"/>
      <w:divBdr>
        <w:top w:val="none" w:sz="0" w:space="0" w:color="auto"/>
        <w:left w:val="none" w:sz="0" w:space="0" w:color="auto"/>
        <w:bottom w:val="none" w:sz="0" w:space="0" w:color="auto"/>
        <w:right w:val="none" w:sz="0" w:space="0" w:color="auto"/>
      </w:divBdr>
    </w:div>
    <w:div w:id="1168442331">
      <w:bodyDiv w:val="1"/>
      <w:marLeft w:val="0"/>
      <w:marRight w:val="0"/>
      <w:marTop w:val="0"/>
      <w:marBottom w:val="0"/>
      <w:divBdr>
        <w:top w:val="none" w:sz="0" w:space="0" w:color="auto"/>
        <w:left w:val="none" w:sz="0" w:space="0" w:color="auto"/>
        <w:bottom w:val="none" w:sz="0" w:space="0" w:color="auto"/>
        <w:right w:val="none" w:sz="0" w:space="0" w:color="auto"/>
      </w:divBdr>
    </w:div>
    <w:div w:id="1170563825">
      <w:bodyDiv w:val="1"/>
      <w:marLeft w:val="0"/>
      <w:marRight w:val="0"/>
      <w:marTop w:val="0"/>
      <w:marBottom w:val="0"/>
      <w:divBdr>
        <w:top w:val="none" w:sz="0" w:space="0" w:color="auto"/>
        <w:left w:val="none" w:sz="0" w:space="0" w:color="auto"/>
        <w:bottom w:val="none" w:sz="0" w:space="0" w:color="auto"/>
        <w:right w:val="none" w:sz="0" w:space="0" w:color="auto"/>
      </w:divBdr>
    </w:div>
    <w:div w:id="1174609209">
      <w:bodyDiv w:val="1"/>
      <w:marLeft w:val="0"/>
      <w:marRight w:val="0"/>
      <w:marTop w:val="0"/>
      <w:marBottom w:val="0"/>
      <w:divBdr>
        <w:top w:val="none" w:sz="0" w:space="0" w:color="auto"/>
        <w:left w:val="none" w:sz="0" w:space="0" w:color="auto"/>
        <w:bottom w:val="none" w:sz="0" w:space="0" w:color="auto"/>
        <w:right w:val="none" w:sz="0" w:space="0" w:color="auto"/>
      </w:divBdr>
    </w:div>
    <w:div w:id="1182163720">
      <w:bodyDiv w:val="1"/>
      <w:marLeft w:val="0"/>
      <w:marRight w:val="0"/>
      <w:marTop w:val="0"/>
      <w:marBottom w:val="0"/>
      <w:divBdr>
        <w:top w:val="none" w:sz="0" w:space="0" w:color="auto"/>
        <w:left w:val="none" w:sz="0" w:space="0" w:color="auto"/>
        <w:bottom w:val="none" w:sz="0" w:space="0" w:color="auto"/>
        <w:right w:val="none" w:sz="0" w:space="0" w:color="auto"/>
      </w:divBdr>
    </w:div>
    <w:div w:id="1182474760">
      <w:bodyDiv w:val="1"/>
      <w:marLeft w:val="0"/>
      <w:marRight w:val="0"/>
      <w:marTop w:val="0"/>
      <w:marBottom w:val="0"/>
      <w:divBdr>
        <w:top w:val="none" w:sz="0" w:space="0" w:color="auto"/>
        <w:left w:val="none" w:sz="0" w:space="0" w:color="auto"/>
        <w:bottom w:val="none" w:sz="0" w:space="0" w:color="auto"/>
        <w:right w:val="none" w:sz="0" w:space="0" w:color="auto"/>
      </w:divBdr>
    </w:div>
    <w:div w:id="1184369577">
      <w:bodyDiv w:val="1"/>
      <w:marLeft w:val="0"/>
      <w:marRight w:val="0"/>
      <w:marTop w:val="0"/>
      <w:marBottom w:val="0"/>
      <w:divBdr>
        <w:top w:val="none" w:sz="0" w:space="0" w:color="auto"/>
        <w:left w:val="none" w:sz="0" w:space="0" w:color="auto"/>
        <w:bottom w:val="none" w:sz="0" w:space="0" w:color="auto"/>
        <w:right w:val="none" w:sz="0" w:space="0" w:color="auto"/>
      </w:divBdr>
    </w:div>
    <w:div w:id="1186823194">
      <w:bodyDiv w:val="1"/>
      <w:marLeft w:val="0"/>
      <w:marRight w:val="0"/>
      <w:marTop w:val="0"/>
      <w:marBottom w:val="0"/>
      <w:divBdr>
        <w:top w:val="none" w:sz="0" w:space="0" w:color="auto"/>
        <w:left w:val="none" w:sz="0" w:space="0" w:color="auto"/>
        <w:bottom w:val="none" w:sz="0" w:space="0" w:color="auto"/>
        <w:right w:val="none" w:sz="0" w:space="0" w:color="auto"/>
      </w:divBdr>
    </w:div>
    <w:div w:id="1188375215">
      <w:bodyDiv w:val="1"/>
      <w:marLeft w:val="0"/>
      <w:marRight w:val="0"/>
      <w:marTop w:val="0"/>
      <w:marBottom w:val="0"/>
      <w:divBdr>
        <w:top w:val="none" w:sz="0" w:space="0" w:color="auto"/>
        <w:left w:val="none" w:sz="0" w:space="0" w:color="auto"/>
        <w:bottom w:val="none" w:sz="0" w:space="0" w:color="auto"/>
        <w:right w:val="none" w:sz="0" w:space="0" w:color="auto"/>
      </w:divBdr>
    </w:div>
    <w:div w:id="1189948251">
      <w:bodyDiv w:val="1"/>
      <w:marLeft w:val="0"/>
      <w:marRight w:val="0"/>
      <w:marTop w:val="0"/>
      <w:marBottom w:val="0"/>
      <w:divBdr>
        <w:top w:val="none" w:sz="0" w:space="0" w:color="auto"/>
        <w:left w:val="none" w:sz="0" w:space="0" w:color="auto"/>
        <w:bottom w:val="none" w:sz="0" w:space="0" w:color="auto"/>
        <w:right w:val="none" w:sz="0" w:space="0" w:color="auto"/>
      </w:divBdr>
    </w:div>
    <w:div w:id="1191531241">
      <w:bodyDiv w:val="1"/>
      <w:marLeft w:val="0"/>
      <w:marRight w:val="0"/>
      <w:marTop w:val="0"/>
      <w:marBottom w:val="0"/>
      <w:divBdr>
        <w:top w:val="none" w:sz="0" w:space="0" w:color="auto"/>
        <w:left w:val="none" w:sz="0" w:space="0" w:color="auto"/>
        <w:bottom w:val="none" w:sz="0" w:space="0" w:color="auto"/>
        <w:right w:val="none" w:sz="0" w:space="0" w:color="auto"/>
      </w:divBdr>
    </w:div>
    <w:div w:id="1192571851">
      <w:bodyDiv w:val="1"/>
      <w:marLeft w:val="0"/>
      <w:marRight w:val="0"/>
      <w:marTop w:val="0"/>
      <w:marBottom w:val="0"/>
      <w:divBdr>
        <w:top w:val="none" w:sz="0" w:space="0" w:color="auto"/>
        <w:left w:val="none" w:sz="0" w:space="0" w:color="auto"/>
        <w:bottom w:val="none" w:sz="0" w:space="0" w:color="auto"/>
        <w:right w:val="none" w:sz="0" w:space="0" w:color="auto"/>
      </w:divBdr>
      <w:divsChild>
        <w:div w:id="418252976">
          <w:marLeft w:val="0"/>
          <w:marRight w:val="0"/>
          <w:marTop w:val="0"/>
          <w:marBottom w:val="0"/>
          <w:divBdr>
            <w:top w:val="none" w:sz="0" w:space="0" w:color="auto"/>
            <w:left w:val="none" w:sz="0" w:space="0" w:color="auto"/>
            <w:bottom w:val="none" w:sz="0" w:space="0" w:color="auto"/>
            <w:right w:val="none" w:sz="0" w:space="0" w:color="auto"/>
          </w:divBdr>
        </w:div>
      </w:divsChild>
    </w:div>
    <w:div w:id="1193300954">
      <w:bodyDiv w:val="1"/>
      <w:marLeft w:val="0"/>
      <w:marRight w:val="0"/>
      <w:marTop w:val="0"/>
      <w:marBottom w:val="0"/>
      <w:divBdr>
        <w:top w:val="none" w:sz="0" w:space="0" w:color="auto"/>
        <w:left w:val="none" w:sz="0" w:space="0" w:color="auto"/>
        <w:bottom w:val="none" w:sz="0" w:space="0" w:color="auto"/>
        <w:right w:val="none" w:sz="0" w:space="0" w:color="auto"/>
      </w:divBdr>
    </w:div>
    <w:div w:id="1194270356">
      <w:bodyDiv w:val="1"/>
      <w:marLeft w:val="0"/>
      <w:marRight w:val="0"/>
      <w:marTop w:val="0"/>
      <w:marBottom w:val="0"/>
      <w:divBdr>
        <w:top w:val="none" w:sz="0" w:space="0" w:color="auto"/>
        <w:left w:val="none" w:sz="0" w:space="0" w:color="auto"/>
        <w:bottom w:val="none" w:sz="0" w:space="0" w:color="auto"/>
        <w:right w:val="none" w:sz="0" w:space="0" w:color="auto"/>
      </w:divBdr>
    </w:div>
    <w:div w:id="1194348225">
      <w:bodyDiv w:val="1"/>
      <w:marLeft w:val="0"/>
      <w:marRight w:val="0"/>
      <w:marTop w:val="0"/>
      <w:marBottom w:val="0"/>
      <w:divBdr>
        <w:top w:val="none" w:sz="0" w:space="0" w:color="auto"/>
        <w:left w:val="none" w:sz="0" w:space="0" w:color="auto"/>
        <w:bottom w:val="none" w:sz="0" w:space="0" w:color="auto"/>
        <w:right w:val="none" w:sz="0" w:space="0" w:color="auto"/>
      </w:divBdr>
    </w:div>
    <w:div w:id="1199197586">
      <w:bodyDiv w:val="1"/>
      <w:marLeft w:val="0"/>
      <w:marRight w:val="0"/>
      <w:marTop w:val="0"/>
      <w:marBottom w:val="0"/>
      <w:divBdr>
        <w:top w:val="none" w:sz="0" w:space="0" w:color="auto"/>
        <w:left w:val="none" w:sz="0" w:space="0" w:color="auto"/>
        <w:bottom w:val="none" w:sz="0" w:space="0" w:color="auto"/>
        <w:right w:val="none" w:sz="0" w:space="0" w:color="auto"/>
      </w:divBdr>
    </w:div>
    <w:div w:id="1204563013">
      <w:bodyDiv w:val="1"/>
      <w:marLeft w:val="0"/>
      <w:marRight w:val="0"/>
      <w:marTop w:val="0"/>
      <w:marBottom w:val="0"/>
      <w:divBdr>
        <w:top w:val="none" w:sz="0" w:space="0" w:color="auto"/>
        <w:left w:val="none" w:sz="0" w:space="0" w:color="auto"/>
        <w:bottom w:val="none" w:sz="0" w:space="0" w:color="auto"/>
        <w:right w:val="none" w:sz="0" w:space="0" w:color="auto"/>
      </w:divBdr>
    </w:div>
    <w:div w:id="1212301692">
      <w:bodyDiv w:val="1"/>
      <w:marLeft w:val="0"/>
      <w:marRight w:val="0"/>
      <w:marTop w:val="0"/>
      <w:marBottom w:val="0"/>
      <w:divBdr>
        <w:top w:val="none" w:sz="0" w:space="0" w:color="auto"/>
        <w:left w:val="none" w:sz="0" w:space="0" w:color="auto"/>
        <w:bottom w:val="none" w:sz="0" w:space="0" w:color="auto"/>
        <w:right w:val="none" w:sz="0" w:space="0" w:color="auto"/>
      </w:divBdr>
    </w:div>
    <w:div w:id="1214347845">
      <w:bodyDiv w:val="1"/>
      <w:marLeft w:val="0"/>
      <w:marRight w:val="0"/>
      <w:marTop w:val="0"/>
      <w:marBottom w:val="0"/>
      <w:divBdr>
        <w:top w:val="none" w:sz="0" w:space="0" w:color="auto"/>
        <w:left w:val="none" w:sz="0" w:space="0" w:color="auto"/>
        <w:bottom w:val="none" w:sz="0" w:space="0" w:color="auto"/>
        <w:right w:val="none" w:sz="0" w:space="0" w:color="auto"/>
      </w:divBdr>
    </w:div>
    <w:div w:id="1217548027">
      <w:bodyDiv w:val="1"/>
      <w:marLeft w:val="0"/>
      <w:marRight w:val="0"/>
      <w:marTop w:val="0"/>
      <w:marBottom w:val="0"/>
      <w:divBdr>
        <w:top w:val="none" w:sz="0" w:space="0" w:color="auto"/>
        <w:left w:val="none" w:sz="0" w:space="0" w:color="auto"/>
        <w:bottom w:val="none" w:sz="0" w:space="0" w:color="auto"/>
        <w:right w:val="none" w:sz="0" w:space="0" w:color="auto"/>
      </w:divBdr>
    </w:div>
    <w:div w:id="1217744024">
      <w:bodyDiv w:val="1"/>
      <w:marLeft w:val="0"/>
      <w:marRight w:val="0"/>
      <w:marTop w:val="0"/>
      <w:marBottom w:val="0"/>
      <w:divBdr>
        <w:top w:val="none" w:sz="0" w:space="0" w:color="auto"/>
        <w:left w:val="none" w:sz="0" w:space="0" w:color="auto"/>
        <w:bottom w:val="none" w:sz="0" w:space="0" w:color="auto"/>
        <w:right w:val="none" w:sz="0" w:space="0" w:color="auto"/>
      </w:divBdr>
    </w:div>
    <w:div w:id="1218468714">
      <w:bodyDiv w:val="1"/>
      <w:marLeft w:val="0"/>
      <w:marRight w:val="0"/>
      <w:marTop w:val="0"/>
      <w:marBottom w:val="0"/>
      <w:divBdr>
        <w:top w:val="none" w:sz="0" w:space="0" w:color="auto"/>
        <w:left w:val="none" w:sz="0" w:space="0" w:color="auto"/>
        <w:bottom w:val="none" w:sz="0" w:space="0" w:color="auto"/>
        <w:right w:val="none" w:sz="0" w:space="0" w:color="auto"/>
      </w:divBdr>
    </w:div>
    <w:div w:id="1220287147">
      <w:bodyDiv w:val="1"/>
      <w:marLeft w:val="0"/>
      <w:marRight w:val="0"/>
      <w:marTop w:val="0"/>
      <w:marBottom w:val="0"/>
      <w:divBdr>
        <w:top w:val="none" w:sz="0" w:space="0" w:color="auto"/>
        <w:left w:val="none" w:sz="0" w:space="0" w:color="auto"/>
        <w:bottom w:val="none" w:sz="0" w:space="0" w:color="auto"/>
        <w:right w:val="none" w:sz="0" w:space="0" w:color="auto"/>
      </w:divBdr>
    </w:div>
    <w:div w:id="1220635160">
      <w:bodyDiv w:val="1"/>
      <w:marLeft w:val="0"/>
      <w:marRight w:val="0"/>
      <w:marTop w:val="0"/>
      <w:marBottom w:val="0"/>
      <w:divBdr>
        <w:top w:val="none" w:sz="0" w:space="0" w:color="auto"/>
        <w:left w:val="none" w:sz="0" w:space="0" w:color="auto"/>
        <w:bottom w:val="none" w:sz="0" w:space="0" w:color="auto"/>
        <w:right w:val="none" w:sz="0" w:space="0" w:color="auto"/>
      </w:divBdr>
    </w:div>
    <w:div w:id="1222444340">
      <w:bodyDiv w:val="1"/>
      <w:marLeft w:val="0"/>
      <w:marRight w:val="0"/>
      <w:marTop w:val="0"/>
      <w:marBottom w:val="0"/>
      <w:divBdr>
        <w:top w:val="none" w:sz="0" w:space="0" w:color="auto"/>
        <w:left w:val="none" w:sz="0" w:space="0" w:color="auto"/>
        <w:bottom w:val="none" w:sz="0" w:space="0" w:color="auto"/>
        <w:right w:val="none" w:sz="0" w:space="0" w:color="auto"/>
      </w:divBdr>
    </w:div>
    <w:div w:id="1227833732">
      <w:bodyDiv w:val="1"/>
      <w:marLeft w:val="0"/>
      <w:marRight w:val="0"/>
      <w:marTop w:val="0"/>
      <w:marBottom w:val="0"/>
      <w:divBdr>
        <w:top w:val="none" w:sz="0" w:space="0" w:color="auto"/>
        <w:left w:val="none" w:sz="0" w:space="0" w:color="auto"/>
        <w:bottom w:val="none" w:sz="0" w:space="0" w:color="auto"/>
        <w:right w:val="none" w:sz="0" w:space="0" w:color="auto"/>
      </w:divBdr>
    </w:div>
    <w:div w:id="1234895574">
      <w:bodyDiv w:val="1"/>
      <w:marLeft w:val="0"/>
      <w:marRight w:val="0"/>
      <w:marTop w:val="0"/>
      <w:marBottom w:val="0"/>
      <w:divBdr>
        <w:top w:val="none" w:sz="0" w:space="0" w:color="auto"/>
        <w:left w:val="none" w:sz="0" w:space="0" w:color="auto"/>
        <w:bottom w:val="none" w:sz="0" w:space="0" w:color="auto"/>
        <w:right w:val="none" w:sz="0" w:space="0" w:color="auto"/>
      </w:divBdr>
    </w:div>
    <w:div w:id="1240020420">
      <w:bodyDiv w:val="1"/>
      <w:marLeft w:val="0"/>
      <w:marRight w:val="0"/>
      <w:marTop w:val="0"/>
      <w:marBottom w:val="0"/>
      <w:divBdr>
        <w:top w:val="none" w:sz="0" w:space="0" w:color="auto"/>
        <w:left w:val="none" w:sz="0" w:space="0" w:color="auto"/>
        <w:bottom w:val="none" w:sz="0" w:space="0" w:color="auto"/>
        <w:right w:val="none" w:sz="0" w:space="0" w:color="auto"/>
      </w:divBdr>
    </w:div>
    <w:div w:id="1243878386">
      <w:bodyDiv w:val="1"/>
      <w:marLeft w:val="0"/>
      <w:marRight w:val="0"/>
      <w:marTop w:val="0"/>
      <w:marBottom w:val="0"/>
      <w:divBdr>
        <w:top w:val="none" w:sz="0" w:space="0" w:color="auto"/>
        <w:left w:val="none" w:sz="0" w:space="0" w:color="auto"/>
        <w:bottom w:val="none" w:sz="0" w:space="0" w:color="auto"/>
        <w:right w:val="none" w:sz="0" w:space="0" w:color="auto"/>
      </w:divBdr>
    </w:div>
    <w:div w:id="1246691337">
      <w:bodyDiv w:val="1"/>
      <w:marLeft w:val="0"/>
      <w:marRight w:val="0"/>
      <w:marTop w:val="0"/>
      <w:marBottom w:val="0"/>
      <w:divBdr>
        <w:top w:val="none" w:sz="0" w:space="0" w:color="auto"/>
        <w:left w:val="none" w:sz="0" w:space="0" w:color="auto"/>
        <w:bottom w:val="none" w:sz="0" w:space="0" w:color="auto"/>
        <w:right w:val="none" w:sz="0" w:space="0" w:color="auto"/>
      </w:divBdr>
    </w:div>
    <w:div w:id="1248467098">
      <w:bodyDiv w:val="1"/>
      <w:marLeft w:val="0"/>
      <w:marRight w:val="0"/>
      <w:marTop w:val="0"/>
      <w:marBottom w:val="0"/>
      <w:divBdr>
        <w:top w:val="none" w:sz="0" w:space="0" w:color="auto"/>
        <w:left w:val="none" w:sz="0" w:space="0" w:color="auto"/>
        <w:bottom w:val="none" w:sz="0" w:space="0" w:color="auto"/>
        <w:right w:val="none" w:sz="0" w:space="0" w:color="auto"/>
      </w:divBdr>
    </w:div>
    <w:div w:id="1252471348">
      <w:bodyDiv w:val="1"/>
      <w:marLeft w:val="0"/>
      <w:marRight w:val="0"/>
      <w:marTop w:val="0"/>
      <w:marBottom w:val="0"/>
      <w:divBdr>
        <w:top w:val="none" w:sz="0" w:space="0" w:color="auto"/>
        <w:left w:val="none" w:sz="0" w:space="0" w:color="auto"/>
        <w:bottom w:val="none" w:sz="0" w:space="0" w:color="auto"/>
        <w:right w:val="none" w:sz="0" w:space="0" w:color="auto"/>
      </w:divBdr>
    </w:div>
    <w:div w:id="1257711609">
      <w:bodyDiv w:val="1"/>
      <w:marLeft w:val="0"/>
      <w:marRight w:val="0"/>
      <w:marTop w:val="0"/>
      <w:marBottom w:val="0"/>
      <w:divBdr>
        <w:top w:val="none" w:sz="0" w:space="0" w:color="auto"/>
        <w:left w:val="none" w:sz="0" w:space="0" w:color="auto"/>
        <w:bottom w:val="none" w:sz="0" w:space="0" w:color="auto"/>
        <w:right w:val="none" w:sz="0" w:space="0" w:color="auto"/>
      </w:divBdr>
    </w:div>
    <w:div w:id="1259947874">
      <w:bodyDiv w:val="1"/>
      <w:marLeft w:val="0"/>
      <w:marRight w:val="0"/>
      <w:marTop w:val="0"/>
      <w:marBottom w:val="0"/>
      <w:divBdr>
        <w:top w:val="none" w:sz="0" w:space="0" w:color="auto"/>
        <w:left w:val="none" w:sz="0" w:space="0" w:color="auto"/>
        <w:bottom w:val="none" w:sz="0" w:space="0" w:color="auto"/>
        <w:right w:val="none" w:sz="0" w:space="0" w:color="auto"/>
      </w:divBdr>
    </w:div>
    <w:div w:id="1260262235">
      <w:bodyDiv w:val="1"/>
      <w:marLeft w:val="0"/>
      <w:marRight w:val="0"/>
      <w:marTop w:val="0"/>
      <w:marBottom w:val="0"/>
      <w:divBdr>
        <w:top w:val="none" w:sz="0" w:space="0" w:color="auto"/>
        <w:left w:val="none" w:sz="0" w:space="0" w:color="auto"/>
        <w:bottom w:val="none" w:sz="0" w:space="0" w:color="auto"/>
        <w:right w:val="none" w:sz="0" w:space="0" w:color="auto"/>
      </w:divBdr>
    </w:div>
    <w:div w:id="1261912074">
      <w:bodyDiv w:val="1"/>
      <w:marLeft w:val="0"/>
      <w:marRight w:val="0"/>
      <w:marTop w:val="0"/>
      <w:marBottom w:val="0"/>
      <w:divBdr>
        <w:top w:val="none" w:sz="0" w:space="0" w:color="auto"/>
        <w:left w:val="none" w:sz="0" w:space="0" w:color="auto"/>
        <w:bottom w:val="none" w:sz="0" w:space="0" w:color="auto"/>
        <w:right w:val="none" w:sz="0" w:space="0" w:color="auto"/>
      </w:divBdr>
    </w:div>
    <w:div w:id="1263028404">
      <w:bodyDiv w:val="1"/>
      <w:marLeft w:val="0"/>
      <w:marRight w:val="0"/>
      <w:marTop w:val="0"/>
      <w:marBottom w:val="0"/>
      <w:divBdr>
        <w:top w:val="none" w:sz="0" w:space="0" w:color="auto"/>
        <w:left w:val="none" w:sz="0" w:space="0" w:color="auto"/>
        <w:bottom w:val="none" w:sz="0" w:space="0" w:color="auto"/>
        <w:right w:val="none" w:sz="0" w:space="0" w:color="auto"/>
      </w:divBdr>
    </w:div>
    <w:div w:id="1275283786">
      <w:bodyDiv w:val="1"/>
      <w:marLeft w:val="0"/>
      <w:marRight w:val="0"/>
      <w:marTop w:val="0"/>
      <w:marBottom w:val="0"/>
      <w:divBdr>
        <w:top w:val="none" w:sz="0" w:space="0" w:color="auto"/>
        <w:left w:val="none" w:sz="0" w:space="0" w:color="auto"/>
        <w:bottom w:val="none" w:sz="0" w:space="0" w:color="auto"/>
        <w:right w:val="none" w:sz="0" w:space="0" w:color="auto"/>
      </w:divBdr>
    </w:div>
    <w:div w:id="1278296562">
      <w:bodyDiv w:val="1"/>
      <w:marLeft w:val="0"/>
      <w:marRight w:val="0"/>
      <w:marTop w:val="0"/>
      <w:marBottom w:val="0"/>
      <w:divBdr>
        <w:top w:val="none" w:sz="0" w:space="0" w:color="auto"/>
        <w:left w:val="none" w:sz="0" w:space="0" w:color="auto"/>
        <w:bottom w:val="none" w:sz="0" w:space="0" w:color="auto"/>
        <w:right w:val="none" w:sz="0" w:space="0" w:color="auto"/>
      </w:divBdr>
    </w:div>
    <w:div w:id="1278487167">
      <w:bodyDiv w:val="1"/>
      <w:marLeft w:val="0"/>
      <w:marRight w:val="0"/>
      <w:marTop w:val="0"/>
      <w:marBottom w:val="0"/>
      <w:divBdr>
        <w:top w:val="none" w:sz="0" w:space="0" w:color="auto"/>
        <w:left w:val="none" w:sz="0" w:space="0" w:color="auto"/>
        <w:bottom w:val="none" w:sz="0" w:space="0" w:color="auto"/>
        <w:right w:val="none" w:sz="0" w:space="0" w:color="auto"/>
      </w:divBdr>
    </w:div>
    <w:div w:id="1278636390">
      <w:bodyDiv w:val="1"/>
      <w:marLeft w:val="0"/>
      <w:marRight w:val="0"/>
      <w:marTop w:val="0"/>
      <w:marBottom w:val="0"/>
      <w:divBdr>
        <w:top w:val="none" w:sz="0" w:space="0" w:color="auto"/>
        <w:left w:val="none" w:sz="0" w:space="0" w:color="auto"/>
        <w:bottom w:val="none" w:sz="0" w:space="0" w:color="auto"/>
        <w:right w:val="none" w:sz="0" w:space="0" w:color="auto"/>
      </w:divBdr>
    </w:div>
    <w:div w:id="1280574942">
      <w:bodyDiv w:val="1"/>
      <w:marLeft w:val="0"/>
      <w:marRight w:val="0"/>
      <w:marTop w:val="0"/>
      <w:marBottom w:val="0"/>
      <w:divBdr>
        <w:top w:val="none" w:sz="0" w:space="0" w:color="auto"/>
        <w:left w:val="none" w:sz="0" w:space="0" w:color="auto"/>
        <w:bottom w:val="none" w:sz="0" w:space="0" w:color="auto"/>
        <w:right w:val="none" w:sz="0" w:space="0" w:color="auto"/>
      </w:divBdr>
    </w:div>
    <w:div w:id="1282305037">
      <w:bodyDiv w:val="1"/>
      <w:marLeft w:val="0"/>
      <w:marRight w:val="0"/>
      <w:marTop w:val="0"/>
      <w:marBottom w:val="0"/>
      <w:divBdr>
        <w:top w:val="none" w:sz="0" w:space="0" w:color="auto"/>
        <w:left w:val="none" w:sz="0" w:space="0" w:color="auto"/>
        <w:bottom w:val="none" w:sz="0" w:space="0" w:color="auto"/>
        <w:right w:val="none" w:sz="0" w:space="0" w:color="auto"/>
      </w:divBdr>
    </w:div>
    <w:div w:id="1283267117">
      <w:bodyDiv w:val="1"/>
      <w:marLeft w:val="0"/>
      <w:marRight w:val="0"/>
      <w:marTop w:val="0"/>
      <w:marBottom w:val="0"/>
      <w:divBdr>
        <w:top w:val="none" w:sz="0" w:space="0" w:color="auto"/>
        <w:left w:val="none" w:sz="0" w:space="0" w:color="auto"/>
        <w:bottom w:val="none" w:sz="0" w:space="0" w:color="auto"/>
        <w:right w:val="none" w:sz="0" w:space="0" w:color="auto"/>
      </w:divBdr>
    </w:div>
    <w:div w:id="1284463824">
      <w:bodyDiv w:val="1"/>
      <w:marLeft w:val="0"/>
      <w:marRight w:val="0"/>
      <w:marTop w:val="0"/>
      <w:marBottom w:val="0"/>
      <w:divBdr>
        <w:top w:val="none" w:sz="0" w:space="0" w:color="auto"/>
        <w:left w:val="none" w:sz="0" w:space="0" w:color="auto"/>
        <w:bottom w:val="none" w:sz="0" w:space="0" w:color="auto"/>
        <w:right w:val="none" w:sz="0" w:space="0" w:color="auto"/>
      </w:divBdr>
    </w:div>
    <w:div w:id="1291396815">
      <w:bodyDiv w:val="1"/>
      <w:marLeft w:val="0"/>
      <w:marRight w:val="0"/>
      <w:marTop w:val="0"/>
      <w:marBottom w:val="0"/>
      <w:divBdr>
        <w:top w:val="none" w:sz="0" w:space="0" w:color="auto"/>
        <w:left w:val="none" w:sz="0" w:space="0" w:color="auto"/>
        <w:bottom w:val="none" w:sz="0" w:space="0" w:color="auto"/>
        <w:right w:val="none" w:sz="0" w:space="0" w:color="auto"/>
      </w:divBdr>
    </w:div>
    <w:div w:id="1293173490">
      <w:bodyDiv w:val="1"/>
      <w:marLeft w:val="0"/>
      <w:marRight w:val="0"/>
      <w:marTop w:val="0"/>
      <w:marBottom w:val="0"/>
      <w:divBdr>
        <w:top w:val="none" w:sz="0" w:space="0" w:color="auto"/>
        <w:left w:val="none" w:sz="0" w:space="0" w:color="auto"/>
        <w:bottom w:val="none" w:sz="0" w:space="0" w:color="auto"/>
        <w:right w:val="none" w:sz="0" w:space="0" w:color="auto"/>
      </w:divBdr>
    </w:div>
    <w:div w:id="1293562968">
      <w:bodyDiv w:val="1"/>
      <w:marLeft w:val="0"/>
      <w:marRight w:val="0"/>
      <w:marTop w:val="0"/>
      <w:marBottom w:val="0"/>
      <w:divBdr>
        <w:top w:val="none" w:sz="0" w:space="0" w:color="auto"/>
        <w:left w:val="none" w:sz="0" w:space="0" w:color="auto"/>
        <w:bottom w:val="none" w:sz="0" w:space="0" w:color="auto"/>
        <w:right w:val="none" w:sz="0" w:space="0" w:color="auto"/>
      </w:divBdr>
    </w:div>
    <w:div w:id="1295408154">
      <w:bodyDiv w:val="1"/>
      <w:marLeft w:val="0"/>
      <w:marRight w:val="0"/>
      <w:marTop w:val="0"/>
      <w:marBottom w:val="0"/>
      <w:divBdr>
        <w:top w:val="none" w:sz="0" w:space="0" w:color="auto"/>
        <w:left w:val="none" w:sz="0" w:space="0" w:color="auto"/>
        <w:bottom w:val="none" w:sz="0" w:space="0" w:color="auto"/>
        <w:right w:val="none" w:sz="0" w:space="0" w:color="auto"/>
      </w:divBdr>
    </w:div>
    <w:div w:id="1299187523">
      <w:bodyDiv w:val="1"/>
      <w:marLeft w:val="0"/>
      <w:marRight w:val="0"/>
      <w:marTop w:val="0"/>
      <w:marBottom w:val="0"/>
      <w:divBdr>
        <w:top w:val="none" w:sz="0" w:space="0" w:color="auto"/>
        <w:left w:val="none" w:sz="0" w:space="0" w:color="auto"/>
        <w:bottom w:val="none" w:sz="0" w:space="0" w:color="auto"/>
        <w:right w:val="none" w:sz="0" w:space="0" w:color="auto"/>
      </w:divBdr>
    </w:div>
    <w:div w:id="1301301470">
      <w:bodyDiv w:val="1"/>
      <w:marLeft w:val="0"/>
      <w:marRight w:val="0"/>
      <w:marTop w:val="0"/>
      <w:marBottom w:val="0"/>
      <w:divBdr>
        <w:top w:val="none" w:sz="0" w:space="0" w:color="auto"/>
        <w:left w:val="none" w:sz="0" w:space="0" w:color="auto"/>
        <w:bottom w:val="none" w:sz="0" w:space="0" w:color="auto"/>
        <w:right w:val="none" w:sz="0" w:space="0" w:color="auto"/>
      </w:divBdr>
    </w:div>
    <w:div w:id="1302348120">
      <w:bodyDiv w:val="1"/>
      <w:marLeft w:val="0"/>
      <w:marRight w:val="0"/>
      <w:marTop w:val="0"/>
      <w:marBottom w:val="0"/>
      <w:divBdr>
        <w:top w:val="none" w:sz="0" w:space="0" w:color="auto"/>
        <w:left w:val="none" w:sz="0" w:space="0" w:color="auto"/>
        <w:bottom w:val="none" w:sz="0" w:space="0" w:color="auto"/>
        <w:right w:val="none" w:sz="0" w:space="0" w:color="auto"/>
      </w:divBdr>
    </w:div>
    <w:div w:id="1304890219">
      <w:bodyDiv w:val="1"/>
      <w:marLeft w:val="0"/>
      <w:marRight w:val="0"/>
      <w:marTop w:val="0"/>
      <w:marBottom w:val="0"/>
      <w:divBdr>
        <w:top w:val="none" w:sz="0" w:space="0" w:color="auto"/>
        <w:left w:val="none" w:sz="0" w:space="0" w:color="auto"/>
        <w:bottom w:val="none" w:sz="0" w:space="0" w:color="auto"/>
        <w:right w:val="none" w:sz="0" w:space="0" w:color="auto"/>
      </w:divBdr>
    </w:div>
    <w:div w:id="1308630886">
      <w:bodyDiv w:val="1"/>
      <w:marLeft w:val="0"/>
      <w:marRight w:val="0"/>
      <w:marTop w:val="0"/>
      <w:marBottom w:val="0"/>
      <w:divBdr>
        <w:top w:val="none" w:sz="0" w:space="0" w:color="auto"/>
        <w:left w:val="none" w:sz="0" w:space="0" w:color="auto"/>
        <w:bottom w:val="none" w:sz="0" w:space="0" w:color="auto"/>
        <w:right w:val="none" w:sz="0" w:space="0" w:color="auto"/>
      </w:divBdr>
    </w:div>
    <w:div w:id="1312708501">
      <w:bodyDiv w:val="1"/>
      <w:marLeft w:val="0"/>
      <w:marRight w:val="0"/>
      <w:marTop w:val="0"/>
      <w:marBottom w:val="0"/>
      <w:divBdr>
        <w:top w:val="none" w:sz="0" w:space="0" w:color="auto"/>
        <w:left w:val="none" w:sz="0" w:space="0" w:color="auto"/>
        <w:bottom w:val="none" w:sz="0" w:space="0" w:color="auto"/>
        <w:right w:val="none" w:sz="0" w:space="0" w:color="auto"/>
      </w:divBdr>
    </w:div>
    <w:div w:id="1315648119">
      <w:bodyDiv w:val="1"/>
      <w:marLeft w:val="0"/>
      <w:marRight w:val="0"/>
      <w:marTop w:val="0"/>
      <w:marBottom w:val="0"/>
      <w:divBdr>
        <w:top w:val="none" w:sz="0" w:space="0" w:color="auto"/>
        <w:left w:val="none" w:sz="0" w:space="0" w:color="auto"/>
        <w:bottom w:val="none" w:sz="0" w:space="0" w:color="auto"/>
        <w:right w:val="none" w:sz="0" w:space="0" w:color="auto"/>
      </w:divBdr>
    </w:div>
    <w:div w:id="1315836325">
      <w:bodyDiv w:val="1"/>
      <w:marLeft w:val="0"/>
      <w:marRight w:val="0"/>
      <w:marTop w:val="0"/>
      <w:marBottom w:val="0"/>
      <w:divBdr>
        <w:top w:val="none" w:sz="0" w:space="0" w:color="auto"/>
        <w:left w:val="none" w:sz="0" w:space="0" w:color="auto"/>
        <w:bottom w:val="none" w:sz="0" w:space="0" w:color="auto"/>
        <w:right w:val="none" w:sz="0" w:space="0" w:color="auto"/>
      </w:divBdr>
    </w:div>
    <w:div w:id="1321542377">
      <w:bodyDiv w:val="1"/>
      <w:marLeft w:val="0"/>
      <w:marRight w:val="0"/>
      <w:marTop w:val="0"/>
      <w:marBottom w:val="0"/>
      <w:divBdr>
        <w:top w:val="none" w:sz="0" w:space="0" w:color="auto"/>
        <w:left w:val="none" w:sz="0" w:space="0" w:color="auto"/>
        <w:bottom w:val="none" w:sz="0" w:space="0" w:color="auto"/>
        <w:right w:val="none" w:sz="0" w:space="0" w:color="auto"/>
      </w:divBdr>
    </w:div>
    <w:div w:id="1321805828">
      <w:bodyDiv w:val="1"/>
      <w:marLeft w:val="0"/>
      <w:marRight w:val="0"/>
      <w:marTop w:val="0"/>
      <w:marBottom w:val="0"/>
      <w:divBdr>
        <w:top w:val="none" w:sz="0" w:space="0" w:color="auto"/>
        <w:left w:val="none" w:sz="0" w:space="0" w:color="auto"/>
        <w:bottom w:val="none" w:sz="0" w:space="0" w:color="auto"/>
        <w:right w:val="none" w:sz="0" w:space="0" w:color="auto"/>
      </w:divBdr>
    </w:div>
    <w:div w:id="1325011202">
      <w:bodyDiv w:val="1"/>
      <w:marLeft w:val="0"/>
      <w:marRight w:val="0"/>
      <w:marTop w:val="0"/>
      <w:marBottom w:val="0"/>
      <w:divBdr>
        <w:top w:val="none" w:sz="0" w:space="0" w:color="auto"/>
        <w:left w:val="none" w:sz="0" w:space="0" w:color="auto"/>
        <w:bottom w:val="none" w:sz="0" w:space="0" w:color="auto"/>
        <w:right w:val="none" w:sz="0" w:space="0" w:color="auto"/>
      </w:divBdr>
    </w:div>
    <w:div w:id="1326402269">
      <w:bodyDiv w:val="1"/>
      <w:marLeft w:val="0"/>
      <w:marRight w:val="0"/>
      <w:marTop w:val="0"/>
      <w:marBottom w:val="0"/>
      <w:divBdr>
        <w:top w:val="none" w:sz="0" w:space="0" w:color="auto"/>
        <w:left w:val="none" w:sz="0" w:space="0" w:color="auto"/>
        <w:bottom w:val="none" w:sz="0" w:space="0" w:color="auto"/>
        <w:right w:val="none" w:sz="0" w:space="0" w:color="auto"/>
      </w:divBdr>
    </w:div>
    <w:div w:id="1327972620">
      <w:bodyDiv w:val="1"/>
      <w:marLeft w:val="0"/>
      <w:marRight w:val="0"/>
      <w:marTop w:val="0"/>
      <w:marBottom w:val="0"/>
      <w:divBdr>
        <w:top w:val="none" w:sz="0" w:space="0" w:color="auto"/>
        <w:left w:val="none" w:sz="0" w:space="0" w:color="auto"/>
        <w:bottom w:val="none" w:sz="0" w:space="0" w:color="auto"/>
        <w:right w:val="none" w:sz="0" w:space="0" w:color="auto"/>
      </w:divBdr>
    </w:div>
    <w:div w:id="1331760012">
      <w:bodyDiv w:val="1"/>
      <w:marLeft w:val="0"/>
      <w:marRight w:val="0"/>
      <w:marTop w:val="0"/>
      <w:marBottom w:val="0"/>
      <w:divBdr>
        <w:top w:val="none" w:sz="0" w:space="0" w:color="auto"/>
        <w:left w:val="none" w:sz="0" w:space="0" w:color="auto"/>
        <w:bottom w:val="none" w:sz="0" w:space="0" w:color="auto"/>
        <w:right w:val="none" w:sz="0" w:space="0" w:color="auto"/>
      </w:divBdr>
    </w:div>
    <w:div w:id="1337147943">
      <w:bodyDiv w:val="1"/>
      <w:marLeft w:val="0"/>
      <w:marRight w:val="0"/>
      <w:marTop w:val="0"/>
      <w:marBottom w:val="0"/>
      <w:divBdr>
        <w:top w:val="none" w:sz="0" w:space="0" w:color="auto"/>
        <w:left w:val="none" w:sz="0" w:space="0" w:color="auto"/>
        <w:bottom w:val="none" w:sz="0" w:space="0" w:color="auto"/>
        <w:right w:val="none" w:sz="0" w:space="0" w:color="auto"/>
      </w:divBdr>
    </w:div>
    <w:div w:id="1341199824">
      <w:bodyDiv w:val="1"/>
      <w:marLeft w:val="0"/>
      <w:marRight w:val="0"/>
      <w:marTop w:val="0"/>
      <w:marBottom w:val="0"/>
      <w:divBdr>
        <w:top w:val="none" w:sz="0" w:space="0" w:color="auto"/>
        <w:left w:val="none" w:sz="0" w:space="0" w:color="auto"/>
        <w:bottom w:val="none" w:sz="0" w:space="0" w:color="auto"/>
        <w:right w:val="none" w:sz="0" w:space="0" w:color="auto"/>
      </w:divBdr>
    </w:div>
    <w:div w:id="1348480185">
      <w:bodyDiv w:val="1"/>
      <w:marLeft w:val="0"/>
      <w:marRight w:val="0"/>
      <w:marTop w:val="0"/>
      <w:marBottom w:val="0"/>
      <w:divBdr>
        <w:top w:val="none" w:sz="0" w:space="0" w:color="auto"/>
        <w:left w:val="none" w:sz="0" w:space="0" w:color="auto"/>
        <w:bottom w:val="none" w:sz="0" w:space="0" w:color="auto"/>
        <w:right w:val="none" w:sz="0" w:space="0" w:color="auto"/>
      </w:divBdr>
    </w:div>
    <w:div w:id="1356806228">
      <w:bodyDiv w:val="1"/>
      <w:marLeft w:val="0"/>
      <w:marRight w:val="0"/>
      <w:marTop w:val="0"/>
      <w:marBottom w:val="0"/>
      <w:divBdr>
        <w:top w:val="none" w:sz="0" w:space="0" w:color="auto"/>
        <w:left w:val="none" w:sz="0" w:space="0" w:color="auto"/>
        <w:bottom w:val="none" w:sz="0" w:space="0" w:color="auto"/>
        <w:right w:val="none" w:sz="0" w:space="0" w:color="auto"/>
      </w:divBdr>
    </w:div>
    <w:div w:id="1359043258">
      <w:bodyDiv w:val="1"/>
      <w:marLeft w:val="0"/>
      <w:marRight w:val="0"/>
      <w:marTop w:val="0"/>
      <w:marBottom w:val="0"/>
      <w:divBdr>
        <w:top w:val="none" w:sz="0" w:space="0" w:color="auto"/>
        <w:left w:val="none" w:sz="0" w:space="0" w:color="auto"/>
        <w:bottom w:val="none" w:sz="0" w:space="0" w:color="auto"/>
        <w:right w:val="none" w:sz="0" w:space="0" w:color="auto"/>
      </w:divBdr>
    </w:div>
    <w:div w:id="1364094628">
      <w:bodyDiv w:val="1"/>
      <w:marLeft w:val="0"/>
      <w:marRight w:val="0"/>
      <w:marTop w:val="0"/>
      <w:marBottom w:val="0"/>
      <w:divBdr>
        <w:top w:val="none" w:sz="0" w:space="0" w:color="auto"/>
        <w:left w:val="none" w:sz="0" w:space="0" w:color="auto"/>
        <w:bottom w:val="none" w:sz="0" w:space="0" w:color="auto"/>
        <w:right w:val="none" w:sz="0" w:space="0" w:color="auto"/>
      </w:divBdr>
    </w:div>
    <w:div w:id="1366561692">
      <w:bodyDiv w:val="1"/>
      <w:marLeft w:val="0"/>
      <w:marRight w:val="0"/>
      <w:marTop w:val="0"/>
      <w:marBottom w:val="0"/>
      <w:divBdr>
        <w:top w:val="none" w:sz="0" w:space="0" w:color="auto"/>
        <w:left w:val="none" w:sz="0" w:space="0" w:color="auto"/>
        <w:bottom w:val="none" w:sz="0" w:space="0" w:color="auto"/>
        <w:right w:val="none" w:sz="0" w:space="0" w:color="auto"/>
      </w:divBdr>
    </w:div>
    <w:div w:id="1367636315">
      <w:bodyDiv w:val="1"/>
      <w:marLeft w:val="0"/>
      <w:marRight w:val="0"/>
      <w:marTop w:val="0"/>
      <w:marBottom w:val="0"/>
      <w:divBdr>
        <w:top w:val="none" w:sz="0" w:space="0" w:color="auto"/>
        <w:left w:val="none" w:sz="0" w:space="0" w:color="auto"/>
        <w:bottom w:val="none" w:sz="0" w:space="0" w:color="auto"/>
        <w:right w:val="none" w:sz="0" w:space="0" w:color="auto"/>
      </w:divBdr>
    </w:div>
    <w:div w:id="1368677126">
      <w:bodyDiv w:val="1"/>
      <w:marLeft w:val="0"/>
      <w:marRight w:val="0"/>
      <w:marTop w:val="0"/>
      <w:marBottom w:val="0"/>
      <w:divBdr>
        <w:top w:val="none" w:sz="0" w:space="0" w:color="auto"/>
        <w:left w:val="none" w:sz="0" w:space="0" w:color="auto"/>
        <w:bottom w:val="none" w:sz="0" w:space="0" w:color="auto"/>
        <w:right w:val="none" w:sz="0" w:space="0" w:color="auto"/>
      </w:divBdr>
    </w:div>
    <w:div w:id="1374034137">
      <w:bodyDiv w:val="1"/>
      <w:marLeft w:val="0"/>
      <w:marRight w:val="0"/>
      <w:marTop w:val="0"/>
      <w:marBottom w:val="0"/>
      <w:divBdr>
        <w:top w:val="none" w:sz="0" w:space="0" w:color="auto"/>
        <w:left w:val="none" w:sz="0" w:space="0" w:color="auto"/>
        <w:bottom w:val="none" w:sz="0" w:space="0" w:color="auto"/>
        <w:right w:val="none" w:sz="0" w:space="0" w:color="auto"/>
      </w:divBdr>
    </w:div>
    <w:div w:id="1375737071">
      <w:bodyDiv w:val="1"/>
      <w:marLeft w:val="0"/>
      <w:marRight w:val="0"/>
      <w:marTop w:val="0"/>
      <w:marBottom w:val="0"/>
      <w:divBdr>
        <w:top w:val="none" w:sz="0" w:space="0" w:color="auto"/>
        <w:left w:val="none" w:sz="0" w:space="0" w:color="auto"/>
        <w:bottom w:val="none" w:sz="0" w:space="0" w:color="auto"/>
        <w:right w:val="none" w:sz="0" w:space="0" w:color="auto"/>
      </w:divBdr>
    </w:div>
    <w:div w:id="1375931981">
      <w:bodyDiv w:val="1"/>
      <w:marLeft w:val="0"/>
      <w:marRight w:val="0"/>
      <w:marTop w:val="0"/>
      <w:marBottom w:val="0"/>
      <w:divBdr>
        <w:top w:val="none" w:sz="0" w:space="0" w:color="auto"/>
        <w:left w:val="none" w:sz="0" w:space="0" w:color="auto"/>
        <w:bottom w:val="none" w:sz="0" w:space="0" w:color="auto"/>
        <w:right w:val="none" w:sz="0" w:space="0" w:color="auto"/>
      </w:divBdr>
    </w:div>
    <w:div w:id="1377774293">
      <w:bodyDiv w:val="1"/>
      <w:marLeft w:val="0"/>
      <w:marRight w:val="0"/>
      <w:marTop w:val="0"/>
      <w:marBottom w:val="0"/>
      <w:divBdr>
        <w:top w:val="none" w:sz="0" w:space="0" w:color="auto"/>
        <w:left w:val="none" w:sz="0" w:space="0" w:color="auto"/>
        <w:bottom w:val="none" w:sz="0" w:space="0" w:color="auto"/>
        <w:right w:val="none" w:sz="0" w:space="0" w:color="auto"/>
      </w:divBdr>
    </w:div>
    <w:div w:id="1383939140">
      <w:bodyDiv w:val="1"/>
      <w:marLeft w:val="0"/>
      <w:marRight w:val="0"/>
      <w:marTop w:val="0"/>
      <w:marBottom w:val="0"/>
      <w:divBdr>
        <w:top w:val="none" w:sz="0" w:space="0" w:color="auto"/>
        <w:left w:val="none" w:sz="0" w:space="0" w:color="auto"/>
        <w:bottom w:val="none" w:sz="0" w:space="0" w:color="auto"/>
        <w:right w:val="none" w:sz="0" w:space="0" w:color="auto"/>
      </w:divBdr>
    </w:div>
    <w:div w:id="1385644281">
      <w:bodyDiv w:val="1"/>
      <w:marLeft w:val="0"/>
      <w:marRight w:val="0"/>
      <w:marTop w:val="0"/>
      <w:marBottom w:val="0"/>
      <w:divBdr>
        <w:top w:val="none" w:sz="0" w:space="0" w:color="auto"/>
        <w:left w:val="none" w:sz="0" w:space="0" w:color="auto"/>
        <w:bottom w:val="none" w:sz="0" w:space="0" w:color="auto"/>
        <w:right w:val="none" w:sz="0" w:space="0" w:color="auto"/>
      </w:divBdr>
    </w:div>
    <w:div w:id="1387338096">
      <w:bodyDiv w:val="1"/>
      <w:marLeft w:val="0"/>
      <w:marRight w:val="0"/>
      <w:marTop w:val="0"/>
      <w:marBottom w:val="0"/>
      <w:divBdr>
        <w:top w:val="none" w:sz="0" w:space="0" w:color="auto"/>
        <w:left w:val="none" w:sz="0" w:space="0" w:color="auto"/>
        <w:bottom w:val="none" w:sz="0" w:space="0" w:color="auto"/>
        <w:right w:val="none" w:sz="0" w:space="0" w:color="auto"/>
      </w:divBdr>
    </w:div>
    <w:div w:id="1389526002">
      <w:bodyDiv w:val="1"/>
      <w:marLeft w:val="0"/>
      <w:marRight w:val="0"/>
      <w:marTop w:val="0"/>
      <w:marBottom w:val="0"/>
      <w:divBdr>
        <w:top w:val="none" w:sz="0" w:space="0" w:color="auto"/>
        <w:left w:val="none" w:sz="0" w:space="0" w:color="auto"/>
        <w:bottom w:val="none" w:sz="0" w:space="0" w:color="auto"/>
        <w:right w:val="none" w:sz="0" w:space="0" w:color="auto"/>
      </w:divBdr>
    </w:div>
    <w:div w:id="1394432408">
      <w:bodyDiv w:val="1"/>
      <w:marLeft w:val="0"/>
      <w:marRight w:val="0"/>
      <w:marTop w:val="0"/>
      <w:marBottom w:val="0"/>
      <w:divBdr>
        <w:top w:val="none" w:sz="0" w:space="0" w:color="auto"/>
        <w:left w:val="none" w:sz="0" w:space="0" w:color="auto"/>
        <w:bottom w:val="none" w:sz="0" w:space="0" w:color="auto"/>
        <w:right w:val="none" w:sz="0" w:space="0" w:color="auto"/>
      </w:divBdr>
    </w:div>
    <w:div w:id="1396784545">
      <w:bodyDiv w:val="1"/>
      <w:marLeft w:val="0"/>
      <w:marRight w:val="0"/>
      <w:marTop w:val="0"/>
      <w:marBottom w:val="0"/>
      <w:divBdr>
        <w:top w:val="none" w:sz="0" w:space="0" w:color="auto"/>
        <w:left w:val="none" w:sz="0" w:space="0" w:color="auto"/>
        <w:bottom w:val="none" w:sz="0" w:space="0" w:color="auto"/>
        <w:right w:val="none" w:sz="0" w:space="0" w:color="auto"/>
      </w:divBdr>
    </w:div>
    <w:div w:id="1398749032">
      <w:bodyDiv w:val="1"/>
      <w:marLeft w:val="0"/>
      <w:marRight w:val="0"/>
      <w:marTop w:val="0"/>
      <w:marBottom w:val="0"/>
      <w:divBdr>
        <w:top w:val="none" w:sz="0" w:space="0" w:color="auto"/>
        <w:left w:val="none" w:sz="0" w:space="0" w:color="auto"/>
        <w:bottom w:val="none" w:sz="0" w:space="0" w:color="auto"/>
        <w:right w:val="none" w:sz="0" w:space="0" w:color="auto"/>
      </w:divBdr>
    </w:div>
    <w:div w:id="1403404713">
      <w:bodyDiv w:val="1"/>
      <w:marLeft w:val="0"/>
      <w:marRight w:val="0"/>
      <w:marTop w:val="0"/>
      <w:marBottom w:val="0"/>
      <w:divBdr>
        <w:top w:val="none" w:sz="0" w:space="0" w:color="auto"/>
        <w:left w:val="none" w:sz="0" w:space="0" w:color="auto"/>
        <w:bottom w:val="none" w:sz="0" w:space="0" w:color="auto"/>
        <w:right w:val="none" w:sz="0" w:space="0" w:color="auto"/>
      </w:divBdr>
      <w:divsChild>
        <w:div w:id="348727737">
          <w:marLeft w:val="0"/>
          <w:marRight w:val="0"/>
          <w:marTop w:val="0"/>
          <w:marBottom w:val="0"/>
          <w:divBdr>
            <w:top w:val="none" w:sz="0" w:space="0" w:color="auto"/>
            <w:left w:val="none" w:sz="0" w:space="0" w:color="auto"/>
            <w:bottom w:val="none" w:sz="0" w:space="0" w:color="auto"/>
            <w:right w:val="none" w:sz="0" w:space="0" w:color="auto"/>
          </w:divBdr>
        </w:div>
        <w:div w:id="633875133">
          <w:marLeft w:val="0"/>
          <w:marRight w:val="0"/>
          <w:marTop w:val="0"/>
          <w:marBottom w:val="0"/>
          <w:divBdr>
            <w:top w:val="none" w:sz="0" w:space="0" w:color="auto"/>
            <w:left w:val="none" w:sz="0" w:space="0" w:color="auto"/>
            <w:bottom w:val="none" w:sz="0" w:space="0" w:color="auto"/>
            <w:right w:val="none" w:sz="0" w:space="0" w:color="auto"/>
          </w:divBdr>
        </w:div>
        <w:div w:id="697123293">
          <w:marLeft w:val="0"/>
          <w:marRight w:val="0"/>
          <w:marTop w:val="0"/>
          <w:marBottom w:val="0"/>
          <w:divBdr>
            <w:top w:val="none" w:sz="0" w:space="0" w:color="auto"/>
            <w:left w:val="none" w:sz="0" w:space="0" w:color="auto"/>
            <w:bottom w:val="none" w:sz="0" w:space="0" w:color="auto"/>
            <w:right w:val="none" w:sz="0" w:space="0" w:color="auto"/>
          </w:divBdr>
        </w:div>
        <w:div w:id="1394541870">
          <w:marLeft w:val="0"/>
          <w:marRight w:val="0"/>
          <w:marTop w:val="0"/>
          <w:marBottom w:val="0"/>
          <w:divBdr>
            <w:top w:val="none" w:sz="0" w:space="0" w:color="auto"/>
            <w:left w:val="none" w:sz="0" w:space="0" w:color="auto"/>
            <w:bottom w:val="none" w:sz="0" w:space="0" w:color="auto"/>
            <w:right w:val="none" w:sz="0" w:space="0" w:color="auto"/>
          </w:divBdr>
        </w:div>
        <w:div w:id="961299774">
          <w:marLeft w:val="0"/>
          <w:marRight w:val="0"/>
          <w:marTop w:val="0"/>
          <w:marBottom w:val="0"/>
          <w:divBdr>
            <w:top w:val="none" w:sz="0" w:space="0" w:color="auto"/>
            <w:left w:val="none" w:sz="0" w:space="0" w:color="auto"/>
            <w:bottom w:val="none" w:sz="0" w:space="0" w:color="auto"/>
            <w:right w:val="none" w:sz="0" w:space="0" w:color="auto"/>
          </w:divBdr>
        </w:div>
        <w:div w:id="3174887">
          <w:marLeft w:val="0"/>
          <w:marRight w:val="0"/>
          <w:marTop w:val="0"/>
          <w:marBottom w:val="0"/>
          <w:divBdr>
            <w:top w:val="none" w:sz="0" w:space="0" w:color="auto"/>
            <w:left w:val="none" w:sz="0" w:space="0" w:color="auto"/>
            <w:bottom w:val="none" w:sz="0" w:space="0" w:color="auto"/>
            <w:right w:val="none" w:sz="0" w:space="0" w:color="auto"/>
          </w:divBdr>
        </w:div>
        <w:div w:id="1418408407">
          <w:marLeft w:val="0"/>
          <w:marRight w:val="0"/>
          <w:marTop w:val="0"/>
          <w:marBottom w:val="0"/>
          <w:divBdr>
            <w:top w:val="none" w:sz="0" w:space="0" w:color="auto"/>
            <w:left w:val="none" w:sz="0" w:space="0" w:color="auto"/>
            <w:bottom w:val="none" w:sz="0" w:space="0" w:color="auto"/>
            <w:right w:val="none" w:sz="0" w:space="0" w:color="auto"/>
          </w:divBdr>
        </w:div>
        <w:div w:id="573516118">
          <w:marLeft w:val="0"/>
          <w:marRight w:val="0"/>
          <w:marTop w:val="0"/>
          <w:marBottom w:val="0"/>
          <w:divBdr>
            <w:top w:val="none" w:sz="0" w:space="0" w:color="auto"/>
            <w:left w:val="none" w:sz="0" w:space="0" w:color="auto"/>
            <w:bottom w:val="none" w:sz="0" w:space="0" w:color="auto"/>
            <w:right w:val="none" w:sz="0" w:space="0" w:color="auto"/>
          </w:divBdr>
        </w:div>
      </w:divsChild>
    </w:div>
    <w:div w:id="1404328211">
      <w:bodyDiv w:val="1"/>
      <w:marLeft w:val="0"/>
      <w:marRight w:val="0"/>
      <w:marTop w:val="0"/>
      <w:marBottom w:val="0"/>
      <w:divBdr>
        <w:top w:val="none" w:sz="0" w:space="0" w:color="auto"/>
        <w:left w:val="none" w:sz="0" w:space="0" w:color="auto"/>
        <w:bottom w:val="none" w:sz="0" w:space="0" w:color="auto"/>
        <w:right w:val="none" w:sz="0" w:space="0" w:color="auto"/>
      </w:divBdr>
    </w:div>
    <w:div w:id="1405180954">
      <w:bodyDiv w:val="1"/>
      <w:marLeft w:val="0"/>
      <w:marRight w:val="0"/>
      <w:marTop w:val="0"/>
      <w:marBottom w:val="0"/>
      <w:divBdr>
        <w:top w:val="none" w:sz="0" w:space="0" w:color="auto"/>
        <w:left w:val="none" w:sz="0" w:space="0" w:color="auto"/>
        <w:bottom w:val="none" w:sz="0" w:space="0" w:color="auto"/>
        <w:right w:val="none" w:sz="0" w:space="0" w:color="auto"/>
      </w:divBdr>
    </w:div>
    <w:div w:id="1410153417">
      <w:bodyDiv w:val="1"/>
      <w:marLeft w:val="0"/>
      <w:marRight w:val="0"/>
      <w:marTop w:val="0"/>
      <w:marBottom w:val="0"/>
      <w:divBdr>
        <w:top w:val="none" w:sz="0" w:space="0" w:color="auto"/>
        <w:left w:val="none" w:sz="0" w:space="0" w:color="auto"/>
        <w:bottom w:val="none" w:sz="0" w:space="0" w:color="auto"/>
        <w:right w:val="none" w:sz="0" w:space="0" w:color="auto"/>
      </w:divBdr>
    </w:div>
    <w:div w:id="1426802518">
      <w:bodyDiv w:val="1"/>
      <w:marLeft w:val="0"/>
      <w:marRight w:val="0"/>
      <w:marTop w:val="0"/>
      <w:marBottom w:val="0"/>
      <w:divBdr>
        <w:top w:val="none" w:sz="0" w:space="0" w:color="auto"/>
        <w:left w:val="none" w:sz="0" w:space="0" w:color="auto"/>
        <w:bottom w:val="none" w:sz="0" w:space="0" w:color="auto"/>
        <w:right w:val="none" w:sz="0" w:space="0" w:color="auto"/>
      </w:divBdr>
    </w:div>
    <w:div w:id="1426875865">
      <w:bodyDiv w:val="1"/>
      <w:marLeft w:val="0"/>
      <w:marRight w:val="0"/>
      <w:marTop w:val="0"/>
      <w:marBottom w:val="0"/>
      <w:divBdr>
        <w:top w:val="none" w:sz="0" w:space="0" w:color="auto"/>
        <w:left w:val="none" w:sz="0" w:space="0" w:color="auto"/>
        <w:bottom w:val="none" w:sz="0" w:space="0" w:color="auto"/>
        <w:right w:val="none" w:sz="0" w:space="0" w:color="auto"/>
      </w:divBdr>
    </w:div>
    <w:div w:id="1428767636">
      <w:bodyDiv w:val="1"/>
      <w:marLeft w:val="0"/>
      <w:marRight w:val="0"/>
      <w:marTop w:val="0"/>
      <w:marBottom w:val="0"/>
      <w:divBdr>
        <w:top w:val="none" w:sz="0" w:space="0" w:color="auto"/>
        <w:left w:val="none" w:sz="0" w:space="0" w:color="auto"/>
        <w:bottom w:val="none" w:sz="0" w:space="0" w:color="auto"/>
        <w:right w:val="none" w:sz="0" w:space="0" w:color="auto"/>
      </w:divBdr>
      <w:divsChild>
        <w:div w:id="1653368994">
          <w:marLeft w:val="0"/>
          <w:marRight w:val="0"/>
          <w:marTop w:val="0"/>
          <w:marBottom w:val="0"/>
          <w:divBdr>
            <w:top w:val="none" w:sz="0" w:space="0" w:color="auto"/>
            <w:left w:val="none" w:sz="0" w:space="0" w:color="auto"/>
            <w:bottom w:val="none" w:sz="0" w:space="0" w:color="auto"/>
            <w:right w:val="none" w:sz="0" w:space="0" w:color="auto"/>
          </w:divBdr>
        </w:div>
        <w:div w:id="1028071170">
          <w:marLeft w:val="0"/>
          <w:marRight w:val="0"/>
          <w:marTop w:val="0"/>
          <w:marBottom w:val="0"/>
          <w:divBdr>
            <w:top w:val="none" w:sz="0" w:space="0" w:color="auto"/>
            <w:left w:val="none" w:sz="0" w:space="0" w:color="auto"/>
            <w:bottom w:val="none" w:sz="0" w:space="0" w:color="auto"/>
            <w:right w:val="none" w:sz="0" w:space="0" w:color="auto"/>
          </w:divBdr>
        </w:div>
        <w:div w:id="842663257">
          <w:marLeft w:val="0"/>
          <w:marRight w:val="0"/>
          <w:marTop w:val="0"/>
          <w:marBottom w:val="0"/>
          <w:divBdr>
            <w:top w:val="none" w:sz="0" w:space="0" w:color="auto"/>
            <w:left w:val="none" w:sz="0" w:space="0" w:color="auto"/>
            <w:bottom w:val="none" w:sz="0" w:space="0" w:color="auto"/>
            <w:right w:val="none" w:sz="0" w:space="0" w:color="auto"/>
          </w:divBdr>
        </w:div>
        <w:div w:id="601954894">
          <w:marLeft w:val="0"/>
          <w:marRight w:val="0"/>
          <w:marTop w:val="0"/>
          <w:marBottom w:val="0"/>
          <w:divBdr>
            <w:top w:val="none" w:sz="0" w:space="0" w:color="auto"/>
            <w:left w:val="none" w:sz="0" w:space="0" w:color="auto"/>
            <w:bottom w:val="none" w:sz="0" w:space="0" w:color="auto"/>
            <w:right w:val="none" w:sz="0" w:space="0" w:color="auto"/>
          </w:divBdr>
        </w:div>
        <w:div w:id="815758759">
          <w:marLeft w:val="0"/>
          <w:marRight w:val="0"/>
          <w:marTop w:val="0"/>
          <w:marBottom w:val="0"/>
          <w:divBdr>
            <w:top w:val="none" w:sz="0" w:space="0" w:color="auto"/>
            <w:left w:val="none" w:sz="0" w:space="0" w:color="auto"/>
            <w:bottom w:val="none" w:sz="0" w:space="0" w:color="auto"/>
            <w:right w:val="none" w:sz="0" w:space="0" w:color="auto"/>
          </w:divBdr>
        </w:div>
        <w:div w:id="197861606">
          <w:marLeft w:val="0"/>
          <w:marRight w:val="0"/>
          <w:marTop w:val="0"/>
          <w:marBottom w:val="0"/>
          <w:divBdr>
            <w:top w:val="none" w:sz="0" w:space="0" w:color="auto"/>
            <w:left w:val="none" w:sz="0" w:space="0" w:color="auto"/>
            <w:bottom w:val="none" w:sz="0" w:space="0" w:color="auto"/>
            <w:right w:val="none" w:sz="0" w:space="0" w:color="auto"/>
          </w:divBdr>
        </w:div>
        <w:div w:id="685014777">
          <w:marLeft w:val="0"/>
          <w:marRight w:val="0"/>
          <w:marTop w:val="0"/>
          <w:marBottom w:val="0"/>
          <w:divBdr>
            <w:top w:val="none" w:sz="0" w:space="0" w:color="auto"/>
            <w:left w:val="none" w:sz="0" w:space="0" w:color="auto"/>
            <w:bottom w:val="none" w:sz="0" w:space="0" w:color="auto"/>
            <w:right w:val="none" w:sz="0" w:space="0" w:color="auto"/>
          </w:divBdr>
        </w:div>
        <w:div w:id="1392730127">
          <w:marLeft w:val="0"/>
          <w:marRight w:val="0"/>
          <w:marTop w:val="0"/>
          <w:marBottom w:val="0"/>
          <w:divBdr>
            <w:top w:val="none" w:sz="0" w:space="0" w:color="auto"/>
            <w:left w:val="none" w:sz="0" w:space="0" w:color="auto"/>
            <w:bottom w:val="none" w:sz="0" w:space="0" w:color="auto"/>
            <w:right w:val="none" w:sz="0" w:space="0" w:color="auto"/>
          </w:divBdr>
        </w:div>
      </w:divsChild>
    </w:div>
    <w:div w:id="1439906079">
      <w:bodyDiv w:val="1"/>
      <w:marLeft w:val="0"/>
      <w:marRight w:val="0"/>
      <w:marTop w:val="0"/>
      <w:marBottom w:val="0"/>
      <w:divBdr>
        <w:top w:val="none" w:sz="0" w:space="0" w:color="auto"/>
        <w:left w:val="none" w:sz="0" w:space="0" w:color="auto"/>
        <w:bottom w:val="none" w:sz="0" w:space="0" w:color="auto"/>
        <w:right w:val="none" w:sz="0" w:space="0" w:color="auto"/>
      </w:divBdr>
    </w:div>
    <w:div w:id="1446846428">
      <w:bodyDiv w:val="1"/>
      <w:marLeft w:val="0"/>
      <w:marRight w:val="0"/>
      <w:marTop w:val="0"/>
      <w:marBottom w:val="0"/>
      <w:divBdr>
        <w:top w:val="none" w:sz="0" w:space="0" w:color="auto"/>
        <w:left w:val="none" w:sz="0" w:space="0" w:color="auto"/>
        <w:bottom w:val="none" w:sz="0" w:space="0" w:color="auto"/>
        <w:right w:val="none" w:sz="0" w:space="0" w:color="auto"/>
      </w:divBdr>
    </w:div>
    <w:div w:id="1448114041">
      <w:bodyDiv w:val="1"/>
      <w:marLeft w:val="0"/>
      <w:marRight w:val="0"/>
      <w:marTop w:val="0"/>
      <w:marBottom w:val="0"/>
      <w:divBdr>
        <w:top w:val="none" w:sz="0" w:space="0" w:color="auto"/>
        <w:left w:val="none" w:sz="0" w:space="0" w:color="auto"/>
        <w:bottom w:val="none" w:sz="0" w:space="0" w:color="auto"/>
        <w:right w:val="none" w:sz="0" w:space="0" w:color="auto"/>
      </w:divBdr>
    </w:div>
    <w:div w:id="1450082127">
      <w:bodyDiv w:val="1"/>
      <w:marLeft w:val="0"/>
      <w:marRight w:val="0"/>
      <w:marTop w:val="0"/>
      <w:marBottom w:val="0"/>
      <w:divBdr>
        <w:top w:val="none" w:sz="0" w:space="0" w:color="auto"/>
        <w:left w:val="none" w:sz="0" w:space="0" w:color="auto"/>
        <w:bottom w:val="none" w:sz="0" w:space="0" w:color="auto"/>
        <w:right w:val="none" w:sz="0" w:space="0" w:color="auto"/>
      </w:divBdr>
    </w:div>
    <w:div w:id="1451972041">
      <w:bodyDiv w:val="1"/>
      <w:marLeft w:val="0"/>
      <w:marRight w:val="0"/>
      <w:marTop w:val="0"/>
      <w:marBottom w:val="0"/>
      <w:divBdr>
        <w:top w:val="none" w:sz="0" w:space="0" w:color="auto"/>
        <w:left w:val="none" w:sz="0" w:space="0" w:color="auto"/>
        <w:bottom w:val="none" w:sz="0" w:space="0" w:color="auto"/>
        <w:right w:val="none" w:sz="0" w:space="0" w:color="auto"/>
      </w:divBdr>
    </w:div>
    <w:div w:id="1453013995">
      <w:bodyDiv w:val="1"/>
      <w:marLeft w:val="0"/>
      <w:marRight w:val="0"/>
      <w:marTop w:val="0"/>
      <w:marBottom w:val="0"/>
      <w:divBdr>
        <w:top w:val="none" w:sz="0" w:space="0" w:color="auto"/>
        <w:left w:val="none" w:sz="0" w:space="0" w:color="auto"/>
        <w:bottom w:val="none" w:sz="0" w:space="0" w:color="auto"/>
        <w:right w:val="none" w:sz="0" w:space="0" w:color="auto"/>
      </w:divBdr>
    </w:div>
    <w:div w:id="1463496825">
      <w:bodyDiv w:val="1"/>
      <w:marLeft w:val="0"/>
      <w:marRight w:val="0"/>
      <w:marTop w:val="0"/>
      <w:marBottom w:val="0"/>
      <w:divBdr>
        <w:top w:val="none" w:sz="0" w:space="0" w:color="auto"/>
        <w:left w:val="none" w:sz="0" w:space="0" w:color="auto"/>
        <w:bottom w:val="none" w:sz="0" w:space="0" w:color="auto"/>
        <w:right w:val="none" w:sz="0" w:space="0" w:color="auto"/>
      </w:divBdr>
    </w:div>
    <w:div w:id="1481121118">
      <w:bodyDiv w:val="1"/>
      <w:marLeft w:val="0"/>
      <w:marRight w:val="0"/>
      <w:marTop w:val="0"/>
      <w:marBottom w:val="0"/>
      <w:divBdr>
        <w:top w:val="none" w:sz="0" w:space="0" w:color="auto"/>
        <w:left w:val="none" w:sz="0" w:space="0" w:color="auto"/>
        <w:bottom w:val="none" w:sz="0" w:space="0" w:color="auto"/>
        <w:right w:val="none" w:sz="0" w:space="0" w:color="auto"/>
      </w:divBdr>
    </w:div>
    <w:div w:id="1481573850">
      <w:bodyDiv w:val="1"/>
      <w:marLeft w:val="0"/>
      <w:marRight w:val="0"/>
      <w:marTop w:val="0"/>
      <w:marBottom w:val="0"/>
      <w:divBdr>
        <w:top w:val="none" w:sz="0" w:space="0" w:color="auto"/>
        <w:left w:val="none" w:sz="0" w:space="0" w:color="auto"/>
        <w:bottom w:val="none" w:sz="0" w:space="0" w:color="auto"/>
        <w:right w:val="none" w:sz="0" w:space="0" w:color="auto"/>
      </w:divBdr>
    </w:div>
    <w:div w:id="1490898204">
      <w:bodyDiv w:val="1"/>
      <w:marLeft w:val="0"/>
      <w:marRight w:val="0"/>
      <w:marTop w:val="0"/>
      <w:marBottom w:val="0"/>
      <w:divBdr>
        <w:top w:val="none" w:sz="0" w:space="0" w:color="auto"/>
        <w:left w:val="none" w:sz="0" w:space="0" w:color="auto"/>
        <w:bottom w:val="none" w:sz="0" w:space="0" w:color="auto"/>
        <w:right w:val="none" w:sz="0" w:space="0" w:color="auto"/>
      </w:divBdr>
    </w:div>
    <w:div w:id="1503012501">
      <w:bodyDiv w:val="1"/>
      <w:marLeft w:val="0"/>
      <w:marRight w:val="0"/>
      <w:marTop w:val="0"/>
      <w:marBottom w:val="0"/>
      <w:divBdr>
        <w:top w:val="none" w:sz="0" w:space="0" w:color="auto"/>
        <w:left w:val="none" w:sz="0" w:space="0" w:color="auto"/>
        <w:bottom w:val="none" w:sz="0" w:space="0" w:color="auto"/>
        <w:right w:val="none" w:sz="0" w:space="0" w:color="auto"/>
      </w:divBdr>
    </w:div>
    <w:div w:id="1508984476">
      <w:bodyDiv w:val="1"/>
      <w:marLeft w:val="0"/>
      <w:marRight w:val="0"/>
      <w:marTop w:val="0"/>
      <w:marBottom w:val="0"/>
      <w:divBdr>
        <w:top w:val="none" w:sz="0" w:space="0" w:color="auto"/>
        <w:left w:val="none" w:sz="0" w:space="0" w:color="auto"/>
        <w:bottom w:val="none" w:sz="0" w:space="0" w:color="auto"/>
        <w:right w:val="none" w:sz="0" w:space="0" w:color="auto"/>
      </w:divBdr>
    </w:div>
    <w:div w:id="1514488634">
      <w:bodyDiv w:val="1"/>
      <w:marLeft w:val="0"/>
      <w:marRight w:val="0"/>
      <w:marTop w:val="0"/>
      <w:marBottom w:val="0"/>
      <w:divBdr>
        <w:top w:val="none" w:sz="0" w:space="0" w:color="auto"/>
        <w:left w:val="none" w:sz="0" w:space="0" w:color="auto"/>
        <w:bottom w:val="none" w:sz="0" w:space="0" w:color="auto"/>
        <w:right w:val="none" w:sz="0" w:space="0" w:color="auto"/>
      </w:divBdr>
      <w:divsChild>
        <w:div w:id="1540163874">
          <w:marLeft w:val="0"/>
          <w:marRight w:val="0"/>
          <w:marTop w:val="0"/>
          <w:marBottom w:val="0"/>
          <w:divBdr>
            <w:top w:val="none" w:sz="0" w:space="0" w:color="auto"/>
            <w:left w:val="none" w:sz="0" w:space="0" w:color="auto"/>
            <w:bottom w:val="none" w:sz="0" w:space="0" w:color="auto"/>
            <w:right w:val="none" w:sz="0" w:space="0" w:color="auto"/>
          </w:divBdr>
        </w:div>
        <w:div w:id="1536314172">
          <w:marLeft w:val="0"/>
          <w:marRight w:val="0"/>
          <w:marTop w:val="0"/>
          <w:marBottom w:val="0"/>
          <w:divBdr>
            <w:top w:val="none" w:sz="0" w:space="0" w:color="auto"/>
            <w:left w:val="none" w:sz="0" w:space="0" w:color="auto"/>
            <w:bottom w:val="none" w:sz="0" w:space="0" w:color="auto"/>
            <w:right w:val="none" w:sz="0" w:space="0" w:color="auto"/>
          </w:divBdr>
        </w:div>
        <w:div w:id="1746224294">
          <w:marLeft w:val="0"/>
          <w:marRight w:val="0"/>
          <w:marTop w:val="0"/>
          <w:marBottom w:val="0"/>
          <w:divBdr>
            <w:top w:val="none" w:sz="0" w:space="0" w:color="auto"/>
            <w:left w:val="none" w:sz="0" w:space="0" w:color="auto"/>
            <w:bottom w:val="none" w:sz="0" w:space="0" w:color="auto"/>
            <w:right w:val="none" w:sz="0" w:space="0" w:color="auto"/>
          </w:divBdr>
        </w:div>
        <w:div w:id="506988560">
          <w:marLeft w:val="0"/>
          <w:marRight w:val="0"/>
          <w:marTop w:val="0"/>
          <w:marBottom w:val="0"/>
          <w:divBdr>
            <w:top w:val="none" w:sz="0" w:space="0" w:color="auto"/>
            <w:left w:val="none" w:sz="0" w:space="0" w:color="auto"/>
            <w:bottom w:val="none" w:sz="0" w:space="0" w:color="auto"/>
            <w:right w:val="none" w:sz="0" w:space="0" w:color="auto"/>
          </w:divBdr>
        </w:div>
      </w:divsChild>
    </w:div>
    <w:div w:id="1520925518">
      <w:bodyDiv w:val="1"/>
      <w:marLeft w:val="0"/>
      <w:marRight w:val="0"/>
      <w:marTop w:val="0"/>
      <w:marBottom w:val="0"/>
      <w:divBdr>
        <w:top w:val="none" w:sz="0" w:space="0" w:color="auto"/>
        <w:left w:val="none" w:sz="0" w:space="0" w:color="auto"/>
        <w:bottom w:val="none" w:sz="0" w:space="0" w:color="auto"/>
        <w:right w:val="none" w:sz="0" w:space="0" w:color="auto"/>
      </w:divBdr>
    </w:div>
    <w:div w:id="1522669843">
      <w:bodyDiv w:val="1"/>
      <w:marLeft w:val="0"/>
      <w:marRight w:val="0"/>
      <w:marTop w:val="0"/>
      <w:marBottom w:val="0"/>
      <w:divBdr>
        <w:top w:val="none" w:sz="0" w:space="0" w:color="auto"/>
        <w:left w:val="none" w:sz="0" w:space="0" w:color="auto"/>
        <w:bottom w:val="none" w:sz="0" w:space="0" w:color="auto"/>
        <w:right w:val="none" w:sz="0" w:space="0" w:color="auto"/>
      </w:divBdr>
    </w:div>
    <w:div w:id="1525095151">
      <w:bodyDiv w:val="1"/>
      <w:marLeft w:val="0"/>
      <w:marRight w:val="0"/>
      <w:marTop w:val="0"/>
      <w:marBottom w:val="0"/>
      <w:divBdr>
        <w:top w:val="none" w:sz="0" w:space="0" w:color="auto"/>
        <w:left w:val="none" w:sz="0" w:space="0" w:color="auto"/>
        <w:bottom w:val="none" w:sz="0" w:space="0" w:color="auto"/>
        <w:right w:val="none" w:sz="0" w:space="0" w:color="auto"/>
      </w:divBdr>
    </w:div>
    <w:div w:id="1531652241">
      <w:bodyDiv w:val="1"/>
      <w:marLeft w:val="0"/>
      <w:marRight w:val="0"/>
      <w:marTop w:val="0"/>
      <w:marBottom w:val="0"/>
      <w:divBdr>
        <w:top w:val="none" w:sz="0" w:space="0" w:color="auto"/>
        <w:left w:val="none" w:sz="0" w:space="0" w:color="auto"/>
        <w:bottom w:val="none" w:sz="0" w:space="0" w:color="auto"/>
        <w:right w:val="none" w:sz="0" w:space="0" w:color="auto"/>
      </w:divBdr>
    </w:div>
    <w:div w:id="1533492102">
      <w:bodyDiv w:val="1"/>
      <w:marLeft w:val="0"/>
      <w:marRight w:val="0"/>
      <w:marTop w:val="0"/>
      <w:marBottom w:val="0"/>
      <w:divBdr>
        <w:top w:val="none" w:sz="0" w:space="0" w:color="auto"/>
        <w:left w:val="none" w:sz="0" w:space="0" w:color="auto"/>
        <w:bottom w:val="none" w:sz="0" w:space="0" w:color="auto"/>
        <w:right w:val="none" w:sz="0" w:space="0" w:color="auto"/>
      </w:divBdr>
    </w:div>
    <w:div w:id="1534342966">
      <w:bodyDiv w:val="1"/>
      <w:marLeft w:val="0"/>
      <w:marRight w:val="0"/>
      <w:marTop w:val="0"/>
      <w:marBottom w:val="0"/>
      <w:divBdr>
        <w:top w:val="none" w:sz="0" w:space="0" w:color="auto"/>
        <w:left w:val="none" w:sz="0" w:space="0" w:color="auto"/>
        <w:bottom w:val="none" w:sz="0" w:space="0" w:color="auto"/>
        <w:right w:val="none" w:sz="0" w:space="0" w:color="auto"/>
      </w:divBdr>
    </w:div>
    <w:div w:id="1534688473">
      <w:bodyDiv w:val="1"/>
      <w:marLeft w:val="0"/>
      <w:marRight w:val="0"/>
      <w:marTop w:val="0"/>
      <w:marBottom w:val="0"/>
      <w:divBdr>
        <w:top w:val="none" w:sz="0" w:space="0" w:color="auto"/>
        <w:left w:val="none" w:sz="0" w:space="0" w:color="auto"/>
        <w:bottom w:val="none" w:sz="0" w:space="0" w:color="auto"/>
        <w:right w:val="none" w:sz="0" w:space="0" w:color="auto"/>
      </w:divBdr>
    </w:div>
    <w:div w:id="1535465556">
      <w:bodyDiv w:val="1"/>
      <w:marLeft w:val="0"/>
      <w:marRight w:val="0"/>
      <w:marTop w:val="0"/>
      <w:marBottom w:val="0"/>
      <w:divBdr>
        <w:top w:val="none" w:sz="0" w:space="0" w:color="auto"/>
        <w:left w:val="none" w:sz="0" w:space="0" w:color="auto"/>
        <w:bottom w:val="none" w:sz="0" w:space="0" w:color="auto"/>
        <w:right w:val="none" w:sz="0" w:space="0" w:color="auto"/>
      </w:divBdr>
    </w:div>
    <w:div w:id="1539048623">
      <w:bodyDiv w:val="1"/>
      <w:marLeft w:val="0"/>
      <w:marRight w:val="0"/>
      <w:marTop w:val="0"/>
      <w:marBottom w:val="0"/>
      <w:divBdr>
        <w:top w:val="none" w:sz="0" w:space="0" w:color="auto"/>
        <w:left w:val="none" w:sz="0" w:space="0" w:color="auto"/>
        <w:bottom w:val="none" w:sz="0" w:space="0" w:color="auto"/>
        <w:right w:val="none" w:sz="0" w:space="0" w:color="auto"/>
      </w:divBdr>
    </w:div>
    <w:div w:id="1542010558">
      <w:bodyDiv w:val="1"/>
      <w:marLeft w:val="0"/>
      <w:marRight w:val="0"/>
      <w:marTop w:val="0"/>
      <w:marBottom w:val="0"/>
      <w:divBdr>
        <w:top w:val="none" w:sz="0" w:space="0" w:color="auto"/>
        <w:left w:val="none" w:sz="0" w:space="0" w:color="auto"/>
        <w:bottom w:val="none" w:sz="0" w:space="0" w:color="auto"/>
        <w:right w:val="none" w:sz="0" w:space="0" w:color="auto"/>
      </w:divBdr>
      <w:divsChild>
        <w:div w:id="828594131">
          <w:marLeft w:val="0"/>
          <w:marRight w:val="0"/>
          <w:marTop w:val="0"/>
          <w:marBottom w:val="0"/>
          <w:divBdr>
            <w:top w:val="none" w:sz="0" w:space="0" w:color="auto"/>
            <w:left w:val="none" w:sz="0" w:space="0" w:color="auto"/>
            <w:bottom w:val="none" w:sz="0" w:space="0" w:color="auto"/>
            <w:right w:val="none" w:sz="0" w:space="0" w:color="auto"/>
          </w:divBdr>
        </w:div>
      </w:divsChild>
    </w:div>
    <w:div w:id="1542087050">
      <w:bodyDiv w:val="1"/>
      <w:marLeft w:val="0"/>
      <w:marRight w:val="0"/>
      <w:marTop w:val="0"/>
      <w:marBottom w:val="0"/>
      <w:divBdr>
        <w:top w:val="none" w:sz="0" w:space="0" w:color="auto"/>
        <w:left w:val="none" w:sz="0" w:space="0" w:color="auto"/>
        <w:bottom w:val="none" w:sz="0" w:space="0" w:color="auto"/>
        <w:right w:val="none" w:sz="0" w:space="0" w:color="auto"/>
      </w:divBdr>
    </w:div>
    <w:div w:id="1551845969">
      <w:bodyDiv w:val="1"/>
      <w:marLeft w:val="0"/>
      <w:marRight w:val="0"/>
      <w:marTop w:val="0"/>
      <w:marBottom w:val="0"/>
      <w:divBdr>
        <w:top w:val="none" w:sz="0" w:space="0" w:color="auto"/>
        <w:left w:val="none" w:sz="0" w:space="0" w:color="auto"/>
        <w:bottom w:val="none" w:sz="0" w:space="0" w:color="auto"/>
        <w:right w:val="none" w:sz="0" w:space="0" w:color="auto"/>
      </w:divBdr>
    </w:div>
    <w:div w:id="1553301254">
      <w:bodyDiv w:val="1"/>
      <w:marLeft w:val="0"/>
      <w:marRight w:val="0"/>
      <w:marTop w:val="0"/>
      <w:marBottom w:val="0"/>
      <w:divBdr>
        <w:top w:val="none" w:sz="0" w:space="0" w:color="auto"/>
        <w:left w:val="none" w:sz="0" w:space="0" w:color="auto"/>
        <w:bottom w:val="none" w:sz="0" w:space="0" w:color="auto"/>
        <w:right w:val="none" w:sz="0" w:space="0" w:color="auto"/>
      </w:divBdr>
    </w:div>
    <w:div w:id="1559979205">
      <w:bodyDiv w:val="1"/>
      <w:marLeft w:val="0"/>
      <w:marRight w:val="0"/>
      <w:marTop w:val="0"/>
      <w:marBottom w:val="0"/>
      <w:divBdr>
        <w:top w:val="none" w:sz="0" w:space="0" w:color="auto"/>
        <w:left w:val="none" w:sz="0" w:space="0" w:color="auto"/>
        <w:bottom w:val="none" w:sz="0" w:space="0" w:color="auto"/>
        <w:right w:val="none" w:sz="0" w:space="0" w:color="auto"/>
      </w:divBdr>
    </w:div>
    <w:div w:id="1560362458">
      <w:bodyDiv w:val="1"/>
      <w:marLeft w:val="0"/>
      <w:marRight w:val="0"/>
      <w:marTop w:val="0"/>
      <w:marBottom w:val="0"/>
      <w:divBdr>
        <w:top w:val="none" w:sz="0" w:space="0" w:color="auto"/>
        <w:left w:val="none" w:sz="0" w:space="0" w:color="auto"/>
        <w:bottom w:val="none" w:sz="0" w:space="0" w:color="auto"/>
        <w:right w:val="none" w:sz="0" w:space="0" w:color="auto"/>
      </w:divBdr>
    </w:div>
    <w:div w:id="1561213355">
      <w:bodyDiv w:val="1"/>
      <w:marLeft w:val="0"/>
      <w:marRight w:val="0"/>
      <w:marTop w:val="0"/>
      <w:marBottom w:val="0"/>
      <w:divBdr>
        <w:top w:val="none" w:sz="0" w:space="0" w:color="auto"/>
        <w:left w:val="none" w:sz="0" w:space="0" w:color="auto"/>
        <w:bottom w:val="none" w:sz="0" w:space="0" w:color="auto"/>
        <w:right w:val="none" w:sz="0" w:space="0" w:color="auto"/>
      </w:divBdr>
    </w:div>
    <w:div w:id="1562668245">
      <w:bodyDiv w:val="1"/>
      <w:marLeft w:val="0"/>
      <w:marRight w:val="0"/>
      <w:marTop w:val="0"/>
      <w:marBottom w:val="0"/>
      <w:divBdr>
        <w:top w:val="none" w:sz="0" w:space="0" w:color="auto"/>
        <w:left w:val="none" w:sz="0" w:space="0" w:color="auto"/>
        <w:bottom w:val="none" w:sz="0" w:space="0" w:color="auto"/>
        <w:right w:val="none" w:sz="0" w:space="0" w:color="auto"/>
      </w:divBdr>
    </w:div>
    <w:div w:id="1563053002">
      <w:bodyDiv w:val="1"/>
      <w:marLeft w:val="0"/>
      <w:marRight w:val="0"/>
      <w:marTop w:val="0"/>
      <w:marBottom w:val="0"/>
      <w:divBdr>
        <w:top w:val="none" w:sz="0" w:space="0" w:color="auto"/>
        <w:left w:val="none" w:sz="0" w:space="0" w:color="auto"/>
        <w:bottom w:val="none" w:sz="0" w:space="0" w:color="auto"/>
        <w:right w:val="none" w:sz="0" w:space="0" w:color="auto"/>
      </w:divBdr>
    </w:div>
    <w:div w:id="1570192880">
      <w:bodyDiv w:val="1"/>
      <w:marLeft w:val="0"/>
      <w:marRight w:val="0"/>
      <w:marTop w:val="0"/>
      <w:marBottom w:val="0"/>
      <w:divBdr>
        <w:top w:val="none" w:sz="0" w:space="0" w:color="auto"/>
        <w:left w:val="none" w:sz="0" w:space="0" w:color="auto"/>
        <w:bottom w:val="none" w:sz="0" w:space="0" w:color="auto"/>
        <w:right w:val="none" w:sz="0" w:space="0" w:color="auto"/>
      </w:divBdr>
      <w:divsChild>
        <w:div w:id="1418750425">
          <w:marLeft w:val="0"/>
          <w:marRight w:val="0"/>
          <w:marTop w:val="0"/>
          <w:marBottom w:val="0"/>
          <w:divBdr>
            <w:top w:val="none" w:sz="0" w:space="0" w:color="auto"/>
            <w:left w:val="none" w:sz="0" w:space="0" w:color="auto"/>
            <w:bottom w:val="none" w:sz="0" w:space="0" w:color="auto"/>
            <w:right w:val="none" w:sz="0" w:space="0" w:color="auto"/>
          </w:divBdr>
        </w:div>
        <w:div w:id="1516921554">
          <w:marLeft w:val="0"/>
          <w:marRight w:val="0"/>
          <w:marTop w:val="0"/>
          <w:marBottom w:val="0"/>
          <w:divBdr>
            <w:top w:val="none" w:sz="0" w:space="0" w:color="auto"/>
            <w:left w:val="none" w:sz="0" w:space="0" w:color="auto"/>
            <w:bottom w:val="none" w:sz="0" w:space="0" w:color="auto"/>
            <w:right w:val="none" w:sz="0" w:space="0" w:color="auto"/>
          </w:divBdr>
        </w:div>
        <w:div w:id="1159882779">
          <w:marLeft w:val="0"/>
          <w:marRight w:val="0"/>
          <w:marTop w:val="0"/>
          <w:marBottom w:val="0"/>
          <w:divBdr>
            <w:top w:val="none" w:sz="0" w:space="0" w:color="auto"/>
            <w:left w:val="none" w:sz="0" w:space="0" w:color="auto"/>
            <w:bottom w:val="none" w:sz="0" w:space="0" w:color="auto"/>
            <w:right w:val="none" w:sz="0" w:space="0" w:color="auto"/>
          </w:divBdr>
        </w:div>
        <w:div w:id="175190489">
          <w:marLeft w:val="0"/>
          <w:marRight w:val="0"/>
          <w:marTop w:val="0"/>
          <w:marBottom w:val="0"/>
          <w:divBdr>
            <w:top w:val="none" w:sz="0" w:space="0" w:color="auto"/>
            <w:left w:val="none" w:sz="0" w:space="0" w:color="auto"/>
            <w:bottom w:val="none" w:sz="0" w:space="0" w:color="auto"/>
            <w:right w:val="none" w:sz="0" w:space="0" w:color="auto"/>
          </w:divBdr>
        </w:div>
      </w:divsChild>
    </w:div>
    <w:div w:id="1574974611">
      <w:bodyDiv w:val="1"/>
      <w:marLeft w:val="0"/>
      <w:marRight w:val="0"/>
      <w:marTop w:val="0"/>
      <w:marBottom w:val="0"/>
      <w:divBdr>
        <w:top w:val="none" w:sz="0" w:space="0" w:color="auto"/>
        <w:left w:val="none" w:sz="0" w:space="0" w:color="auto"/>
        <w:bottom w:val="none" w:sz="0" w:space="0" w:color="auto"/>
        <w:right w:val="none" w:sz="0" w:space="0" w:color="auto"/>
      </w:divBdr>
    </w:div>
    <w:div w:id="1579367367">
      <w:bodyDiv w:val="1"/>
      <w:marLeft w:val="0"/>
      <w:marRight w:val="0"/>
      <w:marTop w:val="0"/>
      <w:marBottom w:val="0"/>
      <w:divBdr>
        <w:top w:val="none" w:sz="0" w:space="0" w:color="auto"/>
        <w:left w:val="none" w:sz="0" w:space="0" w:color="auto"/>
        <w:bottom w:val="none" w:sz="0" w:space="0" w:color="auto"/>
        <w:right w:val="none" w:sz="0" w:space="0" w:color="auto"/>
      </w:divBdr>
    </w:div>
    <w:div w:id="1580216797">
      <w:bodyDiv w:val="1"/>
      <w:marLeft w:val="0"/>
      <w:marRight w:val="0"/>
      <w:marTop w:val="0"/>
      <w:marBottom w:val="0"/>
      <w:divBdr>
        <w:top w:val="none" w:sz="0" w:space="0" w:color="auto"/>
        <w:left w:val="none" w:sz="0" w:space="0" w:color="auto"/>
        <w:bottom w:val="none" w:sz="0" w:space="0" w:color="auto"/>
        <w:right w:val="none" w:sz="0" w:space="0" w:color="auto"/>
      </w:divBdr>
    </w:div>
    <w:div w:id="1588885373">
      <w:bodyDiv w:val="1"/>
      <w:marLeft w:val="0"/>
      <w:marRight w:val="0"/>
      <w:marTop w:val="0"/>
      <w:marBottom w:val="0"/>
      <w:divBdr>
        <w:top w:val="none" w:sz="0" w:space="0" w:color="auto"/>
        <w:left w:val="none" w:sz="0" w:space="0" w:color="auto"/>
        <w:bottom w:val="none" w:sz="0" w:space="0" w:color="auto"/>
        <w:right w:val="none" w:sz="0" w:space="0" w:color="auto"/>
      </w:divBdr>
    </w:div>
    <w:div w:id="1589803291">
      <w:bodyDiv w:val="1"/>
      <w:marLeft w:val="0"/>
      <w:marRight w:val="0"/>
      <w:marTop w:val="0"/>
      <w:marBottom w:val="0"/>
      <w:divBdr>
        <w:top w:val="none" w:sz="0" w:space="0" w:color="auto"/>
        <w:left w:val="none" w:sz="0" w:space="0" w:color="auto"/>
        <w:bottom w:val="none" w:sz="0" w:space="0" w:color="auto"/>
        <w:right w:val="none" w:sz="0" w:space="0" w:color="auto"/>
      </w:divBdr>
    </w:div>
    <w:div w:id="1593467049">
      <w:bodyDiv w:val="1"/>
      <w:marLeft w:val="0"/>
      <w:marRight w:val="0"/>
      <w:marTop w:val="0"/>
      <w:marBottom w:val="0"/>
      <w:divBdr>
        <w:top w:val="none" w:sz="0" w:space="0" w:color="auto"/>
        <w:left w:val="none" w:sz="0" w:space="0" w:color="auto"/>
        <w:bottom w:val="none" w:sz="0" w:space="0" w:color="auto"/>
        <w:right w:val="none" w:sz="0" w:space="0" w:color="auto"/>
      </w:divBdr>
    </w:div>
    <w:div w:id="1595280462">
      <w:bodyDiv w:val="1"/>
      <w:marLeft w:val="0"/>
      <w:marRight w:val="0"/>
      <w:marTop w:val="0"/>
      <w:marBottom w:val="0"/>
      <w:divBdr>
        <w:top w:val="none" w:sz="0" w:space="0" w:color="auto"/>
        <w:left w:val="none" w:sz="0" w:space="0" w:color="auto"/>
        <w:bottom w:val="none" w:sz="0" w:space="0" w:color="auto"/>
        <w:right w:val="none" w:sz="0" w:space="0" w:color="auto"/>
      </w:divBdr>
    </w:div>
    <w:div w:id="1597056786">
      <w:bodyDiv w:val="1"/>
      <w:marLeft w:val="0"/>
      <w:marRight w:val="0"/>
      <w:marTop w:val="0"/>
      <w:marBottom w:val="0"/>
      <w:divBdr>
        <w:top w:val="none" w:sz="0" w:space="0" w:color="auto"/>
        <w:left w:val="none" w:sz="0" w:space="0" w:color="auto"/>
        <w:bottom w:val="none" w:sz="0" w:space="0" w:color="auto"/>
        <w:right w:val="none" w:sz="0" w:space="0" w:color="auto"/>
      </w:divBdr>
    </w:div>
    <w:div w:id="1597981588">
      <w:bodyDiv w:val="1"/>
      <w:marLeft w:val="0"/>
      <w:marRight w:val="0"/>
      <w:marTop w:val="0"/>
      <w:marBottom w:val="0"/>
      <w:divBdr>
        <w:top w:val="none" w:sz="0" w:space="0" w:color="auto"/>
        <w:left w:val="none" w:sz="0" w:space="0" w:color="auto"/>
        <w:bottom w:val="none" w:sz="0" w:space="0" w:color="auto"/>
        <w:right w:val="none" w:sz="0" w:space="0" w:color="auto"/>
      </w:divBdr>
    </w:div>
    <w:div w:id="1601136643">
      <w:bodyDiv w:val="1"/>
      <w:marLeft w:val="0"/>
      <w:marRight w:val="0"/>
      <w:marTop w:val="0"/>
      <w:marBottom w:val="0"/>
      <w:divBdr>
        <w:top w:val="none" w:sz="0" w:space="0" w:color="auto"/>
        <w:left w:val="none" w:sz="0" w:space="0" w:color="auto"/>
        <w:bottom w:val="none" w:sz="0" w:space="0" w:color="auto"/>
        <w:right w:val="none" w:sz="0" w:space="0" w:color="auto"/>
      </w:divBdr>
    </w:div>
    <w:div w:id="1612735678">
      <w:bodyDiv w:val="1"/>
      <w:marLeft w:val="0"/>
      <w:marRight w:val="0"/>
      <w:marTop w:val="0"/>
      <w:marBottom w:val="0"/>
      <w:divBdr>
        <w:top w:val="none" w:sz="0" w:space="0" w:color="auto"/>
        <w:left w:val="none" w:sz="0" w:space="0" w:color="auto"/>
        <w:bottom w:val="none" w:sz="0" w:space="0" w:color="auto"/>
        <w:right w:val="none" w:sz="0" w:space="0" w:color="auto"/>
      </w:divBdr>
    </w:div>
    <w:div w:id="1614286783">
      <w:bodyDiv w:val="1"/>
      <w:marLeft w:val="0"/>
      <w:marRight w:val="0"/>
      <w:marTop w:val="0"/>
      <w:marBottom w:val="0"/>
      <w:divBdr>
        <w:top w:val="none" w:sz="0" w:space="0" w:color="auto"/>
        <w:left w:val="none" w:sz="0" w:space="0" w:color="auto"/>
        <w:bottom w:val="none" w:sz="0" w:space="0" w:color="auto"/>
        <w:right w:val="none" w:sz="0" w:space="0" w:color="auto"/>
      </w:divBdr>
    </w:div>
    <w:div w:id="1617254799">
      <w:bodyDiv w:val="1"/>
      <w:marLeft w:val="0"/>
      <w:marRight w:val="0"/>
      <w:marTop w:val="0"/>
      <w:marBottom w:val="0"/>
      <w:divBdr>
        <w:top w:val="none" w:sz="0" w:space="0" w:color="auto"/>
        <w:left w:val="none" w:sz="0" w:space="0" w:color="auto"/>
        <w:bottom w:val="none" w:sz="0" w:space="0" w:color="auto"/>
        <w:right w:val="none" w:sz="0" w:space="0" w:color="auto"/>
      </w:divBdr>
    </w:div>
    <w:div w:id="1627858380">
      <w:bodyDiv w:val="1"/>
      <w:marLeft w:val="0"/>
      <w:marRight w:val="0"/>
      <w:marTop w:val="0"/>
      <w:marBottom w:val="0"/>
      <w:divBdr>
        <w:top w:val="none" w:sz="0" w:space="0" w:color="auto"/>
        <w:left w:val="none" w:sz="0" w:space="0" w:color="auto"/>
        <w:bottom w:val="none" w:sz="0" w:space="0" w:color="auto"/>
        <w:right w:val="none" w:sz="0" w:space="0" w:color="auto"/>
      </w:divBdr>
    </w:div>
    <w:div w:id="1629893355">
      <w:bodyDiv w:val="1"/>
      <w:marLeft w:val="0"/>
      <w:marRight w:val="0"/>
      <w:marTop w:val="0"/>
      <w:marBottom w:val="0"/>
      <w:divBdr>
        <w:top w:val="none" w:sz="0" w:space="0" w:color="auto"/>
        <w:left w:val="none" w:sz="0" w:space="0" w:color="auto"/>
        <w:bottom w:val="none" w:sz="0" w:space="0" w:color="auto"/>
        <w:right w:val="none" w:sz="0" w:space="0" w:color="auto"/>
      </w:divBdr>
    </w:div>
    <w:div w:id="1629965741">
      <w:bodyDiv w:val="1"/>
      <w:marLeft w:val="0"/>
      <w:marRight w:val="0"/>
      <w:marTop w:val="0"/>
      <w:marBottom w:val="0"/>
      <w:divBdr>
        <w:top w:val="none" w:sz="0" w:space="0" w:color="auto"/>
        <w:left w:val="none" w:sz="0" w:space="0" w:color="auto"/>
        <w:bottom w:val="none" w:sz="0" w:space="0" w:color="auto"/>
        <w:right w:val="none" w:sz="0" w:space="0" w:color="auto"/>
      </w:divBdr>
    </w:div>
    <w:div w:id="1630739248">
      <w:bodyDiv w:val="1"/>
      <w:marLeft w:val="0"/>
      <w:marRight w:val="0"/>
      <w:marTop w:val="0"/>
      <w:marBottom w:val="0"/>
      <w:divBdr>
        <w:top w:val="none" w:sz="0" w:space="0" w:color="auto"/>
        <w:left w:val="none" w:sz="0" w:space="0" w:color="auto"/>
        <w:bottom w:val="none" w:sz="0" w:space="0" w:color="auto"/>
        <w:right w:val="none" w:sz="0" w:space="0" w:color="auto"/>
      </w:divBdr>
    </w:div>
    <w:div w:id="1640839055">
      <w:bodyDiv w:val="1"/>
      <w:marLeft w:val="0"/>
      <w:marRight w:val="0"/>
      <w:marTop w:val="0"/>
      <w:marBottom w:val="0"/>
      <w:divBdr>
        <w:top w:val="none" w:sz="0" w:space="0" w:color="auto"/>
        <w:left w:val="none" w:sz="0" w:space="0" w:color="auto"/>
        <w:bottom w:val="none" w:sz="0" w:space="0" w:color="auto"/>
        <w:right w:val="none" w:sz="0" w:space="0" w:color="auto"/>
      </w:divBdr>
    </w:div>
    <w:div w:id="1642729148">
      <w:bodyDiv w:val="1"/>
      <w:marLeft w:val="0"/>
      <w:marRight w:val="0"/>
      <w:marTop w:val="0"/>
      <w:marBottom w:val="0"/>
      <w:divBdr>
        <w:top w:val="none" w:sz="0" w:space="0" w:color="auto"/>
        <w:left w:val="none" w:sz="0" w:space="0" w:color="auto"/>
        <w:bottom w:val="none" w:sz="0" w:space="0" w:color="auto"/>
        <w:right w:val="none" w:sz="0" w:space="0" w:color="auto"/>
      </w:divBdr>
    </w:div>
    <w:div w:id="1643851384">
      <w:bodyDiv w:val="1"/>
      <w:marLeft w:val="0"/>
      <w:marRight w:val="0"/>
      <w:marTop w:val="0"/>
      <w:marBottom w:val="0"/>
      <w:divBdr>
        <w:top w:val="none" w:sz="0" w:space="0" w:color="auto"/>
        <w:left w:val="none" w:sz="0" w:space="0" w:color="auto"/>
        <w:bottom w:val="none" w:sz="0" w:space="0" w:color="auto"/>
        <w:right w:val="none" w:sz="0" w:space="0" w:color="auto"/>
      </w:divBdr>
    </w:div>
    <w:div w:id="1645310051">
      <w:bodyDiv w:val="1"/>
      <w:marLeft w:val="0"/>
      <w:marRight w:val="0"/>
      <w:marTop w:val="0"/>
      <w:marBottom w:val="0"/>
      <w:divBdr>
        <w:top w:val="none" w:sz="0" w:space="0" w:color="auto"/>
        <w:left w:val="none" w:sz="0" w:space="0" w:color="auto"/>
        <w:bottom w:val="none" w:sz="0" w:space="0" w:color="auto"/>
        <w:right w:val="none" w:sz="0" w:space="0" w:color="auto"/>
      </w:divBdr>
    </w:div>
    <w:div w:id="1648124009">
      <w:bodyDiv w:val="1"/>
      <w:marLeft w:val="0"/>
      <w:marRight w:val="0"/>
      <w:marTop w:val="0"/>
      <w:marBottom w:val="0"/>
      <w:divBdr>
        <w:top w:val="none" w:sz="0" w:space="0" w:color="auto"/>
        <w:left w:val="none" w:sz="0" w:space="0" w:color="auto"/>
        <w:bottom w:val="none" w:sz="0" w:space="0" w:color="auto"/>
        <w:right w:val="none" w:sz="0" w:space="0" w:color="auto"/>
      </w:divBdr>
    </w:div>
    <w:div w:id="1649092599">
      <w:bodyDiv w:val="1"/>
      <w:marLeft w:val="0"/>
      <w:marRight w:val="0"/>
      <w:marTop w:val="0"/>
      <w:marBottom w:val="0"/>
      <w:divBdr>
        <w:top w:val="none" w:sz="0" w:space="0" w:color="auto"/>
        <w:left w:val="none" w:sz="0" w:space="0" w:color="auto"/>
        <w:bottom w:val="none" w:sz="0" w:space="0" w:color="auto"/>
        <w:right w:val="none" w:sz="0" w:space="0" w:color="auto"/>
      </w:divBdr>
    </w:div>
    <w:div w:id="1656254737">
      <w:bodyDiv w:val="1"/>
      <w:marLeft w:val="0"/>
      <w:marRight w:val="0"/>
      <w:marTop w:val="0"/>
      <w:marBottom w:val="0"/>
      <w:divBdr>
        <w:top w:val="none" w:sz="0" w:space="0" w:color="auto"/>
        <w:left w:val="none" w:sz="0" w:space="0" w:color="auto"/>
        <w:bottom w:val="none" w:sz="0" w:space="0" w:color="auto"/>
        <w:right w:val="none" w:sz="0" w:space="0" w:color="auto"/>
      </w:divBdr>
    </w:div>
    <w:div w:id="1659263838">
      <w:bodyDiv w:val="1"/>
      <w:marLeft w:val="0"/>
      <w:marRight w:val="0"/>
      <w:marTop w:val="0"/>
      <w:marBottom w:val="0"/>
      <w:divBdr>
        <w:top w:val="none" w:sz="0" w:space="0" w:color="auto"/>
        <w:left w:val="none" w:sz="0" w:space="0" w:color="auto"/>
        <w:bottom w:val="none" w:sz="0" w:space="0" w:color="auto"/>
        <w:right w:val="none" w:sz="0" w:space="0" w:color="auto"/>
      </w:divBdr>
    </w:div>
    <w:div w:id="1664118276">
      <w:bodyDiv w:val="1"/>
      <w:marLeft w:val="0"/>
      <w:marRight w:val="0"/>
      <w:marTop w:val="0"/>
      <w:marBottom w:val="0"/>
      <w:divBdr>
        <w:top w:val="none" w:sz="0" w:space="0" w:color="auto"/>
        <w:left w:val="none" w:sz="0" w:space="0" w:color="auto"/>
        <w:bottom w:val="none" w:sz="0" w:space="0" w:color="auto"/>
        <w:right w:val="none" w:sz="0" w:space="0" w:color="auto"/>
      </w:divBdr>
    </w:div>
    <w:div w:id="1667443475">
      <w:bodyDiv w:val="1"/>
      <w:marLeft w:val="0"/>
      <w:marRight w:val="0"/>
      <w:marTop w:val="0"/>
      <w:marBottom w:val="0"/>
      <w:divBdr>
        <w:top w:val="none" w:sz="0" w:space="0" w:color="auto"/>
        <w:left w:val="none" w:sz="0" w:space="0" w:color="auto"/>
        <w:bottom w:val="none" w:sz="0" w:space="0" w:color="auto"/>
        <w:right w:val="none" w:sz="0" w:space="0" w:color="auto"/>
      </w:divBdr>
    </w:div>
    <w:div w:id="1675646917">
      <w:bodyDiv w:val="1"/>
      <w:marLeft w:val="0"/>
      <w:marRight w:val="0"/>
      <w:marTop w:val="0"/>
      <w:marBottom w:val="0"/>
      <w:divBdr>
        <w:top w:val="none" w:sz="0" w:space="0" w:color="auto"/>
        <w:left w:val="none" w:sz="0" w:space="0" w:color="auto"/>
        <w:bottom w:val="none" w:sz="0" w:space="0" w:color="auto"/>
        <w:right w:val="none" w:sz="0" w:space="0" w:color="auto"/>
      </w:divBdr>
    </w:div>
    <w:div w:id="1676110717">
      <w:bodyDiv w:val="1"/>
      <w:marLeft w:val="0"/>
      <w:marRight w:val="0"/>
      <w:marTop w:val="0"/>
      <w:marBottom w:val="0"/>
      <w:divBdr>
        <w:top w:val="none" w:sz="0" w:space="0" w:color="auto"/>
        <w:left w:val="none" w:sz="0" w:space="0" w:color="auto"/>
        <w:bottom w:val="none" w:sz="0" w:space="0" w:color="auto"/>
        <w:right w:val="none" w:sz="0" w:space="0" w:color="auto"/>
      </w:divBdr>
    </w:div>
    <w:div w:id="1682274004">
      <w:bodyDiv w:val="1"/>
      <w:marLeft w:val="0"/>
      <w:marRight w:val="0"/>
      <w:marTop w:val="0"/>
      <w:marBottom w:val="0"/>
      <w:divBdr>
        <w:top w:val="none" w:sz="0" w:space="0" w:color="auto"/>
        <w:left w:val="none" w:sz="0" w:space="0" w:color="auto"/>
        <w:bottom w:val="none" w:sz="0" w:space="0" w:color="auto"/>
        <w:right w:val="none" w:sz="0" w:space="0" w:color="auto"/>
      </w:divBdr>
    </w:div>
    <w:div w:id="1683624524">
      <w:bodyDiv w:val="1"/>
      <w:marLeft w:val="0"/>
      <w:marRight w:val="0"/>
      <w:marTop w:val="0"/>
      <w:marBottom w:val="0"/>
      <w:divBdr>
        <w:top w:val="none" w:sz="0" w:space="0" w:color="auto"/>
        <w:left w:val="none" w:sz="0" w:space="0" w:color="auto"/>
        <w:bottom w:val="none" w:sz="0" w:space="0" w:color="auto"/>
        <w:right w:val="none" w:sz="0" w:space="0" w:color="auto"/>
      </w:divBdr>
    </w:div>
    <w:div w:id="1683706961">
      <w:bodyDiv w:val="1"/>
      <w:marLeft w:val="0"/>
      <w:marRight w:val="0"/>
      <w:marTop w:val="0"/>
      <w:marBottom w:val="0"/>
      <w:divBdr>
        <w:top w:val="none" w:sz="0" w:space="0" w:color="auto"/>
        <w:left w:val="none" w:sz="0" w:space="0" w:color="auto"/>
        <w:bottom w:val="none" w:sz="0" w:space="0" w:color="auto"/>
        <w:right w:val="none" w:sz="0" w:space="0" w:color="auto"/>
      </w:divBdr>
      <w:divsChild>
        <w:div w:id="1289579915">
          <w:marLeft w:val="0"/>
          <w:marRight w:val="0"/>
          <w:marTop w:val="0"/>
          <w:marBottom w:val="0"/>
          <w:divBdr>
            <w:top w:val="none" w:sz="0" w:space="0" w:color="auto"/>
            <w:left w:val="none" w:sz="0" w:space="0" w:color="auto"/>
            <w:bottom w:val="none" w:sz="0" w:space="0" w:color="auto"/>
            <w:right w:val="none" w:sz="0" w:space="0" w:color="auto"/>
          </w:divBdr>
        </w:div>
        <w:div w:id="602882082">
          <w:marLeft w:val="0"/>
          <w:marRight w:val="0"/>
          <w:marTop w:val="0"/>
          <w:marBottom w:val="0"/>
          <w:divBdr>
            <w:top w:val="none" w:sz="0" w:space="0" w:color="auto"/>
            <w:left w:val="none" w:sz="0" w:space="0" w:color="auto"/>
            <w:bottom w:val="none" w:sz="0" w:space="0" w:color="auto"/>
            <w:right w:val="none" w:sz="0" w:space="0" w:color="auto"/>
          </w:divBdr>
        </w:div>
        <w:div w:id="1835487398">
          <w:marLeft w:val="0"/>
          <w:marRight w:val="0"/>
          <w:marTop w:val="0"/>
          <w:marBottom w:val="0"/>
          <w:divBdr>
            <w:top w:val="none" w:sz="0" w:space="0" w:color="auto"/>
            <w:left w:val="none" w:sz="0" w:space="0" w:color="auto"/>
            <w:bottom w:val="none" w:sz="0" w:space="0" w:color="auto"/>
            <w:right w:val="none" w:sz="0" w:space="0" w:color="auto"/>
          </w:divBdr>
        </w:div>
        <w:div w:id="405422539">
          <w:marLeft w:val="0"/>
          <w:marRight w:val="0"/>
          <w:marTop w:val="0"/>
          <w:marBottom w:val="0"/>
          <w:divBdr>
            <w:top w:val="none" w:sz="0" w:space="0" w:color="auto"/>
            <w:left w:val="none" w:sz="0" w:space="0" w:color="auto"/>
            <w:bottom w:val="none" w:sz="0" w:space="0" w:color="auto"/>
            <w:right w:val="none" w:sz="0" w:space="0" w:color="auto"/>
          </w:divBdr>
        </w:div>
        <w:div w:id="425350075">
          <w:marLeft w:val="0"/>
          <w:marRight w:val="0"/>
          <w:marTop w:val="0"/>
          <w:marBottom w:val="0"/>
          <w:divBdr>
            <w:top w:val="none" w:sz="0" w:space="0" w:color="auto"/>
            <w:left w:val="none" w:sz="0" w:space="0" w:color="auto"/>
            <w:bottom w:val="none" w:sz="0" w:space="0" w:color="auto"/>
            <w:right w:val="none" w:sz="0" w:space="0" w:color="auto"/>
          </w:divBdr>
        </w:div>
        <w:div w:id="1317303027">
          <w:marLeft w:val="0"/>
          <w:marRight w:val="0"/>
          <w:marTop w:val="0"/>
          <w:marBottom w:val="0"/>
          <w:divBdr>
            <w:top w:val="none" w:sz="0" w:space="0" w:color="auto"/>
            <w:left w:val="none" w:sz="0" w:space="0" w:color="auto"/>
            <w:bottom w:val="none" w:sz="0" w:space="0" w:color="auto"/>
            <w:right w:val="none" w:sz="0" w:space="0" w:color="auto"/>
          </w:divBdr>
        </w:div>
        <w:div w:id="294070984">
          <w:marLeft w:val="0"/>
          <w:marRight w:val="0"/>
          <w:marTop w:val="0"/>
          <w:marBottom w:val="0"/>
          <w:divBdr>
            <w:top w:val="none" w:sz="0" w:space="0" w:color="auto"/>
            <w:left w:val="none" w:sz="0" w:space="0" w:color="auto"/>
            <w:bottom w:val="none" w:sz="0" w:space="0" w:color="auto"/>
            <w:right w:val="none" w:sz="0" w:space="0" w:color="auto"/>
          </w:divBdr>
        </w:div>
        <w:div w:id="1591426144">
          <w:marLeft w:val="0"/>
          <w:marRight w:val="0"/>
          <w:marTop w:val="0"/>
          <w:marBottom w:val="0"/>
          <w:divBdr>
            <w:top w:val="none" w:sz="0" w:space="0" w:color="auto"/>
            <w:left w:val="none" w:sz="0" w:space="0" w:color="auto"/>
            <w:bottom w:val="none" w:sz="0" w:space="0" w:color="auto"/>
            <w:right w:val="none" w:sz="0" w:space="0" w:color="auto"/>
          </w:divBdr>
        </w:div>
        <w:div w:id="1290280282">
          <w:marLeft w:val="0"/>
          <w:marRight w:val="0"/>
          <w:marTop w:val="0"/>
          <w:marBottom w:val="0"/>
          <w:divBdr>
            <w:top w:val="none" w:sz="0" w:space="0" w:color="auto"/>
            <w:left w:val="none" w:sz="0" w:space="0" w:color="auto"/>
            <w:bottom w:val="none" w:sz="0" w:space="0" w:color="auto"/>
            <w:right w:val="none" w:sz="0" w:space="0" w:color="auto"/>
          </w:divBdr>
        </w:div>
        <w:div w:id="242372553">
          <w:marLeft w:val="0"/>
          <w:marRight w:val="0"/>
          <w:marTop w:val="0"/>
          <w:marBottom w:val="0"/>
          <w:divBdr>
            <w:top w:val="none" w:sz="0" w:space="0" w:color="auto"/>
            <w:left w:val="none" w:sz="0" w:space="0" w:color="auto"/>
            <w:bottom w:val="none" w:sz="0" w:space="0" w:color="auto"/>
            <w:right w:val="none" w:sz="0" w:space="0" w:color="auto"/>
          </w:divBdr>
        </w:div>
        <w:div w:id="72747258">
          <w:marLeft w:val="0"/>
          <w:marRight w:val="0"/>
          <w:marTop w:val="0"/>
          <w:marBottom w:val="0"/>
          <w:divBdr>
            <w:top w:val="none" w:sz="0" w:space="0" w:color="auto"/>
            <w:left w:val="none" w:sz="0" w:space="0" w:color="auto"/>
            <w:bottom w:val="none" w:sz="0" w:space="0" w:color="auto"/>
            <w:right w:val="none" w:sz="0" w:space="0" w:color="auto"/>
          </w:divBdr>
        </w:div>
      </w:divsChild>
    </w:div>
    <w:div w:id="1686979553">
      <w:bodyDiv w:val="1"/>
      <w:marLeft w:val="0"/>
      <w:marRight w:val="0"/>
      <w:marTop w:val="0"/>
      <w:marBottom w:val="0"/>
      <w:divBdr>
        <w:top w:val="none" w:sz="0" w:space="0" w:color="auto"/>
        <w:left w:val="none" w:sz="0" w:space="0" w:color="auto"/>
        <w:bottom w:val="none" w:sz="0" w:space="0" w:color="auto"/>
        <w:right w:val="none" w:sz="0" w:space="0" w:color="auto"/>
      </w:divBdr>
    </w:div>
    <w:div w:id="1688557900">
      <w:bodyDiv w:val="1"/>
      <w:marLeft w:val="0"/>
      <w:marRight w:val="0"/>
      <w:marTop w:val="0"/>
      <w:marBottom w:val="0"/>
      <w:divBdr>
        <w:top w:val="none" w:sz="0" w:space="0" w:color="auto"/>
        <w:left w:val="none" w:sz="0" w:space="0" w:color="auto"/>
        <w:bottom w:val="none" w:sz="0" w:space="0" w:color="auto"/>
        <w:right w:val="none" w:sz="0" w:space="0" w:color="auto"/>
      </w:divBdr>
    </w:div>
    <w:div w:id="1690183054">
      <w:bodyDiv w:val="1"/>
      <w:marLeft w:val="0"/>
      <w:marRight w:val="0"/>
      <w:marTop w:val="0"/>
      <w:marBottom w:val="0"/>
      <w:divBdr>
        <w:top w:val="none" w:sz="0" w:space="0" w:color="auto"/>
        <w:left w:val="none" w:sz="0" w:space="0" w:color="auto"/>
        <w:bottom w:val="none" w:sz="0" w:space="0" w:color="auto"/>
        <w:right w:val="none" w:sz="0" w:space="0" w:color="auto"/>
      </w:divBdr>
    </w:div>
    <w:div w:id="1692299848">
      <w:bodyDiv w:val="1"/>
      <w:marLeft w:val="0"/>
      <w:marRight w:val="0"/>
      <w:marTop w:val="0"/>
      <w:marBottom w:val="0"/>
      <w:divBdr>
        <w:top w:val="none" w:sz="0" w:space="0" w:color="auto"/>
        <w:left w:val="none" w:sz="0" w:space="0" w:color="auto"/>
        <w:bottom w:val="none" w:sz="0" w:space="0" w:color="auto"/>
        <w:right w:val="none" w:sz="0" w:space="0" w:color="auto"/>
      </w:divBdr>
    </w:div>
    <w:div w:id="1692759525">
      <w:bodyDiv w:val="1"/>
      <w:marLeft w:val="0"/>
      <w:marRight w:val="0"/>
      <w:marTop w:val="0"/>
      <w:marBottom w:val="0"/>
      <w:divBdr>
        <w:top w:val="none" w:sz="0" w:space="0" w:color="auto"/>
        <w:left w:val="none" w:sz="0" w:space="0" w:color="auto"/>
        <w:bottom w:val="none" w:sz="0" w:space="0" w:color="auto"/>
        <w:right w:val="none" w:sz="0" w:space="0" w:color="auto"/>
      </w:divBdr>
    </w:div>
    <w:div w:id="1695811543">
      <w:bodyDiv w:val="1"/>
      <w:marLeft w:val="0"/>
      <w:marRight w:val="0"/>
      <w:marTop w:val="0"/>
      <w:marBottom w:val="0"/>
      <w:divBdr>
        <w:top w:val="none" w:sz="0" w:space="0" w:color="auto"/>
        <w:left w:val="none" w:sz="0" w:space="0" w:color="auto"/>
        <w:bottom w:val="none" w:sz="0" w:space="0" w:color="auto"/>
        <w:right w:val="none" w:sz="0" w:space="0" w:color="auto"/>
      </w:divBdr>
    </w:div>
    <w:div w:id="1703742698">
      <w:bodyDiv w:val="1"/>
      <w:marLeft w:val="0"/>
      <w:marRight w:val="0"/>
      <w:marTop w:val="0"/>
      <w:marBottom w:val="0"/>
      <w:divBdr>
        <w:top w:val="none" w:sz="0" w:space="0" w:color="auto"/>
        <w:left w:val="none" w:sz="0" w:space="0" w:color="auto"/>
        <w:bottom w:val="none" w:sz="0" w:space="0" w:color="auto"/>
        <w:right w:val="none" w:sz="0" w:space="0" w:color="auto"/>
      </w:divBdr>
    </w:div>
    <w:div w:id="1712269582">
      <w:bodyDiv w:val="1"/>
      <w:marLeft w:val="0"/>
      <w:marRight w:val="0"/>
      <w:marTop w:val="0"/>
      <w:marBottom w:val="0"/>
      <w:divBdr>
        <w:top w:val="none" w:sz="0" w:space="0" w:color="auto"/>
        <w:left w:val="none" w:sz="0" w:space="0" w:color="auto"/>
        <w:bottom w:val="none" w:sz="0" w:space="0" w:color="auto"/>
        <w:right w:val="none" w:sz="0" w:space="0" w:color="auto"/>
      </w:divBdr>
    </w:div>
    <w:div w:id="1712921204">
      <w:bodyDiv w:val="1"/>
      <w:marLeft w:val="0"/>
      <w:marRight w:val="0"/>
      <w:marTop w:val="0"/>
      <w:marBottom w:val="0"/>
      <w:divBdr>
        <w:top w:val="none" w:sz="0" w:space="0" w:color="auto"/>
        <w:left w:val="none" w:sz="0" w:space="0" w:color="auto"/>
        <w:bottom w:val="none" w:sz="0" w:space="0" w:color="auto"/>
        <w:right w:val="none" w:sz="0" w:space="0" w:color="auto"/>
      </w:divBdr>
    </w:div>
    <w:div w:id="1717898531">
      <w:bodyDiv w:val="1"/>
      <w:marLeft w:val="0"/>
      <w:marRight w:val="0"/>
      <w:marTop w:val="0"/>
      <w:marBottom w:val="0"/>
      <w:divBdr>
        <w:top w:val="none" w:sz="0" w:space="0" w:color="auto"/>
        <w:left w:val="none" w:sz="0" w:space="0" w:color="auto"/>
        <w:bottom w:val="none" w:sz="0" w:space="0" w:color="auto"/>
        <w:right w:val="none" w:sz="0" w:space="0" w:color="auto"/>
      </w:divBdr>
    </w:div>
    <w:div w:id="1718316672">
      <w:bodyDiv w:val="1"/>
      <w:marLeft w:val="0"/>
      <w:marRight w:val="0"/>
      <w:marTop w:val="0"/>
      <w:marBottom w:val="0"/>
      <w:divBdr>
        <w:top w:val="none" w:sz="0" w:space="0" w:color="auto"/>
        <w:left w:val="none" w:sz="0" w:space="0" w:color="auto"/>
        <w:bottom w:val="none" w:sz="0" w:space="0" w:color="auto"/>
        <w:right w:val="none" w:sz="0" w:space="0" w:color="auto"/>
      </w:divBdr>
    </w:div>
    <w:div w:id="1727337837">
      <w:bodyDiv w:val="1"/>
      <w:marLeft w:val="0"/>
      <w:marRight w:val="0"/>
      <w:marTop w:val="0"/>
      <w:marBottom w:val="0"/>
      <w:divBdr>
        <w:top w:val="none" w:sz="0" w:space="0" w:color="auto"/>
        <w:left w:val="none" w:sz="0" w:space="0" w:color="auto"/>
        <w:bottom w:val="none" w:sz="0" w:space="0" w:color="auto"/>
        <w:right w:val="none" w:sz="0" w:space="0" w:color="auto"/>
      </w:divBdr>
    </w:div>
    <w:div w:id="1729567886">
      <w:bodyDiv w:val="1"/>
      <w:marLeft w:val="0"/>
      <w:marRight w:val="0"/>
      <w:marTop w:val="0"/>
      <w:marBottom w:val="0"/>
      <w:divBdr>
        <w:top w:val="none" w:sz="0" w:space="0" w:color="auto"/>
        <w:left w:val="none" w:sz="0" w:space="0" w:color="auto"/>
        <w:bottom w:val="none" w:sz="0" w:space="0" w:color="auto"/>
        <w:right w:val="none" w:sz="0" w:space="0" w:color="auto"/>
      </w:divBdr>
      <w:divsChild>
        <w:div w:id="366370562">
          <w:marLeft w:val="0"/>
          <w:marRight w:val="0"/>
          <w:marTop w:val="0"/>
          <w:marBottom w:val="0"/>
          <w:divBdr>
            <w:top w:val="none" w:sz="0" w:space="0" w:color="auto"/>
            <w:left w:val="none" w:sz="0" w:space="0" w:color="auto"/>
            <w:bottom w:val="none" w:sz="0" w:space="0" w:color="auto"/>
            <w:right w:val="none" w:sz="0" w:space="0" w:color="auto"/>
          </w:divBdr>
        </w:div>
      </w:divsChild>
    </w:div>
    <w:div w:id="1729769021">
      <w:bodyDiv w:val="1"/>
      <w:marLeft w:val="0"/>
      <w:marRight w:val="0"/>
      <w:marTop w:val="0"/>
      <w:marBottom w:val="0"/>
      <w:divBdr>
        <w:top w:val="none" w:sz="0" w:space="0" w:color="auto"/>
        <w:left w:val="none" w:sz="0" w:space="0" w:color="auto"/>
        <w:bottom w:val="none" w:sz="0" w:space="0" w:color="auto"/>
        <w:right w:val="none" w:sz="0" w:space="0" w:color="auto"/>
      </w:divBdr>
    </w:div>
    <w:div w:id="1735619254">
      <w:bodyDiv w:val="1"/>
      <w:marLeft w:val="0"/>
      <w:marRight w:val="0"/>
      <w:marTop w:val="0"/>
      <w:marBottom w:val="0"/>
      <w:divBdr>
        <w:top w:val="none" w:sz="0" w:space="0" w:color="auto"/>
        <w:left w:val="none" w:sz="0" w:space="0" w:color="auto"/>
        <w:bottom w:val="none" w:sz="0" w:space="0" w:color="auto"/>
        <w:right w:val="none" w:sz="0" w:space="0" w:color="auto"/>
      </w:divBdr>
    </w:div>
    <w:div w:id="1739985167">
      <w:bodyDiv w:val="1"/>
      <w:marLeft w:val="0"/>
      <w:marRight w:val="0"/>
      <w:marTop w:val="0"/>
      <w:marBottom w:val="0"/>
      <w:divBdr>
        <w:top w:val="none" w:sz="0" w:space="0" w:color="auto"/>
        <w:left w:val="none" w:sz="0" w:space="0" w:color="auto"/>
        <w:bottom w:val="none" w:sz="0" w:space="0" w:color="auto"/>
        <w:right w:val="none" w:sz="0" w:space="0" w:color="auto"/>
      </w:divBdr>
    </w:div>
    <w:div w:id="1741950611">
      <w:bodyDiv w:val="1"/>
      <w:marLeft w:val="0"/>
      <w:marRight w:val="0"/>
      <w:marTop w:val="0"/>
      <w:marBottom w:val="0"/>
      <w:divBdr>
        <w:top w:val="none" w:sz="0" w:space="0" w:color="auto"/>
        <w:left w:val="none" w:sz="0" w:space="0" w:color="auto"/>
        <w:bottom w:val="none" w:sz="0" w:space="0" w:color="auto"/>
        <w:right w:val="none" w:sz="0" w:space="0" w:color="auto"/>
      </w:divBdr>
    </w:div>
    <w:div w:id="1743870907">
      <w:bodyDiv w:val="1"/>
      <w:marLeft w:val="0"/>
      <w:marRight w:val="0"/>
      <w:marTop w:val="0"/>
      <w:marBottom w:val="0"/>
      <w:divBdr>
        <w:top w:val="none" w:sz="0" w:space="0" w:color="auto"/>
        <w:left w:val="none" w:sz="0" w:space="0" w:color="auto"/>
        <w:bottom w:val="none" w:sz="0" w:space="0" w:color="auto"/>
        <w:right w:val="none" w:sz="0" w:space="0" w:color="auto"/>
      </w:divBdr>
    </w:div>
    <w:div w:id="1744789389">
      <w:bodyDiv w:val="1"/>
      <w:marLeft w:val="0"/>
      <w:marRight w:val="0"/>
      <w:marTop w:val="0"/>
      <w:marBottom w:val="0"/>
      <w:divBdr>
        <w:top w:val="none" w:sz="0" w:space="0" w:color="auto"/>
        <w:left w:val="none" w:sz="0" w:space="0" w:color="auto"/>
        <w:bottom w:val="none" w:sz="0" w:space="0" w:color="auto"/>
        <w:right w:val="none" w:sz="0" w:space="0" w:color="auto"/>
      </w:divBdr>
    </w:div>
    <w:div w:id="1744913398">
      <w:bodyDiv w:val="1"/>
      <w:marLeft w:val="0"/>
      <w:marRight w:val="0"/>
      <w:marTop w:val="0"/>
      <w:marBottom w:val="0"/>
      <w:divBdr>
        <w:top w:val="none" w:sz="0" w:space="0" w:color="auto"/>
        <w:left w:val="none" w:sz="0" w:space="0" w:color="auto"/>
        <w:bottom w:val="none" w:sz="0" w:space="0" w:color="auto"/>
        <w:right w:val="none" w:sz="0" w:space="0" w:color="auto"/>
      </w:divBdr>
    </w:div>
    <w:div w:id="1747996764">
      <w:bodyDiv w:val="1"/>
      <w:marLeft w:val="0"/>
      <w:marRight w:val="0"/>
      <w:marTop w:val="0"/>
      <w:marBottom w:val="0"/>
      <w:divBdr>
        <w:top w:val="none" w:sz="0" w:space="0" w:color="auto"/>
        <w:left w:val="none" w:sz="0" w:space="0" w:color="auto"/>
        <w:bottom w:val="none" w:sz="0" w:space="0" w:color="auto"/>
        <w:right w:val="none" w:sz="0" w:space="0" w:color="auto"/>
      </w:divBdr>
    </w:div>
    <w:div w:id="1750344870">
      <w:bodyDiv w:val="1"/>
      <w:marLeft w:val="0"/>
      <w:marRight w:val="0"/>
      <w:marTop w:val="0"/>
      <w:marBottom w:val="0"/>
      <w:divBdr>
        <w:top w:val="none" w:sz="0" w:space="0" w:color="auto"/>
        <w:left w:val="none" w:sz="0" w:space="0" w:color="auto"/>
        <w:bottom w:val="none" w:sz="0" w:space="0" w:color="auto"/>
        <w:right w:val="none" w:sz="0" w:space="0" w:color="auto"/>
      </w:divBdr>
    </w:div>
    <w:div w:id="1754624720">
      <w:bodyDiv w:val="1"/>
      <w:marLeft w:val="0"/>
      <w:marRight w:val="0"/>
      <w:marTop w:val="0"/>
      <w:marBottom w:val="0"/>
      <w:divBdr>
        <w:top w:val="none" w:sz="0" w:space="0" w:color="auto"/>
        <w:left w:val="none" w:sz="0" w:space="0" w:color="auto"/>
        <w:bottom w:val="none" w:sz="0" w:space="0" w:color="auto"/>
        <w:right w:val="none" w:sz="0" w:space="0" w:color="auto"/>
      </w:divBdr>
    </w:div>
    <w:div w:id="1766995016">
      <w:bodyDiv w:val="1"/>
      <w:marLeft w:val="0"/>
      <w:marRight w:val="0"/>
      <w:marTop w:val="0"/>
      <w:marBottom w:val="0"/>
      <w:divBdr>
        <w:top w:val="none" w:sz="0" w:space="0" w:color="auto"/>
        <w:left w:val="none" w:sz="0" w:space="0" w:color="auto"/>
        <w:bottom w:val="none" w:sz="0" w:space="0" w:color="auto"/>
        <w:right w:val="none" w:sz="0" w:space="0" w:color="auto"/>
      </w:divBdr>
    </w:div>
    <w:div w:id="1774396582">
      <w:bodyDiv w:val="1"/>
      <w:marLeft w:val="0"/>
      <w:marRight w:val="0"/>
      <w:marTop w:val="0"/>
      <w:marBottom w:val="0"/>
      <w:divBdr>
        <w:top w:val="none" w:sz="0" w:space="0" w:color="auto"/>
        <w:left w:val="none" w:sz="0" w:space="0" w:color="auto"/>
        <w:bottom w:val="none" w:sz="0" w:space="0" w:color="auto"/>
        <w:right w:val="none" w:sz="0" w:space="0" w:color="auto"/>
      </w:divBdr>
    </w:div>
    <w:div w:id="1775442486">
      <w:bodyDiv w:val="1"/>
      <w:marLeft w:val="0"/>
      <w:marRight w:val="0"/>
      <w:marTop w:val="0"/>
      <w:marBottom w:val="0"/>
      <w:divBdr>
        <w:top w:val="none" w:sz="0" w:space="0" w:color="auto"/>
        <w:left w:val="none" w:sz="0" w:space="0" w:color="auto"/>
        <w:bottom w:val="none" w:sz="0" w:space="0" w:color="auto"/>
        <w:right w:val="none" w:sz="0" w:space="0" w:color="auto"/>
      </w:divBdr>
    </w:div>
    <w:div w:id="1781412360">
      <w:bodyDiv w:val="1"/>
      <w:marLeft w:val="0"/>
      <w:marRight w:val="0"/>
      <w:marTop w:val="0"/>
      <w:marBottom w:val="0"/>
      <w:divBdr>
        <w:top w:val="none" w:sz="0" w:space="0" w:color="auto"/>
        <w:left w:val="none" w:sz="0" w:space="0" w:color="auto"/>
        <w:bottom w:val="none" w:sz="0" w:space="0" w:color="auto"/>
        <w:right w:val="none" w:sz="0" w:space="0" w:color="auto"/>
      </w:divBdr>
    </w:div>
    <w:div w:id="1785155151">
      <w:bodyDiv w:val="1"/>
      <w:marLeft w:val="0"/>
      <w:marRight w:val="0"/>
      <w:marTop w:val="0"/>
      <w:marBottom w:val="0"/>
      <w:divBdr>
        <w:top w:val="none" w:sz="0" w:space="0" w:color="auto"/>
        <w:left w:val="none" w:sz="0" w:space="0" w:color="auto"/>
        <w:bottom w:val="none" w:sz="0" w:space="0" w:color="auto"/>
        <w:right w:val="none" w:sz="0" w:space="0" w:color="auto"/>
      </w:divBdr>
    </w:div>
    <w:div w:id="1786734254">
      <w:bodyDiv w:val="1"/>
      <w:marLeft w:val="0"/>
      <w:marRight w:val="0"/>
      <w:marTop w:val="0"/>
      <w:marBottom w:val="0"/>
      <w:divBdr>
        <w:top w:val="none" w:sz="0" w:space="0" w:color="auto"/>
        <w:left w:val="none" w:sz="0" w:space="0" w:color="auto"/>
        <w:bottom w:val="none" w:sz="0" w:space="0" w:color="auto"/>
        <w:right w:val="none" w:sz="0" w:space="0" w:color="auto"/>
      </w:divBdr>
    </w:div>
    <w:div w:id="1790123191">
      <w:bodyDiv w:val="1"/>
      <w:marLeft w:val="0"/>
      <w:marRight w:val="0"/>
      <w:marTop w:val="0"/>
      <w:marBottom w:val="0"/>
      <w:divBdr>
        <w:top w:val="none" w:sz="0" w:space="0" w:color="auto"/>
        <w:left w:val="none" w:sz="0" w:space="0" w:color="auto"/>
        <w:bottom w:val="none" w:sz="0" w:space="0" w:color="auto"/>
        <w:right w:val="none" w:sz="0" w:space="0" w:color="auto"/>
      </w:divBdr>
    </w:div>
    <w:div w:id="1791513131">
      <w:bodyDiv w:val="1"/>
      <w:marLeft w:val="0"/>
      <w:marRight w:val="0"/>
      <w:marTop w:val="0"/>
      <w:marBottom w:val="0"/>
      <w:divBdr>
        <w:top w:val="none" w:sz="0" w:space="0" w:color="auto"/>
        <w:left w:val="none" w:sz="0" w:space="0" w:color="auto"/>
        <w:bottom w:val="none" w:sz="0" w:space="0" w:color="auto"/>
        <w:right w:val="none" w:sz="0" w:space="0" w:color="auto"/>
      </w:divBdr>
    </w:div>
    <w:div w:id="1797065029">
      <w:bodyDiv w:val="1"/>
      <w:marLeft w:val="0"/>
      <w:marRight w:val="0"/>
      <w:marTop w:val="0"/>
      <w:marBottom w:val="0"/>
      <w:divBdr>
        <w:top w:val="none" w:sz="0" w:space="0" w:color="auto"/>
        <w:left w:val="none" w:sz="0" w:space="0" w:color="auto"/>
        <w:bottom w:val="none" w:sz="0" w:space="0" w:color="auto"/>
        <w:right w:val="none" w:sz="0" w:space="0" w:color="auto"/>
      </w:divBdr>
    </w:div>
    <w:div w:id="1801730351">
      <w:bodyDiv w:val="1"/>
      <w:marLeft w:val="0"/>
      <w:marRight w:val="0"/>
      <w:marTop w:val="0"/>
      <w:marBottom w:val="0"/>
      <w:divBdr>
        <w:top w:val="none" w:sz="0" w:space="0" w:color="auto"/>
        <w:left w:val="none" w:sz="0" w:space="0" w:color="auto"/>
        <w:bottom w:val="none" w:sz="0" w:space="0" w:color="auto"/>
        <w:right w:val="none" w:sz="0" w:space="0" w:color="auto"/>
      </w:divBdr>
    </w:div>
    <w:div w:id="1807894764">
      <w:bodyDiv w:val="1"/>
      <w:marLeft w:val="0"/>
      <w:marRight w:val="0"/>
      <w:marTop w:val="0"/>
      <w:marBottom w:val="0"/>
      <w:divBdr>
        <w:top w:val="none" w:sz="0" w:space="0" w:color="auto"/>
        <w:left w:val="none" w:sz="0" w:space="0" w:color="auto"/>
        <w:bottom w:val="none" w:sz="0" w:space="0" w:color="auto"/>
        <w:right w:val="none" w:sz="0" w:space="0" w:color="auto"/>
      </w:divBdr>
    </w:div>
    <w:div w:id="1809974603">
      <w:bodyDiv w:val="1"/>
      <w:marLeft w:val="0"/>
      <w:marRight w:val="0"/>
      <w:marTop w:val="0"/>
      <w:marBottom w:val="0"/>
      <w:divBdr>
        <w:top w:val="none" w:sz="0" w:space="0" w:color="auto"/>
        <w:left w:val="none" w:sz="0" w:space="0" w:color="auto"/>
        <w:bottom w:val="none" w:sz="0" w:space="0" w:color="auto"/>
        <w:right w:val="none" w:sz="0" w:space="0" w:color="auto"/>
      </w:divBdr>
    </w:div>
    <w:div w:id="1810590292">
      <w:bodyDiv w:val="1"/>
      <w:marLeft w:val="0"/>
      <w:marRight w:val="0"/>
      <w:marTop w:val="0"/>
      <w:marBottom w:val="0"/>
      <w:divBdr>
        <w:top w:val="none" w:sz="0" w:space="0" w:color="auto"/>
        <w:left w:val="none" w:sz="0" w:space="0" w:color="auto"/>
        <w:bottom w:val="none" w:sz="0" w:space="0" w:color="auto"/>
        <w:right w:val="none" w:sz="0" w:space="0" w:color="auto"/>
      </w:divBdr>
    </w:div>
    <w:div w:id="1811363319">
      <w:bodyDiv w:val="1"/>
      <w:marLeft w:val="0"/>
      <w:marRight w:val="0"/>
      <w:marTop w:val="0"/>
      <w:marBottom w:val="0"/>
      <w:divBdr>
        <w:top w:val="none" w:sz="0" w:space="0" w:color="auto"/>
        <w:left w:val="none" w:sz="0" w:space="0" w:color="auto"/>
        <w:bottom w:val="none" w:sz="0" w:space="0" w:color="auto"/>
        <w:right w:val="none" w:sz="0" w:space="0" w:color="auto"/>
      </w:divBdr>
    </w:div>
    <w:div w:id="1829832315">
      <w:bodyDiv w:val="1"/>
      <w:marLeft w:val="0"/>
      <w:marRight w:val="0"/>
      <w:marTop w:val="0"/>
      <w:marBottom w:val="0"/>
      <w:divBdr>
        <w:top w:val="none" w:sz="0" w:space="0" w:color="auto"/>
        <w:left w:val="none" w:sz="0" w:space="0" w:color="auto"/>
        <w:bottom w:val="none" w:sz="0" w:space="0" w:color="auto"/>
        <w:right w:val="none" w:sz="0" w:space="0" w:color="auto"/>
      </w:divBdr>
    </w:div>
    <w:div w:id="1833989116">
      <w:bodyDiv w:val="1"/>
      <w:marLeft w:val="0"/>
      <w:marRight w:val="0"/>
      <w:marTop w:val="0"/>
      <w:marBottom w:val="0"/>
      <w:divBdr>
        <w:top w:val="none" w:sz="0" w:space="0" w:color="auto"/>
        <w:left w:val="none" w:sz="0" w:space="0" w:color="auto"/>
        <w:bottom w:val="none" w:sz="0" w:space="0" w:color="auto"/>
        <w:right w:val="none" w:sz="0" w:space="0" w:color="auto"/>
      </w:divBdr>
    </w:div>
    <w:div w:id="1841919079">
      <w:bodyDiv w:val="1"/>
      <w:marLeft w:val="0"/>
      <w:marRight w:val="0"/>
      <w:marTop w:val="0"/>
      <w:marBottom w:val="0"/>
      <w:divBdr>
        <w:top w:val="none" w:sz="0" w:space="0" w:color="auto"/>
        <w:left w:val="none" w:sz="0" w:space="0" w:color="auto"/>
        <w:bottom w:val="none" w:sz="0" w:space="0" w:color="auto"/>
        <w:right w:val="none" w:sz="0" w:space="0" w:color="auto"/>
      </w:divBdr>
    </w:div>
    <w:div w:id="1842426474">
      <w:bodyDiv w:val="1"/>
      <w:marLeft w:val="0"/>
      <w:marRight w:val="0"/>
      <w:marTop w:val="0"/>
      <w:marBottom w:val="0"/>
      <w:divBdr>
        <w:top w:val="none" w:sz="0" w:space="0" w:color="auto"/>
        <w:left w:val="none" w:sz="0" w:space="0" w:color="auto"/>
        <w:bottom w:val="none" w:sz="0" w:space="0" w:color="auto"/>
        <w:right w:val="none" w:sz="0" w:space="0" w:color="auto"/>
      </w:divBdr>
    </w:div>
    <w:div w:id="1843810996">
      <w:bodyDiv w:val="1"/>
      <w:marLeft w:val="0"/>
      <w:marRight w:val="0"/>
      <w:marTop w:val="0"/>
      <w:marBottom w:val="0"/>
      <w:divBdr>
        <w:top w:val="none" w:sz="0" w:space="0" w:color="auto"/>
        <w:left w:val="none" w:sz="0" w:space="0" w:color="auto"/>
        <w:bottom w:val="none" w:sz="0" w:space="0" w:color="auto"/>
        <w:right w:val="none" w:sz="0" w:space="0" w:color="auto"/>
      </w:divBdr>
    </w:div>
    <w:div w:id="1843858143">
      <w:bodyDiv w:val="1"/>
      <w:marLeft w:val="0"/>
      <w:marRight w:val="0"/>
      <w:marTop w:val="0"/>
      <w:marBottom w:val="0"/>
      <w:divBdr>
        <w:top w:val="none" w:sz="0" w:space="0" w:color="auto"/>
        <w:left w:val="none" w:sz="0" w:space="0" w:color="auto"/>
        <w:bottom w:val="none" w:sz="0" w:space="0" w:color="auto"/>
        <w:right w:val="none" w:sz="0" w:space="0" w:color="auto"/>
      </w:divBdr>
    </w:div>
    <w:div w:id="1846243081">
      <w:bodyDiv w:val="1"/>
      <w:marLeft w:val="0"/>
      <w:marRight w:val="0"/>
      <w:marTop w:val="0"/>
      <w:marBottom w:val="0"/>
      <w:divBdr>
        <w:top w:val="none" w:sz="0" w:space="0" w:color="auto"/>
        <w:left w:val="none" w:sz="0" w:space="0" w:color="auto"/>
        <w:bottom w:val="none" w:sz="0" w:space="0" w:color="auto"/>
        <w:right w:val="none" w:sz="0" w:space="0" w:color="auto"/>
      </w:divBdr>
    </w:div>
    <w:div w:id="1856263302">
      <w:bodyDiv w:val="1"/>
      <w:marLeft w:val="0"/>
      <w:marRight w:val="0"/>
      <w:marTop w:val="0"/>
      <w:marBottom w:val="0"/>
      <w:divBdr>
        <w:top w:val="none" w:sz="0" w:space="0" w:color="auto"/>
        <w:left w:val="none" w:sz="0" w:space="0" w:color="auto"/>
        <w:bottom w:val="none" w:sz="0" w:space="0" w:color="auto"/>
        <w:right w:val="none" w:sz="0" w:space="0" w:color="auto"/>
      </w:divBdr>
    </w:div>
    <w:div w:id="1861434020">
      <w:bodyDiv w:val="1"/>
      <w:marLeft w:val="0"/>
      <w:marRight w:val="0"/>
      <w:marTop w:val="0"/>
      <w:marBottom w:val="0"/>
      <w:divBdr>
        <w:top w:val="none" w:sz="0" w:space="0" w:color="auto"/>
        <w:left w:val="none" w:sz="0" w:space="0" w:color="auto"/>
        <w:bottom w:val="none" w:sz="0" w:space="0" w:color="auto"/>
        <w:right w:val="none" w:sz="0" w:space="0" w:color="auto"/>
      </w:divBdr>
    </w:div>
    <w:div w:id="1871528885">
      <w:bodyDiv w:val="1"/>
      <w:marLeft w:val="0"/>
      <w:marRight w:val="0"/>
      <w:marTop w:val="0"/>
      <w:marBottom w:val="0"/>
      <w:divBdr>
        <w:top w:val="none" w:sz="0" w:space="0" w:color="auto"/>
        <w:left w:val="none" w:sz="0" w:space="0" w:color="auto"/>
        <w:bottom w:val="none" w:sz="0" w:space="0" w:color="auto"/>
        <w:right w:val="none" w:sz="0" w:space="0" w:color="auto"/>
      </w:divBdr>
    </w:div>
    <w:div w:id="1873759089">
      <w:bodyDiv w:val="1"/>
      <w:marLeft w:val="0"/>
      <w:marRight w:val="0"/>
      <w:marTop w:val="0"/>
      <w:marBottom w:val="0"/>
      <w:divBdr>
        <w:top w:val="none" w:sz="0" w:space="0" w:color="auto"/>
        <w:left w:val="none" w:sz="0" w:space="0" w:color="auto"/>
        <w:bottom w:val="none" w:sz="0" w:space="0" w:color="auto"/>
        <w:right w:val="none" w:sz="0" w:space="0" w:color="auto"/>
      </w:divBdr>
    </w:div>
    <w:div w:id="1877428495">
      <w:bodyDiv w:val="1"/>
      <w:marLeft w:val="0"/>
      <w:marRight w:val="0"/>
      <w:marTop w:val="0"/>
      <w:marBottom w:val="0"/>
      <w:divBdr>
        <w:top w:val="none" w:sz="0" w:space="0" w:color="auto"/>
        <w:left w:val="none" w:sz="0" w:space="0" w:color="auto"/>
        <w:bottom w:val="none" w:sz="0" w:space="0" w:color="auto"/>
        <w:right w:val="none" w:sz="0" w:space="0" w:color="auto"/>
      </w:divBdr>
    </w:div>
    <w:div w:id="1878854638">
      <w:bodyDiv w:val="1"/>
      <w:marLeft w:val="0"/>
      <w:marRight w:val="0"/>
      <w:marTop w:val="0"/>
      <w:marBottom w:val="0"/>
      <w:divBdr>
        <w:top w:val="none" w:sz="0" w:space="0" w:color="auto"/>
        <w:left w:val="none" w:sz="0" w:space="0" w:color="auto"/>
        <w:bottom w:val="none" w:sz="0" w:space="0" w:color="auto"/>
        <w:right w:val="none" w:sz="0" w:space="0" w:color="auto"/>
      </w:divBdr>
    </w:div>
    <w:div w:id="1881165041">
      <w:bodyDiv w:val="1"/>
      <w:marLeft w:val="0"/>
      <w:marRight w:val="0"/>
      <w:marTop w:val="0"/>
      <w:marBottom w:val="0"/>
      <w:divBdr>
        <w:top w:val="none" w:sz="0" w:space="0" w:color="auto"/>
        <w:left w:val="none" w:sz="0" w:space="0" w:color="auto"/>
        <w:bottom w:val="none" w:sz="0" w:space="0" w:color="auto"/>
        <w:right w:val="none" w:sz="0" w:space="0" w:color="auto"/>
      </w:divBdr>
    </w:div>
    <w:div w:id="1883008102">
      <w:bodyDiv w:val="1"/>
      <w:marLeft w:val="0"/>
      <w:marRight w:val="0"/>
      <w:marTop w:val="0"/>
      <w:marBottom w:val="0"/>
      <w:divBdr>
        <w:top w:val="none" w:sz="0" w:space="0" w:color="auto"/>
        <w:left w:val="none" w:sz="0" w:space="0" w:color="auto"/>
        <w:bottom w:val="none" w:sz="0" w:space="0" w:color="auto"/>
        <w:right w:val="none" w:sz="0" w:space="0" w:color="auto"/>
      </w:divBdr>
    </w:div>
    <w:div w:id="1883054559">
      <w:bodyDiv w:val="1"/>
      <w:marLeft w:val="0"/>
      <w:marRight w:val="0"/>
      <w:marTop w:val="0"/>
      <w:marBottom w:val="0"/>
      <w:divBdr>
        <w:top w:val="none" w:sz="0" w:space="0" w:color="auto"/>
        <w:left w:val="none" w:sz="0" w:space="0" w:color="auto"/>
        <w:bottom w:val="none" w:sz="0" w:space="0" w:color="auto"/>
        <w:right w:val="none" w:sz="0" w:space="0" w:color="auto"/>
      </w:divBdr>
    </w:div>
    <w:div w:id="1885369616">
      <w:bodyDiv w:val="1"/>
      <w:marLeft w:val="0"/>
      <w:marRight w:val="0"/>
      <w:marTop w:val="0"/>
      <w:marBottom w:val="0"/>
      <w:divBdr>
        <w:top w:val="none" w:sz="0" w:space="0" w:color="auto"/>
        <w:left w:val="none" w:sz="0" w:space="0" w:color="auto"/>
        <w:bottom w:val="none" w:sz="0" w:space="0" w:color="auto"/>
        <w:right w:val="none" w:sz="0" w:space="0" w:color="auto"/>
      </w:divBdr>
    </w:div>
    <w:div w:id="1886674576">
      <w:bodyDiv w:val="1"/>
      <w:marLeft w:val="0"/>
      <w:marRight w:val="0"/>
      <w:marTop w:val="0"/>
      <w:marBottom w:val="0"/>
      <w:divBdr>
        <w:top w:val="none" w:sz="0" w:space="0" w:color="auto"/>
        <w:left w:val="none" w:sz="0" w:space="0" w:color="auto"/>
        <w:bottom w:val="none" w:sz="0" w:space="0" w:color="auto"/>
        <w:right w:val="none" w:sz="0" w:space="0" w:color="auto"/>
      </w:divBdr>
    </w:div>
    <w:div w:id="1889102623">
      <w:bodyDiv w:val="1"/>
      <w:marLeft w:val="0"/>
      <w:marRight w:val="0"/>
      <w:marTop w:val="0"/>
      <w:marBottom w:val="0"/>
      <w:divBdr>
        <w:top w:val="none" w:sz="0" w:space="0" w:color="auto"/>
        <w:left w:val="none" w:sz="0" w:space="0" w:color="auto"/>
        <w:bottom w:val="none" w:sz="0" w:space="0" w:color="auto"/>
        <w:right w:val="none" w:sz="0" w:space="0" w:color="auto"/>
      </w:divBdr>
    </w:div>
    <w:div w:id="1893694269">
      <w:bodyDiv w:val="1"/>
      <w:marLeft w:val="0"/>
      <w:marRight w:val="0"/>
      <w:marTop w:val="0"/>
      <w:marBottom w:val="0"/>
      <w:divBdr>
        <w:top w:val="none" w:sz="0" w:space="0" w:color="auto"/>
        <w:left w:val="none" w:sz="0" w:space="0" w:color="auto"/>
        <w:bottom w:val="none" w:sz="0" w:space="0" w:color="auto"/>
        <w:right w:val="none" w:sz="0" w:space="0" w:color="auto"/>
      </w:divBdr>
    </w:div>
    <w:div w:id="1898008694">
      <w:bodyDiv w:val="1"/>
      <w:marLeft w:val="0"/>
      <w:marRight w:val="0"/>
      <w:marTop w:val="0"/>
      <w:marBottom w:val="0"/>
      <w:divBdr>
        <w:top w:val="none" w:sz="0" w:space="0" w:color="auto"/>
        <w:left w:val="none" w:sz="0" w:space="0" w:color="auto"/>
        <w:bottom w:val="none" w:sz="0" w:space="0" w:color="auto"/>
        <w:right w:val="none" w:sz="0" w:space="0" w:color="auto"/>
      </w:divBdr>
    </w:div>
    <w:div w:id="1903828986">
      <w:bodyDiv w:val="1"/>
      <w:marLeft w:val="0"/>
      <w:marRight w:val="0"/>
      <w:marTop w:val="0"/>
      <w:marBottom w:val="0"/>
      <w:divBdr>
        <w:top w:val="none" w:sz="0" w:space="0" w:color="auto"/>
        <w:left w:val="none" w:sz="0" w:space="0" w:color="auto"/>
        <w:bottom w:val="none" w:sz="0" w:space="0" w:color="auto"/>
        <w:right w:val="none" w:sz="0" w:space="0" w:color="auto"/>
      </w:divBdr>
    </w:div>
    <w:div w:id="1905139437">
      <w:bodyDiv w:val="1"/>
      <w:marLeft w:val="0"/>
      <w:marRight w:val="0"/>
      <w:marTop w:val="0"/>
      <w:marBottom w:val="0"/>
      <w:divBdr>
        <w:top w:val="none" w:sz="0" w:space="0" w:color="auto"/>
        <w:left w:val="none" w:sz="0" w:space="0" w:color="auto"/>
        <w:bottom w:val="none" w:sz="0" w:space="0" w:color="auto"/>
        <w:right w:val="none" w:sz="0" w:space="0" w:color="auto"/>
      </w:divBdr>
    </w:div>
    <w:div w:id="1905531075">
      <w:bodyDiv w:val="1"/>
      <w:marLeft w:val="0"/>
      <w:marRight w:val="0"/>
      <w:marTop w:val="0"/>
      <w:marBottom w:val="0"/>
      <w:divBdr>
        <w:top w:val="none" w:sz="0" w:space="0" w:color="auto"/>
        <w:left w:val="none" w:sz="0" w:space="0" w:color="auto"/>
        <w:bottom w:val="none" w:sz="0" w:space="0" w:color="auto"/>
        <w:right w:val="none" w:sz="0" w:space="0" w:color="auto"/>
      </w:divBdr>
    </w:div>
    <w:div w:id="1907952555">
      <w:bodyDiv w:val="1"/>
      <w:marLeft w:val="0"/>
      <w:marRight w:val="0"/>
      <w:marTop w:val="0"/>
      <w:marBottom w:val="0"/>
      <w:divBdr>
        <w:top w:val="none" w:sz="0" w:space="0" w:color="auto"/>
        <w:left w:val="none" w:sz="0" w:space="0" w:color="auto"/>
        <w:bottom w:val="none" w:sz="0" w:space="0" w:color="auto"/>
        <w:right w:val="none" w:sz="0" w:space="0" w:color="auto"/>
      </w:divBdr>
    </w:div>
    <w:div w:id="1910114900">
      <w:bodyDiv w:val="1"/>
      <w:marLeft w:val="0"/>
      <w:marRight w:val="0"/>
      <w:marTop w:val="0"/>
      <w:marBottom w:val="0"/>
      <w:divBdr>
        <w:top w:val="none" w:sz="0" w:space="0" w:color="auto"/>
        <w:left w:val="none" w:sz="0" w:space="0" w:color="auto"/>
        <w:bottom w:val="none" w:sz="0" w:space="0" w:color="auto"/>
        <w:right w:val="none" w:sz="0" w:space="0" w:color="auto"/>
      </w:divBdr>
    </w:div>
    <w:div w:id="1917204360">
      <w:bodyDiv w:val="1"/>
      <w:marLeft w:val="0"/>
      <w:marRight w:val="0"/>
      <w:marTop w:val="0"/>
      <w:marBottom w:val="0"/>
      <w:divBdr>
        <w:top w:val="none" w:sz="0" w:space="0" w:color="auto"/>
        <w:left w:val="none" w:sz="0" w:space="0" w:color="auto"/>
        <w:bottom w:val="none" w:sz="0" w:space="0" w:color="auto"/>
        <w:right w:val="none" w:sz="0" w:space="0" w:color="auto"/>
      </w:divBdr>
    </w:div>
    <w:div w:id="1918713188">
      <w:bodyDiv w:val="1"/>
      <w:marLeft w:val="0"/>
      <w:marRight w:val="0"/>
      <w:marTop w:val="0"/>
      <w:marBottom w:val="0"/>
      <w:divBdr>
        <w:top w:val="none" w:sz="0" w:space="0" w:color="auto"/>
        <w:left w:val="none" w:sz="0" w:space="0" w:color="auto"/>
        <w:bottom w:val="none" w:sz="0" w:space="0" w:color="auto"/>
        <w:right w:val="none" w:sz="0" w:space="0" w:color="auto"/>
      </w:divBdr>
    </w:div>
    <w:div w:id="1920559837">
      <w:bodyDiv w:val="1"/>
      <w:marLeft w:val="0"/>
      <w:marRight w:val="0"/>
      <w:marTop w:val="0"/>
      <w:marBottom w:val="0"/>
      <w:divBdr>
        <w:top w:val="none" w:sz="0" w:space="0" w:color="auto"/>
        <w:left w:val="none" w:sz="0" w:space="0" w:color="auto"/>
        <w:bottom w:val="none" w:sz="0" w:space="0" w:color="auto"/>
        <w:right w:val="none" w:sz="0" w:space="0" w:color="auto"/>
      </w:divBdr>
    </w:div>
    <w:div w:id="1921674102">
      <w:bodyDiv w:val="1"/>
      <w:marLeft w:val="0"/>
      <w:marRight w:val="0"/>
      <w:marTop w:val="0"/>
      <w:marBottom w:val="0"/>
      <w:divBdr>
        <w:top w:val="none" w:sz="0" w:space="0" w:color="auto"/>
        <w:left w:val="none" w:sz="0" w:space="0" w:color="auto"/>
        <w:bottom w:val="none" w:sz="0" w:space="0" w:color="auto"/>
        <w:right w:val="none" w:sz="0" w:space="0" w:color="auto"/>
      </w:divBdr>
    </w:div>
    <w:div w:id="1921796009">
      <w:bodyDiv w:val="1"/>
      <w:marLeft w:val="0"/>
      <w:marRight w:val="0"/>
      <w:marTop w:val="0"/>
      <w:marBottom w:val="0"/>
      <w:divBdr>
        <w:top w:val="none" w:sz="0" w:space="0" w:color="auto"/>
        <w:left w:val="none" w:sz="0" w:space="0" w:color="auto"/>
        <w:bottom w:val="none" w:sz="0" w:space="0" w:color="auto"/>
        <w:right w:val="none" w:sz="0" w:space="0" w:color="auto"/>
      </w:divBdr>
    </w:div>
    <w:div w:id="1925989675">
      <w:bodyDiv w:val="1"/>
      <w:marLeft w:val="0"/>
      <w:marRight w:val="0"/>
      <w:marTop w:val="0"/>
      <w:marBottom w:val="0"/>
      <w:divBdr>
        <w:top w:val="none" w:sz="0" w:space="0" w:color="auto"/>
        <w:left w:val="none" w:sz="0" w:space="0" w:color="auto"/>
        <w:bottom w:val="none" w:sz="0" w:space="0" w:color="auto"/>
        <w:right w:val="none" w:sz="0" w:space="0" w:color="auto"/>
      </w:divBdr>
    </w:div>
    <w:div w:id="1929343509">
      <w:bodyDiv w:val="1"/>
      <w:marLeft w:val="0"/>
      <w:marRight w:val="0"/>
      <w:marTop w:val="0"/>
      <w:marBottom w:val="0"/>
      <w:divBdr>
        <w:top w:val="none" w:sz="0" w:space="0" w:color="auto"/>
        <w:left w:val="none" w:sz="0" w:space="0" w:color="auto"/>
        <w:bottom w:val="none" w:sz="0" w:space="0" w:color="auto"/>
        <w:right w:val="none" w:sz="0" w:space="0" w:color="auto"/>
      </w:divBdr>
    </w:div>
    <w:div w:id="1930574579">
      <w:bodyDiv w:val="1"/>
      <w:marLeft w:val="0"/>
      <w:marRight w:val="0"/>
      <w:marTop w:val="0"/>
      <w:marBottom w:val="0"/>
      <w:divBdr>
        <w:top w:val="none" w:sz="0" w:space="0" w:color="auto"/>
        <w:left w:val="none" w:sz="0" w:space="0" w:color="auto"/>
        <w:bottom w:val="none" w:sz="0" w:space="0" w:color="auto"/>
        <w:right w:val="none" w:sz="0" w:space="0" w:color="auto"/>
      </w:divBdr>
    </w:div>
    <w:div w:id="1931546581">
      <w:bodyDiv w:val="1"/>
      <w:marLeft w:val="0"/>
      <w:marRight w:val="0"/>
      <w:marTop w:val="0"/>
      <w:marBottom w:val="0"/>
      <w:divBdr>
        <w:top w:val="none" w:sz="0" w:space="0" w:color="auto"/>
        <w:left w:val="none" w:sz="0" w:space="0" w:color="auto"/>
        <w:bottom w:val="none" w:sz="0" w:space="0" w:color="auto"/>
        <w:right w:val="none" w:sz="0" w:space="0" w:color="auto"/>
      </w:divBdr>
    </w:div>
    <w:div w:id="1932859270">
      <w:bodyDiv w:val="1"/>
      <w:marLeft w:val="0"/>
      <w:marRight w:val="0"/>
      <w:marTop w:val="0"/>
      <w:marBottom w:val="0"/>
      <w:divBdr>
        <w:top w:val="none" w:sz="0" w:space="0" w:color="auto"/>
        <w:left w:val="none" w:sz="0" w:space="0" w:color="auto"/>
        <w:bottom w:val="none" w:sz="0" w:space="0" w:color="auto"/>
        <w:right w:val="none" w:sz="0" w:space="0" w:color="auto"/>
      </w:divBdr>
    </w:div>
    <w:div w:id="1935242712">
      <w:bodyDiv w:val="1"/>
      <w:marLeft w:val="0"/>
      <w:marRight w:val="0"/>
      <w:marTop w:val="0"/>
      <w:marBottom w:val="0"/>
      <w:divBdr>
        <w:top w:val="none" w:sz="0" w:space="0" w:color="auto"/>
        <w:left w:val="none" w:sz="0" w:space="0" w:color="auto"/>
        <w:bottom w:val="none" w:sz="0" w:space="0" w:color="auto"/>
        <w:right w:val="none" w:sz="0" w:space="0" w:color="auto"/>
      </w:divBdr>
    </w:div>
    <w:div w:id="1935942713">
      <w:bodyDiv w:val="1"/>
      <w:marLeft w:val="0"/>
      <w:marRight w:val="0"/>
      <w:marTop w:val="0"/>
      <w:marBottom w:val="0"/>
      <w:divBdr>
        <w:top w:val="none" w:sz="0" w:space="0" w:color="auto"/>
        <w:left w:val="none" w:sz="0" w:space="0" w:color="auto"/>
        <w:bottom w:val="none" w:sz="0" w:space="0" w:color="auto"/>
        <w:right w:val="none" w:sz="0" w:space="0" w:color="auto"/>
      </w:divBdr>
    </w:div>
    <w:div w:id="1936741993">
      <w:bodyDiv w:val="1"/>
      <w:marLeft w:val="0"/>
      <w:marRight w:val="0"/>
      <w:marTop w:val="0"/>
      <w:marBottom w:val="0"/>
      <w:divBdr>
        <w:top w:val="none" w:sz="0" w:space="0" w:color="auto"/>
        <w:left w:val="none" w:sz="0" w:space="0" w:color="auto"/>
        <w:bottom w:val="none" w:sz="0" w:space="0" w:color="auto"/>
        <w:right w:val="none" w:sz="0" w:space="0" w:color="auto"/>
      </w:divBdr>
      <w:divsChild>
        <w:div w:id="1704862743">
          <w:marLeft w:val="0"/>
          <w:marRight w:val="0"/>
          <w:marTop w:val="0"/>
          <w:marBottom w:val="0"/>
          <w:divBdr>
            <w:top w:val="none" w:sz="0" w:space="0" w:color="auto"/>
            <w:left w:val="none" w:sz="0" w:space="0" w:color="auto"/>
            <w:bottom w:val="none" w:sz="0" w:space="0" w:color="auto"/>
            <w:right w:val="none" w:sz="0" w:space="0" w:color="auto"/>
          </w:divBdr>
        </w:div>
        <w:div w:id="692727954">
          <w:marLeft w:val="0"/>
          <w:marRight w:val="0"/>
          <w:marTop w:val="0"/>
          <w:marBottom w:val="0"/>
          <w:divBdr>
            <w:top w:val="none" w:sz="0" w:space="0" w:color="auto"/>
            <w:left w:val="none" w:sz="0" w:space="0" w:color="auto"/>
            <w:bottom w:val="none" w:sz="0" w:space="0" w:color="auto"/>
            <w:right w:val="none" w:sz="0" w:space="0" w:color="auto"/>
          </w:divBdr>
        </w:div>
        <w:div w:id="1749615019">
          <w:marLeft w:val="0"/>
          <w:marRight w:val="0"/>
          <w:marTop w:val="0"/>
          <w:marBottom w:val="0"/>
          <w:divBdr>
            <w:top w:val="none" w:sz="0" w:space="0" w:color="auto"/>
            <w:left w:val="none" w:sz="0" w:space="0" w:color="auto"/>
            <w:bottom w:val="none" w:sz="0" w:space="0" w:color="auto"/>
            <w:right w:val="none" w:sz="0" w:space="0" w:color="auto"/>
          </w:divBdr>
        </w:div>
        <w:div w:id="346559183">
          <w:marLeft w:val="0"/>
          <w:marRight w:val="0"/>
          <w:marTop w:val="0"/>
          <w:marBottom w:val="0"/>
          <w:divBdr>
            <w:top w:val="none" w:sz="0" w:space="0" w:color="auto"/>
            <w:left w:val="none" w:sz="0" w:space="0" w:color="auto"/>
            <w:bottom w:val="none" w:sz="0" w:space="0" w:color="auto"/>
            <w:right w:val="none" w:sz="0" w:space="0" w:color="auto"/>
          </w:divBdr>
        </w:div>
        <w:div w:id="519662400">
          <w:marLeft w:val="0"/>
          <w:marRight w:val="0"/>
          <w:marTop w:val="0"/>
          <w:marBottom w:val="0"/>
          <w:divBdr>
            <w:top w:val="none" w:sz="0" w:space="0" w:color="auto"/>
            <w:left w:val="none" w:sz="0" w:space="0" w:color="auto"/>
            <w:bottom w:val="none" w:sz="0" w:space="0" w:color="auto"/>
            <w:right w:val="none" w:sz="0" w:space="0" w:color="auto"/>
          </w:divBdr>
        </w:div>
        <w:div w:id="791048584">
          <w:marLeft w:val="0"/>
          <w:marRight w:val="0"/>
          <w:marTop w:val="0"/>
          <w:marBottom w:val="0"/>
          <w:divBdr>
            <w:top w:val="none" w:sz="0" w:space="0" w:color="auto"/>
            <w:left w:val="none" w:sz="0" w:space="0" w:color="auto"/>
            <w:bottom w:val="none" w:sz="0" w:space="0" w:color="auto"/>
            <w:right w:val="none" w:sz="0" w:space="0" w:color="auto"/>
          </w:divBdr>
        </w:div>
        <w:div w:id="553153918">
          <w:marLeft w:val="0"/>
          <w:marRight w:val="0"/>
          <w:marTop w:val="0"/>
          <w:marBottom w:val="0"/>
          <w:divBdr>
            <w:top w:val="none" w:sz="0" w:space="0" w:color="auto"/>
            <w:left w:val="none" w:sz="0" w:space="0" w:color="auto"/>
            <w:bottom w:val="none" w:sz="0" w:space="0" w:color="auto"/>
            <w:right w:val="none" w:sz="0" w:space="0" w:color="auto"/>
          </w:divBdr>
        </w:div>
        <w:div w:id="437870911">
          <w:marLeft w:val="0"/>
          <w:marRight w:val="0"/>
          <w:marTop w:val="0"/>
          <w:marBottom w:val="0"/>
          <w:divBdr>
            <w:top w:val="none" w:sz="0" w:space="0" w:color="auto"/>
            <w:left w:val="none" w:sz="0" w:space="0" w:color="auto"/>
            <w:bottom w:val="none" w:sz="0" w:space="0" w:color="auto"/>
            <w:right w:val="none" w:sz="0" w:space="0" w:color="auto"/>
          </w:divBdr>
        </w:div>
        <w:div w:id="1245804051">
          <w:marLeft w:val="0"/>
          <w:marRight w:val="0"/>
          <w:marTop w:val="0"/>
          <w:marBottom w:val="0"/>
          <w:divBdr>
            <w:top w:val="none" w:sz="0" w:space="0" w:color="auto"/>
            <w:left w:val="none" w:sz="0" w:space="0" w:color="auto"/>
            <w:bottom w:val="none" w:sz="0" w:space="0" w:color="auto"/>
            <w:right w:val="none" w:sz="0" w:space="0" w:color="auto"/>
          </w:divBdr>
        </w:div>
        <w:div w:id="1956979890">
          <w:marLeft w:val="0"/>
          <w:marRight w:val="0"/>
          <w:marTop w:val="0"/>
          <w:marBottom w:val="0"/>
          <w:divBdr>
            <w:top w:val="none" w:sz="0" w:space="0" w:color="auto"/>
            <w:left w:val="none" w:sz="0" w:space="0" w:color="auto"/>
            <w:bottom w:val="none" w:sz="0" w:space="0" w:color="auto"/>
            <w:right w:val="none" w:sz="0" w:space="0" w:color="auto"/>
          </w:divBdr>
        </w:div>
        <w:div w:id="1189441998">
          <w:marLeft w:val="0"/>
          <w:marRight w:val="0"/>
          <w:marTop w:val="0"/>
          <w:marBottom w:val="0"/>
          <w:divBdr>
            <w:top w:val="none" w:sz="0" w:space="0" w:color="auto"/>
            <w:left w:val="none" w:sz="0" w:space="0" w:color="auto"/>
            <w:bottom w:val="none" w:sz="0" w:space="0" w:color="auto"/>
            <w:right w:val="none" w:sz="0" w:space="0" w:color="auto"/>
          </w:divBdr>
        </w:div>
        <w:div w:id="184908390">
          <w:marLeft w:val="0"/>
          <w:marRight w:val="0"/>
          <w:marTop w:val="0"/>
          <w:marBottom w:val="0"/>
          <w:divBdr>
            <w:top w:val="none" w:sz="0" w:space="0" w:color="auto"/>
            <w:left w:val="none" w:sz="0" w:space="0" w:color="auto"/>
            <w:bottom w:val="none" w:sz="0" w:space="0" w:color="auto"/>
            <w:right w:val="none" w:sz="0" w:space="0" w:color="auto"/>
          </w:divBdr>
        </w:div>
        <w:div w:id="1420254055">
          <w:marLeft w:val="0"/>
          <w:marRight w:val="0"/>
          <w:marTop w:val="0"/>
          <w:marBottom w:val="0"/>
          <w:divBdr>
            <w:top w:val="none" w:sz="0" w:space="0" w:color="auto"/>
            <w:left w:val="none" w:sz="0" w:space="0" w:color="auto"/>
            <w:bottom w:val="none" w:sz="0" w:space="0" w:color="auto"/>
            <w:right w:val="none" w:sz="0" w:space="0" w:color="auto"/>
          </w:divBdr>
        </w:div>
        <w:div w:id="291639181">
          <w:marLeft w:val="0"/>
          <w:marRight w:val="0"/>
          <w:marTop w:val="0"/>
          <w:marBottom w:val="0"/>
          <w:divBdr>
            <w:top w:val="none" w:sz="0" w:space="0" w:color="auto"/>
            <w:left w:val="none" w:sz="0" w:space="0" w:color="auto"/>
            <w:bottom w:val="none" w:sz="0" w:space="0" w:color="auto"/>
            <w:right w:val="none" w:sz="0" w:space="0" w:color="auto"/>
          </w:divBdr>
        </w:div>
        <w:div w:id="775711844">
          <w:marLeft w:val="0"/>
          <w:marRight w:val="0"/>
          <w:marTop w:val="0"/>
          <w:marBottom w:val="0"/>
          <w:divBdr>
            <w:top w:val="none" w:sz="0" w:space="0" w:color="auto"/>
            <w:left w:val="none" w:sz="0" w:space="0" w:color="auto"/>
            <w:bottom w:val="none" w:sz="0" w:space="0" w:color="auto"/>
            <w:right w:val="none" w:sz="0" w:space="0" w:color="auto"/>
          </w:divBdr>
        </w:div>
        <w:div w:id="1896576846">
          <w:marLeft w:val="0"/>
          <w:marRight w:val="0"/>
          <w:marTop w:val="0"/>
          <w:marBottom w:val="0"/>
          <w:divBdr>
            <w:top w:val="none" w:sz="0" w:space="0" w:color="auto"/>
            <w:left w:val="none" w:sz="0" w:space="0" w:color="auto"/>
            <w:bottom w:val="none" w:sz="0" w:space="0" w:color="auto"/>
            <w:right w:val="none" w:sz="0" w:space="0" w:color="auto"/>
          </w:divBdr>
        </w:div>
        <w:div w:id="540747059">
          <w:marLeft w:val="0"/>
          <w:marRight w:val="0"/>
          <w:marTop w:val="0"/>
          <w:marBottom w:val="0"/>
          <w:divBdr>
            <w:top w:val="none" w:sz="0" w:space="0" w:color="auto"/>
            <w:left w:val="none" w:sz="0" w:space="0" w:color="auto"/>
            <w:bottom w:val="none" w:sz="0" w:space="0" w:color="auto"/>
            <w:right w:val="none" w:sz="0" w:space="0" w:color="auto"/>
          </w:divBdr>
        </w:div>
        <w:div w:id="870385822">
          <w:marLeft w:val="0"/>
          <w:marRight w:val="0"/>
          <w:marTop w:val="0"/>
          <w:marBottom w:val="0"/>
          <w:divBdr>
            <w:top w:val="none" w:sz="0" w:space="0" w:color="auto"/>
            <w:left w:val="none" w:sz="0" w:space="0" w:color="auto"/>
            <w:bottom w:val="none" w:sz="0" w:space="0" w:color="auto"/>
            <w:right w:val="none" w:sz="0" w:space="0" w:color="auto"/>
          </w:divBdr>
        </w:div>
        <w:div w:id="597252822">
          <w:marLeft w:val="0"/>
          <w:marRight w:val="0"/>
          <w:marTop w:val="0"/>
          <w:marBottom w:val="0"/>
          <w:divBdr>
            <w:top w:val="none" w:sz="0" w:space="0" w:color="auto"/>
            <w:left w:val="none" w:sz="0" w:space="0" w:color="auto"/>
            <w:bottom w:val="none" w:sz="0" w:space="0" w:color="auto"/>
            <w:right w:val="none" w:sz="0" w:space="0" w:color="auto"/>
          </w:divBdr>
        </w:div>
        <w:div w:id="1775982087">
          <w:marLeft w:val="0"/>
          <w:marRight w:val="0"/>
          <w:marTop w:val="0"/>
          <w:marBottom w:val="0"/>
          <w:divBdr>
            <w:top w:val="none" w:sz="0" w:space="0" w:color="auto"/>
            <w:left w:val="none" w:sz="0" w:space="0" w:color="auto"/>
            <w:bottom w:val="none" w:sz="0" w:space="0" w:color="auto"/>
            <w:right w:val="none" w:sz="0" w:space="0" w:color="auto"/>
          </w:divBdr>
        </w:div>
        <w:div w:id="2116830156">
          <w:marLeft w:val="0"/>
          <w:marRight w:val="0"/>
          <w:marTop w:val="0"/>
          <w:marBottom w:val="0"/>
          <w:divBdr>
            <w:top w:val="none" w:sz="0" w:space="0" w:color="auto"/>
            <w:left w:val="none" w:sz="0" w:space="0" w:color="auto"/>
            <w:bottom w:val="none" w:sz="0" w:space="0" w:color="auto"/>
            <w:right w:val="none" w:sz="0" w:space="0" w:color="auto"/>
          </w:divBdr>
        </w:div>
        <w:div w:id="173883491">
          <w:marLeft w:val="0"/>
          <w:marRight w:val="0"/>
          <w:marTop w:val="0"/>
          <w:marBottom w:val="0"/>
          <w:divBdr>
            <w:top w:val="none" w:sz="0" w:space="0" w:color="auto"/>
            <w:left w:val="none" w:sz="0" w:space="0" w:color="auto"/>
            <w:bottom w:val="none" w:sz="0" w:space="0" w:color="auto"/>
            <w:right w:val="none" w:sz="0" w:space="0" w:color="auto"/>
          </w:divBdr>
        </w:div>
        <w:div w:id="1049299353">
          <w:marLeft w:val="0"/>
          <w:marRight w:val="0"/>
          <w:marTop w:val="0"/>
          <w:marBottom w:val="0"/>
          <w:divBdr>
            <w:top w:val="none" w:sz="0" w:space="0" w:color="auto"/>
            <w:left w:val="none" w:sz="0" w:space="0" w:color="auto"/>
            <w:bottom w:val="none" w:sz="0" w:space="0" w:color="auto"/>
            <w:right w:val="none" w:sz="0" w:space="0" w:color="auto"/>
          </w:divBdr>
        </w:div>
        <w:div w:id="1198815090">
          <w:marLeft w:val="0"/>
          <w:marRight w:val="0"/>
          <w:marTop w:val="0"/>
          <w:marBottom w:val="0"/>
          <w:divBdr>
            <w:top w:val="none" w:sz="0" w:space="0" w:color="auto"/>
            <w:left w:val="none" w:sz="0" w:space="0" w:color="auto"/>
            <w:bottom w:val="none" w:sz="0" w:space="0" w:color="auto"/>
            <w:right w:val="none" w:sz="0" w:space="0" w:color="auto"/>
          </w:divBdr>
        </w:div>
        <w:div w:id="1810315439">
          <w:marLeft w:val="0"/>
          <w:marRight w:val="0"/>
          <w:marTop w:val="0"/>
          <w:marBottom w:val="0"/>
          <w:divBdr>
            <w:top w:val="none" w:sz="0" w:space="0" w:color="auto"/>
            <w:left w:val="none" w:sz="0" w:space="0" w:color="auto"/>
            <w:bottom w:val="none" w:sz="0" w:space="0" w:color="auto"/>
            <w:right w:val="none" w:sz="0" w:space="0" w:color="auto"/>
          </w:divBdr>
        </w:div>
        <w:div w:id="478302402">
          <w:marLeft w:val="0"/>
          <w:marRight w:val="0"/>
          <w:marTop w:val="0"/>
          <w:marBottom w:val="0"/>
          <w:divBdr>
            <w:top w:val="none" w:sz="0" w:space="0" w:color="auto"/>
            <w:left w:val="none" w:sz="0" w:space="0" w:color="auto"/>
            <w:bottom w:val="none" w:sz="0" w:space="0" w:color="auto"/>
            <w:right w:val="none" w:sz="0" w:space="0" w:color="auto"/>
          </w:divBdr>
        </w:div>
        <w:div w:id="1140347680">
          <w:marLeft w:val="0"/>
          <w:marRight w:val="0"/>
          <w:marTop w:val="0"/>
          <w:marBottom w:val="0"/>
          <w:divBdr>
            <w:top w:val="none" w:sz="0" w:space="0" w:color="auto"/>
            <w:left w:val="none" w:sz="0" w:space="0" w:color="auto"/>
            <w:bottom w:val="none" w:sz="0" w:space="0" w:color="auto"/>
            <w:right w:val="none" w:sz="0" w:space="0" w:color="auto"/>
          </w:divBdr>
        </w:div>
        <w:div w:id="533808281">
          <w:marLeft w:val="0"/>
          <w:marRight w:val="0"/>
          <w:marTop w:val="0"/>
          <w:marBottom w:val="0"/>
          <w:divBdr>
            <w:top w:val="none" w:sz="0" w:space="0" w:color="auto"/>
            <w:left w:val="none" w:sz="0" w:space="0" w:color="auto"/>
            <w:bottom w:val="none" w:sz="0" w:space="0" w:color="auto"/>
            <w:right w:val="none" w:sz="0" w:space="0" w:color="auto"/>
          </w:divBdr>
        </w:div>
        <w:div w:id="1282882582">
          <w:marLeft w:val="0"/>
          <w:marRight w:val="0"/>
          <w:marTop w:val="0"/>
          <w:marBottom w:val="0"/>
          <w:divBdr>
            <w:top w:val="none" w:sz="0" w:space="0" w:color="auto"/>
            <w:left w:val="none" w:sz="0" w:space="0" w:color="auto"/>
            <w:bottom w:val="none" w:sz="0" w:space="0" w:color="auto"/>
            <w:right w:val="none" w:sz="0" w:space="0" w:color="auto"/>
          </w:divBdr>
        </w:div>
        <w:div w:id="858348083">
          <w:marLeft w:val="0"/>
          <w:marRight w:val="0"/>
          <w:marTop w:val="0"/>
          <w:marBottom w:val="0"/>
          <w:divBdr>
            <w:top w:val="none" w:sz="0" w:space="0" w:color="auto"/>
            <w:left w:val="none" w:sz="0" w:space="0" w:color="auto"/>
            <w:bottom w:val="none" w:sz="0" w:space="0" w:color="auto"/>
            <w:right w:val="none" w:sz="0" w:space="0" w:color="auto"/>
          </w:divBdr>
        </w:div>
        <w:div w:id="1723209545">
          <w:marLeft w:val="0"/>
          <w:marRight w:val="0"/>
          <w:marTop w:val="0"/>
          <w:marBottom w:val="0"/>
          <w:divBdr>
            <w:top w:val="none" w:sz="0" w:space="0" w:color="auto"/>
            <w:left w:val="none" w:sz="0" w:space="0" w:color="auto"/>
            <w:bottom w:val="none" w:sz="0" w:space="0" w:color="auto"/>
            <w:right w:val="none" w:sz="0" w:space="0" w:color="auto"/>
          </w:divBdr>
        </w:div>
        <w:div w:id="1738093977">
          <w:marLeft w:val="0"/>
          <w:marRight w:val="0"/>
          <w:marTop w:val="0"/>
          <w:marBottom w:val="0"/>
          <w:divBdr>
            <w:top w:val="none" w:sz="0" w:space="0" w:color="auto"/>
            <w:left w:val="none" w:sz="0" w:space="0" w:color="auto"/>
            <w:bottom w:val="none" w:sz="0" w:space="0" w:color="auto"/>
            <w:right w:val="none" w:sz="0" w:space="0" w:color="auto"/>
          </w:divBdr>
        </w:div>
        <w:div w:id="1208487917">
          <w:marLeft w:val="0"/>
          <w:marRight w:val="0"/>
          <w:marTop w:val="0"/>
          <w:marBottom w:val="0"/>
          <w:divBdr>
            <w:top w:val="none" w:sz="0" w:space="0" w:color="auto"/>
            <w:left w:val="none" w:sz="0" w:space="0" w:color="auto"/>
            <w:bottom w:val="none" w:sz="0" w:space="0" w:color="auto"/>
            <w:right w:val="none" w:sz="0" w:space="0" w:color="auto"/>
          </w:divBdr>
        </w:div>
        <w:div w:id="370497378">
          <w:marLeft w:val="0"/>
          <w:marRight w:val="0"/>
          <w:marTop w:val="0"/>
          <w:marBottom w:val="0"/>
          <w:divBdr>
            <w:top w:val="none" w:sz="0" w:space="0" w:color="auto"/>
            <w:left w:val="none" w:sz="0" w:space="0" w:color="auto"/>
            <w:bottom w:val="none" w:sz="0" w:space="0" w:color="auto"/>
            <w:right w:val="none" w:sz="0" w:space="0" w:color="auto"/>
          </w:divBdr>
        </w:div>
        <w:div w:id="1817454295">
          <w:marLeft w:val="0"/>
          <w:marRight w:val="0"/>
          <w:marTop w:val="0"/>
          <w:marBottom w:val="0"/>
          <w:divBdr>
            <w:top w:val="none" w:sz="0" w:space="0" w:color="auto"/>
            <w:left w:val="none" w:sz="0" w:space="0" w:color="auto"/>
            <w:bottom w:val="none" w:sz="0" w:space="0" w:color="auto"/>
            <w:right w:val="none" w:sz="0" w:space="0" w:color="auto"/>
          </w:divBdr>
        </w:div>
        <w:div w:id="434056991">
          <w:marLeft w:val="0"/>
          <w:marRight w:val="0"/>
          <w:marTop w:val="0"/>
          <w:marBottom w:val="0"/>
          <w:divBdr>
            <w:top w:val="none" w:sz="0" w:space="0" w:color="auto"/>
            <w:left w:val="none" w:sz="0" w:space="0" w:color="auto"/>
            <w:bottom w:val="none" w:sz="0" w:space="0" w:color="auto"/>
            <w:right w:val="none" w:sz="0" w:space="0" w:color="auto"/>
          </w:divBdr>
        </w:div>
        <w:div w:id="1199315245">
          <w:marLeft w:val="0"/>
          <w:marRight w:val="0"/>
          <w:marTop w:val="0"/>
          <w:marBottom w:val="0"/>
          <w:divBdr>
            <w:top w:val="none" w:sz="0" w:space="0" w:color="auto"/>
            <w:left w:val="none" w:sz="0" w:space="0" w:color="auto"/>
            <w:bottom w:val="none" w:sz="0" w:space="0" w:color="auto"/>
            <w:right w:val="none" w:sz="0" w:space="0" w:color="auto"/>
          </w:divBdr>
        </w:div>
        <w:div w:id="1416780416">
          <w:marLeft w:val="0"/>
          <w:marRight w:val="0"/>
          <w:marTop w:val="0"/>
          <w:marBottom w:val="0"/>
          <w:divBdr>
            <w:top w:val="none" w:sz="0" w:space="0" w:color="auto"/>
            <w:left w:val="none" w:sz="0" w:space="0" w:color="auto"/>
            <w:bottom w:val="none" w:sz="0" w:space="0" w:color="auto"/>
            <w:right w:val="none" w:sz="0" w:space="0" w:color="auto"/>
          </w:divBdr>
        </w:div>
        <w:div w:id="2017733492">
          <w:marLeft w:val="0"/>
          <w:marRight w:val="0"/>
          <w:marTop w:val="0"/>
          <w:marBottom w:val="0"/>
          <w:divBdr>
            <w:top w:val="none" w:sz="0" w:space="0" w:color="auto"/>
            <w:left w:val="none" w:sz="0" w:space="0" w:color="auto"/>
            <w:bottom w:val="none" w:sz="0" w:space="0" w:color="auto"/>
            <w:right w:val="none" w:sz="0" w:space="0" w:color="auto"/>
          </w:divBdr>
        </w:div>
        <w:div w:id="601107010">
          <w:marLeft w:val="0"/>
          <w:marRight w:val="0"/>
          <w:marTop w:val="0"/>
          <w:marBottom w:val="0"/>
          <w:divBdr>
            <w:top w:val="none" w:sz="0" w:space="0" w:color="auto"/>
            <w:left w:val="none" w:sz="0" w:space="0" w:color="auto"/>
            <w:bottom w:val="none" w:sz="0" w:space="0" w:color="auto"/>
            <w:right w:val="none" w:sz="0" w:space="0" w:color="auto"/>
          </w:divBdr>
        </w:div>
        <w:div w:id="723287017">
          <w:marLeft w:val="0"/>
          <w:marRight w:val="0"/>
          <w:marTop w:val="0"/>
          <w:marBottom w:val="0"/>
          <w:divBdr>
            <w:top w:val="none" w:sz="0" w:space="0" w:color="auto"/>
            <w:left w:val="none" w:sz="0" w:space="0" w:color="auto"/>
            <w:bottom w:val="none" w:sz="0" w:space="0" w:color="auto"/>
            <w:right w:val="none" w:sz="0" w:space="0" w:color="auto"/>
          </w:divBdr>
        </w:div>
        <w:div w:id="1023555527">
          <w:marLeft w:val="0"/>
          <w:marRight w:val="0"/>
          <w:marTop w:val="0"/>
          <w:marBottom w:val="0"/>
          <w:divBdr>
            <w:top w:val="none" w:sz="0" w:space="0" w:color="auto"/>
            <w:left w:val="none" w:sz="0" w:space="0" w:color="auto"/>
            <w:bottom w:val="none" w:sz="0" w:space="0" w:color="auto"/>
            <w:right w:val="none" w:sz="0" w:space="0" w:color="auto"/>
          </w:divBdr>
        </w:div>
        <w:div w:id="1390496871">
          <w:marLeft w:val="0"/>
          <w:marRight w:val="0"/>
          <w:marTop w:val="0"/>
          <w:marBottom w:val="0"/>
          <w:divBdr>
            <w:top w:val="none" w:sz="0" w:space="0" w:color="auto"/>
            <w:left w:val="none" w:sz="0" w:space="0" w:color="auto"/>
            <w:bottom w:val="none" w:sz="0" w:space="0" w:color="auto"/>
            <w:right w:val="none" w:sz="0" w:space="0" w:color="auto"/>
          </w:divBdr>
        </w:div>
        <w:div w:id="928536360">
          <w:marLeft w:val="0"/>
          <w:marRight w:val="0"/>
          <w:marTop w:val="0"/>
          <w:marBottom w:val="0"/>
          <w:divBdr>
            <w:top w:val="none" w:sz="0" w:space="0" w:color="auto"/>
            <w:left w:val="none" w:sz="0" w:space="0" w:color="auto"/>
            <w:bottom w:val="none" w:sz="0" w:space="0" w:color="auto"/>
            <w:right w:val="none" w:sz="0" w:space="0" w:color="auto"/>
          </w:divBdr>
        </w:div>
        <w:div w:id="828793736">
          <w:marLeft w:val="0"/>
          <w:marRight w:val="0"/>
          <w:marTop w:val="0"/>
          <w:marBottom w:val="0"/>
          <w:divBdr>
            <w:top w:val="none" w:sz="0" w:space="0" w:color="auto"/>
            <w:left w:val="none" w:sz="0" w:space="0" w:color="auto"/>
            <w:bottom w:val="none" w:sz="0" w:space="0" w:color="auto"/>
            <w:right w:val="none" w:sz="0" w:space="0" w:color="auto"/>
          </w:divBdr>
        </w:div>
        <w:div w:id="2036928058">
          <w:marLeft w:val="0"/>
          <w:marRight w:val="0"/>
          <w:marTop w:val="0"/>
          <w:marBottom w:val="0"/>
          <w:divBdr>
            <w:top w:val="none" w:sz="0" w:space="0" w:color="auto"/>
            <w:left w:val="none" w:sz="0" w:space="0" w:color="auto"/>
            <w:bottom w:val="none" w:sz="0" w:space="0" w:color="auto"/>
            <w:right w:val="none" w:sz="0" w:space="0" w:color="auto"/>
          </w:divBdr>
        </w:div>
        <w:div w:id="1710643211">
          <w:marLeft w:val="0"/>
          <w:marRight w:val="0"/>
          <w:marTop w:val="0"/>
          <w:marBottom w:val="0"/>
          <w:divBdr>
            <w:top w:val="none" w:sz="0" w:space="0" w:color="auto"/>
            <w:left w:val="none" w:sz="0" w:space="0" w:color="auto"/>
            <w:bottom w:val="none" w:sz="0" w:space="0" w:color="auto"/>
            <w:right w:val="none" w:sz="0" w:space="0" w:color="auto"/>
          </w:divBdr>
        </w:div>
        <w:div w:id="1189904150">
          <w:marLeft w:val="0"/>
          <w:marRight w:val="0"/>
          <w:marTop w:val="0"/>
          <w:marBottom w:val="0"/>
          <w:divBdr>
            <w:top w:val="none" w:sz="0" w:space="0" w:color="auto"/>
            <w:left w:val="none" w:sz="0" w:space="0" w:color="auto"/>
            <w:bottom w:val="none" w:sz="0" w:space="0" w:color="auto"/>
            <w:right w:val="none" w:sz="0" w:space="0" w:color="auto"/>
          </w:divBdr>
        </w:div>
        <w:div w:id="190463378">
          <w:marLeft w:val="0"/>
          <w:marRight w:val="0"/>
          <w:marTop w:val="0"/>
          <w:marBottom w:val="0"/>
          <w:divBdr>
            <w:top w:val="none" w:sz="0" w:space="0" w:color="auto"/>
            <w:left w:val="none" w:sz="0" w:space="0" w:color="auto"/>
            <w:bottom w:val="none" w:sz="0" w:space="0" w:color="auto"/>
            <w:right w:val="none" w:sz="0" w:space="0" w:color="auto"/>
          </w:divBdr>
        </w:div>
        <w:div w:id="402147296">
          <w:marLeft w:val="0"/>
          <w:marRight w:val="0"/>
          <w:marTop w:val="0"/>
          <w:marBottom w:val="0"/>
          <w:divBdr>
            <w:top w:val="none" w:sz="0" w:space="0" w:color="auto"/>
            <w:left w:val="none" w:sz="0" w:space="0" w:color="auto"/>
            <w:bottom w:val="none" w:sz="0" w:space="0" w:color="auto"/>
            <w:right w:val="none" w:sz="0" w:space="0" w:color="auto"/>
          </w:divBdr>
        </w:div>
        <w:div w:id="1725985872">
          <w:marLeft w:val="0"/>
          <w:marRight w:val="0"/>
          <w:marTop w:val="0"/>
          <w:marBottom w:val="0"/>
          <w:divBdr>
            <w:top w:val="none" w:sz="0" w:space="0" w:color="auto"/>
            <w:left w:val="none" w:sz="0" w:space="0" w:color="auto"/>
            <w:bottom w:val="none" w:sz="0" w:space="0" w:color="auto"/>
            <w:right w:val="none" w:sz="0" w:space="0" w:color="auto"/>
          </w:divBdr>
        </w:div>
        <w:div w:id="960651955">
          <w:marLeft w:val="0"/>
          <w:marRight w:val="0"/>
          <w:marTop w:val="0"/>
          <w:marBottom w:val="0"/>
          <w:divBdr>
            <w:top w:val="none" w:sz="0" w:space="0" w:color="auto"/>
            <w:left w:val="none" w:sz="0" w:space="0" w:color="auto"/>
            <w:bottom w:val="none" w:sz="0" w:space="0" w:color="auto"/>
            <w:right w:val="none" w:sz="0" w:space="0" w:color="auto"/>
          </w:divBdr>
        </w:div>
        <w:div w:id="33384815">
          <w:marLeft w:val="0"/>
          <w:marRight w:val="0"/>
          <w:marTop w:val="0"/>
          <w:marBottom w:val="0"/>
          <w:divBdr>
            <w:top w:val="none" w:sz="0" w:space="0" w:color="auto"/>
            <w:left w:val="none" w:sz="0" w:space="0" w:color="auto"/>
            <w:bottom w:val="none" w:sz="0" w:space="0" w:color="auto"/>
            <w:right w:val="none" w:sz="0" w:space="0" w:color="auto"/>
          </w:divBdr>
        </w:div>
        <w:div w:id="1797335794">
          <w:marLeft w:val="0"/>
          <w:marRight w:val="0"/>
          <w:marTop w:val="0"/>
          <w:marBottom w:val="0"/>
          <w:divBdr>
            <w:top w:val="none" w:sz="0" w:space="0" w:color="auto"/>
            <w:left w:val="none" w:sz="0" w:space="0" w:color="auto"/>
            <w:bottom w:val="none" w:sz="0" w:space="0" w:color="auto"/>
            <w:right w:val="none" w:sz="0" w:space="0" w:color="auto"/>
          </w:divBdr>
        </w:div>
        <w:div w:id="419185519">
          <w:marLeft w:val="0"/>
          <w:marRight w:val="0"/>
          <w:marTop w:val="0"/>
          <w:marBottom w:val="0"/>
          <w:divBdr>
            <w:top w:val="none" w:sz="0" w:space="0" w:color="auto"/>
            <w:left w:val="none" w:sz="0" w:space="0" w:color="auto"/>
            <w:bottom w:val="none" w:sz="0" w:space="0" w:color="auto"/>
            <w:right w:val="none" w:sz="0" w:space="0" w:color="auto"/>
          </w:divBdr>
        </w:div>
        <w:div w:id="537478105">
          <w:marLeft w:val="0"/>
          <w:marRight w:val="0"/>
          <w:marTop w:val="0"/>
          <w:marBottom w:val="0"/>
          <w:divBdr>
            <w:top w:val="none" w:sz="0" w:space="0" w:color="auto"/>
            <w:left w:val="none" w:sz="0" w:space="0" w:color="auto"/>
            <w:bottom w:val="none" w:sz="0" w:space="0" w:color="auto"/>
            <w:right w:val="none" w:sz="0" w:space="0" w:color="auto"/>
          </w:divBdr>
        </w:div>
        <w:div w:id="1755467292">
          <w:marLeft w:val="0"/>
          <w:marRight w:val="0"/>
          <w:marTop w:val="0"/>
          <w:marBottom w:val="0"/>
          <w:divBdr>
            <w:top w:val="none" w:sz="0" w:space="0" w:color="auto"/>
            <w:left w:val="none" w:sz="0" w:space="0" w:color="auto"/>
            <w:bottom w:val="none" w:sz="0" w:space="0" w:color="auto"/>
            <w:right w:val="none" w:sz="0" w:space="0" w:color="auto"/>
          </w:divBdr>
        </w:div>
        <w:div w:id="857818321">
          <w:marLeft w:val="0"/>
          <w:marRight w:val="0"/>
          <w:marTop w:val="0"/>
          <w:marBottom w:val="0"/>
          <w:divBdr>
            <w:top w:val="none" w:sz="0" w:space="0" w:color="auto"/>
            <w:left w:val="none" w:sz="0" w:space="0" w:color="auto"/>
            <w:bottom w:val="none" w:sz="0" w:space="0" w:color="auto"/>
            <w:right w:val="none" w:sz="0" w:space="0" w:color="auto"/>
          </w:divBdr>
        </w:div>
        <w:div w:id="498811434">
          <w:marLeft w:val="0"/>
          <w:marRight w:val="0"/>
          <w:marTop w:val="0"/>
          <w:marBottom w:val="0"/>
          <w:divBdr>
            <w:top w:val="none" w:sz="0" w:space="0" w:color="auto"/>
            <w:left w:val="none" w:sz="0" w:space="0" w:color="auto"/>
            <w:bottom w:val="none" w:sz="0" w:space="0" w:color="auto"/>
            <w:right w:val="none" w:sz="0" w:space="0" w:color="auto"/>
          </w:divBdr>
        </w:div>
        <w:div w:id="1826239149">
          <w:marLeft w:val="0"/>
          <w:marRight w:val="0"/>
          <w:marTop w:val="0"/>
          <w:marBottom w:val="0"/>
          <w:divBdr>
            <w:top w:val="none" w:sz="0" w:space="0" w:color="auto"/>
            <w:left w:val="none" w:sz="0" w:space="0" w:color="auto"/>
            <w:bottom w:val="none" w:sz="0" w:space="0" w:color="auto"/>
            <w:right w:val="none" w:sz="0" w:space="0" w:color="auto"/>
          </w:divBdr>
        </w:div>
        <w:div w:id="523785013">
          <w:marLeft w:val="0"/>
          <w:marRight w:val="0"/>
          <w:marTop w:val="0"/>
          <w:marBottom w:val="0"/>
          <w:divBdr>
            <w:top w:val="none" w:sz="0" w:space="0" w:color="auto"/>
            <w:left w:val="none" w:sz="0" w:space="0" w:color="auto"/>
            <w:bottom w:val="none" w:sz="0" w:space="0" w:color="auto"/>
            <w:right w:val="none" w:sz="0" w:space="0" w:color="auto"/>
          </w:divBdr>
        </w:div>
        <w:div w:id="1225019301">
          <w:marLeft w:val="0"/>
          <w:marRight w:val="0"/>
          <w:marTop w:val="0"/>
          <w:marBottom w:val="0"/>
          <w:divBdr>
            <w:top w:val="none" w:sz="0" w:space="0" w:color="auto"/>
            <w:left w:val="none" w:sz="0" w:space="0" w:color="auto"/>
            <w:bottom w:val="none" w:sz="0" w:space="0" w:color="auto"/>
            <w:right w:val="none" w:sz="0" w:space="0" w:color="auto"/>
          </w:divBdr>
        </w:div>
        <w:div w:id="317344601">
          <w:marLeft w:val="0"/>
          <w:marRight w:val="0"/>
          <w:marTop w:val="0"/>
          <w:marBottom w:val="0"/>
          <w:divBdr>
            <w:top w:val="none" w:sz="0" w:space="0" w:color="auto"/>
            <w:left w:val="none" w:sz="0" w:space="0" w:color="auto"/>
            <w:bottom w:val="none" w:sz="0" w:space="0" w:color="auto"/>
            <w:right w:val="none" w:sz="0" w:space="0" w:color="auto"/>
          </w:divBdr>
        </w:div>
        <w:div w:id="986856478">
          <w:marLeft w:val="0"/>
          <w:marRight w:val="0"/>
          <w:marTop w:val="0"/>
          <w:marBottom w:val="0"/>
          <w:divBdr>
            <w:top w:val="none" w:sz="0" w:space="0" w:color="auto"/>
            <w:left w:val="none" w:sz="0" w:space="0" w:color="auto"/>
            <w:bottom w:val="none" w:sz="0" w:space="0" w:color="auto"/>
            <w:right w:val="none" w:sz="0" w:space="0" w:color="auto"/>
          </w:divBdr>
        </w:div>
        <w:div w:id="1696614267">
          <w:marLeft w:val="0"/>
          <w:marRight w:val="0"/>
          <w:marTop w:val="0"/>
          <w:marBottom w:val="0"/>
          <w:divBdr>
            <w:top w:val="none" w:sz="0" w:space="0" w:color="auto"/>
            <w:left w:val="none" w:sz="0" w:space="0" w:color="auto"/>
            <w:bottom w:val="none" w:sz="0" w:space="0" w:color="auto"/>
            <w:right w:val="none" w:sz="0" w:space="0" w:color="auto"/>
          </w:divBdr>
        </w:div>
        <w:div w:id="1194462985">
          <w:marLeft w:val="0"/>
          <w:marRight w:val="0"/>
          <w:marTop w:val="0"/>
          <w:marBottom w:val="0"/>
          <w:divBdr>
            <w:top w:val="none" w:sz="0" w:space="0" w:color="auto"/>
            <w:left w:val="none" w:sz="0" w:space="0" w:color="auto"/>
            <w:bottom w:val="none" w:sz="0" w:space="0" w:color="auto"/>
            <w:right w:val="none" w:sz="0" w:space="0" w:color="auto"/>
          </w:divBdr>
        </w:div>
        <w:div w:id="1563560895">
          <w:marLeft w:val="0"/>
          <w:marRight w:val="0"/>
          <w:marTop w:val="0"/>
          <w:marBottom w:val="0"/>
          <w:divBdr>
            <w:top w:val="none" w:sz="0" w:space="0" w:color="auto"/>
            <w:left w:val="none" w:sz="0" w:space="0" w:color="auto"/>
            <w:bottom w:val="none" w:sz="0" w:space="0" w:color="auto"/>
            <w:right w:val="none" w:sz="0" w:space="0" w:color="auto"/>
          </w:divBdr>
        </w:div>
        <w:div w:id="979189733">
          <w:marLeft w:val="0"/>
          <w:marRight w:val="0"/>
          <w:marTop w:val="0"/>
          <w:marBottom w:val="0"/>
          <w:divBdr>
            <w:top w:val="none" w:sz="0" w:space="0" w:color="auto"/>
            <w:left w:val="none" w:sz="0" w:space="0" w:color="auto"/>
            <w:bottom w:val="none" w:sz="0" w:space="0" w:color="auto"/>
            <w:right w:val="none" w:sz="0" w:space="0" w:color="auto"/>
          </w:divBdr>
        </w:div>
        <w:div w:id="1473984815">
          <w:marLeft w:val="0"/>
          <w:marRight w:val="0"/>
          <w:marTop w:val="0"/>
          <w:marBottom w:val="0"/>
          <w:divBdr>
            <w:top w:val="none" w:sz="0" w:space="0" w:color="auto"/>
            <w:left w:val="none" w:sz="0" w:space="0" w:color="auto"/>
            <w:bottom w:val="none" w:sz="0" w:space="0" w:color="auto"/>
            <w:right w:val="none" w:sz="0" w:space="0" w:color="auto"/>
          </w:divBdr>
        </w:div>
        <w:div w:id="1247424233">
          <w:marLeft w:val="0"/>
          <w:marRight w:val="0"/>
          <w:marTop w:val="0"/>
          <w:marBottom w:val="0"/>
          <w:divBdr>
            <w:top w:val="none" w:sz="0" w:space="0" w:color="auto"/>
            <w:left w:val="none" w:sz="0" w:space="0" w:color="auto"/>
            <w:bottom w:val="none" w:sz="0" w:space="0" w:color="auto"/>
            <w:right w:val="none" w:sz="0" w:space="0" w:color="auto"/>
          </w:divBdr>
        </w:div>
        <w:div w:id="612060453">
          <w:marLeft w:val="0"/>
          <w:marRight w:val="0"/>
          <w:marTop w:val="0"/>
          <w:marBottom w:val="0"/>
          <w:divBdr>
            <w:top w:val="none" w:sz="0" w:space="0" w:color="auto"/>
            <w:left w:val="none" w:sz="0" w:space="0" w:color="auto"/>
            <w:bottom w:val="none" w:sz="0" w:space="0" w:color="auto"/>
            <w:right w:val="none" w:sz="0" w:space="0" w:color="auto"/>
          </w:divBdr>
        </w:div>
        <w:div w:id="895093888">
          <w:marLeft w:val="0"/>
          <w:marRight w:val="0"/>
          <w:marTop w:val="0"/>
          <w:marBottom w:val="0"/>
          <w:divBdr>
            <w:top w:val="none" w:sz="0" w:space="0" w:color="auto"/>
            <w:left w:val="none" w:sz="0" w:space="0" w:color="auto"/>
            <w:bottom w:val="none" w:sz="0" w:space="0" w:color="auto"/>
            <w:right w:val="none" w:sz="0" w:space="0" w:color="auto"/>
          </w:divBdr>
        </w:div>
        <w:div w:id="542835927">
          <w:marLeft w:val="0"/>
          <w:marRight w:val="0"/>
          <w:marTop w:val="0"/>
          <w:marBottom w:val="0"/>
          <w:divBdr>
            <w:top w:val="none" w:sz="0" w:space="0" w:color="auto"/>
            <w:left w:val="none" w:sz="0" w:space="0" w:color="auto"/>
            <w:bottom w:val="none" w:sz="0" w:space="0" w:color="auto"/>
            <w:right w:val="none" w:sz="0" w:space="0" w:color="auto"/>
          </w:divBdr>
        </w:div>
        <w:div w:id="836073474">
          <w:marLeft w:val="0"/>
          <w:marRight w:val="0"/>
          <w:marTop w:val="0"/>
          <w:marBottom w:val="0"/>
          <w:divBdr>
            <w:top w:val="none" w:sz="0" w:space="0" w:color="auto"/>
            <w:left w:val="none" w:sz="0" w:space="0" w:color="auto"/>
            <w:bottom w:val="none" w:sz="0" w:space="0" w:color="auto"/>
            <w:right w:val="none" w:sz="0" w:space="0" w:color="auto"/>
          </w:divBdr>
        </w:div>
        <w:div w:id="591864510">
          <w:marLeft w:val="0"/>
          <w:marRight w:val="0"/>
          <w:marTop w:val="0"/>
          <w:marBottom w:val="0"/>
          <w:divBdr>
            <w:top w:val="none" w:sz="0" w:space="0" w:color="auto"/>
            <w:left w:val="none" w:sz="0" w:space="0" w:color="auto"/>
            <w:bottom w:val="none" w:sz="0" w:space="0" w:color="auto"/>
            <w:right w:val="none" w:sz="0" w:space="0" w:color="auto"/>
          </w:divBdr>
        </w:div>
        <w:div w:id="2006086729">
          <w:marLeft w:val="0"/>
          <w:marRight w:val="0"/>
          <w:marTop w:val="0"/>
          <w:marBottom w:val="0"/>
          <w:divBdr>
            <w:top w:val="none" w:sz="0" w:space="0" w:color="auto"/>
            <w:left w:val="none" w:sz="0" w:space="0" w:color="auto"/>
            <w:bottom w:val="none" w:sz="0" w:space="0" w:color="auto"/>
            <w:right w:val="none" w:sz="0" w:space="0" w:color="auto"/>
          </w:divBdr>
        </w:div>
        <w:div w:id="1177767985">
          <w:marLeft w:val="0"/>
          <w:marRight w:val="0"/>
          <w:marTop w:val="0"/>
          <w:marBottom w:val="0"/>
          <w:divBdr>
            <w:top w:val="none" w:sz="0" w:space="0" w:color="auto"/>
            <w:left w:val="none" w:sz="0" w:space="0" w:color="auto"/>
            <w:bottom w:val="none" w:sz="0" w:space="0" w:color="auto"/>
            <w:right w:val="none" w:sz="0" w:space="0" w:color="auto"/>
          </w:divBdr>
        </w:div>
        <w:div w:id="443614711">
          <w:marLeft w:val="0"/>
          <w:marRight w:val="0"/>
          <w:marTop w:val="0"/>
          <w:marBottom w:val="0"/>
          <w:divBdr>
            <w:top w:val="none" w:sz="0" w:space="0" w:color="auto"/>
            <w:left w:val="none" w:sz="0" w:space="0" w:color="auto"/>
            <w:bottom w:val="none" w:sz="0" w:space="0" w:color="auto"/>
            <w:right w:val="none" w:sz="0" w:space="0" w:color="auto"/>
          </w:divBdr>
        </w:div>
        <w:div w:id="1398091534">
          <w:marLeft w:val="0"/>
          <w:marRight w:val="0"/>
          <w:marTop w:val="0"/>
          <w:marBottom w:val="0"/>
          <w:divBdr>
            <w:top w:val="none" w:sz="0" w:space="0" w:color="auto"/>
            <w:left w:val="none" w:sz="0" w:space="0" w:color="auto"/>
            <w:bottom w:val="none" w:sz="0" w:space="0" w:color="auto"/>
            <w:right w:val="none" w:sz="0" w:space="0" w:color="auto"/>
          </w:divBdr>
        </w:div>
        <w:div w:id="1191257006">
          <w:marLeft w:val="0"/>
          <w:marRight w:val="0"/>
          <w:marTop w:val="0"/>
          <w:marBottom w:val="0"/>
          <w:divBdr>
            <w:top w:val="none" w:sz="0" w:space="0" w:color="auto"/>
            <w:left w:val="none" w:sz="0" w:space="0" w:color="auto"/>
            <w:bottom w:val="none" w:sz="0" w:space="0" w:color="auto"/>
            <w:right w:val="none" w:sz="0" w:space="0" w:color="auto"/>
          </w:divBdr>
        </w:div>
        <w:div w:id="1779254348">
          <w:marLeft w:val="0"/>
          <w:marRight w:val="0"/>
          <w:marTop w:val="0"/>
          <w:marBottom w:val="0"/>
          <w:divBdr>
            <w:top w:val="none" w:sz="0" w:space="0" w:color="auto"/>
            <w:left w:val="none" w:sz="0" w:space="0" w:color="auto"/>
            <w:bottom w:val="none" w:sz="0" w:space="0" w:color="auto"/>
            <w:right w:val="none" w:sz="0" w:space="0" w:color="auto"/>
          </w:divBdr>
        </w:div>
        <w:div w:id="724108301">
          <w:marLeft w:val="0"/>
          <w:marRight w:val="0"/>
          <w:marTop w:val="0"/>
          <w:marBottom w:val="0"/>
          <w:divBdr>
            <w:top w:val="none" w:sz="0" w:space="0" w:color="auto"/>
            <w:left w:val="none" w:sz="0" w:space="0" w:color="auto"/>
            <w:bottom w:val="none" w:sz="0" w:space="0" w:color="auto"/>
            <w:right w:val="none" w:sz="0" w:space="0" w:color="auto"/>
          </w:divBdr>
        </w:div>
        <w:div w:id="1681349521">
          <w:marLeft w:val="0"/>
          <w:marRight w:val="0"/>
          <w:marTop w:val="0"/>
          <w:marBottom w:val="0"/>
          <w:divBdr>
            <w:top w:val="none" w:sz="0" w:space="0" w:color="auto"/>
            <w:left w:val="none" w:sz="0" w:space="0" w:color="auto"/>
            <w:bottom w:val="none" w:sz="0" w:space="0" w:color="auto"/>
            <w:right w:val="none" w:sz="0" w:space="0" w:color="auto"/>
          </w:divBdr>
        </w:div>
        <w:div w:id="1851218400">
          <w:marLeft w:val="0"/>
          <w:marRight w:val="0"/>
          <w:marTop w:val="0"/>
          <w:marBottom w:val="0"/>
          <w:divBdr>
            <w:top w:val="none" w:sz="0" w:space="0" w:color="auto"/>
            <w:left w:val="none" w:sz="0" w:space="0" w:color="auto"/>
            <w:bottom w:val="none" w:sz="0" w:space="0" w:color="auto"/>
            <w:right w:val="none" w:sz="0" w:space="0" w:color="auto"/>
          </w:divBdr>
        </w:div>
        <w:div w:id="4090788">
          <w:marLeft w:val="0"/>
          <w:marRight w:val="0"/>
          <w:marTop w:val="0"/>
          <w:marBottom w:val="0"/>
          <w:divBdr>
            <w:top w:val="none" w:sz="0" w:space="0" w:color="auto"/>
            <w:left w:val="none" w:sz="0" w:space="0" w:color="auto"/>
            <w:bottom w:val="none" w:sz="0" w:space="0" w:color="auto"/>
            <w:right w:val="none" w:sz="0" w:space="0" w:color="auto"/>
          </w:divBdr>
        </w:div>
        <w:div w:id="754088930">
          <w:marLeft w:val="0"/>
          <w:marRight w:val="0"/>
          <w:marTop w:val="0"/>
          <w:marBottom w:val="0"/>
          <w:divBdr>
            <w:top w:val="none" w:sz="0" w:space="0" w:color="auto"/>
            <w:left w:val="none" w:sz="0" w:space="0" w:color="auto"/>
            <w:bottom w:val="none" w:sz="0" w:space="0" w:color="auto"/>
            <w:right w:val="none" w:sz="0" w:space="0" w:color="auto"/>
          </w:divBdr>
        </w:div>
        <w:div w:id="759763309">
          <w:marLeft w:val="0"/>
          <w:marRight w:val="0"/>
          <w:marTop w:val="0"/>
          <w:marBottom w:val="0"/>
          <w:divBdr>
            <w:top w:val="none" w:sz="0" w:space="0" w:color="auto"/>
            <w:left w:val="none" w:sz="0" w:space="0" w:color="auto"/>
            <w:bottom w:val="none" w:sz="0" w:space="0" w:color="auto"/>
            <w:right w:val="none" w:sz="0" w:space="0" w:color="auto"/>
          </w:divBdr>
        </w:div>
        <w:div w:id="505094037">
          <w:marLeft w:val="0"/>
          <w:marRight w:val="0"/>
          <w:marTop w:val="0"/>
          <w:marBottom w:val="0"/>
          <w:divBdr>
            <w:top w:val="none" w:sz="0" w:space="0" w:color="auto"/>
            <w:left w:val="none" w:sz="0" w:space="0" w:color="auto"/>
            <w:bottom w:val="none" w:sz="0" w:space="0" w:color="auto"/>
            <w:right w:val="none" w:sz="0" w:space="0" w:color="auto"/>
          </w:divBdr>
        </w:div>
        <w:div w:id="812260706">
          <w:marLeft w:val="0"/>
          <w:marRight w:val="0"/>
          <w:marTop w:val="0"/>
          <w:marBottom w:val="0"/>
          <w:divBdr>
            <w:top w:val="none" w:sz="0" w:space="0" w:color="auto"/>
            <w:left w:val="none" w:sz="0" w:space="0" w:color="auto"/>
            <w:bottom w:val="none" w:sz="0" w:space="0" w:color="auto"/>
            <w:right w:val="none" w:sz="0" w:space="0" w:color="auto"/>
          </w:divBdr>
        </w:div>
        <w:div w:id="1072701680">
          <w:marLeft w:val="0"/>
          <w:marRight w:val="0"/>
          <w:marTop w:val="0"/>
          <w:marBottom w:val="0"/>
          <w:divBdr>
            <w:top w:val="none" w:sz="0" w:space="0" w:color="auto"/>
            <w:left w:val="none" w:sz="0" w:space="0" w:color="auto"/>
            <w:bottom w:val="none" w:sz="0" w:space="0" w:color="auto"/>
            <w:right w:val="none" w:sz="0" w:space="0" w:color="auto"/>
          </w:divBdr>
        </w:div>
        <w:div w:id="437528758">
          <w:marLeft w:val="0"/>
          <w:marRight w:val="0"/>
          <w:marTop w:val="0"/>
          <w:marBottom w:val="0"/>
          <w:divBdr>
            <w:top w:val="none" w:sz="0" w:space="0" w:color="auto"/>
            <w:left w:val="none" w:sz="0" w:space="0" w:color="auto"/>
            <w:bottom w:val="none" w:sz="0" w:space="0" w:color="auto"/>
            <w:right w:val="none" w:sz="0" w:space="0" w:color="auto"/>
          </w:divBdr>
        </w:div>
        <w:div w:id="1758860821">
          <w:marLeft w:val="0"/>
          <w:marRight w:val="0"/>
          <w:marTop w:val="0"/>
          <w:marBottom w:val="0"/>
          <w:divBdr>
            <w:top w:val="none" w:sz="0" w:space="0" w:color="auto"/>
            <w:left w:val="none" w:sz="0" w:space="0" w:color="auto"/>
            <w:bottom w:val="none" w:sz="0" w:space="0" w:color="auto"/>
            <w:right w:val="none" w:sz="0" w:space="0" w:color="auto"/>
          </w:divBdr>
        </w:div>
        <w:div w:id="1019237333">
          <w:marLeft w:val="0"/>
          <w:marRight w:val="0"/>
          <w:marTop w:val="0"/>
          <w:marBottom w:val="0"/>
          <w:divBdr>
            <w:top w:val="none" w:sz="0" w:space="0" w:color="auto"/>
            <w:left w:val="none" w:sz="0" w:space="0" w:color="auto"/>
            <w:bottom w:val="none" w:sz="0" w:space="0" w:color="auto"/>
            <w:right w:val="none" w:sz="0" w:space="0" w:color="auto"/>
          </w:divBdr>
        </w:div>
        <w:div w:id="1002509758">
          <w:marLeft w:val="0"/>
          <w:marRight w:val="0"/>
          <w:marTop w:val="0"/>
          <w:marBottom w:val="0"/>
          <w:divBdr>
            <w:top w:val="none" w:sz="0" w:space="0" w:color="auto"/>
            <w:left w:val="none" w:sz="0" w:space="0" w:color="auto"/>
            <w:bottom w:val="none" w:sz="0" w:space="0" w:color="auto"/>
            <w:right w:val="none" w:sz="0" w:space="0" w:color="auto"/>
          </w:divBdr>
        </w:div>
        <w:div w:id="628054362">
          <w:marLeft w:val="0"/>
          <w:marRight w:val="0"/>
          <w:marTop w:val="0"/>
          <w:marBottom w:val="0"/>
          <w:divBdr>
            <w:top w:val="none" w:sz="0" w:space="0" w:color="auto"/>
            <w:left w:val="none" w:sz="0" w:space="0" w:color="auto"/>
            <w:bottom w:val="none" w:sz="0" w:space="0" w:color="auto"/>
            <w:right w:val="none" w:sz="0" w:space="0" w:color="auto"/>
          </w:divBdr>
        </w:div>
        <w:div w:id="1785467387">
          <w:marLeft w:val="0"/>
          <w:marRight w:val="0"/>
          <w:marTop w:val="0"/>
          <w:marBottom w:val="0"/>
          <w:divBdr>
            <w:top w:val="none" w:sz="0" w:space="0" w:color="auto"/>
            <w:left w:val="none" w:sz="0" w:space="0" w:color="auto"/>
            <w:bottom w:val="none" w:sz="0" w:space="0" w:color="auto"/>
            <w:right w:val="none" w:sz="0" w:space="0" w:color="auto"/>
          </w:divBdr>
        </w:div>
        <w:div w:id="1421295908">
          <w:marLeft w:val="0"/>
          <w:marRight w:val="0"/>
          <w:marTop w:val="0"/>
          <w:marBottom w:val="0"/>
          <w:divBdr>
            <w:top w:val="none" w:sz="0" w:space="0" w:color="auto"/>
            <w:left w:val="none" w:sz="0" w:space="0" w:color="auto"/>
            <w:bottom w:val="none" w:sz="0" w:space="0" w:color="auto"/>
            <w:right w:val="none" w:sz="0" w:space="0" w:color="auto"/>
          </w:divBdr>
        </w:div>
        <w:div w:id="688290329">
          <w:marLeft w:val="0"/>
          <w:marRight w:val="0"/>
          <w:marTop w:val="0"/>
          <w:marBottom w:val="0"/>
          <w:divBdr>
            <w:top w:val="none" w:sz="0" w:space="0" w:color="auto"/>
            <w:left w:val="none" w:sz="0" w:space="0" w:color="auto"/>
            <w:bottom w:val="none" w:sz="0" w:space="0" w:color="auto"/>
            <w:right w:val="none" w:sz="0" w:space="0" w:color="auto"/>
          </w:divBdr>
        </w:div>
        <w:div w:id="1183319994">
          <w:marLeft w:val="0"/>
          <w:marRight w:val="0"/>
          <w:marTop w:val="0"/>
          <w:marBottom w:val="0"/>
          <w:divBdr>
            <w:top w:val="none" w:sz="0" w:space="0" w:color="auto"/>
            <w:left w:val="none" w:sz="0" w:space="0" w:color="auto"/>
            <w:bottom w:val="none" w:sz="0" w:space="0" w:color="auto"/>
            <w:right w:val="none" w:sz="0" w:space="0" w:color="auto"/>
          </w:divBdr>
        </w:div>
        <w:div w:id="1852181249">
          <w:marLeft w:val="0"/>
          <w:marRight w:val="0"/>
          <w:marTop w:val="0"/>
          <w:marBottom w:val="0"/>
          <w:divBdr>
            <w:top w:val="none" w:sz="0" w:space="0" w:color="auto"/>
            <w:left w:val="none" w:sz="0" w:space="0" w:color="auto"/>
            <w:bottom w:val="none" w:sz="0" w:space="0" w:color="auto"/>
            <w:right w:val="none" w:sz="0" w:space="0" w:color="auto"/>
          </w:divBdr>
        </w:div>
        <w:div w:id="810439060">
          <w:marLeft w:val="0"/>
          <w:marRight w:val="0"/>
          <w:marTop w:val="0"/>
          <w:marBottom w:val="0"/>
          <w:divBdr>
            <w:top w:val="none" w:sz="0" w:space="0" w:color="auto"/>
            <w:left w:val="none" w:sz="0" w:space="0" w:color="auto"/>
            <w:bottom w:val="none" w:sz="0" w:space="0" w:color="auto"/>
            <w:right w:val="none" w:sz="0" w:space="0" w:color="auto"/>
          </w:divBdr>
        </w:div>
        <w:div w:id="1140418502">
          <w:marLeft w:val="0"/>
          <w:marRight w:val="0"/>
          <w:marTop w:val="0"/>
          <w:marBottom w:val="0"/>
          <w:divBdr>
            <w:top w:val="none" w:sz="0" w:space="0" w:color="auto"/>
            <w:left w:val="none" w:sz="0" w:space="0" w:color="auto"/>
            <w:bottom w:val="none" w:sz="0" w:space="0" w:color="auto"/>
            <w:right w:val="none" w:sz="0" w:space="0" w:color="auto"/>
          </w:divBdr>
        </w:div>
        <w:div w:id="1114712713">
          <w:marLeft w:val="0"/>
          <w:marRight w:val="0"/>
          <w:marTop w:val="0"/>
          <w:marBottom w:val="0"/>
          <w:divBdr>
            <w:top w:val="none" w:sz="0" w:space="0" w:color="auto"/>
            <w:left w:val="none" w:sz="0" w:space="0" w:color="auto"/>
            <w:bottom w:val="none" w:sz="0" w:space="0" w:color="auto"/>
            <w:right w:val="none" w:sz="0" w:space="0" w:color="auto"/>
          </w:divBdr>
        </w:div>
        <w:div w:id="1555963424">
          <w:marLeft w:val="0"/>
          <w:marRight w:val="0"/>
          <w:marTop w:val="0"/>
          <w:marBottom w:val="0"/>
          <w:divBdr>
            <w:top w:val="none" w:sz="0" w:space="0" w:color="auto"/>
            <w:left w:val="none" w:sz="0" w:space="0" w:color="auto"/>
            <w:bottom w:val="none" w:sz="0" w:space="0" w:color="auto"/>
            <w:right w:val="none" w:sz="0" w:space="0" w:color="auto"/>
          </w:divBdr>
        </w:div>
        <w:div w:id="1041321067">
          <w:marLeft w:val="0"/>
          <w:marRight w:val="0"/>
          <w:marTop w:val="0"/>
          <w:marBottom w:val="0"/>
          <w:divBdr>
            <w:top w:val="none" w:sz="0" w:space="0" w:color="auto"/>
            <w:left w:val="none" w:sz="0" w:space="0" w:color="auto"/>
            <w:bottom w:val="none" w:sz="0" w:space="0" w:color="auto"/>
            <w:right w:val="none" w:sz="0" w:space="0" w:color="auto"/>
          </w:divBdr>
        </w:div>
        <w:div w:id="1189559816">
          <w:marLeft w:val="0"/>
          <w:marRight w:val="0"/>
          <w:marTop w:val="0"/>
          <w:marBottom w:val="0"/>
          <w:divBdr>
            <w:top w:val="none" w:sz="0" w:space="0" w:color="auto"/>
            <w:left w:val="none" w:sz="0" w:space="0" w:color="auto"/>
            <w:bottom w:val="none" w:sz="0" w:space="0" w:color="auto"/>
            <w:right w:val="none" w:sz="0" w:space="0" w:color="auto"/>
          </w:divBdr>
        </w:div>
        <w:div w:id="1229416442">
          <w:marLeft w:val="0"/>
          <w:marRight w:val="0"/>
          <w:marTop w:val="0"/>
          <w:marBottom w:val="0"/>
          <w:divBdr>
            <w:top w:val="none" w:sz="0" w:space="0" w:color="auto"/>
            <w:left w:val="none" w:sz="0" w:space="0" w:color="auto"/>
            <w:bottom w:val="none" w:sz="0" w:space="0" w:color="auto"/>
            <w:right w:val="none" w:sz="0" w:space="0" w:color="auto"/>
          </w:divBdr>
        </w:div>
        <w:div w:id="17245434">
          <w:marLeft w:val="0"/>
          <w:marRight w:val="0"/>
          <w:marTop w:val="0"/>
          <w:marBottom w:val="0"/>
          <w:divBdr>
            <w:top w:val="none" w:sz="0" w:space="0" w:color="auto"/>
            <w:left w:val="none" w:sz="0" w:space="0" w:color="auto"/>
            <w:bottom w:val="none" w:sz="0" w:space="0" w:color="auto"/>
            <w:right w:val="none" w:sz="0" w:space="0" w:color="auto"/>
          </w:divBdr>
        </w:div>
        <w:div w:id="440338407">
          <w:marLeft w:val="0"/>
          <w:marRight w:val="0"/>
          <w:marTop w:val="0"/>
          <w:marBottom w:val="0"/>
          <w:divBdr>
            <w:top w:val="none" w:sz="0" w:space="0" w:color="auto"/>
            <w:left w:val="none" w:sz="0" w:space="0" w:color="auto"/>
            <w:bottom w:val="none" w:sz="0" w:space="0" w:color="auto"/>
            <w:right w:val="none" w:sz="0" w:space="0" w:color="auto"/>
          </w:divBdr>
        </w:div>
        <w:div w:id="832379327">
          <w:marLeft w:val="0"/>
          <w:marRight w:val="0"/>
          <w:marTop w:val="0"/>
          <w:marBottom w:val="0"/>
          <w:divBdr>
            <w:top w:val="none" w:sz="0" w:space="0" w:color="auto"/>
            <w:left w:val="none" w:sz="0" w:space="0" w:color="auto"/>
            <w:bottom w:val="none" w:sz="0" w:space="0" w:color="auto"/>
            <w:right w:val="none" w:sz="0" w:space="0" w:color="auto"/>
          </w:divBdr>
        </w:div>
        <w:div w:id="1144784086">
          <w:marLeft w:val="0"/>
          <w:marRight w:val="0"/>
          <w:marTop w:val="0"/>
          <w:marBottom w:val="0"/>
          <w:divBdr>
            <w:top w:val="none" w:sz="0" w:space="0" w:color="auto"/>
            <w:left w:val="none" w:sz="0" w:space="0" w:color="auto"/>
            <w:bottom w:val="none" w:sz="0" w:space="0" w:color="auto"/>
            <w:right w:val="none" w:sz="0" w:space="0" w:color="auto"/>
          </w:divBdr>
        </w:div>
        <w:div w:id="2093313786">
          <w:marLeft w:val="0"/>
          <w:marRight w:val="0"/>
          <w:marTop w:val="0"/>
          <w:marBottom w:val="0"/>
          <w:divBdr>
            <w:top w:val="none" w:sz="0" w:space="0" w:color="auto"/>
            <w:left w:val="none" w:sz="0" w:space="0" w:color="auto"/>
            <w:bottom w:val="none" w:sz="0" w:space="0" w:color="auto"/>
            <w:right w:val="none" w:sz="0" w:space="0" w:color="auto"/>
          </w:divBdr>
        </w:div>
        <w:div w:id="377317255">
          <w:marLeft w:val="0"/>
          <w:marRight w:val="0"/>
          <w:marTop w:val="0"/>
          <w:marBottom w:val="0"/>
          <w:divBdr>
            <w:top w:val="none" w:sz="0" w:space="0" w:color="auto"/>
            <w:left w:val="none" w:sz="0" w:space="0" w:color="auto"/>
            <w:bottom w:val="none" w:sz="0" w:space="0" w:color="auto"/>
            <w:right w:val="none" w:sz="0" w:space="0" w:color="auto"/>
          </w:divBdr>
        </w:div>
        <w:div w:id="1304967956">
          <w:marLeft w:val="0"/>
          <w:marRight w:val="0"/>
          <w:marTop w:val="0"/>
          <w:marBottom w:val="0"/>
          <w:divBdr>
            <w:top w:val="none" w:sz="0" w:space="0" w:color="auto"/>
            <w:left w:val="none" w:sz="0" w:space="0" w:color="auto"/>
            <w:bottom w:val="none" w:sz="0" w:space="0" w:color="auto"/>
            <w:right w:val="none" w:sz="0" w:space="0" w:color="auto"/>
          </w:divBdr>
        </w:div>
        <w:div w:id="71893362">
          <w:marLeft w:val="0"/>
          <w:marRight w:val="0"/>
          <w:marTop w:val="0"/>
          <w:marBottom w:val="0"/>
          <w:divBdr>
            <w:top w:val="none" w:sz="0" w:space="0" w:color="auto"/>
            <w:left w:val="none" w:sz="0" w:space="0" w:color="auto"/>
            <w:bottom w:val="none" w:sz="0" w:space="0" w:color="auto"/>
            <w:right w:val="none" w:sz="0" w:space="0" w:color="auto"/>
          </w:divBdr>
        </w:div>
        <w:div w:id="55670211">
          <w:marLeft w:val="0"/>
          <w:marRight w:val="0"/>
          <w:marTop w:val="0"/>
          <w:marBottom w:val="0"/>
          <w:divBdr>
            <w:top w:val="none" w:sz="0" w:space="0" w:color="auto"/>
            <w:left w:val="none" w:sz="0" w:space="0" w:color="auto"/>
            <w:bottom w:val="none" w:sz="0" w:space="0" w:color="auto"/>
            <w:right w:val="none" w:sz="0" w:space="0" w:color="auto"/>
          </w:divBdr>
        </w:div>
        <w:div w:id="1534341883">
          <w:marLeft w:val="0"/>
          <w:marRight w:val="0"/>
          <w:marTop w:val="0"/>
          <w:marBottom w:val="0"/>
          <w:divBdr>
            <w:top w:val="none" w:sz="0" w:space="0" w:color="auto"/>
            <w:left w:val="none" w:sz="0" w:space="0" w:color="auto"/>
            <w:bottom w:val="none" w:sz="0" w:space="0" w:color="auto"/>
            <w:right w:val="none" w:sz="0" w:space="0" w:color="auto"/>
          </w:divBdr>
        </w:div>
        <w:div w:id="1676179715">
          <w:marLeft w:val="0"/>
          <w:marRight w:val="0"/>
          <w:marTop w:val="0"/>
          <w:marBottom w:val="0"/>
          <w:divBdr>
            <w:top w:val="none" w:sz="0" w:space="0" w:color="auto"/>
            <w:left w:val="none" w:sz="0" w:space="0" w:color="auto"/>
            <w:bottom w:val="none" w:sz="0" w:space="0" w:color="auto"/>
            <w:right w:val="none" w:sz="0" w:space="0" w:color="auto"/>
          </w:divBdr>
        </w:div>
        <w:div w:id="343287977">
          <w:marLeft w:val="0"/>
          <w:marRight w:val="0"/>
          <w:marTop w:val="0"/>
          <w:marBottom w:val="0"/>
          <w:divBdr>
            <w:top w:val="none" w:sz="0" w:space="0" w:color="auto"/>
            <w:left w:val="none" w:sz="0" w:space="0" w:color="auto"/>
            <w:bottom w:val="none" w:sz="0" w:space="0" w:color="auto"/>
            <w:right w:val="none" w:sz="0" w:space="0" w:color="auto"/>
          </w:divBdr>
        </w:div>
        <w:div w:id="2129658154">
          <w:marLeft w:val="0"/>
          <w:marRight w:val="0"/>
          <w:marTop w:val="0"/>
          <w:marBottom w:val="0"/>
          <w:divBdr>
            <w:top w:val="none" w:sz="0" w:space="0" w:color="auto"/>
            <w:left w:val="none" w:sz="0" w:space="0" w:color="auto"/>
            <w:bottom w:val="none" w:sz="0" w:space="0" w:color="auto"/>
            <w:right w:val="none" w:sz="0" w:space="0" w:color="auto"/>
          </w:divBdr>
        </w:div>
        <w:div w:id="538976580">
          <w:marLeft w:val="0"/>
          <w:marRight w:val="0"/>
          <w:marTop w:val="0"/>
          <w:marBottom w:val="0"/>
          <w:divBdr>
            <w:top w:val="none" w:sz="0" w:space="0" w:color="auto"/>
            <w:left w:val="none" w:sz="0" w:space="0" w:color="auto"/>
            <w:bottom w:val="none" w:sz="0" w:space="0" w:color="auto"/>
            <w:right w:val="none" w:sz="0" w:space="0" w:color="auto"/>
          </w:divBdr>
        </w:div>
        <w:div w:id="1031613719">
          <w:marLeft w:val="0"/>
          <w:marRight w:val="0"/>
          <w:marTop w:val="0"/>
          <w:marBottom w:val="0"/>
          <w:divBdr>
            <w:top w:val="none" w:sz="0" w:space="0" w:color="auto"/>
            <w:left w:val="none" w:sz="0" w:space="0" w:color="auto"/>
            <w:bottom w:val="none" w:sz="0" w:space="0" w:color="auto"/>
            <w:right w:val="none" w:sz="0" w:space="0" w:color="auto"/>
          </w:divBdr>
        </w:div>
        <w:div w:id="1488285400">
          <w:marLeft w:val="0"/>
          <w:marRight w:val="0"/>
          <w:marTop w:val="0"/>
          <w:marBottom w:val="0"/>
          <w:divBdr>
            <w:top w:val="none" w:sz="0" w:space="0" w:color="auto"/>
            <w:left w:val="none" w:sz="0" w:space="0" w:color="auto"/>
            <w:bottom w:val="none" w:sz="0" w:space="0" w:color="auto"/>
            <w:right w:val="none" w:sz="0" w:space="0" w:color="auto"/>
          </w:divBdr>
        </w:div>
      </w:divsChild>
    </w:div>
    <w:div w:id="1940062997">
      <w:bodyDiv w:val="1"/>
      <w:marLeft w:val="0"/>
      <w:marRight w:val="0"/>
      <w:marTop w:val="0"/>
      <w:marBottom w:val="0"/>
      <w:divBdr>
        <w:top w:val="none" w:sz="0" w:space="0" w:color="auto"/>
        <w:left w:val="none" w:sz="0" w:space="0" w:color="auto"/>
        <w:bottom w:val="none" w:sz="0" w:space="0" w:color="auto"/>
        <w:right w:val="none" w:sz="0" w:space="0" w:color="auto"/>
      </w:divBdr>
    </w:div>
    <w:div w:id="1942175363">
      <w:bodyDiv w:val="1"/>
      <w:marLeft w:val="0"/>
      <w:marRight w:val="0"/>
      <w:marTop w:val="0"/>
      <w:marBottom w:val="0"/>
      <w:divBdr>
        <w:top w:val="none" w:sz="0" w:space="0" w:color="auto"/>
        <w:left w:val="none" w:sz="0" w:space="0" w:color="auto"/>
        <w:bottom w:val="none" w:sz="0" w:space="0" w:color="auto"/>
        <w:right w:val="none" w:sz="0" w:space="0" w:color="auto"/>
      </w:divBdr>
    </w:div>
    <w:div w:id="1949779478">
      <w:bodyDiv w:val="1"/>
      <w:marLeft w:val="0"/>
      <w:marRight w:val="0"/>
      <w:marTop w:val="0"/>
      <w:marBottom w:val="0"/>
      <w:divBdr>
        <w:top w:val="none" w:sz="0" w:space="0" w:color="auto"/>
        <w:left w:val="none" w:sz="0" w:space="0" w:color="auto"/>
        <w:bottom w:val="none" w:sz="0" w:space="0" w:color="auto"/>
        <w:right w:val="none" w:sz="0" w:space="0" w:color="auto"/>
      </w:divBdr>
    </w:div>
    <w:div w:id="1951550048">
      <w:bodyDiv w:val="1"/>
      <w:marLeft w:val="0"/>
      <w:marRight w:val="0"/>
      <w:marTop w:val="0"/>
      <w:marBottom w:val="0"/>
      <w:divBdr>
        <w:top w:val="none" w:sz="0" w:space="0" w:color="auto"/>
        <w:left w:val="none" w:sz="0" w:space="0" w:color="auto"/>
        <w:bottom w:val="none" w:sz="0" w:space="0" w:color="auto"/>
        <w:right w:val="none" w:sz="0" w:space="0" w:color="auto"/>
      </w:divBdr>
    </w:div>
    <w:div w:id="1952323968">
      <w:bodyDiv w:val="1"/>
      <w:marLeft w:val="0"/>
      <w:marRight w:val="0"/>
      <w:marTop w:val="0"/>
      <w:marBottom w:val="0"/>
      <w:divBdr>
        <w:top w:val="none" w:sz="0" w:space="0" w:color="auto"/>
        <w:left w:val="none" w:sz="0" w:space="0" w:color="auto"/>
        <w:bottom w:val="none" w:sz="0" w:space="0" w:color="auto"/>
        <w:right w:val="none" w:sz="0" w:space="0" w:color="auto"/>
      </w:divBdr>
    </w:div>
    <w:div w:id="1955743322">
      <w:bodyDiv w:val="1"/>
      <w:marLeft w:val="0"/>
      <w:marRight w:val="0"/>
      <w:marTop w:val="0"/>
      <w:marBottom w:val="0"/>
      <w:divBdr>
        <w:top w:val="none" w:sz="0" w:space="0" w:color="auto"/>
        <w:left w:val="none" w:sz="0" w:space="0" w:color="auto"/>
        <w:bottom w:val="none" w:sz="0" w:space="0" w:color="auto"/>
        <w:right w:val="none" w:sz="0" w:space="0" w:color="auto"/>
      </w:divBdr>
    </w:div>
    <w:div w:id="1955940840">
      <w:bodyDiv w:val="1"/>
      <w:marLeft w:val="0"/>
      <w:marRight w:val="0"/>
      <w:marTop w:val="0"/>
      <w:marBottom w:val="0"/>
      <w:divBdr>
        <w:top w:val="none" w:sz="0" w:space="0" w:color="auto"/>
        <w:left w:val="none" w:sz="0" w:space="0" w:color="auto"/>
        <w:bottom w:val="none" w:sz="0" w:space="0" w:color="auto"/>
        <w:right w:val="none" w:sz="0" w:space="0" w:color="auto"/>
      </w:divBdr>
    </w:div>
    <w:div w:id="1958835196">
      <w:bodyDiv w:val="1"/>
      <w:marLeft w:val="0"/>
      <w:marRight w:val="0"/>
      <w:marTop w:val="0"/>
      <w:marBottom w:val="0"/>
      <w:divBdr>
        <w:top w:val="none" w:sz="0" w:space="0" w:color="auto"/>
        <w:left w:val="none" w:sz="0" w:space="0" w:color="auto"/>
        <w:bottom w:val="none" w:sz="0" w:space="0" w:color="auto"/>
        <w:right w:val="none" w:sz="0" w:space="0" w:color="auto"/>
      </w:divBdr>
    </w:div>
    <w:div w:id="1960405510">
      <w:bodyDiv w:val="1"/>
      <w:marLeft w:val="0"/>
      <w:marRight w:val="0"/>
      <w:marTop w:val="0"/>
      <w:marBottom w:val="0"/>
      <w:divBdr>
        <w:top w:val="none" w:sz="0" w:space="0" w:color="auto"/>
        <w:left w:val="none" w:sz="0" w:space="0" w:color="auto"/>
        <w:bottom w:val="none" w:sz="0" w:space="0" w:color="auto"/>
        <w:right w:val="none" w:sz="0" w:space="0" w:color="auto"/>
      </w:divBdr>
    </w:div>
    <w:div w:id="1960721356">
      <w:bodyDiv w:val="1"/>
      <w:marLeft w:val="0"/>
      <w:marRight w:val="0"/>
      <w:marTop w:val="0"/>
      <w:marBottom w:val="0"/>
      <w:divBdr>
        <w:top w:val="none" w:sz="0" w:space="0" w:color="auto"/>
        <w:left w:val="none" w:sz="0" w:space="0" w:color="auto"/>
        <w:bottom w:val="none" w:sz="0" w:space="0" w:color="auto"/>
        <w:right w:val="none" w:sz="0" w:space="0" w:color="auto"/>
      </w:divBdr>
    </w:div>
    <w:div w:id="1962764648">
      <w:bodyDiv w:val="1"/>
      <w:marLeft w:val="0"/>
      <w:marRight w:val="0"/>
      <w:marTop w:val="0"/>
      <w:marBottom w:val="0"/>
      <w:divBdr>
        <w:top w:val="none" w:sz="0" w:space="0" w:color="auto"/>
        <w:left w:val="none" w:sz="0" w:space="0" w:color="auto"/>
        <w:bottom w:val="none" w:sz="0" w:space="0" w:color="auto"/>
        <w:right w:val="none" w:sz="0" w:space="0" w:color="auto"/>
      </w:divBdr>
    </w:div>
    <w:div w:id="1963225551">
      <w:bodyDiv w:val="1"/>
      <w:marLeft w:val="0"/>
      <w:marRight w:val="0"/>
      <w:marTop w:val="0"/>
      <w:marBottom w:val="0"/>
      <w:divBdr>
        <w:top w:val="none" w:sz="0" w:space="0" w:color="auto"/>
        <w:left w:val="none" w:sz="0" w:space="0" w:color="auto"/>
        <w:bottom w:val="none" w:sz="0" w:space="0" w:color="auto"/>
        <w:right w:val="none" w:sz="0" w:space="0" w:color="auto"/>
      </w:divBdr>
    </w:div>
    <w:div w:id="1963730804">
      <w:bodyDiv w:val="1"/>
      <w:marLeft w:val="0"/>
      <w:marRight w:val="0"/>
      <w:marTop w:val="0"/>
      <w:marBottom w:val="0"/>
      <w:divBdr>
        <w:top w:val="none" w:sz="0" w:space="0" w:color="auto"/>
        <w:left w:val="none" w:sz="0" w:space="0" w:color="auto"/>
        <w:bottom w:val="none" w:sz="0" w:space="0" w:color="auto"/>
        <w:right w:val="none" w:sz="0" w:space="0" w:color="auto"/>
      </w:divBdr>
    </w:div>
    <w:div w:id="1964654061">
      <w:bodyDiv w:val="1"/>
      <w:marLeft w:val="0"/>
      <w:marRight w:val="0"/>
      <w:marTop w:val="0"/>
      <w:marBottom w:val="0"/>
      <w:divBdr>
        <w:top w:val="none" w:sz="0" w:space="0" w:color="auto"/>
        <w:left w:val="none" w:sz="0" w:space="0" w:color="auto"/>
        <w:bottom w:val="none" w:sz="0" w:space="0" w:color="auto"/>
        <w:right w:val="none" w:sz="0" w:space="0" w:color="auto"/>
      </w:divBdr>
    </w:div>
    <w:div w:id="1967613584">
      <w:bodyDiv w:val="1"/>
      <w:marLeft w:val="0"/>
      <w:marRight w:val="0"/>
      <w:marTop w:val="0"/>
      <w:marBottom w:val="0"/>
      <w:divBdr>
        <w:top w:val="none" w:sz="0" w:space="0" w:color="auto"/>
        <w:left w:val="none" w:sz="0" w:space="0" w:color="auto"/>
        <w:bottom w:val="none" w:sz="0" w:space="0" w:color="auto"/>
        <w:right w:val="none" w:sz="0" w:space="0" w:color="auto"/>
      </w:divBdr>
    </w:div>
    <w:div w:id="1971354086">
      <w:bodyDiv w:val="1"/>
      <w:marLeft w:val="0"/>
      <w:marRight w:val="0"/>
      <w:marTop w:val="0"/>
      <w:marBottom w:val="0"/>
      <w:divBdr>
        <w:top w:val="none" w:sz="0" w:space="0" w:color="auto"/>
        <w:left w:val="none" w:sz="0" w:space="0" w:color="auto"/>
        <w:bottom w:val="none" w:sz="0" w:space="0" w:color="auto"/>
        <w:right w:val="none" w:sz="0" w:space="0" w:color="auto"/>
      </w:divBdr>
    </w:div>
    <w:div w:id="1971781866">
      <w:bodyDiv w:val="1"/>
      <w:marLeft w:val="0"/>
      <w:marRight w:val="0"/>
      <w:marTop w:val="0"/>
      <w:marBottom w:val="0"/>
      <w:divBdr>
        <w:top w:val="none" w:sz="0" w:space="0" w:color="auto"/>
        <w:left w:val="none" w:sz="0" w:space="0" w:color="auto"/>
        <w:bottom w:val="none" w:sz="0" w:space="0" w:color="auto"/>
        <w:right w:val="none" w:sz="0" w:space="0" w:color="auto"/>
      </w:divBdr>
    </w:div>
    <w:div w:id="1972977794">
      <w:bodyDiv w:val="1"/>
      <w:marLeft w:val="0"/>
      <w:marRight w:val="0"/>
      <w:marTop w:val="0"/>
      <w:marBottom w:val="0"/>
      <w:divBdr>
        <w:top w:val="none" w:sz="0" w:space="0" w:color="auto"/>
        <w:left w:val="none" w:sz="0" w:space="0" w:color="auto"/>
        <w:bottom w:val="none" w:sz="0" w:space="0" w:color="auto"/>
        <w:right w:val="none" w:sz="0" w:space="0" w:color="auto"/>
      </w:divBdr>
    </w:div>
    <w:div w:id="1974289720">
      <w:bodyDiv w:val="1"/>
      <w:marLeft w:val="0"/>
      <w:marRight w:val="0"/>
      <w:marTop w:val="0"/>
      <w:marBottom w:val="0"/>
      <w:divBdr>
        <w:top w:val="none" w:sz="0" w:space="0" w:color="auto"/>
        <w:left w:val="none" w:sz="0" w:space="0" w:color="auto"/>
        <w:bottom w:val="none" w:sz="0" w:space="0" w:color="auto"/>
        <w:right w:val="none" w:sz="0" w:space="0" w:color="auto"/>
      </w:divBdr>
    </w:div>
    <w:div w:id="1984193611">
      <w:bodyDiv w:val="1"/>
      <w:marLeft w:val="0"/>
      <w:marRight w:val="0"/>
      <w:marTop w:val="0"/>
      <w:marBottom w:val="0"/>
      <w:divBdr>
        <w:top w:val="none" w:sz="0" w:space="0" w:color="auto"/>
        <w:left w:val="none" w:sz="0" w:space="0" w:color="auto"/>
        <w:bottom w:val="none" w:sz="0" w:space="0" w:color="auto"/>
        <w:right w:val="none" w:sz="0" w:space="0" w:color="auto"/>
      </w:divBdr>
    </w:div>
    <w:div w:id="1986012193">
      <w:bodyDiv w:val="1"/>
      <w:marLeft w:val="0"/>
      <w:marRight w:val="0"/>
      <w:marTop w:val="0"/>
      <w:marBottom w:val="0"/>
      <w:divBdr>
        <w:top w:val="none" w:sz="0" w:space="0" w:color="auto"/>
        <w:left w:val="none" w:sz="0" w:space="0" w:color="auto"/>
        <w:bottom w:val="none" w:sz="0" w:space="0" w:color="auto"/>
        <w:right w:val="none" w:sz="0" w:space="0" w:color="auto"/>
      </w:divBdr>
    </w:div>
    <w:div w:id="1991009428">
      <w:bodyDiv w:val="1"/>
      <w:marLeft w:val="0"/>
      <w:marRight w:val="0"/>
      <w:marTop w:val="0"/>
      <w:marBottom w:val="0"/>
      <w:divBdr>
        <w:top w:val="none" w:sz="0" w:space="0" w:color="auto"/>
        <w:left w:val="none" w:sz="0" w:space="0" w:color="auto"/>
        <w:bottom w:val="none" w:sz="0" w:space="0" w:color="auto"/>
        <w:right w:val="none" w:sz="0" w:space="0" w:color="auto"/>
      </w:divBdr>
    </w:div>
    <w:div w:id="1997220649">
      <w:bodyDiv w:val="1"/>
      <w:marLeft w:val="0"/>
      <w:marRight w:val="0"/>
      <w:marTop w:val="0"/>
      <w:marBottom w:val="0"/>
      <w:divBdr>
        <w:top w:val="none" w:sz="0" w:space="0" w:color="auto"/>
        <w:left w:val="none" w:sz="0" w:space="0" w:color="auto"/>
        <w:bottom w:val="none" w:sz="0" w:space="0" w:color="auto"/>
        <w:right w:val="none" w:sz="0" w:space="0" w:color="auto"/>
      </w:divBdr>
    </w:div>
    <w:div w:id="1997681864">
      <w:bodyDiv w:val="1"/>
      <w:marLeft w:val="0"/>
      <w:marRight w:val="0"/>
      <w:marTop w:val="0"/>
      <w:marBottom w:val="0"/>
      <w:divBdr>
        <w:top w:val="none" w:sz="0" w:space="0" w:color="auto"/>
        <w:left w:val="none" w:sz="0" w:space="0" w:color="auto"/>
        <w:bottom w:val="none" w:sz="0" w:space="0" w:color="auto"/>
        <w:right w:val="none" w:sz="0" w:space="0" w:color="auto"/>
      </w:divBdr>
    </w:div>
    <w:div w:id="2002387561">
      <w:bodyDiv w:val="1"/>
      <w:marLeft w:val="0"/>
      <w:marRight w:val="0"/>
      <w:marTop w:val="0"/>
      <w:marBottom w:val="0"/>
      <w:divBdr>
        <w:top w:val="none" w:sz="0" w:space="0" w:color="auto"/>
        <w:left w:val="none" w:sz="0" w:space="0" w:color="auto"/>
        <w:bottom w:val="none" w:sz="0" w:space="0" w:color="auto"/>
        <w:right w:val="none" w:sz="0" w:space="0" w:color="auto"/>
      </w:divBdr>
    </w:div>
    <w:div w:id="2004317093">
      <w:bodyDiv w:val="1"/>
      <w:marLeft w:val="0"/>
      <w:marRight w:val="0"/>
      <w:marTop w:val="0"/>
      <w:marBottom w:val="0"/>
      <w:divBdr>
        <w:top w:val="none" w:sz="0" w:space="0" w:color="auto"/>
        <w:left w:val="none" w:sz="0" w:space="0" w:color="auto"/>
        <w:bottom w:val="none" w:sz="0" w:space="0" w:color="auto"/>
        <w:right w:val="none" w:sz="0" w:space="0" w:color="auto"/>
      </w:divBdr>
    </w:div>
    <w:div w:id="2007123926">
      <w:bodyDiv w:val="1"/>
      <w:marLeft w:val="0"/>
      <w:marRight w:val="0"/>
      <w:marTop w:val="0"/>
      <w:marBottom w:val="0"/>
      <w:divBdr>
        <w:top w:val="none" w:sz="0" w:space="0" w:color="auto"/>
        <w:left w:val="none" w:sz="0" w:space="0" w:color="auto"/>
        <w:bottom w:val="none" w:sz="0" w:space="0" w:color="auto"/>
        <w:right w:val="none" w:sz="0" w:space="0" w:color="auto"/>
      </w:divBdr>
    </w:div>
    <w:div w:id="2008054601">
      <w:bodyDiv w:val="1"/>
      <w:marLeft w:val="0"/>
      <w:marRight w:val="0"/>
      <w:marTop w:val="0"/>
      <w:marBottom w:val="0"/>
      <w:divBdr>
        <w:top w:val="none" w:sz="0" w:space="0" w:color="auto"/>
        <w:left w:val="none" w:sz="0" w:space="0" w:color="auto"/>
        <w:bottom w:val="none" w:sz="0" w:space="0" w:color="auto"/>
        <w:right w:val="none" w:sz="0" w:space="0" w:color="auto"/>
      </w:divBdr>
    </w:div>
    <w:div w:id="2012946098">
      <w:bodyDiv w:val="1"/>
      <w:marLeft w:val="0"/>
      <w:marRight w:val="0"/>
      <w:marTop w:val="0"/>
      <w:marBottom w:val="0"/>
      <w:divBdr>
        <w:top w:val="none" w:sz="0" w:space="0" w:color="auto"/>
        <w:left w:val="none" w:sz="0" w:space="0" w:color="auto"/>
        <w:bottom w:val="none" w:sz="0" w:space="0" w:color="auto"/>
        <w:right w:val="none" w:sz="0" w:space="0" w:color="auto"/>
      </w:divBdr>
    </w:div>
    <w:div w:id="2014918621">
      <w:bodyDiv w:val="1"/>
      <w:marLeft w:val="0"/>
      <w:marRight w:val="0"/>
      <w:marTop w:val="0"/>
      <w:marBottom w:val="0"/>
      <w:divBdr>
        <w:top w:val="none" w:sz="0" w:space="0" w:color="auto"/>
        <w:left w:val="none" w:sz="0" w:space="0" w:color="auto"/>
        <w:bottom w:val="none" w:sz="0" w:space="0" w:color="auto"/>
        <w:right w:val="none" w:sz="0" w:space="0" w:color="auto"/>
      </w:divBdr>
    </w:div>
    <w:div w:id="2020279561">
      <w:bodyDiv w:val="1"/>
      <w:marLeft w:val="0"/>
      <w:marRight w:val="0"/>
      <w:marTop w:val="0"/>
      <w:marBottom w:val="0"/>
      <w:divBdr>
        <w:top w:val="none" w:sz="0" w:space="0" w:color="auto"/>
        <w:left w:val="none" w:sz="0" w:space="0" w:color="auto"/>
        <w:bottom w:val="none" w:sz="0" w:space="0" w:color="auto"/>
        <w:right w:val="none" w:sz="0" w:space="0" w:color="auto"/>
      </w:divBdr>
      <w:divsChild>
        <w:div w:id="1878276527">
          <w:marLeft w:val="0"/>
          <w:marRight w:val="0"/>
          <w:marTop w:val="0"/>
          <w:marBottom w:val="0"/>
          <w:divBdr>
            <w:top w:val="none" w:sz="0" w:space="0" w:color="auto"/>
            <w:left w:val="none" w:sz="0" w:space="0" w:color="auto"/>
            <w:bottom w:val="none" w:sz="0" w:space="0" w:color="auto"/>
            <w:right w:val="none" w:sz="0" w:space="0" w:color="auto"/>
          </w:divBdr>
        </w:div>
      </w:divsChild>
    </w:div>
    <w:div w:id="2024553784">
      <w:bodyDiv w:val="1"/>
      <w:marLeft w:val="0"/>
      <w:marRight w:val="0"/>
      <w:marTop w:val="0"/>
      <w:marBottom w:val="0"/>
      <w:divBdr>
        <w:top w:val="none" w:sz="0" w:space="0" w:color="auto"/>
        <w:left w:val="none" w:sz="0" w:space="0" w:color="auto"/>
        <w:bottom w:val="none" w:sz="0" w:space="0" w:color="auto"/>
        <w:right w:val="none" w:sz="0" w:space="0" w:color="auto"/>
      </w:divBdr>
    </w:div>
    <w:div w:id="2035576163">
      <w:bodyDiv w:val="1"/>
      <w:marLeft w:val="0"/>
      <w:marRight w:val="0"/>
      <w:marTop w:val="0"/>
      <w:marBottom w:val="0"/>
      <w:divBdr>
        <w:top w:val="none" w:sz="0" w:space="0" w:color="auto"/>
        <w:left w:val="none" w:sz="0" w:space="0" w:color="auto"/>
        <w:bottom w:val="none" w:sz="0" w:space="0" w:color="auto"/>
        <w:right w:val="none" w:sz="0" w:space="0" w:color="auto"/>
      </w:divBdr>
    </w:div>
    <w:div w:id="2036732389">
      <w:bodyDiv w:val="1"/>
      <w:marLeft w:val="0"/>
      <w:marRight w:val="0"/>
      <w:marTop w:val="0"/>
      <w:marBottom w:val="0"/>
      <w:divBdr>
        <w:top w:val="none" w:sz="0" w:space="0" w:color="auto"/>
        <w:left w:val="none" w:sz="0" w:space="0" w:color="auto"/>
        <w:bottom w:val="none" w:sz="0" w:space="0" w:color="auto"/>
        <w:right w:val="none" w:sz="0" w:space="0" w:color="auto"/>
      </w:divBdr>
    </w:div>
    <w:div w:id="2037150926">
      <w:bodyDiv w:val="1"/>
      <w:marLeft w:val="0"/>
      <w:marRight w:val="0"/>
      <w:marTop w:val="0"/>
      <w:marBottom w:val="0"/>
      <w:divBdr>
        <w:top w:val="none" w:sz="0" w:space="0" w:color="auto"/>
        <w:left w:val="none" w:sz="0" w:space="0" w:color="auto"/>
        <w:bottom w:val="none" w:sz="0" w:space="0" w:color="auto"/>
        <w:right w:val="none" w:sz="0" w:space="0" w:color="auto"/>
      </w:divBdr>
    </w:div>
    <w:div w:id="2039621000">
      <w:bodyDiv w:val="1"/>
      <w:marLeft w:val="0"/>
      <w:marRight w:val="0"/>
      <w:marTop w:val="0"/>
      <w:marBottom w:val="0"/>
      <w:divBdr>
        <w:top w:val="none" w:sz="0" w:space="0" w:color="auto"/>
        <w:left w:val="none" w:sz="0" w:space="0" w:color="auto"/>
        <w:bottom w:val="none" w:sz="0" w:space="0" w:color="auto"/>
        <w:right w:val="none" w:sz="0" w:space="0" w:color="auto"/>
      </w:divBdr>
    </w:div>
    <w:div w:id="2047638379">
      <w:bodyDiv w:val="1"/>
      <w:marLeft w:val="0"/>
      <w:marRight w:val="0"/>
      <w:marTop w:val="0"/>
      <w:marBottom w:val="0"/>
      <w:divBdr>
        <w:top w:val="none" w:sz="0" w:space="0" w:color="auto"/>
        <w:left w:val="none" w:sz="0" w:space="0" w:color="auto"/>
        <w:bottom w:val="none" w:sz="0" w:space="0" w:color="auto"/>
        <w:right w:val="none" w:sz="0" w:space="0" w:color="auto"/>
      </w:divBdr>
    </w:div>
    <w:div w:id="2047833600">
      <w:bodyDiv w:val="1"/>
      <w:marLeft w:val="0"/>
      <w:marRight w:val="0"/>
      <w:marTop w:val="0"/>
      <w:marBottom w:val="0"/>
      <w:divBdr>
        <w:top w:val="none" w:sz="0" w:space="0" w:color="auto"/>
        <w:left w:val="none" w:sz="0" w:space="0" w:color="auto"/>
        <w:bottom w:val="none" w:sz="0" w:space="0" w:color="auto"/>
        <w:right w:val="none" w:sz="0" w:space="0" w:color="auto"/>
      </w:divBdr>
    </w:div>
    <w:div w:id="2052873079">
      <w:bodyDiv w:val="1"/>
      <w:marLeft w:val="0"/>
      <w:marRight w:val="0"/>
      <w:marTop w:val="0"/>
      <w:marBottom w:val="0"/>
      <w:divBdr>
        <w:top w:val="none" w:sz="0" w:space="0" w:color="auto"/>
        <w:left w:val="none" w:sz="0" w:space="0" w:color="auto"/>
        <w:bottom w:val="none" w:sz="0" w:space="0" w:color="auto"/>
        <w:right w:val="none" w:sz="0" w:space="0" w:color="auto"/>
      </w:divBdr>
    </w:div>
    <w:div w:id="2058780194">
      <w:bodyDiv w:val="1"/>
      <w:marLeft w:val="0"/>
      <w:marRight w:val="0"/>
      <w:marTop w:val="0"/>
      <w:marBottom w:val="0"/>
      <w:divBdr>
        <w:top w:val="none" w:sz="0" w:space="0" w:color="auto"/>
        <w:left w:val="none" w:sz="0" w:space="0" w:color="auto"/>
        <w:bottom w:val="none" w:sz="0" w:space="0" w:color="auto"/>
        <w:right w:val="none" w:sz="0" w:space="0" w:color="auto"/>
      </w:divBdr>
    </w:div>
    <w:div w:id="2066443352">
      <w:bodyDiv w:val="1"/>
      <w:marLeft w:val="0"/>
      <w:marRight w:val="0"/>
      <w:marTop w:val="0"/>
      <w:marBottom w:val="0"/>
      <w:divBdr>
        <w:top w:val="none" w:sz="0" w:space="0" w:color="auto"/>
        <w:left w:val="none" w:sz="0" w:space="0" w:color="auto"/>
        <w:bottom w:val="none" w:sz="0" w:space="0" w:color="auto"/>
        <w:right w:val="none" w:sz="0" w:space="0" w:color="auto"/>
      </w:divBdr>
    </w:div>
    <w:div w:id="2068064551">
      <w:bodyDiv w:val="1"/>
      <w:marLeft w:val="0"/>
      <w:marRight w:val="0"/>
      <w:marTop w:val="0"/>
      <w:marBottom w:val="0"/>
      <w:divBdr>
        <w:top w:val="none" w:sz="0" w:space="0" w:color="auto"/>
        <w:left w:val="none" w:sz="0" w:space="0" w:color="auto"/>
        <w:bottom w:val="none" w:sz="0" w:space="0" w:color="auto"/>
        <w:right w:val="none" w:sz="0" w:space="0" w:color="auto"/>
      </w:divBdr>
    </w:div>
    <w:div w:id="2076394623">
      <w:bodyDiv w:val="1"/>
      <w:marLeft w:val="0"/>
      <w:marRight w:val="0"/>
      <w:marTop w:val="0"/>
      <w:marBottom w:val="0"/>
      <w:divBdr>
        <w:top w:val="none" w:sz="0" w:space="0" w:color="auto"/>
        <w:left w:val="none" w:sz="0" w:space="0" w:color="auto"/>
        <w:bottom w:val="none" w:sz="0" w:space="0" w:color="auto"/>
        <w:right w:val="none" w:sz="0" w:space="0" w:color="auto"/>
      </w:divBdr>
    </w:div>
    <w:div w:id="2078746464">
      <w:bodyDiv w:val="1"/>
      <w:marLeft w:val="0"/>
      <w:marRight w:val="0"/>
      <w:marTop w:val="0"/>
      <w:marBottom w:val="0"/>
      <w:divBdr>
        <w:top w:val="none" w:sz="0" w:space="0" w:color="auto"/>
        <w:left w:val="none" w:sz="0" w:space="0" w:color="auto"/>
        <w:bottom w:val="none" w:sz="0" w:space="0" w:color="auto"/>
        <w:right w:val="none" w:sz="0" w:space="0" w:color="auto"/>
      </w:divBdr>
    </w:div>
    <w:div w:id="2080518875">
      <w:bodyDiv w:val="1"/>
      <w:marLeft w:val="0"/>
      <w:marRight w:val="0"/>
      <w:marTop w:val="0"/>
      <w:marBottom w:val="0"/>
      <w:divBdr>
        <w:top w:val="none" w:sz="0" w:space="0" w:color="auto"/>
        <w:left w:val="none" w:sz="0" w:space="0" w:color="auto"/>
        <w:bottom w:val="none" w:sz="0" w:space="0" w:color="auto"/>
        <w:right w:val="none" w:sz="0" w:space="0" w:color="auto"/>
      </w:divBdr>
    </w:div>
    <w:div w:id="2086418472">
      <w:bodyDiv w:val="1"/>
      <w:marLeft w:val="0"/>
      <w:marRight w:val="0"/>
      <w:marTop w:val="0"/>
      <w:marBottom w:val="0"/>
      <w:divBdr>
        <w:top w:val="none" w:sz="0" w:space="0" w:color="auto"/>
        <w:left w:val="none" w:sz="0" w:space="0" w:color="auto"/>
        <w:bottom w:val="none" w:sz="0" w:space="0" w:color="auto"/>
        <w:right w:val="none" w:sz="0" w:space="0" w:color="auto"/>
      </w:divBdr>
    </w:div>
    <w:div w:id="2087722677">
      <w:bodyDiv w:val="1"/>
      <w:marLeft w:val="0"/>
      <w:marRight w:val="0"/>
      <w:marTop w:val="0"/>
      <w:marBottom w:val="0"/>
      <w:divBdr>
        <w:top w:val="none" w:sz="0" w:space="0" w:color="auto"/>
        <w:left w:val="none" w:sz="0" w:space="0" w:color="auto"/>
        <w:bottom w:val="none" w:sz="0" w:space="0" w:color="auto"/>
        <w:right w:val="none" w:sz="0" w:space="0" w:color="auto"/>
      </w:divBdr>
    </w:div>
    <w:div w:id="2087797276">
      <w:bodyDiv w:val="1"/>
      <w:marLeft w:val="0"/>
      <w:marRight w:val="0"/>
      <w:marTop w:val="0"/>
      <w:marBottom w:val="0"/>
      <w:divBdr>
        <w:top w:val="none" w:sz="0" w:space="0" w:color="auto"/>
        <w:left w:val="none" w:sz="0" w:space="0" w:color="auto"/>
        <w:bottom w:val="none" w:sz="0" w:space="0" w:color="auto"/>
        <w:right w:val="none" w:sz="0" w:space="0" w:color="auto"/>
      </w:divBdr>
    </w:div>
    <w:div w:id="2088576114">
      <w:bodyDiv w:val="1"/>
      <w:marLeft w:val="0"/>
      <w:marRight w:val="0"/>
      <w:marTop w:val="0"/>
      <w:marBottom w:val="0"/>
      <w:divBdr>
        <w:top w:val="none" w:sz="0" w:space="0" w:color="auto"/>
        <w:left w:val="none" w:sz="0" w:space="0" w:color="auto"/>
        <w:bottom w:val="none" w:sz="0" w:space="0" w:color="auto"/>
        <w:right w:val="none" w:sz="0" w:space="0" w:color="auto"/>
      </w:divBdr>
    </w:div>
    <w:div w:id="2089885212">
      <w:bodyDiv w:val="1"/>
      <w:marLeft w:val="0"/>
      <w:marRight w:val="0"/>
      <w:marTop w:val="0"/>
      <w:marBottom w:val="0"/>
      <w:divBdr>
        <w:top w:val="none" w:sz="0" w:space="0" w:color="auto"/>
        <w:left w:val="none" w:sz="0" w:space="0" w:color="auto"/>
        <w:bottom w:val="none" w:sz="0" w:space="0" w:color="auto"/>
        <w:right w:val="none" w:sz="0" w:space="0" w:color="auto"/>
      </w:divBdr>
    </w:div>
    <w:div w:id="2092576419">
      <w:bodyDiv w:val="1"/>
      <w:marLeft w:val="0"/>
      <w:marRight w:val="0"/>
      <w:marTop w:val="0"/>
      <w:marBottom w:val="0"/>
      <w:divBdr>
        <w:top w:val="none" w:sz="0" w:space="0" w:color="auto"/>
        <w:left w:val="none" w:sz="0" w:space="0" w:color="auto"/>
        <w:bottom w:val="none" w:sz="0" w:space="0" w:color="auto"/>
        <w:right w:val="none" w:sz="0" w:space="0" w:color="auto"/>
      </w:divBdr>
    </w:div>
    <w:div w:id="2097051941">
      <w:bodyDiv w:val="1"/>
      <w:marLeft w:val="0"/>
      <w:marRight w:val="0"/>
      <w:marTop w:val="0"/>
      <w:marBottom w:val="0"/>
      <w:divBdr>
        <w:top w:val="none" w:sz="0" w:space="0" w:color="auto"/>
        <w:left w:val="none" w:sz="0" w:space="0" w:color="auto"/>
        <w:bottom w:val="none" w:sz="0" w:space="0" w:color="auto"/>
        <w:right w:val="none" w:sz="0" w:space="0" w:color="auto"/>
      </w:divBdr>
    </w:div>
    <w:div w:id="2111583878">
      <w:bodyDiv w:val="1"/>
      <w:marLeft w:val="0"/>
      <w:marRight w:val="0"/>
      <w:marTop w:val="0"/>
      <w:marBottom w:val="0"/>
      <w:divBdr>
        <w:top w:val="none" w:sz="0" w:space="0" w:color="auto"/>
        <w:left w:val="none" w:sz="0" w:space="0" w:color="auto"/>
        <w:bottom w:val="none" w:sz="0" w:space="0" w:color="auto"/>
        <w:right w:val="none" w:sz="0" w:space="0" w:color="auto"/>
      </w:divBdr>
    </w:div>
    <w:div w:id="2114082707">
      <w:bodyDiv w:val="1"/>
      <w:marLeft w:val="0"/>
      <w:marRight w:val="0"/>
      <w:marTop w:val="0"/>
      <w:marBottom w:val="0"/>
      <w:divBdr>
        <w:top w:val="none" w:sz="0" w:space="0" w:color="auto"/>
        <w:left w:val="none" w:sz="0" w:space="0" w:color="auto"/>
        <w:bottom w:val="none" w:sz="0" w:space="0" w:color="auto"/>
        <w:right w:val="none" w:sz="0" w:space="0" w:color="auto"/>
      </w:divBdr>
    </w:div>
    <w:div w:id="2116175007">
      <w:bodyDiv w:val="1"/>
      <w:marLeft w:val="0"/>
      <w:marRight w:val="0"/>
      <w:marTop w:val="0"/>
      <w:marBottom w:val="0"/>
      <w:divBdr>
        <w:top w:val="none" w:sz="0" w:space="0" w:color="auto"/>
        <w:left w:val="none" w:sz="0" w:space="0" w:color="auto"/>
        <w:bottom w:val="none" w:sz="0" w:space="0" w:color="auto"/>
        <w:right w:val="none" w:sz="0" w:space="0" w:color="auto"/>
      </w:divBdr>
    </w:div>
    <w:div w:id="2116900903">
      <w:bodyDiv w:val="1"/>
      <w:marLeft w:val="0"/>
      <w:marRight w:val="0"/>
      <w:marTop w:val="0"/>
      <w:marBottom w:val="0"/>
      <w:divBdr>
        <w:top w:val="none" w:sz="0" w:space="0" w:color="auto"/>
        <w:left w:val="none" w:sz="0" w:space="0" w:color="auto"/>
        <w:bottom w:val="none" w:sz="0" w:space="0" w:color="auto"/>
        <w:right w:val="none" w:sz="0" w:space="0" w:color="auto"/>
      </w:divBdr>
    </w:div>
    <w:div w:id="2119831037">
      <w:bodyDiv w:val="1"/>
      <w:marLeft w:val="0"/>
      <w:marRight w:val="0"/>
      <w:marTop w:val="0"/>
      <w:marBottom w:val="0"/>
      <w:divBdr>
        <w:top w:val="none" w:sz="0" w:space="0" w:color="auto"/>
        <w:left w:val="none" w:sz="0" w:space="0" w:color="auto"/>
        <w:bottom w:val="none" w:sz="0" w:space="0" w:color="auto"/>
        <w:right w:val="none" w:sz="0" w:space="0" w:color="auto"/>
      </w:divBdr>
    </w:div>
    <w:div w:id="2120877809">
      <w:bodyDiv w:val="1"/>
      <w:marLeft w:val="0"/>
      <w:marRight w:val="0"/>
      <w:marTop w:val="0"/>
      <w:marBottom w:val="0"/>
      <w:divBdr>
        <w:top w:val="none" w:sz="0" w:space="0" w:color="auto"/>
        <w:left w:val="none" w:sz="0" w:space="0" w:color="auto"/>
        <w:bottom w:val="none" w:sz="0" w:space="0" w:color="auto"/>
        <w:right w:val="none" w:sz="0" w:space="0" w:color="auto"/>
      </w:divBdr>
    </w:div>
    <w:div w:id="2135246247">
      <w:bodyDiv w:val="1"/>
      <w:marLeft w:val="0"/>
      <w:marRight w:val="0"/>
      <w:marTop w:val="0"/>
      <w:marBottom w:val="0"/>
      <w:divBdr>
        <w:top w:val="none" w:sz="0" w:space="0" w:color="auto"/>
        <w:left w:val="none" w:sz="0" w:space="0" w:color="auto"/>
        <w:bottom w:val="none" w:sz="0" w:space="0" w:color="auto"/>
        <w:right w:val="none" w:sz="0" w:space="0" w:color="auto"/>
      </w:divBdr>
    </w:div>
    <w:div w:id="2135561872">
      <w:bodyDiv w:val="1"/>
      <w:marLeft w:val="0"/>
      <w:marRight w:val="0"/>
      <w:marTop w:val="0"/>
      <w:marBottom w:val="0"/>
      <w:divBdr>
        <w:top w:val="none" w:sz="0" w:space="0" w:color="auto"/>
        <w:left w:val="none" w:sz="0" w:space="0" w:color="auto"/>
        <w:bottom w:val="none" w:sz="0" w:space="0" w:color="auto"/>
        <w:right w:val="none" w:sz="0" w:space="0" w:color="auto"/>
      </w:divBdr>
    </w:div>
    <w:div w:id="2139568823">
      <w:bodyDiv w:val="1"/>
      <w:marLeft w:val="0"/>
      <w:marRight w:val="0"/>
      <w:marTop w:val="0"/>
      <w:marBottom w:val="0"/>
      <w:divBdr>
        <w:top w:val="none" w:sz="0" w:space="0" w:color="auto"/>
        <w:left w:val="none" w:sz="0" w:space="0" w:color="auto"/>
        <w:bottom w:val="none" w:sz="0" w:space="0" w:color="auto"/>
        <w:right w:val="none" w:sz="0" w:space="0" w:color="auto"/>
      </w:divBdr>
    </w:div>
    <w:div w:id="21467743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chart" Target="charts/chart2.xml"/><Relationship Id="rId18" Type="http://schemas.openxmlformats.org/officeDocument/2006/relationships/chart" Target="charts/chart7.xml"/><Relationship Id="rId26" Type="http://schemas.openxmlformats.org/officeDocument/2006/relationships/chart" Target="charts/chart15.xml"/><Relationship Id="rId39" Type="http://schemas.openxmlformats.org/officeDocument/2006/relationships/hyperlink" Target="https://www.sec.gov/news/press-release/2020-220" TargetMode="External"/><Relationship Id="rId3" Type="http://schemas.openxmlformats.org/officeDocument/2006/relationships/customXml" Target="../customXml/item3.xml"/><Relationship Id="rId21" Type="http://schemas.openxmlformats.org/officeDocument/2006/relationships/chart" Target="charts/chart10.xml"/><Relationship Id="rId34" Type="http://schemas.openxmlformats.org/officeDocument/2006/relationships/image" Target="media/image2.png"/><Relationship Id="rId42" Type="http://schemas.openxmlformats.org/officeDocument/2006/relationships/header" Target="header1.xml"/><Relationship Id="rId47"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chart" Target="charts/chart1.xml"/><Relationship Id="rId17" Type="http://schemas.openxmlformats.org/officeDocument/2006/relationships/chart" Target="charts/chart6.xml"/><Relationship Id="rId25" Type="http://schemas.openxmlformats.org/officeDocument/2006/relationships/chart" Target="charts/chart14.xml"/><Relationship Id="rId33" Type="http://schemas.openxmlformats.org/officeDocument/2006/relationships/oleObject" Target="embeddings/Microsoft_Excel_97-2003_Worksheet1.xls"/><Relationship Id="rId38" Type="http://schemas.openxmlformats.org/officeDocument/2006/relationships/image" Target="media/image6.png"/><Relationship Id="rId46"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chart" Target="charts/chart5.xml"/><Relationship Id="rId20" Type="http://schemas.openxmlformats.org/officeDocument/2006/relationships/chart" Target="charts/chart9.xml"/><Relationship Id="rId29" Type="http://schemas.openxmlformats.org/officeDocument/2006/relationships/chart" Target="charts/chart18.xml"/><Relationship Id="rId41" Type="http://schemas.openxmlformats.org/officeDocument/2006/relationships/hyperlink" Target="https://www.iosco.org/news/pdf/IOSCONEWS576.pdf"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bulletin@sebi.gov.in" TargetMode="External"/><Relationship Id="rId24" Type="http://schemas.openxmlformats.org/officeDocument/2006/relationships/chart" Target="charts/chart13.xml"/><Relationship Id="rId32" Type="http://schemas.openxmlformats.org/officeDocument/2006/relationships/image" Target="media/image1.png"/><Relationship Id="rId37" Type="http://schemas.openxmlformats.org/officeDocument/2006/relationships/image" Target="media/image5.png"/><Relationship Id="rId40" Type="http://schemas.openxmlformats.org/officeDocument/2006/relationships/hyperlink" Target="https://www.sec.gov/news/press-release/2020-2" TargetMode="External"/><Relationship Id="rId45" Type="http://schemas.openxmlformats.org/officeDocument/2006/relationships/footer" Target="footer2.xml"/><Relationship Id="rId5" Type="http://schemas.openxmlformats.org/officeDocument/2006/relationships/styles" Target="styles.xml"/><Relationship Id="rId15" Type="http://schemas.openxmlformats.org/officeDocument/2006/relationships/chart" Target="charts/chart4.xml"/><Relationship Id="rId23" Type="http://schemas.openxmlformats.org/officeDocument/2006/relationships/chart" Target="charts/chart12.xml"/><Relationship Id="rId28" Type="http://schemas.openxmlformats.org/officeDocument/2006/relationships/chart" Target="charts/chart17.xml"/><Relationship Id="rId36" Type="http://schemas.openxmlformats.org/officeDocument/2006/relationships/image" Target="media/image4.png"/><Relationship Id="rId10" Type="http://schemas.openxmlformats.org/officeDocument/2006/relationships/hyperlink" Target="http://www.sebi.gov.in" TargetMode="External"/><Relationship Id="rId19" Type="http://schemas.openxmlformats.org/officeDocument/2006/relationships/chart" Target="charts/chart8.xml"/><Relationship Id="rId31" Type="http://schemas.openxmlformats.org/officeDocument/2006/relationships/hyperlink" Target="https://en.wikipedia.org/wiki/Gross_domestic_product" TargetMode="External"/><Relationship Id="rId44"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chart" Target="charts/chart3.xml"/><Relationship Id="rId22" Type="http://schemas.openxmlformats.org/officeDocument/2006/relationships/chart" Target="charts/chart11.xml"/><Relationship Id="rId27" Type="http://schemas.openxmlformats.org/officeDocument/2006/relationships/chart" Target="charts/chart16.xml"/><Relationship Id="rId30" Type="http://schemas.openxmlformats.org/officeDocument/2006/relationships/hyperlink" Target="https://en.wikipedia.org/wiki/Australian_Bureau_of_Statistics" TargetMode="External"/><Relationship Id="rId35" Type="http://schemas.openxmlformats.org/officeDocument/2006/relationships/image" Target="media/image3.png"/><Relationship Id="rId43" Type="http://schemas.openxmlformats.org/officeDocument/2006/relationships/header" Target="header2.xml"/></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file:///C:\Users\SSKC\Desktop\Shyni\Bulletin\CMR\October%202020\SEBI%20Bulletin%20October%202020%20Issue.xlsx" TargetMode="External"/></Relationships>
</file>

<file path=word/charts/_rels/chart2.xml.rels><?xml version="1.0" encoding="UTF-8" standalone="yes"?>
<Relationships xmlns="http://schemas.openxmlformats.org/package/2006/relationships"><Relationship Id="rId2" Type="http://schemas.openxmlformats.org/officeDocument/2006/relationships/oleObject" Target="file:///C:\Users\SSKC\Desktop\Shyni\Bulletin\CMR\October%202020\SEBI%20Bulletin%20October%202020%20Issue.xlsx" TargetMode="External"/><Relationship Id="rId1" Type="http://schemas.openxmlformats.org/officeDocument/2006/relationships/themeOverride" Target="../theme/themeOverride2.xml"/></Relationships>
</file>

<file path=word/charts/_rels/chart3.xml.rels><?xml version="1.0" encoding="UTF-8" standalone="yes"?>
<Relationships xmlns="http://schemas.openxmlformats.org/package/2006/relationships"><Relationship Id="rId2" Type="http://schemas.openxmlformats.org/officeDocument/2006/relationships/oleObject" Target="file:///C:\Users\SSKC\Desktop\Shyni\Bulletin\CMR\October%202020\SEBI%20Bulletin%20October%202020%20Issue.xlsx" TargetMode="External"/><Relationship Id="rId1" Type="http://schemas.openxmlformats.org/officeDocument/2006/relationships/themeOverride" Target="../theme/themeOverride3.xml"/></Relationships>
</file>

<file path=word/charts/_rels/chart4.xml.rels><?xml version="1.0" encoding="UTF-8" standalone="yes"?>
<Relationships xmlns="http://schemas.openxmlformats.org/package/2006/relationships"><Relationship Id="rId3" Type="http://schemas.openxmlformats.org/officeDocument/2006/relationships/themeOverride" Target="../theme/themeOverride4.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oleObject" Target="file:///C:\Users\SSKC\Desktop\Shyni\Bulletin\CMR\October%202020\SEBI%20Bulletin%20October%202020%20Issue.xlsx" TargetMode="External"/></Relationships>
</file>

<file path=word/charts/_rels/chart5.xml.rels><?xml version="1.0" encoding="UTF-8" standalone="yes"?>
<Relationships xmlns="http://schemas.openxmlformats.org/package/2006/relationships"><Relationship Id="rId3" Type="http://schemas.openxmlformats.org/officeDocument/2006/relationships/themeOverride" Target="../theme/themeOverride5.xml"/><Relationship Id="rId2" Type="http://schemas.microsoft.com/office/2011/relationships/chartColorStyle" Target="colors3.xml"/><Relationship Id="rId1" Type="http://schemas.microsoft.com/office/2011/relationships/chartStyle" Target="style3.xml"/><Relationship Id="rId4" Type="http://schemas.openxmlformats.org/officeDocument/2006/relationships/oleObject" Target="file:///C:\Users\SSKC\Desktop\Shyni\Bulletin\CMR\October%202020\SEBI%20Bulletin%20October%202020%20Issue.xlsx" TargetMode="External"/></Relationships>
</file>

<file path=word/charts/_rels/chart6.xml.rels><?xml version="1.0" encoding="UTF-8" standalone="yes"?>
<Relationships xmlns="http://schemas.openxmlformats.org/package/2006/relationships"><Relationship Id="rId2" Type="http://schemas.openxmlformats.org/officeDocument/2006/relationships/oleObject" Target="file:///C:\Users\SSKC\Desktop\Shyni\Bulletin\CMR\October%202020\SEBI%20Bulletin%20October%202020%20Issue.xlsx" TargetMode="External"/><Relationship Id="rId1" Type="http://schemas.openxmlformats.org/officeDocument/2006/relationships/themeOverride" Target="../theme/themeOverride6.xml"/></Relationships>
</file>

<file path=word/charts/_rels/chart7.xml.rels><?xml version="1.0" encoding="UTF-8" standalone="yes"?>
<Relationships xmlns="http://schemas.openxmlformats.org/package/2006/relationships"><Relationship Id="rId2" Type="http://schemas.openxmlformats.org/officeDocument/2006/relationships/oleObject" Target="file:///C:\Users\SSKC\Desktop\Shyni\Bulletin\CMR\October%202020\SEBI%20Bulletin%20October%202020%20Issue.xlsx" TargetMode="External"/><Relationship Id="rId1" Type="http://schemas.openxmlformats.org/officeDocument/2006/relationships/themeOverride" Target="../theme/themeOverride7.xml"/></Relationships>
</file>

<file path=word/charts/_rels/chart8.xml.rels><?xml version="1.0" encoding="UTF-8" standalone="yes"?>
<Relationships xmlns="http://schemas.openxmlformats.org/package/2006/relationships"><Relationship Id="rId2" Type="http://schemas.openxmlformats.org/officeDocument/2006/relationships/oleObject" Target="file:///C:\Users\SSKC\Desktop\Shyni\Bulletin\CMR\October%202020\SEBI%20Bulletin%20October%202020%20Issue.xlsx" TargetMode="External"/><Relationship Id="rId1" Type="http://schemas.openxmlformats.org/officeDocument/2006/relationships/themeOverride" Target="../theme/themeOverride8.xml"/></Relationships>
</file>

<file path=word/charts/_rels/chart9.xml.rels><?xml version="1.0" encoding="UTF-8" standalone="yes"?>
<Relationships xmlns="http://schemas.openxmlformats.org/package/2006/relationships"><Relationship Id="rId3" Type="http://schemas.openxmlformats.org/officeDocument/2006/relationships/themeOverride" Target="../theme/themeOverride9.xml"/><Relationship Id="rId2" Type="http://schemas.microsoft.com/office/2011/relationships/chartColorStyle" Target="colors4.xml"/><Relationship Id="rId1" Type="http://schemas.microsoft.com/office/2011/relationships/chartStyle" Target="style4.xml"/><Relationship Id="rId4" Type="http://schemas.openxmlformats.org/officeDocument/2006/relationships/oleObject" Target="file:///C:\Users\SSKC\Desktop\Shyni\Bulletin\CMR\October%202020\SEBI%20Bulletin%20October%202020%20Issue.xlsx" TargetMode="External"/></Relationships>
</file>

<file path=word/charts/_rels/chart10.xml.rels><?xml version="1.0" encoding="UTF-8" standalone="yes"?>
<Relationships xmlns="http://schemas.openxmlformats.org/package/2006/relationships"><Relationship Id="rId2" Type="http://schemas.openxmlformats.org/officeDocument/2006/relationships/oleObject" Target="file:///C:\Users\SSKC\Desktop\Shyni\Bulletin\CMR\October%202020\SEBI%20Bulletin%20October%202020%20Issue.xlsx" TargetMode="External"/><Relationship Id="rId1" Type="http://schemas.openxmlformats.org/officeDocument/2006/relationships/themeOverride" Target="../theme/themeOverride10.xml"/></Relationships>
</file>

<file path=word/charts/_rels/chart11.xml.rels><?xml version="1.0" encoding="UTF-8" standalone="yes"?>
<Relationships xmlns="http://schemas.openxmlformats.org/package/2006/relationships"><Relationship Id="rId2" Type="http://schemas.openxmlformats.org/officeDocument/2006/relationships/oleObject" Target="file:///C:\Users\SSKC\Desktop\Shyni\Bulletin\CMR\October%202020\SEBI%20Bulletin%20October%202020%20Issue%2020102020.xlsx" TargetMode="External"/><Relationship Id="rId1" Type="http://schemas.openxmlformats.org/officeDocument/2006/relationships/themeOverride" Target="../theme/themeOverride11.xml"/></Relationships>
</file>

<file path=word/charts/_rels/chart12.xml.rels><?xml version="1.0" encoding="UTF-8" standalone="yes"?>
<Relationships xmlns="http://schemas.openxmlformats.org/package/2006/relationships"><Relationship Id="rId3" Type="http://schemas.openxmlformats.org/officeDocument/2006/relationships/themeOverride" Target="../theme/themeOverride12.xml"/><Relationship Id="rId2" Type="http://schemas.microsoft.com/office/2011/relationships/chartColorStyle" Target="colors5.xml"/><Relationship Id="rId1" Type="http://schemas.microsoft.com/office/2011/relationships/chartStyle" Target="style5.xml"/><Relationship Id="rId4" Type="http://schemas.openxmlformats.org/officeDocument/2006/relationships/oleObject" Target="file:///C:\Users\SSKC\Desktop\Shyni\Bulletin\CMR\October%202020\SEBI%20Bulletin%20October%202020%20Issue.xlsx" TargetMode="External"/></Relationships>
</file>

<file path=word/charts/_rels/chart13.xml.rels><?xml version="1.0" encoding="UTF-8" standalone="yes"?>
<Relationships xmlns="http://schemas.openxmlformats.org/package/2006/relationships"><Relationship Id="rId2" Type="http://schemas.openxmlformats.org/officeDocument/2006/relationships/oleObject" Target="file:///C:\Users\SSKC\Desktop\Shyni\Bulletin\CMR\October%202020\SEBI%20Bulletin%20October%202020%20Issue%2020102020.xlsx" TargetMode="External"/><Relationship Id="rId1" Type="http://schemas.openxmlformats.org/officeDocument/2006/relationships/themeOverride" Target="../theme/themeOverride13.xml"/></Relationships>
</file>

<file path=word/charts/_rels/chart14.xml.rels><?xml version="1.0" encoding="UTF-8" standalone="yes"?>
<Relationships xmlns="http://schemas.openxmlformats.org/package/2006/relationships"><Relationship Id="rId3" Type="http://schemas.openxmlformats.org/officeDocument/2006/relationships/themeOverride" Target="../theme/themeOverride14.xml"/><Relationship Id="rId2" Type="http://schemas.microsoft.com/office/2011/relationships/chartColorStyle" Target="colors6.xml"/><Relationship Id="rId1" Type="http://schemas.microsoft.com/office/2011/relationships/chartStyle" Target="style6.xml"/><Relationship Id="rId4" Type="http://schemas.openxmlformats.org/officeDocument/2006/relationships/oleObject" Target="file:///C:\Users\2201\Desktop\Month-wise%20Bulletin\Bulletin%20Jan.2020%20to%20Dec.%202020\Sept.%202020\Graphs%20%20data%20for%20bulletin%20Sept.%20%202020.xlsx" TargetMode="External"/></Relationships>
</file>

<file path=word/charts/_rels/chart15.xml.rels><?xml version="1.0" encoding="UTF-8" standalone="yes"?>
<Relationships xmlns="http://schemas.openxmlformats.org/package/2006/relationships"><Relationship Id="rId3" Type="http://schemas.openxmlformats.org/officeDocument/2006/relationships/themeOverride" Target="../theme/themeOverride15.xml"/><Relationship Id="rId2" Type="http://schemas.microsoft.com/office/2011/relationships/chartColorStyle" Target="colors7.xml"/><Relationship Id="rId1" Type="http://schemas.microsoft.com/office/2011/relationships/chartStyle" Target="style7.xml"/><Relationship Id="rId4" Type="http://schemas.openxmlformats.org/officeDocument/2006/relationships/oleObject" Target="file:///C:\Users\2201\Desktop\Month-wise%20Bulletin\Bulletin%20Jan.2020%20to%20Dec.%202020\Sept.%202020\Graphs%20%20data%20for%20bulletin%20Sept.%20%202020.xlsx" TargetMode="External"/></Relationships>
</file>

<file path=word/charts/_rels/chart16.xml.rels><?xml version="1.0" encoding="UTF-8" standalone="yes"?>
<Relationships xmlns="http://schemas.openxmlformats.org/package/2006/relationships"><Relationship Id="rId3" Type="http://schemas.openxmlformats.org/officeDocument/2006/relationships/themeOverride" Target="../theme/themeOverride16.xml"/><Relationship Id="rId2" Type="http://schemas.microsoft.com/office/2011/relationships/chartColorStyle" Target="colors8.xml"/><Relationship Id="rId1" Type="http://schemas.microsoft.com/office/2011/relationships/chartStyle" Target="style8.xml"/><Relationship Id="rId4" Type="http://schemas.openxmlformats.org/officeDocument/2006/relationships/oleObject" Target="file:///C:\Users\2201\Desktop\Month-wise%20Bulletin\Bulletin%20Jan.2020%20to%20Dec.%202020\Sept.%202020\Graphs%20%20data%20for%20bulletin%20Sept.%20%202020.xlsx" TargetMode="External"/></Relationships>
</file>

<file path=word/charts/_rels/chart17.xml.rels><?xml version="1.0" encoding="UTF-8" standalone="yes"?>
<Relationships xmlns="http://schemas.openxmlformats.org/package/2006/relationships"><Relationship Id="rId3" Type="http://schemas.openxmlformats.org/officeDocument/2006/relationships/themeOverride" Target="../theme/themeOverride17.xml"/><Relationship Id="rId2" Type="http://schemas.microsoft.com/office/2011/relationships/chartColorStyle" Target="colors9.xml"/><Relationship Id="rId1" Type="http://schemas.microsoft.com/office/2011/relationships/chartStyle" Target="style9.xml"/><Relationship Id="rId4" Type="http://schemas.openxmlformats.org/officeDocument/2006/relationships/oleObject" Target="file:///C:\Users\2201\Desktop\Month-wise%20Bulletin\Bulletin%20Jan.2020%20to%20Dec.%202020\Sept.%202020\Graphs%20%20data%20for%20bulletin%20Sept.%20%202020%20(2).xlsx" TargetMode="External"/></Relationships>
</file>

<file path=word/charts/_rels/chart18.xml.rels><?xml version="1.0" encoding="UTF-8" standalone="yes"?>
<Relationships xmlns="http://schemas.openxmlformats.org/package/2006/relationships"><Relationship Id="rId2" Type="http://schemas.openxmlformats.org/officeDocument/2006/relationships/oleObject" Target="file:///\\Users\Prasad\IMF%20Growth%20projections.xlsx" TargetMode="External"/><Relationship Id="rId1" Type="http://schemas.openxmlformats.org/officeDocument/2006/relationships/themeOverride" Target="../theme/themeOverride18.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view3D>
      <c:rotX val="15"/>
      <c:rotY val="2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0.13369530081544334"/>
          <c:y val="7.522588948565799E-2"/>
          <c:w val="0.83627206021707667"/>
          <c:h val="0.67373444719375186"/>
        </c:manualLayout>
      </c:layout>
      <c:line3DChart>
        <c:grouping val="standard"/>
        <c:varyColors val="0"/>
        <c:ser>
          <c:idx val="0"/>
          <c:order val="0"/>
          <c:tx>
            <c:strRef>
              <c:f>'F1'!$D$3</c:f>
              <c:strCache>
                <c:ptCount val="1"/>
                <c:pt idx="0">
                  <c:v>Nifty 50 (%)</c:v>
                </c:pt>
              </c:strCache>
            </c:strRef>
          </c:tx>
          <c:spPr>
            <a:solidFill>
              <a:schemeClr val="accent1"/>
            </a:solidFill>
            <a:ln>
              <a:noFill/>
            </a:ln>
            <a:effectLst/>
            <a:sp3d/>
          </c:spPr>
          <c:cat>
            <c:numRef>
              <c:f>'F1'!$A$4:$A$26</c:f>
              <c:numCache>
                <c:formatCode>d\-mmm\-yy</c:formatCode>
                <c:ptCount val="23"/>
                <c:pt idx="0">
                  <c:v>44075</c:v>
                </c:pt>
                <c:pt idx="1">
                  <c:v>44076</c:v>
                </c:pt>
                <c:pt idx="2">
                  <c:v>44077</c:v>
                </c:pt>
                <c:pt idx="3">
                  <c:v>44078</c:v>
                </c:pt>
                <c:pt idx="4">
                  <c:v>44081</c:v>
                </c:pt>
                <c:pt idx="5">
                  <c:v>44082</c:v>
                </c:pt>
                <c:pt idx="6">
                  <c:v>44083</c:v>
                </c:pt>
                <c:pt idx="7">
                  <c:v>44084</c:v>
                </c:pt>
                <c:pt idx="8">
                  <c:v>44085</c:v>
                </c:pt>
                <c:pt idx="9">
                  <c:v>44088</c:v>
                </c:pt>
                <c:pt idx="10">
                  <c:v>44089</c:v>
                </c:pt>
                <c:pt idx="11">
                  <c:v>44090</c:v>
                </c:pt>
                <c:pt idx="12">
                  <c:v>44091</c:v>
                </c:pt>
                <c:pt idx="13">
                  <c:v>44092</c:v>
                </c:pt>
                <c:pt idx="14">
                  <c:v>44095</c:v>
                </c:pt>
                <c:pt idx="15">
                  <c:v>44096</c:v>
                </c:pt>
                <c:pt idx="16">
                  <c:v>44097</c:v>
                </c:pt>
                <c:pt idx="17">
                  <c:v>44098</c:v>
                </c:pt>
                <c:pt idx="18">
                  <c:v>44099</c:v>
                </c:pt>
                <c:pt idx="19">
                  <c:v>44102</c:v>
                </c:pt>
                <c:pt idx="20">
                  <c:v>44103</c:v>
                </c:pt>
                <c:pt idx="21">
                  <c:v>44104</c:v>
                </c:pt>
              </c:numCache>
            </c:numRef>
          </c:cat>
          <c:val>
            <c:numRef>
              <c:f>'F1'!$D$4:$D$26</c:f>
              <c:numCache>
                <c:formatCode>0.0</c:formatCode>
                <c:ptCount val="23"/>
                <c:pt idx="0">
                  <c:v>100</c:v>
                </c:pt>
                <c:pt idx="1">
                  <c:v>100.56450382511279</c:v>
                </c:pt>
                <c:pt idx="2">
                  <c:v>100.49868137137379</c:v>
                </c:pt>
                <c:pt idx="3">
                  <c:v>98.810836729801025</c:v>
                </c:pt>
                <c:pt idx="4">
                  <c:v>98.99566269261787</c:v>
                </c:pt>
                <c:pt idx="5">
                  <c:v>98.666986334212439</c:v>
                </c:pt>
                <c:pt idx="6">
                  <c:v>98.323924936248147</c:v>
                </c:pt>
                <c:pt idx="7">
                  <c:v>99.816917678341824</c:v>
                </c:pt>
                <c:pt idx="8">
                  <c:v>99.949434406399206</c:v>
                </c:pt>
                <c:pt idx="9">
                  <c:v>99.736710185043947</c:v>
                </c:pt>
                <c:pt idx="10">
                  <c:v>100.44942350864194</c:v>
                </c:pt>
                <c:pt idx="11">
                  <c:v>101.17085503803318</c:v>
                </c:pt>
                <c:pt idx="12">
                  <c:v>100.39972973562043</c:v>
                </c:pt>
                <c:pt idx="13">
                  <c:v>100.30252174102571</c:v>
                </c:pt>
                <c:pt idx="14">
                  <c:v>98.084610187223475</c:v>
                </c:pt>
                <c:pt idx="15">
                  <c:v>97.239816045857765</c:v>
                </c:pt>
                <c:pt idx="16">
                  <c:v>97.049759159564971</c:v>
                </c:pt>
                <c:pt idx="17">
                  <c:v>94.205008609228216</c:v>
                </c:pt>
                <c:pt idx="18">
                  <c:v>96.338353566835949</c:v>
                </c:pt>
                <c:pt idx="19">
                  <c:v>97.884091453978769</c:v>
                </c:pt>
                <c:pt idx="20">
                  <c:v>97.839192694143549</c:v>
                </c:pt>
                <c:pt idx="21">
                  <c:v>98.05845556984373</c:v>
                </c:pt>
              </c:numCache>
            </c:numRef>
          </c:val>
          <c:smooth val="0"/>
          <c:extLst xmlns:c16r2="http://schemas.microsoft.com/office/drawing/2015/06/chart">
            <c:ext xmlns:c16="http://schemas.microsoft.com/office/drawing/2014/chart" uri="{C3380CC4-5D6E-409C-BE32-E72D297353CC}">
              <c16:uniqueId val="{00000000-0A33-45DC-8A9F-2A00B476E311}"/>
            </c:ext>
          </c:extLst>
        </c:ser>
        <c:ser>
          <c:idx val="1"/>
          <c:order val="1"/>
          <c:tx>
            <c:strRef>
              <c:f>'F1'!$E$3</c:f>
              <c:strCache>
                <c:ptCount val="1"/>
                <c:pt idx="0">
                  <c:v>S&amp;P BSE Sensex (%)</c:v>
                </c:pt>
              </c:strCache>
            </c:strRef>
          </c:tx>
          <c:spPr>
            <a:solidFill>
              <a:schemeClr val="accent2"/>
            </a:solidFill>
            <a:ln>
              <a:noFill/>
            </a:ln>
            <a:effectLst/>
            <a:sp3d/>
          </c:spPr>
          <c:cat>
            <c:numRef>
              <c:f>'F1'!$A$4:$A$26</c:f>
              <c:numCache>
                <c:formatCode>d\-mmm\-yy</c:formatCode>
                <c:ptCount val="23"/>
                <c:pt idx="0">
                  <c:v>44075</c:v>
                </c:pt>
                <c:pt idx="1">
                  <c:v>44076</c:v>
                </c:pt>
                <c:pt idx="2">
                  <c:v>44077</c:v>
                </c:pt>
                <c:pt idx="3">
                  <c:v>44078</c:v>
                </c:pt>
                <c:pt idx="4">
                  <c:v>44081</c:v>
                </c:pt>
                <c:pt idx="5">
                  <c:v>44082</c:v>
                </c:pt>
                <c:pt idx="6">
                  <c:v>44083</c:v>
                </c:pt>
                <c:pt idx="7">
                  <c:v>44084</c:v>
                </c:pt>
                <c:pt idx="8">
                  <c:v>44085</c:v>
                </c:pt>
                <c:pt idx="9">
                  <c:v>44088</c:v>
                </c:pt>
                <c:pt idx="10">
                  <c:v>44089</c:v>
                </c:pt>
                <c:pt idx="11">
                  <c:v>44090</c:v>
                </c:pt>
                <c:pt idx="12">
                  <c:v>44091</c:v>
                </c:pt>
                <c:pt idx="13">
                  <c:v>44092</c:v>
                </c:pt>
                <c:pt idx="14">
                  <c:v>44095</c:v>
                </c:pt>
                <c:pt idx="15">
                  <c:v>44096</c:v>
                </c:pt>
                <c:pt idx="16">
                  <c:v>44097</c:v>
                </c:pt>
                <c:pt idx="17">
                  <c:v>44098</c:v>
                </c:pt>
                <c:pt idx="18">
                  <c:v>44099</c:v>
                </c:pt>
                <c:pt idx="19">
                  <c:v>44102</c:v>
                </c:pt>
                <c:pt idx="20">
                  <c:v>44103</c:v>
                </c:pt>
                <c:pt idx="21">
                  <c:v>44104</c:v>
                </c:pt>
              </c:numCache>
            </c:numRef>
          </c:cat>
          <c:val>
            <c:numRef>
              <c:f>'F1'!$E$4:$E$26</c:f>
              <c:numCache>
                <c:formatCode>0.0</c:formatCode>
                <c:ptCount val="23"/>
                <c:pt idx="0" formatCode="0">
                  <c:v>100</c:v>
                </c:pt>
                <c:pt idx="1">
                  <c:v>100.59734679544825</c:v>
                </c:pt>
                <c:pt idx="2">
                  <c:v>100.60866312664184</c:v>
                </c:pt>
                <c:pt idx="3">
                  <c:v>98.878041911889838</c:v>
                </c:pt>
                <c:pt idx="4">
                  <c:v>98.982480418859737</c:v>
                </c:pt>
                <c:pt idx="5">
                  <c:v>98.603599284393226</c:v>
                </c:pt>
                <c:pt idx="6">
                  <c:v>98.30989297860522</c:v>
                </c:pt>
                <c:pt idx="7">
                  <c:v>99.749917719042259</c:v>
                </c:pt>
                <c:pt idx="8">
                  <c:v>99.940826817804464</c:v>
                </c:pt>
                <c:pt idx="9">
                  <c:v>99.844422042139925</c:v>
                </c:pt>
                <c:pt idx="10">
                  <c:v>100.62473058925258</c:v>
                </c:pt>
                <c:pt idx="11">
                  <c:v>101.34655702783037</c:v>
                </c:pt>
                <c:pt idx="12">
                  <c:v>100.64174827814675</c:v>
                </c:pt>
                <c:pt idx="13">
                  <c:v>100.61315510543622</c:v>
                </c:pt>
                <c:pt idx="14">
                  <c:v>98.199493961311944</c:v>
                </c:pt>
                <c:pt idx="15">
                  <c:v>97.326322391045736</c:v>
                </c:pt>
                <c:pt idx="16">
                  <c:v>97.112867014103912</c:v>
                </c:pt>
                <c:pt idx="17">
                  <c:v>94.35185497128154</c:v>
                </c:pt>
                <c:pt idx="18">
                  <c:v>96.610024541753347</c:v>
                </c:pt>
                <c:pt idx="19">
                  <c:v>98.297108115882637</c:v>
                </c:pt>
                <c:pt idx="20">
                  <c:v>98.190596387930697</c:v>
                </c:pt>
                <c:pt idx="21">
                  <c:v>98.406729675307631</c:v>
                </c:pt>
              </c:numCache>
            </c:numRef>
          </c:val>
          <c:smooth val="0"/>
          <c:extLst xmlns:c16r2="http://schemas.microsoft.com/office/drawing/2015/06/chart">
            <c:ext xmlns:c16="http://schemas.microsoft.com/office/drawing/2014/chart" uri="{C3380CC4-5D6E-409C-BE32-E72D297353CC}">
              <c16:uniqueId val="{00000001-0A33-45DC-8A9F-2A00B476E311}"/>
            </c:ext>
          </c:extLst>
        </c:ser>
        <c:dLbls>
          <c:showLegendKey val="0"/>
          <c:showVal val="0"/>
          <c:showCatName val="0"/>
          <c:showSerName val="0"/>
          <c:showPercent val="0"/>
          <c:showBubbleSize val="0"/>
        </c:dLbls>
        <c:axId val="803571728"/>
        <c:axId val="803573688"/>
        <c:axId val="806120776"/>
      </c:line3DChart>
      <c:dateAx>
        <c:axId val="803571728"/>
        <c:scaling>
          <c:orientation val="minMax"/>
        </c:scaling>
        <c:delete val="0"/>
        <c:axPos val="b"/>
        <c:numFmt formatCode="d\-mmm\-yy"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dk1"/>
                </a:solidFill>
                <a:latin typeface="+mn-lt"/>
                <a:ea typeface="+mn-ea"/>
                <a:cs typeface="+mn-cs"/>
              </a:defRPr>
            </a:pPr>
            <a:endParaRPr lang="en-US"/>
          </a:p>
        </c:txPr>
        <c:crossAx val="803573688"/>
        <c:crosses val="autoZero"/>
        <c:auto val="1"/>
        <c:lblOffset val="100"/>
        <c:baseTimeUnit val="days"/>
        <c:majorUnit val="1"/>
        <c:majorTimeUnit val="days"/>
      </c:dateAx>
      <c:valAx>
        <c:axId val="803573688"/>
        <c:scaling>
          <c:orientation val="minMax"/>
          <c:max val="110"/>
          <c:min val="90"/>
        </c:scaling>
        <c:delete val="0"/>
        <c:axPos val="l"/>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solidFill>
                <a:latin typeface="+mn-lt"/>
                <a:ea typeface="+mn-ea"/>
                <a:cs typeface="+mn-cs"/>
              </a:defRPr>
            </a:pPr>
            <a:endParaRPr lang="en-US"/>
          </a:p>
        </c:txPr>
        <c:crossAx val="803571728"/>
        <c:crosses val="autoZero"/>
        <c:crossBetween val="between"/>
        <c:majorUnit val="6"/>
      </c:valAx>
      <c:serAx>
        <c:axId val="806120776"/>
        <c:scaling>
          <c:orientation val="minMax"/>
        </c:scaling>
        <c:delete val="1"/>
        <c:axPos val="b"/>
        <c:majorTickMark val="out"/>
        <c:minorTickMark val="none"/>
        <c:tickLblPos val="nextTo"/>
        <c:crossAx val="803573688"/>
        <c:crosses val="autoZero"/>
      </c:ser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dk1"/>
              </a:solidFill>
              <a:latin typeface="+mn-lt"/>
              <a:ea typeface="+mn-ea"/>
              <a:cs typeface="+mn-cs"/>
            </a:defRPr>
          </a:pPr>
          <a:endParaRPr lang="en-US"/>
        </a:p>
      </c:txPr>
    </c:legend>
    <c:plotVisOnly val="1"/>
    <c:dispBlanksAs val="gap"/>
    <c:showDLblsOverMax val="0"/>
  </c:chart>
  <c:spPr>
    <a:solidFill>
      <a:schemeClr val="lt1"/>
    </a:solidFill>
    <a:ln w="9525" cap="flat" cmpd="sng" algn="ctr">
      <a:solidFill>
        <a:schemeClr val="bg1">
          <a:lumMod val="50000"/>
        </a:schemeClr>
      </a:solidFill>
      <a:prstDash val="solid"/>
      <a:round/>
    </a:ln>
    <a:effectLst/>
  </c:spPr>
  <c:txPr>
    <a:bodyPr/>
    <a:lstStyle/>
    <a:p>
      <a:pPr>
        <a:defRPr>
          <a:solidFill>
            <a:schemeClr val="dk1"/>
          </a:solidFill>
          <a:latin typeface="+mn-lt"/>
          <a:ea typeface="+mn-ea"/>
          <a:cs typeface="+mn-cs"/>
        </a:defRPr>
      </a:pPr>
      <a:endParaRPr lang="en-US"/>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2008658400458563"/>
          <c:y val="0.1243737544171479"/>
          <c:w val="0.77529912209249707"/>
          <c:h val="0.50249125843324272"/>
        </c:manualLayout>
      </c:layout>
      <c:barChart>
        <c:barDir val="col"/>
        <c:grouping val="clustered"/>
        <c:varyColors val="1"/>
        <c:ser>
          <c:idx val="0"/>
          <c:order val="0"/>
          <c:tx>
            <c:strRef>
              <c:f>'F2&amp;F3'!$D$4</c:f>
              <c:strCache>
                <c:ptCount val="1"/>
                <c:pt idx="0">
                  <c:v>Average Daily Turnover at NSE (LHS)</c:v>
                </c:pt>
              </c:strCache>
            </c:strRef>
          </c:tx>
          <c:spPr>
            <a:solidFill>
              <a:srgbClr val="7030A0"/>
            </a:solidFill>
          </c:spPr>
          <c:invertIfNegative val="1"/>
          <c:dLbls>
            <c:spPr>
              <a:noFill/>
              <a:ln>
                <a:noFill/>
              </a:ln>
              <a:effectLst/>
            </c:spPr>
            <c:txPr>
              <a:bodyPr rot="-5400000" vert="horz"/>
              <a:lstStyle/>
              <a:p>
                <a:pPr>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0"/>
              </c:ext>
            </c:extLst>
          </c:dLbls>
          <c:cat>
            <c:numRef>
              <c:f>'F2&amp;F3'!$A$11:$A$22</c:f>
              <c:numCache>
                <c:formatCode>[$-409]mmm\-yy</c:formatCode>
                <c:ptCount val="12"/>
                <c:pt idx="0">
                  <c:v>43748</c:v>
                </c:pt>
                <c:pt idx="1">
                  <c:v>43779</c:v>
                </c:pt>
                <c:pt idx="2">
                  <c:v>43809</c:v>
                </c:pt>
                <c:pt idx="3">
                  <c:v>43840</c:v>
                </c:pt>
                <c:pt idx="4">
                  <c:v>43871</c:v>
                </c:pt>
                <c:pt idx="5">
                  <c:v>43900</c:v>
                </c:pt>
                <c:pt idx="6">
                  <c:v>43931</c:v>
                </c:pt>
                <c:pt idx="7">
                  <c:v>43961</c:v>
                </c:pt>
                <c:pt idx="8">
                  <c:v>43992</c:v>
                </c:pt>
                <c:pt idx="9">
                  <c:v>44022</c:v>
                </c:pt>
                <c:pt idx="10">
                  <c:v>44053</c:v>
                </c:pt>
                <c:pt idx="11">
                  <c:v>44084</c:v>
                </c:pt>
              </c:numCache>
            </c:numRef>
          </c:cat>
          <c:val>
            <c:numRef>
              <c:f>'F2&amp;F3'!$D$11:$D$22</c:f>
              <c:numCache>
                <c:formatCode>#,##0</c:formatCode>
                <c:ptCount val="12"/>
                <c:pt idx="0">
                  <c:v>37646.552369999998</c:v>
                </c:pt>
                <c:pt idx="1">
                  <c:v>41712.578909291056</c:v>
                </c:pt>
                <c:pt idx="2">
                  <c:v>32475.380315149861</c:v>
                </c:pt>
                <c:pt idx="3">
                  <c:v>35015.085542821784</c:v>
                </c:pt>
                <c:pt idx="4">
                  <c:v>39838.41244</c:v>
                </c:pt>
                <c:pt idx="5">
                  <c:v>47916.596666666665</c:v>
                </c:pt>
                <c:pt idx="6">
                  <c:v>50322.35</c:v>
                </c:pt>
                <c:pt idx="7">
                  <c:v>52655.6</c:v>
                </c:pt>
                <c:pt idx="8">
                  <c:v>61394.58</c:v>
                </c:pt>
                <c:pt idx="9" formatCode="[&gt;=10000000]#\,##\,##\,##0;[&gt;=100000]#\,##\,##0;##,##0">
                  <c:v>58631.347159999998</c:v>
                </c:pt>
                <c:pt idx="10" formatCode="[&gt;=10000000]#\,##\,##\,##0;[&gt;=100000]#\,##\,##0;##,##0">
                  <c:v>61074.12</c:v>
                </c:pt>
                <c:pt idx="11" formatCode="[&gt;=10000000]#\,##\,##\,##0;[&gt;=100000]#\,##\,##0;##,##0">
                  <c:v>55605.851524328958</c:v>
                </c:pt>
              </c:numCache>
            </c:numRef>
          </c:val>
          <c:extLst xmlns:c16r2="http://schemas.microsoft.com/office/drawing/2015/06/chart">
            <c:ext xmlns:c16="http://schemas.microsoft.com/office/drawing/2014/chart" uri="{C3380CC4-5D6E-409C-BE32-E72D297353CC}">
              <c16:uniqueId val="{00000000-E9D1-45EA-8B3E-542872B2412C}"/>
            </c:ext>
            <c:ext xmlns:c14="http://schemas.microsoft.com/office/drawing/2007/8/2/chart" uri="{6F2FDCE9-48DA-4B69-8628-5D25D57E5C99}">
              <c14:invertSolidFillFmt>
                <c14:spPr xmlns:c14="http://schemas.microsoft.com/office/drawing/2007/8/2/chart">
                  <a:solidFill>
                    <a:srgbClr val="FFFFFF"/>
                  </a:solidFill>
                </c14:spPr>
              </c14:invertSolidFillFmt>
            </c:ext>
          </c:extLst>
        </c:ser>
        <c:dLbls>
          <c:showLegendKey val="0"/>
          <c:showVal val="0"/>
          <c:showCatName val="0"/>
          <c:showSerName val="0"/>
          <c:showPercent val="0"/>
          <c:showBubbleSize val="0"/>
        </c:dLbls>
        <c:gapWidth val="150"/>
        <c:axId val="803578000"/>
        <c:axId val="803568200"/>
      </c:barChart>
      <c:lineChart>
        <c:grouping val="standard"/>
        <c:varyColors val="0"/>
        <c:ser>
          <c:idx val="1"/>
          <c:order val="1"/>
          <c:tx>
            <c:strRef>
              <c:f>'F2&amp;F3'!$E$4</c:f>
              <c:strCache>
                <c:ptCount val="1"/>
                <c:pt idx="0">
                  <c:v>Average Daily Value of Nifty (RHS)</c:v>
                </c:pt>
              </c:strCache>
            </c:strRef>
          </c:tx>
          <c:spPr>
            <a:ln w="19050" cmpd="sng">
              <a:solidFill>
                <a:srgbClr val="7C4B23"/>
              </a:solidFill>
              <a:prstDash val="solid"/>
            </a:ln>
          </c:spPr>
          <c:marker>
            <c:symbol val="circle"/>
            <c:size val="7"/>
            <c:spPr>
              <a:solidFill>
                <a:srgbClr val="FF0000"/>
              </a:solidFill>
              <a:ln cmpd="sng">
                <a:solidFill>
                  <a:srgbClr val="7C4B23"/>
                </a:solidFill>
              </a:ln>
            </c:spPr>
          </c:marker>
          <c:cat>
            <c:numRef>
              <c:f>'F2&amp;F3'!$A$11:$A$22</c:f>
              <c:numCache>
                <c:formatCode>[$-409]mmm\-yy</c:formatCode>
                <c:ptCount val="12"/>
                <c:pt idx="0">
                  <c:v>43748</c:v>
                </c:pt>
                <c:pt idx="1">
                  <c:v>43779</c:v>
                </c:pt>
                <c:pt idx="2">
                  <c:v>43809</c:v>
                </c:pt>
                <c:pt idx="3">
                  <c:v>43840</c:v>
                </c:pt>
                <c:pt idx="4">
                  <c:v>43871</c:v>
                </c:pt>
                <c:pt idx="5">
                  <c:v>43900</c:v>
                </c:pt>
                <c:pt idx="6">
                  <c:v>43931</c:v>
                </c:pt>
                <c:pt idx="7">
                  <c:v>43961</c:v>
                </c:pt>
                <c:pt idx="8">
                  <c:v>43992</c:v>
                </c:pt>
                <c:pt idx="9">
                  <c:v>44022</c:v>
                </c:pt>
                <c:pt idx="10">
                  <c:v>44053</c:v>
                </c:pt>
                <c:pt idx="11">
                  <c:v>44084</c:v>
                </c:pt>
              </c:numCache>
            </c:numRef>
          </c:cat>
          <c:val>
            <c:numRef>
              <c:f>'F2&amp;F3'!$E$11:$E$22</c:f>
              <c:numCache>
                <c:formatCode>#,##0</c:formatCode>
                <c:ptCount val="12"/>
                <c:pt idx="0">
                  <c:v>11490.205000000002</c:v>
                </c:pt>
                <c:pt idx="1">
                  <c:v>11964.1325</c:v>
                </c:pt>
                <c:pt idx="2">
                  <c:v>12096.88095238095</c:v>
                </c:pt>
                <c:pt idx="3">
                  <c:v>12183.065217391302</c:v>
                </c:pt>
                <c:pt idx="4">
                  <c:v>11934.472499999998</c:v>
                </c:pt>
                <c:pt idx="5">
                  <c:v>9426.3119047619057</c:v>
                </c:pt>
                <c:pt idx="6">
                  <c:v>9063.58</c:v>
                </c:pt>
                <c:pt idx="7">
                  <c:v>9192.01</c:v>
                </c:pt>
                <c:pt idx="8">
                  <c:v>10116.450000000001</c:v>
                </c:pt>
                <c:pt idx="9">
                  <c:v>10897.695652173914</c:v>
                </c:pt>
                <c:pt idx="10" formatCode="[&gt;=10000000]#\,##\,##\,##0;[&gt;=100000]#\,##\,##0;##,##0">
                  <c:v>11318.57</c:v>
                </c:pt>
                <c:pt idx="11" formatCode="[&gt;=10000000]#\,##\,##\,##0;[&gt;=100000]#\,##\,##0;##,##0">
                  <c:v>11336.702272727271</c:v>
                </c:pt>
              </c:numCache>
            </c:numRef>
          </c:val>
          <c:smooth val="0"/>
          <c:extLst xmlns:c16r2="http://schemas.microsoft.com/office/drawing/2015/06/chart">
            <c:ext xmlns:c16="http://schemas.microsoft.com/office/drawing/2014/chart" uri="{C3380CC4-5D6E-409C-BE32-E72D297353CC}">
              <c16:uniqueId val="{00000001-E9D1-45EA-8B3E-542872B2412C}"/>
            </c:ext>
          </c:extLst>
        </c:ser>
        <c:dLbls>
          <c:showLegendKey val="0"/>
          <c:showVal val="0"/>
          <c:showCatName val="0"/>
          <c:showSerName val="0"/>
          <c:showPercent val="0"/>
          <c:showBubbleSize val="0"/>
        </c:dLbls>
        <c:marker val="1"/>
        <c:smooth val="0"/>
        <c:axId val="803575648"/>
        <c:axId val="803570160"/>
      </c:lineChart>
      <c:dateAx>
        <c:axId val="803578000"/>
        <c:scaling>
          <c:orientation val="minMax"/>
        </c:scaling>
        <c:delete val="0"/>
        <c:axPos val="b"/>
        <c:title>
          <c:tx>
            <c:rich>
              <a:bodyPr/>
              <a:lstStyle/>
              <a:p>
                <a:pPr>
                  <a:defRPr/>
                </a:pPr>
                <a:endParaRPr lang="en-IN"/>
              </a:p>
            </c:rich>
          </c:tx>
          <c:overlay val="0"/>
        </c:title>
        <c:numFmt formatCode="[$-409]mmm\-yy" sourceLinked="1"/>
        <c:majorTickMark val="cross"/>
        <c:minorTickMark val="cross"/>
        <c:tickLblPos val="nextTo"/>
        <c:txPr>
          <a:bodyPr rot="-5400000"/>
          <a:lstStyle/>
          <a:p>
            <a:pPr>
              <a:defRPr/>
            </a:pPr>
            <a:endParaRPr lang="en-US"/>
          </a:p>
        </c:txPr>
        <c:crossAx val="803568200"/>
        <c:crosses val="autoZero"/>
        <c:auto val="1"/>
        <c:lblOffset val="100"/>
        <c:baseTimeUnit val="months"/>
      </c:dateAx>
      <c:valAx>
        <c:axId val="803568200"/>
        <c:scaling>
          <c:orientation val="minMax"/>
          <c:min val="28000"/>
        </c:scaling>
        <c:delete val="0"/>
        <c:axPos val="l"/>
        <c:majorGridlines>
          <c:spPr>
            <a:ln>
              <a:solidFill>
                <a:srgbClr val="FFFFFF"/>
              </a:solidFill>
            </a:ln>
          </c:spPr>
        </c:majorGridlines>
        <c:minorGridlines>
          <c:spPr>
            <a:ln>
              <a:solidFill>
                <a:srgbClr val="CCCCCC">
                  <a:alpha val="0"/>
                </a:srgbClr>
              </a:solidFill>
            </a:ln>
          </c:spPr>
        </c:minorGridlines>
        <c:title>
          <c:tx>
            <c:rich>
              <a:bodyPr/>
              <a:lstStyle/>
              <a:p>
                <a:pPr>
                  <a:defRPr b="0"/>
                </a:pPr>
                <a:r>
                  <a:rPr lang="en-GB" b="0"/>
                  <a:t>₹</a:t>
                </a:r>
                <a:r>
                  <a:rPr lang="en-IN" b="0"/>
                  <a:t> crore</a:t>
                </a:r>
              </a:p>
            </c:rich>
          </c:tx>
          <c:layout>
            <c:manualLayout>
              <c:xMode val="edge"/>
              <c:yMode val="edge"/>
              <c:x val="1.3539536006275077E-2"/>
              <c:y val="0.29672811140244509"/>
            </c:manualLayout>
          </c:layout>
          <c:overlay val="0"/>
        </c:title>
        <c:numFmt formatCode="#,##0" sourceLinked="1"/>
        <c:majorTickMark val="cross"/>
        <c:minorTickMark val="cross"/>
        <c:tickLblPos val="nextTo"/>
        <c:spPr>
          <a:ln w="47625">
            <a:noFill/>
          </a:ln>
        </c:spPr>
        <c:crossAx val="803578000"/>
        <c:crosses val="autoZero"/>
        <c:crossBetween val="between"/>
      </c:valAx>
      <c:dateAx>
        <c:axId val="803575648"/>
        <c:scaling>
          <c:orientation val="minMax"/>
        </c:scaling>
        <c:delete val="1"/>
        <c:axPos val="b"/>
        <c:numFmt formatCode="[$-409]mmm\-yy" sourceLinked="1"/>
        <c:majorTickMark val="cross"/>
        <c:minorTickMark val="cross"/>
        <c:tickLblPos val="nextTo"/>
        <c:crossAx val="803570160"/>
        <c:crosses val="autoZero"/>
        <c:auto val="1"/>
        <c:lblOffset val="100"/>
        <c:baseTimeUnit val="months"/>
      </c:dateAx>
      <c:valAx>
        <c:axId val="803570160"/>
        <c:scaling>
          <c:orientation val="minMax"/>
          <c:min val="9000"/>
        </c:scaling>
        <c:delete val="0"/>
        <c:axPos val="r"/>
        <c:majorGridlines>
          <c:spPr>
            <a:ln>
              <a:solidFill>
                <a:srgbClr val="B7B7B7"/>
              </a:solidFill>
            </a:ln>
          </c:spPr>
        </c:majorGridlines>
        <c:minorGridlines>
          <c:spPr>
            <a:ln>
              <a:solidFill>
                <a:srgbClr val="CCCCCC">
                  <a:alpha val="0"/>
                </a:srgbClr>
              </a:solidFill>
            </a:ln>
          </c:spPr>
        </c:minorGridlines>
        <c:title>
          <c:tx>
            <c:rich>
              <a:bodyPr/>
              <a:lstStyle/>
              <a:p>
                <a:pPr>
                  <a:defRPr/>
                </a:pPr>
                <a:endParaRPr lang="en-IN"/>
              </a:p>
            </c:rich>
          </c:tx>
          <c:overlay val="0"/>
        </c:title>
        <c:numFmt formatCode="#,##0" sourceLinked="1"/>
        <c:majorTickMark val="cross"/>
        <c:minorTickMark val="cross"/>
        <c:tickLblPos val="nextTo"/>
        <c:spPr>
          <a:ln w="47625">
            <a:noFill/>
          </a:ln>
        </c:spPr>
        <c:crossAx val="803575648"/>
        <c:crosses val="max"/>
        <c:crossBetween val="between"/>
      </c:valAx>
      <c:spPr>
        <a:solidFill>
          <a:srgbClr val="FFFFFF"/>
        </a:solidFill>
      </c:spPr>
    </c:plotArea>
    <c:legend>
      <c:legendPos val="b"/>
      <c:overlay val="0"/>
    </c:legend>
    <c:plotVisOnly val="1"/>
    <c:dispBlanksAs val="zero"/>
    <c:showDLblsOverMax val="1"/>
  </c:chart>
  <c:txPr>
    <a:bodyPr/>
    <a:lstStyle/>
    <a:p>
      <a:pPr>
        <a:defRPr sz="900">
          <a:latin typeface="Palatino Linotype" panose="02040502050505030304" pitchFamily="18" charset="0"/>
        </a:defRPr>
      </a:pPr>
      <a:endParaRPr lang="en-US"/>
    </a:p>
  </c:txPr>
  <c:externalData r:id="rId2">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2708669311072959"/>
          <c:y val="0.11732041864263536"/>
          <c:w val="0.76243190653799853"/>
          <c:h val="0.5511761908103513"/>
        </c:manualLayout>
      </c:layout>
      <c:barChart>
        <c:barDir val="col"/>
        <c:grouping val="clustered"/>
        <c:varyColors val="1"/>
        <c:ser>
          <c:idx val="0"/>
          <c:order val="0"/>
          <c:tx>
            <c:strRef>
              <c:f>'F2&amp;F3'!$B$4</c:f>
              <c:strCache>
                <c:ptCount val="1"/>
                <c:pt idx="0">
                  <c:v>Average Daily Turnover at BSE (LHS)</c:v>
                </c:pt>
              </c:strCache>
            </c:strRef>
          </c:tx>
          <c:spPr>
            <a:solidFill>
              <a:srgbClr val="7030A0"/>
            </a:solidFill>
          </c:spPr>
          <c:invertIfNegative val="1"/>
          <c:dLbls>
            <c:spPr>
              <a:noFill/>
              <a:ln>
                <a:noFill/>
              </a:ln>
              <a:effectLst/>
            </c:spPr>
            <c:txPr>
              <a:bodyPr/>
              <a:lstStyle/>
              <a:p>
                <a:pPr lvl="0">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0"/>
              </c:ext>
            </c:extLst>
          </c:dLbls>
          <c:cat>
            <c:numRef>
              <c:f>'F2&amp;F3'!$A$11:$A$22</c:f>
              <c:numCache>
                <c:formatCode>[$-409]mmm\-yy</c:formatCode>
                <c:ptCount val="12"/>
                <c:pt idx="0">
                  <c:v>43748</c:v>
                </c:pt>
                <c:pt idx="1">
                  <c:v>43779</c:v>
                </c:pt>
                <c:pt idx="2">
                  <c:v>43809</c:v>
                </c:pt>
                <c:pt idx="3">
                  <c:v>43840</c:v>
                </c:pt>
                <c:pt idx="4">
                  <c:v>43871</c:v>
                </c:pt>
                <c:pt idx="5">
                  <c:v>43900</c:v>
                </c:pt>
                <c:pt idx="6">
                  <c:v>43931</c:v>
                </c:pt>
                <c:pt idx="7">
                  <c:v>43961</c:v>
                </c:pt>
                <c:pt idx="8">
                  <c:v>43992</c:v>
                </c:pt>
                <c:pt idx="9">
                  <c:v>44022</c:v>
                </c:pt>
                <c:pt idx="10">
                  <c:v>44053</c:v>
                </c:pt>
                <c:pt idx="11">
                  <c:v>44084</c:v>
                </c:pt>
              </c:numCache>
            </c:numRef>
          </c:cat>
          <c:val>
            <c:numRef>
              <c:f>'F2&amp;F3'!$B$11:$B$22</c:f>
              <c:numCache>
                <c:formatCode>[&gt;=10000000]#\,##\,##\,##0;[&gt;=100000]#\,##\,##0;##,##0</c:formatCode>
                <c:ptCount val="12"/>
                <c:pt idx="0">
                  <c:v>2831.1169999999997</c:v>
                </c:pt>
                <c:pt idx="1">
                  <c:v>2722.2304999999992</c:v>
                </c:pt>
                <c:pt idx="2">
                  <c:v>2074.2914285714287</c:v>
                </c:pt>
                <c:pt idx="3">
                  <c:v>2428.0769565217392</c:v>
                </c:pt>
                <c:pt idx="4">
                  <c:v>2785.4995000000004</c:v>
                </c:pt>
                <c:pt idx="5">
                  <c:v>3903.431428571429</c:v>
                </c:pt>
                <c:pt idx="6">
                  <c:v>2470.91</c:v>
                </c:pt>
                <c:pt idx="7">
                  <c:v>3422.05</c:v>
                </c:pt>
                <c:pt idx="8">
                  <c:v>5008.76</c:v>
                </c:pt>
                <c:pt idx="9">
                  <c:v>3482.2930434782606</c:v>
                </c:pt>
                <c:pt idx="10">
                  <c:v>4432.38</c:v>
                </c:pt>
                <c:pt idx="11">
                  <c:v>3182.9668181818183</c:v>
                </c:pt>
              </c:numCache>
            </c:numRef>
          </c:val>
          <c:extLst xmlns:c16r2="http://schemas.microsoft.com/office/drawing/2015/06/chart">
            <c:ext xmlns:c16="http://schemas.microsoft.com/office/drawing/2014/chart" uri="{C3380CC4-5D6E-409C-BE32-E72D297353CC}">
              <c16:uniqueId val="{00000000-4C7A-4A28-BD67-8E142431B159}"/>
            </c:ext>
            <c:ext xmlns:c14="http://schemas.microsoft.com/office/drawing/2007/8/2/chart" uri="{6F2FDCE9-48DA-4B69-8628-5D25D57E5C99}">
              <c14:invertSolidFillFmt>
                <c14:spPr xmlns:c14="http://schemas.microsoft.com/office/drawing/2007/8/2/chart">
                  <a:solidFill>
                    <a:srgbClr val="FFFFFF"/>
                  </a:solidFill>
                </c14:spPr>
              </c14:invertSolidFillFmt>
            </c:ext>
          </c:extLst>
        </c:ser>
        <c:dLbls>
          <c:showLegendKey val="0"/>
          <c:showVal val="0"/>
          <c:showCatName val="0"/>
          <c:showSerName val="0"/>
          <c:showPercent val="0"/>
          <c:showBubbleSize val="0"/>
        </c:dLbls>
        <c:gapWidth val="150"/>
        <c:axId val="803574864"/>
        <c:axId val="803571336"/>
      </c:barChart>
      <c:lineChart>
        <c:grouping val="standard"/>
        <c:varyColors val="0"/>
        <c:ser>
          <c:idx val="1"/>
          <c:order val="1"/>
          <c:tx>
            <c:strRef>
              <c:f>'F2&amp;F3'!$C$4</c:f>
              <c:strCache>
                <c:ptCount val="1"/>
                <c:pt idx="0">
                  <c:v>Average Daily Value of Sensex (RHS)</c:v>
                </c:pt>
              </c:strCache>
            </c:strRef>
          </c:tx>
          <c:spPr>
            <a:ln w="19050" cmpd="sng">
              <a:solidFill>
                <a:schemeClr val="accent6">
                  <a:lumMod val="50000"/>
                </a:schemeClr>
              </a:solidFill>
              <a:prstDash val="solid"/>
            </a:ln>
          </c:spPr>
          <c:marker>
            <c:symbol val="circle"/>
            <c:size val="7"/>
            <c:spPr>
              <a:solidFill>
                <a:srgbClr val="FF0000"/>
              </a:solidFill>
              <a:ln cmpd="sng">
                <a:solidFill>
                  <a:schemeClr val="accent6">
                    <a:lumMod val="50000"/>
                  </a:schemeClr>
                </a:solidFill>
              </a:ln>
            </c:spPr>
          </c:marker>
          <c:cat>
            <c:numRef>
              <c:f>'F2&amp;F3'!$A$11:$A$22</c:f>
              <c:numCache>
                <c:formatCode>[$-409]mmm\-yy</c:formatCode>
                <c:ptCount val="12"/>
                <c:pt idx="0">
                  <c:v>43748</c:v>
                </c:pt>
                <c:pt idx="1">
                  <c:v>43779</c:v>
                </c:pt>
                <c:pt idx="2">
                  <c:v>43809</c:v>
                </c:pt>
                <c:pt idx="3">
                  <c:v>43840</c:v>
                </c:pt>
                <c:pt idx="4">
                  <c:v>43871</c:v>
                </c:pt>
                <c:pt idx="5">
                  <c:v>43900</c:v>
                </c:pt>
                <c:pt idx="6">
                  <c:v>43931</c:v>
                </c:pt>
                <c:pt idx="7">
                  <c:v>43961</c:v>
                </c:pt>
                <c:pt idx="8">
                  <c:v>43992</c:v>
                </c:pt>
                <c:pt idx="9">
                  <c:v>44022</c:v>
                </c:pt>
                <c:pt idx="10">
                  <c:v>44053</c:v>
                </c:pt>
                <c:pt idx="11">
                  <c:v>44084</c:v>
                </c:pt>
              </c:numCache>
            </c:numRef>
          </c:cat>
          <c:val>
            <c:numRef>
              <c:f>'F2&amp;F3'!$C$11:$C$22</c:f>
              <c:numCache>
                <c:formatCode>#,##0</c:formatCode>
                <c:ptCount val="12"/>
                <c:pt idx="0">
                  <c:v>38741.85349999999</c:v>
                </c:pt>
                <c:pt idx="1">
                  <c:v>40513.094500000007</c:v>
                </c:pt>
                <c:pt idx="2">
                  <c:v>41054.449047619055</c:v>
                </c:pt>
                <c:pt idx="3">
                  <c:v>41360.947826086951</c:v>
                </c:pt>
                <c:pt idx="4">
                  <c:v>40674.324000000001</c:v>
                </c:pt>
                <c:pt idx="5" formatCode="[&gt;=10000000]#\,##\,##\,##0;[&gt;=100000]#\,##\,##0;##,##0">
                  <c:v>32254.451428571429</c:v>
                </c:pt>
                <c:pt idx="6" formatCode="[&gt;=10000000]#\,##\,##\,##0;[&gt;=100000]#\,##\,##0;##,##0">
                  <c:v>30966</c:v>
                </c:pt>
                <c:pt idx="7" formatCode="[&gt;=10000000]#\,##\,##\,##0;[&gt;=100000]#\,##\,##0;##,##0">
                  <c:v>31294</c:v>
                </c:pt>
                <c:pt idx="8" formatCode="[&gt;=10000000]#\,##\,##\,##0;[&gt;=100000]#\,##\,##0;##,##0">
                  <c:v>34263</c:v>
                </c:pt>
                <c:pt idx="9" formatCode="0">
                  <c:v>37030.641739130428</c:v>
                </c:pt>
                <c:pt idx="10" formatCode="[&gt;=10000000]#\,##\,##\,##0;[&gt;=100000]#\,##\,##0;##,##0">
                  <c:v>38347</c:v>
                </c:pt>
                <c:pt idx="11" formatCode="[&gt;=10000000]#\,##\,##\,##0;[&gt;=100000]#\,##\,##0;##,##0">
                  <c:v>38378.977272727272</c:v>
                </c:pt>
              </c:numCache>
            </c:numRef>
          </c:val>
          <c:smooth val="0"/>
          <c:extLst xmlns:c16r2="http://schemas.microsoft.com/office/drawing/2015/06/chart">
            <c:ext xmlns:c16="http://schemas.microsoft.com/office/drawing/2014/chart" uri="{C3380CC4-5D6E-409C-BE32-E72D297353CC}">
              <c16:uniqueId val="{00000001-4C7A-4A28-BD67-8E142431B159}"/>
            </c:ext>
          </c:extLst>
        </c:ser>
        <c:dLbls>
          <c:showLegendKey val="0"/>
          <c:showVal val="0"/>
          <c:showCatName val="0"/>
          <c:showSerName val="0"/>
          <c:showPercent val="0"/>
          <c:showBubbleSize val="0"/>
        </c:dLbls>
        <c:marker val="1"/>
        <c:smooth val="0"/>
        <c:axId val="803572904"/>
        <c:axId val="803578392"/>
      </c:lineChart>
      <c:dateAx>
        <c:axId val="803574864"/>
        <c:scaling>
          <c:orientation val="minMax"/>
        </c:scaling>
        <c:delete val="0"/>
        <c:axPos val="b"/>
        <c:title>
          <c:tx>
            <c:rich>
              <a:bodyPr/>
              <a:lstStyle/>
              <a:p>
                <a:pPr lvl="0">
                  <a:defRPr b="0">
                    <a:solidFill>
                      <a:srgbClr val="000000"/>
                    </a:solidFill>
                    <a:latin typeface="Roboto"/>
                  </a:defRPr>
                </a:pPr>
                <a:endParaRPr lang="en-IN"/>
              </a:p>
            </c:rich>
          </c:tx>
          <c:overlay val="0"/>
        </c:title>
        <c:numFmt formatCode="[$-409]mmm\-yy" sourceLinked="1"/>
        <c:majorTickMark val="cross"/>
        <c:minorTickMark val="cross"/>
        <c:tickLblPos val="nextTo"/>
        <c:txPr>
          <a:bodyPr rot="-5400000"/>
          <a:lstStyle/>
          <a:p>
            <a:pPr lvl="0">
              <a:defRPr sz="900" b="0" i="0">
                <a:solidFill>
                  <a:srgbClr val="000000"/>
                </a:solidFill>
                <a:latin typeface="Palatino Linotype" panose="02040502050505030304" pitchFamily="18" charset="0"/>
              </a:defRPr>
            </a:pPr>
            <a:endParaRPr lang="en-US"/>
          </a:p>
        </c:txPr>
        <c:crossAx val="803571336"/>
        <c:crosses val="autoZero"/>
        <c:auto val="1"/>
        <c:lblOffset val="100"/>
        <c:baseTimeUnit val="months"/>
      </c:dateAx>
      <c:valAx>
        <c:axId val="803571336"/>
        <c:scaling>
          <c:orientation val="minMax"/>
          <c:max val="4000"/>
        </c:scaling>
        <c:delete val="0"/>
        <c:axPos val="l"/>
        <c:majorGridlines>
          <c:spPr>
            <a:ln>
              <a:solidFill>
                <a:srgbClr val="FFFFFF"/>
              </a:solidFill>
            </a:ln>
          </c:spPr>
        </c:majorGridlines>
        <c:minorGridlines>
          <c:spPr>
            <a:ln>
              <a:solidFill>
                <a:srgbClr val="CCCCCC">
                  <a:alpha val="0"/>
                </a:srgbClr>
              </a:solidFill>
            </a:ln>
          </c:spPr>
        </c:minorGridlines>
        <c:title>
          <c:tx>
            <c:rich>
              <a:bodyPr/>
              <a:lstStyle/>
              <a:p>
                <a:pPr lvl="0">
                  <a:defRPr sz="900" b="0" i="0">
                    <a:solidFill>
                      <a:srgbClr val="000000"/>
                    </a:solidFill>
                    <a:latin typeface="Palatino Linotype" panose="02040502050505030304" pitchFamily="18" charset="0"/>
                  </a:defRPr>
                </a:pPr>
                <a:r>
                  <a:rPr lang="en-IN" sz="900" b="0" baseline="0">
                    <a:latin typeface="Palatino Linotype" panose="02040502050505030304" pitchFamily="18" charset="0"/>
                  </a:rPr>
                  <a:t> </a:t>
                </a:r>
                <a:r>
                  <a:rPr lang="en-GB" sz="900" b="0" i="0" u="none" strike="noStrike" baseline="0">
                    <a:effectLst/>
                    <a:latin typeface="Palatino Linotype" panose="02040502050505030304" pitchFamily="18" charset="0"/>
                  </a:rPr>
                  <a:t>₹ </a:t>
                </a:r>
                <a:r>
                  <a:rPr lang="en-IN" sz="900" b="0">
                    <a:latin typeface="Palatino Linotype" panose="02040502050505030304" pitchFamily="18" charset="0"/>
                  </a:rPr>
                  <a:t>crore</a:t>
                </a:r>
              </a:p>
            </c:rich>
          </c:tx>
          <c:layout>
            <c:manualLayout>
              <c:xMode val="edge"/>
              <c:yMode val="edge"/>
              <c:x val="1.2416395319006178E-2"/>
              <c:y val="0.31596108100191905"/>
            </c:manualLayout>
          </c:layout>
          <c:overlay val="0"/>
        </c:title>
        <c:numFmt formatCode="[&gt;=10000000]#\,##\,##\,##0;[&gt;=100000]#\,##\,##0;##,##0" sourceLinked="1"/>
        <c:majorTickMark val="cross"/>
        <c:minorTickMark val="cross"/>
        <c:tickLblPos val="nextTo"/>
        <c:spPr>
          <a:ln w="47625">
            <a:noFill/>
          </a:ln>
        </c:spPr>
        <c:txPr>
          <a:bodyPr/>
          <a:lstStyle/>
          <a:p>
            <a:pPr lvl="0">
              <a:defRPr sz="900" b="0" i="0">
                <a:solidFill>
                  <a:srgbClr val="000000"/>
                </a:solidFill>
                <a:latin typeface="Palatino Linotype" panose="02040502050505030304" pitchFamily="18" charset="0"/>
              </a:defRPr>
            </a:pPr>
            <a:endParaRPr lang="en-US"/>
          </a:p>
        </c:txPr>
        <c:crossAx val="803574864"/>
        <c:crosses val="autoZero"/>
        <c:crossBetween val="between"/>
      </c:valAx>
      <c:dateAx>
        <c:axId val="803572904"/>
        <c:scaling>
          <c:orientation val="minMax"/>
        </c:scaling>
        <c:delete val="1"/>
        <c:axPos val="b"/>
        <c:numFmt formatCode="[$-409]mmm\-yy" sourceLinked="1"/>
        <c:majorTickMark val="cross"/>
        <c:minorTickMark val="cross"/>
        <c:tickLblPos val="nextTo"/>
        <c:crossAx val="803578392"/>
        <c:crosses val="autoZero"/>
        <c:auto val="1"/>
        <c:lblOffset val="100"/>
        <c:baseTimeUnit val="months"/>
      </c:dateAx>
      <c:valAx>
        <c:axId val="803578392"/>
        <c:scaling>
          <c:orientation val="minMax"/>
          <c:max val="43000"/>
        </c:scaling>
        <c:delete val="0"/>
        <c:axPos val="r"/>
        <c:majorGridlines>
          <c:spPr>
            <a:ln>
              <a:solidFill>
                <a:srgbClr val="B7B7B7"/>
              </a:solidFill>
            </a:ln>
          </c:spPr>
        </c:majorGridlines>
        <c:minorGridlines>
          <c:spPr>
            <a:ln>
              <a:solidFill>
                <a:srgbClr val="CCCCCC">
                  <a:alpha val="0"/>
                </a:srgbClr>
              </a:solidFill>
            </a:ln>
          </c:spPr>
        </c:minorGridlines>
        <c:title>
          <c:tx>
            <c:rich>
              <a:bodyPr/>
              <a:lstStyle/>
              <a:p>
                <a:pPr lvl="0">
                  <a:defRPr b="0">
                    <a:solidFill>
                      <a:srgbClr val="000000"/>
                    </a:solidFill>
                    <a:latin typeface="Roboto"/>
                  </a:defRPr>
                </a:pPr>
                <a:endParaRPr lang="en-IN"/>
              </a:p>
            </c:rich>
          </c:tx>
          <c:overlay val="0"/>
        </c:title>
        <c:numFmt formatCode="#,##0" sourceLinked="1"/>
        <c:majorTickMark val="cross"/>
        <c:minorTickMark val="cross"/>
        <c:tickLblPos val="nextTo"/>
        <c:spPr>
          <a:ln w="47625">
            <a:noFill/>
          </a:ln>
        </c:spPr>
        <c:txPr>
          <a:bodyPr/>
          <a:lstStyle/>
          <a:p>
            <a:pPr lvl="0">
              <a:defRPr sz="900" b="0" i="0">
                <a:solidFill>
                  <a:srgbClr val="000000"/>
                </a:solidFill>
                <a:latin typeface="Palatino Linotype" panose="02040502050505030304" pitchFamily="18" charset="0"/>
              </a:defRPr>
            </a:pPr>
            <a:endParaRPr lang="en-US"/>
          </a:p>
        </c:txPr>
        <c:crossAx val="803572904"/>
        <c:crosses val="max"/>
        <c:crossBetween val="between"/>
      </c:valAx>
      <c:spPr>
        <a:solidFill>
          <a:srgbClr val="FFFFFF"/>
        </a:solidFill>
      </c:spPr>
    </c:plotArea>
    <c:legend>
      <c:legendPos val="b"/>
      <c:overlay val="0"/>
      <c:txPr>
        <a:bodyPr/>
        <a:lstStyle/>
        <a:p>
          <a:pPr lvl="0">
            <a:defRPr sz="900" b="0" i="0">
              <a:solidFill>
                <a:srgbClr val="000000"/>
              </a:solidFill>
              <a:latin typeface="Palatino Linotype" panose="02040502050505030304" pitchFamily="18" charset="0"/>
            </a:defRPr>
          </a:pPr>
          <a:endParaRPr lang="en-US"/>
        </a:p>
      </c:txPr>
    </c:legend>
    <c:plotVisOnly val="1"/>
    <c:dispBlanksAs val="zero"/>
    <c:showDLblsOverMax val="1"/>
  </c:chart>
  <c:externalData r:id="rId2">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manualLayout>
          <c:layoutTarget val="inner"/>
          <c:xMode val="edge"/>
          <c:yMode val="edge"/>
          <c:x val="0.1053191808635016"/>
          <c:y val="9.8998664796300345E-2"/>
          <c:w val="0.79564372635238778"/>
          <c:h val="0.46981775373987983"/>
        </c:manualLayout>
      </c:layout>
      <c:barChart>
        <c:barDir val="col"/>
        <c:grouping val="clustered"/>
        <c:varyColors val="0"/>
        <c:ser>
          <c:idx val="0"/>
          <c:order val="0"/>
          <c:tx>
            <c:strRef>
              <c:f>'F4&amp;F5 '!$B$4</c:f>
              <c:strCache>
                <c:ptCount val="1"/>
                <c:pt idx="0">
                  <c:v>Return</c:v>
                </c:pt>
              </c:strCache>
            </c:strRef>
          </c:tx>
          <c:spPr>
            <a:solidFill>
              <a:srgbClr val="00B05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solidFill>
                    <a:latin typeface="Palatino Linotype" panose="02040502050505030304" pitchFamily="18" charset="0"/>
                    <a:ea typeface="+mn-ea"/>
                    <a:cs typeface="+mn-cs"/>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'F4&amp;F5 '!$A$5:$A$19</c:f>
              <c:strCache>
                <c:ptCount val="15"/>
                <c:pt idx="0">
                  <c:v>S&amp;P BSE Sensex</c:v>
                </c:pt>
                <c:pt idx="1">
                  <c:v>S&amp;P BSE 100</c:v>
                </c:pt>
                <c:pt idx="2">
                  <c:v>S&amp;P BSE 200</c:v>
                </c:pt>
                <c:pt idx="3">
                  <c:v>S&amp;P BSE 500</c:v>
                </c:pt>
                <c:pt idx="4">
                  <c:v>S&amp;P BSE Large Cap</c:v>
                </c:pt>
                <c:pt idx="5">
                  <c:v>S&amp;P BSE Small Cap</c:v>
                </c:pt>
                <c:pt idx="6">
                  <c:v>S&amp;P BSE Consumer Durables</c:v>
                </c:pt>
                <c:pt idx="7">
                  <c:v>S&amp;P BSE Capital Goods</c:v>
                </c:pt>
                <c:pt idx="8">
                  <c:v>S&amp;P BSE Bankex</c:v>
                </c:pt>
                <c:pt idx="9">
                  <c:v>S&amp;P BSE Teck</c:v>
                </c:pt>
                <c:pt idx="10">
                  <c:v>S&amp;P BSE FMCG</c:v>
                </c:pt>
                <c:pt idx="11">
                  <c:v>S&amp;P BSE Metal </c:v>
                </c:pt>
                <c:pt idx="12">
                  <c:v>S&amp;P BSE PSU</c:v>
                </c:pt>
                <c:pt idx="13">
                  <c:v>S&amp;P BSE Power</c:v>
                </c:pt>
                <c:pt idx="14">
                  <c:v>S&amp;P BSE Healthcare</c:v>
                </c:pt>
              </c:strCache>
            </c:strRef>
          </c:cat>
          <c:val>
            <c:numRef>
              <c:f>'F4&amp;F5 '!$B$5:$B$19</c:f>
              <c:numCache>
                <c:formatCode>0.0_ ;[Red]\-0.0\ </c:formatCode>
                <c:ptCount val="15"/>
                <c:pt idx="0">
                  <c:v>-1.4506466633651156</c:v>
                </c:pt>
                <c:pt idx="1">
                  <c:v>-0.77667991763726318</c:v>
                </c:pt>
                <c:pt idx="2">
                  <c:v>-0.4983789677832815</c:v>
                </c:pt>
                <c:pt idx="3">
                  <c:v>-0.26232265014378381</c:v>
                </c:pt>
                <c:pt idx="4">
                  <c:v>-0.94930987369234321</c:v>
                </c:pt>
                <c:pt idx="5">
                  <c:v>3.7051711125278857</c:v>
                </c:pt>
                <c:pt idx="6">
                  <c:v>6.6771155191383631</c:v>
                </c:pt>
                <c:pt idx="7">
                  <c:v>0.673941930817061</c:v>
                </c:pt>
                <c:pt idx="8">
                  <c:v>-9.7068132433615766</c:v>
                </c:pt>
                <c:pt idx="9">
                  <c:v>5.8585823767996192</c:v>
                </c:pt>
                <c:pt idx="10">
                  <c:v>-2.61929581696916</c:v>
                </c:pt>
                <c:pt idx="11">
                  <c:v>-5.994070454949382</c:v>
                </c:pt>
                <c:pt idx="12">
                  <c:v>-11.75042283092594</c:v>
                </c:pt>
                <c:pt idx="13">
                  <c:v>-1.0120548306155488</c:v>
                </c:pt>
                <c:pt idx="14">
                  <c:v>7.6770131207845429</c:v>
                </c:pt>
              </c:numCache>
            </c:numRef>
          </c:val>
          <c:extLst xmlns:c16r2="http://schemas.microsoft.com/office/drawing/2015/06/chart">
            <c:ext xmlns:c16="http://schemas.microsoft.com/office/drawing/2014/chart" uri="{C3380CC4-5D6E-409C-BE32-E72D297353CC}">
              <c16:uniqueId val="{00000000-60A4-417C-968D-5507BF76E44E}"/>
            </c:ext>
          </c:extLst>
        </c:ser>
        <c:dLbls>
          <c:showLegendKey val="0"/>
          <c:showVal val="0"/>
          <c:showCatName val="0"/>
          <c:showSerName val="0"/>
          <c:showPercent val="0"/>
          <c:showBubbleSize val="0"/>
        </c:dLbls>
        <c:gapWidth val="219"/>
        <c:axId val="803581528"/>
        <c:axId val="803579176"/>
      </c:barChart>
      <c:lineChart>
        <c:grouping val="standard"/>
        <c:varyColors val="0"/>
        <c:ser>
          <c:idx val="1"/>
          <c:order val="1"/>
          <c:tx>
            <c:strRef>
              <c:f>'F4&amp;F5 '!$C$4</c:f>
              <c:strCache>
                <c:ptCount val="1"/>
                <c:pt idx="0">
                  <c:v>Volatility</c:v>
                </c:pt>
              </c:strCache>
            </c:strRef>
          </c:tx>
          <c:spPr>
            <a:ln w="28575" cap="rnd">
              <a:solidFill>
                <a:srgbClr val="FF0000"/>
              </a:solidFill>
              <a:round/>
            </a:ln>
            <a:effectLst/>
          </c:spPr>
          <c:marker>
            <c:symbol val="none"/>
          </c:marker>
          <c:cat>
            <c:strRef>
              <c:f>'F4&amp;F5 '!$A$5:$A$19</c:f>
              <c:strCache>
                <c:ptCount val="15"/>
                <c:pt idx="0">
                  <c:v>S&amp;P BSE Sensex</c:v>
                </c:pt>
                <c:pt idx="1">
                  <c:v>S&amp;P BSE 100</c:v>
                </c:pt>
                <c:pt idx="2">
                  <c:v>S&amp;P BSE 200</c:v>
                </c:pt>
                <c:pt idx="3">
                  <c:v>S&amp;P BSE 500</c:v>
                </c:pt>
                <c:pt idx="4">
                  <c:v>S&amp;P BSE Large Cap</c:v>
                </c:pt>
                <c:pt idx="5">
                  <c:v>S&amp;P BSE Small Cap</c:v>
                </c:pt>
                <c:pt idx="6">
                  <c:v>S&amp;P BSE Consumer Durables</c:v>
                </c:pt>
                <c:pt idx="7">
                  <c:v>S&amp;P BSE Capital Goods</c:v>
                </c:pt>
                <c:pt idx="8">
                  <c:v>S&amp;P BSE Bankex</c:v>
                </c:pt>
                <c:pt idx="9">
                  <c:v>S&amp;P BSE Teck</c:v>
                </c:pt>
                <c:pt idx="10">
                  <c:v>S&amp;P BSE FMCG</c:v>
                </c:pt>
                <c:pt idx="11">
                  <c:v>S&amp;P BSE Metal </c:v>
                </c:pt>
                <c:pt idx="12">
                  <c:v>S&amp;P BSE PSU</c:v>
                </c:pt>
                <c:pt idx="13">
                  <c:v>S&amp;P BSE Power</c:v>
                </c:pt>
                <c:pt idx="14">
                  <c:v>S&amp;P BSE Healthcare</c:v>
                </c:pt>
              </c:strCache>
            </c:strRef>
          </c:cat>
          <c:val>
            <c:numRef>
              <c:f>'F4&amp;F5 '!$C$5:$C$19</c:f>
              <c:numCache>
                <c:formatCode>0.0_ ;[Red]\-0.0\ </c:formatCode>
                <c:ptCount val="15"/>
                <c:pt idx="0">
                  <c:v>1.1963697229186907</c:v>
                </c:pt>
                <c:pt idx="1">
                  <c:v>1.2295098024230875</c:v>
                </c:pt>
                <c:pt idx="2">
                  <c:v>1.2394689830036545</c:v>
                </c:pt>
                <c:pt idx="3">
                  <c:v>1.2543283535722298</c:v>
                </c:pt>
                <c:pt idx="4">
                  <c:v>1.2149037024470624</c:v>
                </c:pt>
                <c:pt idx="5">
                  <c:v>1.6766732453030599</c:v>
                </c:pt>
                <c:pt idx="6">
                  <c:v>1.6686860713774256</c:v>
                </c:pt>
                <c:pt idx="7">
                  <c:v>1.4573069570994428</c:v>
                </c:pt>
                <c:pt idx="8">
                  <c:v>1.6517834047394306</c:v>
                </c:pt>
                <c:pt idx="9">
                  <c:v>1.6441910508369648</c:v>
                </c:pt>
                <c:pt idx="10">
                  <c:v>1.1334223018814669</c:v>
                </c:pt>
                <c:pt idx="11">
                  <c:v>2.1410759303162479</c:v>
                </c:pt>
                <c:pt idx="12">
                  <c:v>1.5876172282456389</c:v>
                </c:pt>
                <c:pt idx="13">
                  <c:v>1.6057927946721766</c:v>
                </c:pt>
                <c:pt idx="14">
                  <c:v>1.6764862232800839</c:v>
                </c:pt>
              </c:numCache>
            </c:numRef>
          </c:val>
          <c:smooth val="0"/>
          <c:extLst xmlns:c16r2="http://schemas.microsoft.com/office/drawing/2015/06/chart">
            <c:ext xmlns:c16="http://schemas.microsoft.com/office/drawing/2014/chart" uri="{C3380CC4-5D6E-409C-BE32-E72D297353CC}">
              <c16:uniqueId val="{00000001-60A4-417C-968D-5507BF76E44E}"/>
            </c:ext>
          </c:extLst>
        </c:ser>
        <c:dLbls>
          <c:showLegendKey val="0"/>
          <c:showVal val="0"/>
          <c:showCatName val="0"/>
          <c:showSerName val="0"/>
          <c:showPercent val="0"/>
          <c:showBubbleSize val="0"/>
        </c:dLbls>
        <c:marker val="1"/>
        <c:smooth val="0"/>
        <c:axId val="803579960"/>
        <c:axId val="803580352"/>
      </c:lineChart>
      <c:catAx>
        <c:axId val="803581528"/>
        <c:scaling>
          <c:orientation val="minMax"/>
        </c:scaling>
        <c:delete val="0"/>
        <c:axPos val="b"/>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dk1"/>
                </a:solidFill>
                <a:latin typeface="Palatino Linotype" panose="02040502050505030304" pitchFamily="18" charset="0"/>
                <a:ea typeface="+mn-ea"/>
                <a:cs typeface="+mn-cs"/>
              </a:defRPr>
            </a:pPr>
            <a:endParaRPr lang="en-US"/>
          </a:p>
        </c:txPr>
        <c:crossAx val="803579176"/>
        <c:crosses val="autoZero"/>
        <c:auto val="1"/>
        <c:lblAlgn val="ctr"/>
        <c:lblOffset val="100"/>
        <c:noMultiLvlLbl val="0"/>
      </c:catAx>
      <c:valAx>
        <c:axId val="803579176"/>
        <c:scaling>
          <c:orientation val="minMax"/>
        </c:scaling>
        <c:delete val="0"/>
        <c:axPos val="l"/>
        <c:title>
          <c:tx>
            <c:rich>
              <a:bodyPr rot="-5400000" spcFirstLastPara="1" vertOverflow="ellipsis" vert="horz" wrap="square" anchor="ctr" anchorCtr="1"/>
              <a:lstStyle/>
              <a:p>
                <a:pPr>
                  <a:defRPr sz="900" b="0" i="0" u="none" strike="noStrike" kern="1200" baseline="0">
                    <a:solidFill>
                      <a:schemeClr val="dk1"/>
                    </a:solidFill>
                    <a:latin typeface="Palatino Linotype" panose="02040502050505030304" pitchFamily="18" charset="0"/>
                    <a:ea typeface="+mn-ea"/>
                    <a:cs typeface="+mn-cs"/>
                  </a:defRPr>
                </a:pPr>
                <a:r>
                  <a:rPr lang="en-US"/>
                  <a:t>Return  </a:t>
                </a:r>
              </a:p>
            </c:rich>
          </c:tx>
          <c:overlay val="0"/>
          <c:spPr>
            <a:noFill/>
            <a:ln>
              <a:noFill/>
            </a:ln>
            <a:effectLst/>
          </c:spPr>
          <c:txPr>
            <a:bodyPr rot="-5400000" spcFirstLastPara="1" vertOverflow="ellipsis" vert="horz" wrap="square" anchor="ctr" anchorCtr="1"/>
            <a:lstStyle/>
            <a:p>
              <a:pPr>
                <a:defRPr sz="900" b="0" i="0" u="none" strike="noStrike" kern="1200" baseline="0">
                  <a:solidFill>
                    <a:schemeClr val="dk1"/>
                  </a:solidFill>
                  <a:latin typeface="Palatino Linotype" panose="02040502050505030304" pitchFamily="18" charset="0"/>
                  <a:ea typeface="+mn-ea"/>
                  <a:cs typeface="+mn-cs"/>
                </a:defRPr>
              </a:pPr>
              <a:endParaRPr lang="en-US"/>
            </a:p>
          </c:txPr>
        </c:title>
        <c:numFmt formatCode="0.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solidFill>
                <a:latin typeface="Palatino Linotype" panose="02040502050505030304" pitchFamily="18" charset="0"/>
                <a:ea typeface="+mn-ea"/>
                <a:cs typeface="+mn-cs"/>
              </a:defRPr>
            </a:pPr>
            <a:endParaRPr lang="en-US"/>
          </a:p>
        </c:txPr>
        <c:crossAx val="803581528"/>
        <c:crosses val="autoZero"/>
        <c:crossBetween val="between"/>
      </c:valAx>
      <c:valAx>
        <c:axId val="803580352"/>
        <c:scaling>
          <c:orientation val="minMax"/>
          <c:min val="0.30000000000000004"/>
        </c:scaling>
        <c:delete val="0"/>
        <c:axPos val="r"/>
        <c:title>
          <c:tx>
            <c:rich>
              <a:bodyPr rot="5400000" spcFirstLastPara="1" vertOverflow="ellipsis" wrap="square" anchor="ctr" anchorCtr="1"/>
              <a:lstStyle/>
              <a:p>
                <a:pPr>
                  <a:defRPr sz="900" b="0" i="0" u="none" strike="noStrike" kern="1200" baseline="0">
                    <a:solidFill>
                      <a:schemeClr val="dk1"/>
                    </a:solidFill>
                    <a:latin typeface="Palatino Linotype" panose="02040502050505030304" pitchFamily="18" charset="0"/>
                    <a:ea typeface="+mn-ea"/>
                    <a:cs typeface="+mn-cs"/>
                  </a:defRPr>
                </a:pPr>
                <a:r>
                  <a:rPr lang="en-US"/>
                  <a:t>Volatility </a:t>
                </a:r>
              </a:p>
            </c:rich>
          </c:tx>
          <c:layout>
            <c:manualLayout>
              <c:xMode val="edge"/>
              <c:yMode val="edge"/>
              <c:x val="0.95368321659483191"/>
              <c:y val="0.25829603412067109"/>
            </c:manualLayout>
          </c:layout>
          <c:overlay val="0"/>
          <c:spPr>
            <a:noFill/>
            <a:ln>
              <a:noFill/>
            </a:ln>
            <a:effectLst/>
          </c:spPr>
          <c:txPr>
            <a:bodyPr rot="5400000" spcFirstLastPara="1" vertOverflow="ellipsis" wrap="square" anchor="ctr" anchorCtr="1"/>
            <a:lstStyle/>
            <a:p>
              <a:pPr>
                <a:defRPr sz="900" b="0" i="0" u="none" strike="noStrike" kern="1200" baseline="0">
                  <a:solidFill>
                    <a:schemeClr val="dk1"/>
                  </a:solidFill>
                  <a:latin typeface="Palatino Linotype" panose="02040502050505030304" pitchFamily="18" charset="0"/>
                  <a:ea typeface="+mn-ea"/>
                  <a:cs typeface="+mn-cs"/>
                </a:defRPr>
              </a:pPr>
              <a:endParaRPr lang="en-US"/>
            </a:p>
          </c:txPr>
        </c:title>
        <c:numFmt formatCode="0.0" sourceLinked="0"/>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solidFill>
                <a:latin typeface="Palatino Linotype" panose="02040502050505030304" pitchFamily="18" charset="0"/>
                <a:ea typeface="+mn-ea"/>
                <a:cs typeface="+mn-cs"/>
              </a:defRPr>
            </a:pPr>
            <a:endParaRPr lang="en-US"/>
          </a:p>
        </c:txPr>
        <c:crossAx val="803579960"/>
        <c:crosses val="max"/>
        <c:crossBetween val="between"/>
      </c:valAx>
      <c:catAx>
        <c:axId val="803579960"/>
        <c:scaling>
          <c:orientation val="minMax"/>
        </c:scaling>
        <c:delete val="1"/>
        <c:axPos val="b"/>
        <c:numFmt formatCode="General" sourceLinked="1"/>
        <c:majorTickMark val="out"/>
        <c:minorTickMark val="none"/>
        <c:tickLblPos val="nextTo"/>
        <c:crossAx val="803580352"/>
        <c:crosses val="autoZero"/>
        <c:auto val="1"/>
        <c:lblAlgn val="ctr"/>
        <c:lblOffset val="100"/>
        <c:noMultiLvlLbl val="0"/>
      </c:catAx>
      <c:spPr>
        <a:noFill/>
        <a:ln>
          <a:noFill/>
        </a:ln>
        <a:effectLst/>
      </c:spPr>
    </c:plotArea>
    <c:legend>
      <c:legendPos val="b"/>
      <c:layout>
        <c:manualLayout>
          <c:xMode val="edge"/>
          <c:yMode val="edge"/>
          <c:x val="0.35777354934809497"/>
          <c:y val="0.92661523798651602"/>
          <c:w val="0.44351205543007188"/>
          <c:h val="5.6061250990576773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dk1"/>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lt1"/>
    </a:solidFill>
    <a:ln w="9525" cap="flat" cmpd="sng" algn="ctr">
      <a:solidFill>
        <a:schemeClr val="tx1">
          <a:lumMod val="50000"/>
          <a:lumOff val="50000"/>
        </a:schemeClr>
      </a:solidFill>
      <a:prstDash val="solid"/>
      <a:round/>
    </a:ln>
    <a:effectLst/>
  </c:spPr>
  <c:txPr>
    <a:bodyPr/>
    <a:lstStyle/>
    <a:p>
      <a:pPr>
        <a:defRPr sz="900">
          <a:solidFill>
            <a:schemeClr val="dk1"/>
          </a:solidFill>
          <a:latin typeface="Palatino Linotype" panose="02040502050505030304" pitchFamily="18" charset="0"/>
          <a:ea typeface="+mn-ea"/>
          <a:cs typeface="+mn-cs"/>
        </a:defRPr>
      </a:pPr>
      <a:endParaRPr lang="en-US"/>
    </a:p>
  </c:txPr>
  <c:externalData r:id="rId4">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manualLayout>
          <c:layoutTarget val="inner"/>
          <c:xMode val="edge"/>
          <c:yMode val="edge"/>
          <c:x val="0.10867967591007646"/>
          <c:y val="0.10059439185408688"/>
          <c:w val="0.78229225648745326"/>
          <c:h val="0.51596793569973398"/>
        </c:manualLayout>
      </c:layout>
      <c:barChart>
        <c:barDir val="col"/>
        <c:grouping val="clustered"/>
        <c:varyColors val="0"/>
        <c:ser>
          <c:idx val="0"/>
          <c:order val="0"/>
          <c:tx>
            <c:strRef>
              <c:f>'F4&amp;F5 '!$E$4</c:f>
              <c:strCache>
                <c:ptCount val="1"/>
                <c:pt idx="0">
                  <c:v>Return</c:v>
                </c:pt>
              </c:strCache>
            </c:strRef>
          </c:tx>
          <c:spPr>
            <a:solidFill>
              <a:srgbClr val="00B05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'F4&amp;F5 '!$D$5:$D$19</c:f>
              <c:strCache>
                <c:ptCount val="15"/>
                <c:pt idx="0">
                  <c:v>Nifty 50</c:v>
                </c:pt>
                <c:pt idx="1">
                  <c:v>Nifty Next 50</c:v>
                </c:pt>
                <c:pt idx="2">
                  <c:v>Nifty 100</c:v>
                </c:pt>
                <c:pt idx="3">
                  <c:v>Nifty 200</c:v>
                </c:pt>
                <c:pt idx="4">
                  <c:v>Nifty 500</c:v>
                </c:pt>
                <c:pt idx="5">
                  <c:v>Nifty Midcap 50</c:v>
                </c:pt>
                <c:pt idx="6">
                  <c:v>Nifty Midcap 100</c:v>
                </c:pt>
                <c:pt idx="7">
                  <c:v>Nifty Small 100</c:v>
                </c:pt>
                <c:pt idx="8">
                  <c:v>Nifty Bank</c:v>
                </c:pt>
                <c:pt idx="9">
                  <c:v> Nifty IT</c:v>
                </c:pt>
                <c:pt idx="10">
                  <c:v>Nifty FMCG</c:v>
                </c:pt>
                <c:pt idx="11">
                  <c:v>Nifty Pharma</c:v>
                </c:pt>
                <c:pt idx="12">
                  <c:v>Nifty PSU Bank</c:v>
                </c:pt>
                <c:pt idx="13">
                  <c:v>Nifty Media</c:v>
                </c:pt>
                <c:pt idx="14">
                  <c:v>Nifty MNC</c:v>
                </c:pt>
              </c:strCache>
            </c:strRef>
          </c:cat>
          <c:val>
            <c:numRef>
              <c:f>'F4&amp;F5 '!$E$5:$E$19</c:f>
              <c:numCache>
                <c:formatCode>0.0_ ;[Red]\-0.0\ </c:formatCode>
                <c:ptCount val="15"/>
                <c:pt idx="0">
                  <c:v>-1.2289791437980306</c:v>
                </c:pt>
                <c:pt idx="1">
                  <c:v>0.78324942262848418</c:v>
                </c:pt>
                <c:pt idx="2">
                  <c:v>-0.96424424041299872</c:v>
                </c:pt>
                <c:pt idx="3">
                  <c:v>-0.65647000874728101</c:v>
                </c:pt>
                <c:pt idx="4">
                  <c:v>-0.32330173227841585</c:v>
                </c:pt>
                <c:pt idx="5">
                  <c:v>0.63835063996809038</c:v>
                </c:pt>
                <c:pt idx="6">
                  <c:v>1.8006731544448742</c:v>
                </c:pt>
                <c:pt idx="7">
                  <c:v>4.1933579071681537</c:v>
                </c:pt>
                <c:pt idx="8">
                  <c:v>-9.6931719874465063</c:v>
                </c:pt>
                <c:pt idx="9">
                  <c:v>11.280701216196242</c:v>
                </c:pt>
                <c:pt idx="10">
                  <c:v>-2.4624817985857281</c:v>
                </c:pt>
                <c:pt idx="11">
                  <c:v>6.2550768064405595</c:v>
                </c:pt>
                <c:pt idx="12">
                  <c:v>-16.255285672140811</c:v>
                </c:pt>
                <c:pt idx="13">
                  <c:v>-1.5707472178060442</c:v>
                </c:pt>
                <c:pt idx="14">
                  <c:v>1.3262657014962176</c:v>
                </c:pt>
              </c:numCache>
            </c:numRef>
          </c:val>
          <c:extLst xmlns:c16r2="http://schemas.microsoft.com/office/drawing/2015/06/chart">
            <c:ext xmlns:c16="http://schemas.microsoft.com/office/drawing/2014/chart" uri="{C3380CC4-5D6E-409C-BE32-E72D297353CC}">
              <c16:uniqueId val="{00000000-66B1-4A2D-997C-9EDE5DDCEFD8}"/>
            </c:ext>
          </c:extLst>
        </c:ser>
        <c:dLbls>
          <c:showLegendKey val="0"/>
          <c:showVal val="0"/>
          <c:showCatName val="0"/>
          <c:showSerName val="0"/>
          <c:showPercent val="0"/>
          <c:showBubbleSize val="0"/>
        </c:dLbls>
        <c:gapWidth val="219"/>
        <c:axId val="803582312"/>
        <c:axId val="798509688"/>
      </c:barChart>
      <c:lineChart>
        <c:grouping val="standard"/>
        <c:varyColors val="0"/>
        <c:ser>
          <c:idx val="1"/>
          <c:order val="1"/>
          <c:tx>
            <c:strRef>
              <c:f>'F4&amp;F5 '!$F$4</c:f>
              <c:strCache>
                <c:ptCount val="1"/>
                <c:pt idx="0">
                  <c:v>Volatility</c:v>
                </c:pt>
              </c:strCache>
            </c:strRef>
          </c:tx>
          <c:spPr>
            <a:ln w="28575" cap="rnd">
              <a:solidFill>
                <a:srgbClr val="FF0000"/>
              </a:solidFill>
              <a:round/>
            </a:ln>
            <a:effectLst/>
          </c:spPr>
          <c:marker>
            <c:symbol val="none"/>
          </c:marker>
          <c:cat>
            <c:strRef>
              <c:f>'F4&amp;F5 '!$D$5:$D$19</c:f>
              <c:strCache>
                <c:ptCount val="15"/>
                <c:pt idx="0">
                  <c:v>Nifty 50</c:v>
                </c:pt>
                <c:pt idx="1">
                  <c:v>Nifty Next 50</c:v>
                </c:pt>
                <c:pt idx="2">
                  <c:v>Nifty 100</c:v>
                </c:pt>
                <c:pt idx="3">
                  <c:v>Nifty 200</c:v>
                </c:pt>
                <c:pt idx="4">
                  <c:v>Nifty 500</c:v>
                </c:pt>
                <c:pt idx="5">
                  <c:v>Nifty Midcap 50</c:v>
                </c:pt>
                <c:pt idx="6">
                  <c:v>Nifty Midcap 100</c:v>
                </c:pt>
                <c:pt idx="7">
                  <c:v>Nifty Small 100</c:v>
                </c:pt>
                <c:pt idx="8">
                  <c:v>Nifty Bank</c:v>
                </c:pt>
                <c:pt idx="9">
                  <c:v> Nifty IT</c:v>
                </c:pt>
                <c:pt idx="10">
                  <c:v>Nifty FMCG</c:v>
                </c:pt>
                <c:pt idx="11">
                  <c:v>Nifty Pharma</c:v>
                </c:pt>
                <c:pt idx="12">
                  <c:v>Nifty PSU Bank</c:v>
                </c:pt>
                <c:pt idx="13">
                  <c:v>Nifty Media</c:v>
                </c:pt>
                <c:pt idx="14">
                  <c:v>Nifty MNC</c:v>
                </c:pt>
              </c:strCache>
            </c:strRef>
          </c:cat>
          <c:val>
            <c:numRef>
              <c:f>'F4&amp;F5 '!$F$5:$F$19</c:f>
              <c:numCache>
                <c:formatCode>0.0_ ;[Red]\-0.0\ </c:formatCode>
                <c:ptCount val="15"/>
                <c:pt idx="0">
                  <c:v>1.1971649492943555</c:v>
                </c:pt>
                <c:pt idx="1">
                  <c:v>1.3858176905054997</c:v>
                </c:pt>
                <c:pt idx="2">
                  <c:v>1.2129252468143603</c:v>
                </c:pt>
                <c:pt idx="3">
                  <c:v>1.2434495834018815</c:v>
                </c:pt>
                <c:pt idx="4">
                  <c:v>1.2517972460238813</c:v>
                </c:pt>
                <c:pt idx="5">
                  <c:v>1.9276754195169263</c:v>
                </c:pt>
                <c:pt idx="6">
                  <c:v>1.6771382574232778</c:v>
                </c:pt>
                <c:pt idx="7">
                  <c:v>2.0197978805950654</c:v>
                </c:pt>
                <c:pt idx="8">
                  <c:v>1.6633931302611618</c:v>
                </c:pt>
                <c:pt idx="9">
                  <c:v>1.6914757094764581</c:v>
                </c:pt>
                <c:pt idx="10">
                  <c:v>1.1420130675648015</c:v>
                </c:pt>
                <c:pt idx="11">
                  <c:v>2.0391321233424771</c:v>
                </c:pt>
                <c:pt idx="12">
                  <c:v>1.9470199487415643</c:v>
                </c:pt>
                <c:pt idx="13">
                  <c:v>2.2853301732153155</c:v>
                </c:pt>
                <c:pt idx="14">
                  <c:v>1.2060790339566954</c:v>
                </c:pt>
              </c:numCache>
            </c:numRef>
          </c:val>
          <c:smooth val="0"/>
          <c:extLst xmlns:c16r2="http://schemas.microsoft.com/office/drawing/2015/06/chart">
            <c:ext xmlns:c16="http://schemas.microsoft.com/office/drawing/2014/chart" uri="{C3380CC4-5D6E-409C-BE32-E72D297353CC}">
              <c16:uniqueId val="{00000001-66B1-4A2D-997C-9EDE5DDCEFD8}"/>
            </c:ext>
          </c:extLst>
        </c:ser>
        <c:dLbls>
          <c:showLegendKey val="0"/>
          <c:showVal val="0"/>
          <c:showCatName val="0"/>
          <c:showSerName val="0"/>
          <c:showPercent val="0"/>
          <c:showBubbleSize val="0"/>
        </c:dLbls>
        <c:marker val="1"/>
        <c:smooth val="0"/>
        <c:axId val="633413576"/>
        <c:axId val="798508904"/>
      </c:lineChart>
      <c:catAx>
        <c:axId val="803582312"/>
        <c:scaling>
          <c:orientation val="minMax"/>
        </c:scaling>
        <c:delete val="0"/>
        <c:axPos val="b"/>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crossAx val="798509688"/>
        <c:crosses val="autoZero"/>
        <c:auto val="1"/>
        <c:lblAlgn val="ctr"/>
        <c:lblOffset val="100"/>
        <c:noMultiLvlLbl val="0"/>
      </c:catAx>
      <c:valAx>
        <c:axId val="798509688"/>
        <c:scaling>
          <c:orientation val="minMax"/>
        </c:scaling>
        <c:delete val="0"/>
        <c:axPos val="l"/>
        <c:title>
          <c:tx>
            <c:rich>
              <a:bodyPr rot="-540000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r>
                  <a:rPr lang="en-US">
                    <a:solidFill>
                      <a:sysClr val="windowText" lastClr="000000"/>
                    </a:solidFill>
                  </a:rPr>
                  <a:t>Return </a:t>
                </a:r>
              </a:p>
            </c:rich>
          </c:tx>
          <c:overlay val="0"/>
          <c:spPr>
            <a:noFill/>
            <a:ln>
              <a:noFill/>
            </a:ln>
            <a:effectLst/>
          </c:spPr>
          <c:txPr>
            <a:bodyPr rot="-540000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title>
        <c:numFmt formatCode="0.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crossAx val="803582312"/>
        <c:crosses val="autoZero"/>
        <c:crossBetween val="between"/>
      </c:valAx>
      <c:valAx>
        <c:axId val="798508904"/>
        <c:scaling>
          <c:orientation val="minMax"/>
          <c:min val="0.30000000000000004"/>
        </c:scaling>
        <c:delete val="0"/>
        <c:axPos val="r"/>
        <c:title>
          <c:tx>
            <c:rich>
              <a:bodyPr rot="5400000" spcFirstLastPara="1" vertOverflow="ellipsis"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r>
                  <a:rPr lang="en-US"/>
                  <a:t>Volatility</a:t>
                </a:r>
              </a:p>
            </c:rich>
          </c:tx>
          <c:layout>
            <c:manualLayout>
              <c:xMode val="edge"/>
              <c:yMode val="edge"/>
              <c:x val="0.95336865014342542"/>
              <c:y val="0.27286682374915566"/>
            </c:manualLayout>
          </c:layout>
          <c:overlay val="0"/>
          <c:spPr>
            <a:noFill/>
            <a:ln>
              <a:noFill/>
            </a:ln>
            <a:effectLst/>
          </c:spPr>
          <c:txPr>
            <a:bodyPr rot="5400000" spcFirstLastPara="1" vertOverflow="ellipsis"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title>
        <c:numFmt formatCode="0.0" sourceLinked="0"/>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crossAx val="633413576"/>
        <c:crosses val="max"/>
        <c:crossBetween val="between"/>
      </c:valAx>
      <c:catAx>
        <c:axId val="633413576"/>
        <c:scaling>
          <c:orientation val="minMax"/>
        </c:scaling>
        <c:delete val="1"/>
        <c:axPos val="b"/>
        <c:numFmt formatCode="General" sourceLinked="1"/>
        <c:majorTickMark val="out"/>
        <c:minorTickMark val="none"/>
        <c:tickLblPos val="nextTo"/>
        <c:crossAx val="798508904"/>
        <c:crosses val="autoZero"/>
        <c:auto val="1"/>
        <c:lblAlgn val="ctr"/>
        <c:lblOffset val="100"/>
        <c:noMultiLvlLbl val="0"/>
      </c:catAx>
      <c:spPr>
        <a:noFill/>
        <a:ln w="25400">
          <a:noFill/>
        </a:ln>
        <a:effectLst/>
      </c:spPr>
    </c:plotArea>
    <c:legend>
      <c:legendPos val="b"/>
      <c:layout>
        <c:manualLayout>
          <c:xMode val="edge"/>
          <c:yMode val="edge"/>
          <c:x val="0.33200880828044604"/>
          <c:y val="0.90591875400747135"/>
          <c:w val="0.32390682414698163"/>
          <c:h val="9.036847666768931E-2"/>
        </c:manualLayout>
      </c:layout>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lt1"/>
    </a:solidFill>
    <a:ln w="9525" cap="flat" cmpd="sng" algn="ctr">
      <a:solidFill>
        <a:schemeClr val="bg1">
          <a:lumMod val="50000"/>
        </a:schemeClr>
      </a:solidFill>
      <a:prstDash val="solid"/>
      <a:round/>
    </a:ln>
    <a:effectLst/>
  </c:spPr>
  <c:txPr>
    <a:bodyPr/>
    <a:lstStyle/>
    <a:p>
      <a:pPr>
        <a:defRPr sz="900">
          <a:solidFill>
            <a:sysClr val="windowText" lastClr="000000"/>
          </a:solidFill>
          <a:latin typeface="Palatino Linotype" panose="02040502050505030304" pitchFamily="18" charset="0"/>
          <a:ea typeface="+mn-ea"/>
          <a:cs typeface="+mn-cs"/>
        </a:defRPr>
      </a:pPr>
      <a:endParaRPr lang="en-US"/>
    </a:p>
  </c:txPr>
  <c:externalData r:id="rId4">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3899694970561113"/>
          <c:y val="5.0925925925925923E-2"/>
          <c:w val="0.83577782506916365"/>
          <c:h val="0.82032315727975869"/>
        </c:manualLayout>
      </c:layout>
      <c:barChart>
        <c:barDir val="bar"/>
        <c:grouping val="clustered"/>
        <c:varyColors val="1"/>
        <c:ser>
          <c:idx val="0"/>
          <c:order val="0"/>
          <c:tx>
            <c:strRef>
              <c:f>'F6'!$G$25</c:f>
              <c:strCache>
                <c:ptCount val="1"/>
                <c:pt idx="0">
                  <c:v>Apr-20</c:v>
                </c:pt>
              </c:strCache>
            </c:strRef>
          </c:tx>
          <c:spPr>
            <a:solidFill>
              <a:srgbClr val="FF0000"/>
            </a:solidFill>
          </c:spPr>
          <c:invertIfNegative val="1"/>
          <c:dLbls>
            <c:spPr>
              <a:noFill/>
              <a:ln>
                <a:noFill/>
              </a:ln>
              <a:effectLst/>
            </c:sp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ext>
            </c:extLst>
          </c:dLbls>
          <c:cat>
            <c:strRef>
              <c:f>'F6'!$H$22:$J$22</c:f>
              <c:strCache>
                <c:ptCount val="3"/>
                <c:pt idx="0">
                  <c:v>Weekly</c:v>
                </c:pt>
                <c:pt idx="1">
                  <c:v>1 Month</c:v>
                </c:pt>
                <c:pt idx="2">
                  <c:v>&gt; 1 Month</c:v>
                </c:pt>
              </c:strCache>
            </c:strRef>
          </c:cat>
          <c:val>
            <c:numRef>
              <c:f>'F6'!$H$25:$J$25</c:f>
              <c:numCache>
                <c:formatCode>0.0%</c:formatCode>
                <c:ptCount val="3"/>
                <c:pt idx="0">
                  <c:v>0.68170751122271411</c:v>
                </c:pt>
                <c:pt idx="1">
                  <c:v>0.31003177992745701</c:v>
                </c:pt>
                <c:pt idx="2">
                  <c:v>8.2607088498288118E-3</c:v>
                </c:pt>
              </c:numCache>
            </c:numRef>
          </c:val>
          <c:extLst xmlns:c16r2="http://schemas.microsoft.com/office/drawing/2015/06/chart">
            <c:ext xmlns:c16="http://schemas.microsoft.com/office/drawing/2014/chart" uri="{C3380CC4-5D6E-409C-BE32-E72D297353CC}">
              <c16:uniqueId val="{00000000-DD96-4EA8-9CFB-914367FDCD68}"/>
            </c:ext>
            <c:ext xmlns:c14="http://schemas.microsoft.com/office/drawing/2007/8/2/chart" uri="{6F2FDCE9-48DA-4B69-8628-5D25D57E5C99}">
              <c14:invertSolidFillFmt>
                <c14:spPr xmlns:c14="http://schemas.microsoft.com/office/drawing/2007/8/2/chart">
                  <a:solidFill>
                    <a:srgbClr val="FFFFFF"/>
                  </a:solidFill>
                </c14:spPr>
              </c14:invertSolidFillFmt>
            </c:ext>
          </c:extLst>
        </c:ser>
        <c:ser>
          <c:idx val="1"/>
          <c:order val="1"/>
          <c:tx>
            <c:strRef>
              <c:f>'F6'!$G$26</c:f>
              <c:strCache>
                <c:ptCount val="1"/>
                <c:pt idx="0">
                  <c:v>May-20</c:v>
                </c:pt>
              </c:strCache>
            </c:strRef>
          </c:tx>
          <c:spPr>
            <a:solidFill>
              <a:srgbClr val="00B050"/>
            </a:solidFill>
          </c:spPr>
          <c:invertIfNegative val="1"/>
          <c:dLbls>
            <c:spPr>
              <a:noFill/>
              <a:ln>
                <a:noFill/>
              </a:ln>
              <a:effectLst/>
            </c:sp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ext>
            </c:extLst>
          </c:dLbls>
          <c:cat>
            <c:strRef>
              <c:f>'F6'!$H$22:$J$22</c:f>
              <c:strCache>
                <c:ptCount val="3"/>
                <c:pt idx="0">
                  <c:v>Weekly</c:v>
                </c:pt>
                <c:pt idx="1">
                  <c:v>1 Month</c:v>
                </c:pt>
                <c:pt idx="2">
                  <c:v>&gt; 1 Month</c:v>
                </c:pt>
              </c:strCache>
            </c:strRef>
          </c:cat>
          <c:val>
            <c:numRef>
              <c:f>'F6'!$H$26:$J$26</c:f>
              <c:numCache>
                <c:formatCode>0.0%</c:formatCode>
                <c:ptCount val="3"/>
                <c:pt idx="0">
                  <c:v>0.70791143061273143</c:v>
                </c:pt>
                <c:pt idx="1">
                  <c:v>0.2842029978974609</c:v>
                </c:pt>
                <c:pt idx="2">
                  <c:v>7.8855714898076659E-3</c:v>
                </c:pt>
              </c:numCache>
            </c:numRef>
          </c:val>
          <c:extLst xmlns:c16r2="http://schemas.microsoft.com/office/drawing/2015/06/chart">
            <c:ext xmlns:c16="http://schemas.microsoft.com/office/drawing/2014/chart" uri="{C3380CC4-5D6E-409C-BE32-E72D297353CC}">
              <c16:uniqueId val="{00000001-DD96-4EA8-9CFB-914367FDCD68}"/>
            </c:ext>
            <c:ext xmlns:c14="http://schemas.microsoft.com/office/drawing/2007/8/2/chart" uri="{6F2FDCE9-48DA-4B69-8628-5D25D57E5C99}">
              <c14:invertSolidFillFmt>
                <c14:spPr xmlns:c14="http://schemas.microsoft.com/office/drawing/2007/8/2/chart">
                  <a:solidFill>
                    <a:srgbClr val="FFFFFF"/>
                  </a:solidFill>
                </c14:spPr>
              </c14:invertSolidFillFmt>
            </c:ext>
          </c:extLst>
        </c:ser>
        <c:ser>
          <c:idx val="2"/>
          <c:order val="2"/>
          <c:tx>
            <c:strRef>
              <c:f>'F6'!$G$27</c:f>
              <c:strCache>
                <c:ptCount val="1"/>
                <c:pt idx="0">
                  <c:v>Jun-20</c:v>
                </c:pt>
              </c:strCache>
            </c:strRef>
          </c:tx>
          <c:invertIfNegative val="0"/>
          <c:dLbls>
            <c:spPr>
              <a:noFill/>
              <a:ln>
                <a:noFill/>
              </a:ln>
              <a:effectLst/>
            </c:sp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ext>
            </c:extLst>
          </c:dLbls>
          <c:cat>
            <c:strRef>
              <c:f>'F6'!$H$22:$J$22</c:f>
              <c:strCache>
                <c:ptCount val="3"/>
                <c:pt idx="0">
                  <c:v>Weekly</c:v>
                </c:pt>
                <c:pt idx="1">
                  <c:v>1 Month</c:v>
                </c:pt>
                <c:pt idx="2">
                  <c:v>&gt; 1 Month</c:v>
                </c:pt>
              </c:strCache>
            </c:strRef>
          </c:cat>
          <c:val>
            <c:numRef>
              <c:f>'F6'!$H$27:$J$27</c:f>
              <c:numCache>
                <c:formatCode>0.0%</c:formatCode>
                <c:ptCount val="3"/>
                <c:pt idx="0">
                  <c:v>0.68514872675169414</c:v>
                </c:pt>
                <c:pt idx="1">
                  <c:v>0.30706093786169325</c:v>
                </c:pt>
                <c:pt idx="2">
                  <c:v>7.7903353866125066E-3</c:v>
                </c:pt>
              </c:numCache>
            </c:numRef>
          </c:val>
          <c:extLst xmlns:c16r2="http://schemas.microsoft.com/office/drawing/2015/06/chart">
            <c:ext xmlns:c16="http://schemas.microsoft.com/office/drawing/2014/chart" uri="{C3380CC4-5D6E-409C-BE32-E72D297353CC}">
              <c16:uniqueId val="{00000002-DD96-4EA8-9CFB-914367FDCD68}"/>
            </c:ext>
          </c:extLst>
        </c:ser>
        <c:ser>
          <c:idx val="3"/>
          <c:order val="3"/>
          <c:tx>
            <c:strRef>
              <c:f>'F6'!$G$28</c:f>
              <c:strCache>
                <c:ptCount val="1"/>
                <c:pt idx="0">
                  <c:v>Jul-20</c:v>
                </c:pt>
              </c:strCache>
            </c:strRef>
          </c:tx>
          <c:invertIfNegative val="0"/>
          <c:dLbls>
            <c:spPr>
              <a:noFill/>
              <a:ln>
                <a:noFill/>
              </a:ln>
              <a:effectLst/>
            </c:sp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ext>
            </c:extLst>
          </c:dLbls>
          <c:cat>
            <c:strRef>
              <c:f>'F6'!$H$22:$J$22</c:f>
              <c:strCache>
                <c:ptCount val="3"/>
                <c:pt idx="0">
                  <c:v>Weekly</c:v>
                </c:pt>
                <c:pt idx="1">
                  <c:v>1 Month</c:v>
                </c:pt>
                <c:pt idx="2">
                  <c:v>&gt; 1 Month</c:v>
                </c:pt>
              </c:strCache>
            </c:strRef>
          </c:cat>
          <c:val>
            <c:numRef>
              <c:f>'F6'!$H$28:$J$28</c:f>
              <c:numCache>
                <c:formatCode>0.0%</c:formatCode>
                <c:ptCount val="3"/>
                <c:pt idx="0">
                  <c:v>0.72947482128821906</c:v>
                </c:pt>
                <c:pt idx="1">
                  <c:v>0.26307076232624588</c:v>
                </c:pt>
                <c:pt idx="2">
                  <c:v>7.4544163855349756E-3</c:v>
                </c:pt>
              </c:numCache>
            </c:numRef>
          </c:val>
          <c:extLst xmlns:c16r2="http://schemas.microsoft.com/office/drawing/2015/06/chart">
            <c:ext xmlns:c16="http://schemas.microsoft.com/office/drawing/2014/chart" uri="{C3380CC4-5D6E-409C-BE32-E72D297353CC}">
              <c16:uniqueId val="{00000003-DD96-4EA8-9CFB-914367FDCD68}"/>
            </c:ext>
          </c:extLst>
        </c:ser>
        <c:ser>
          <c:idx val="4"/>
          <c:order val="4"/>
          <c:tx>
            <c:strRef>
              <c:f>'F6'!$G$29</c:f>
              <c:strCache>
                <c:ptCount val="1"/>
                <c:pt idx="0">
                  <c:v>Aug-20</c:v>
                </c:pt>
              </c:strCache>
            </c:strRef>
          </c:tx>
          <c:invertIfNegative val="0"/>
          <c:dLbls>
            <c:spPr>
              <a:noFill/>
              <a:ln>
                <a:noFill/>
              </a:ln>
              <a:effectLst/>
            </c:sp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ext>
            </c:extLst>
          </c:dLbls>
          <c:cat>
            <c:strRef>
              <c:f>'F6'!$H$22:$J$22</c:f>
              <c:strCache>
                <c:ptCount val="3"/>
                <c:pt idx="0">
                  <c:v>Weekly</c:v>
                </c:pt>
                <c:pt idx="1">
                  <c:v>1 Month</c:v>
                </c:pt>
                <c:pt idx="2">
                  <c:v>&gt; 1 Month</c:v>
                </c:pt>
              </c:strCache>
            </c:strRef>
          </c:cat>
          <c:val>
            <c:numRef>
              <c:f>'F6'!$H$29:$J$29</c:f>
              <c:numCache>
                <c:formatCode>0.0%</c:formatCode>
                <c:ptCount val="3"/>
                <c:pt idx="0">
                  <c:v>0.73442156433141415</c:v>
                </c:pt>
                <c:pt idx="1">
                  <c:v>0.25810189065830375</c:v>
                </c:pt>
                <c:pt idx="2">
                  <c:v>7.4765450102821582E-3</c:v>
                </c:pt>
              </c:numCache>
            </c:numRef>
          </c:val>
          <c:extLst xmlns:c16r2="http://schemas.microsoft.com/office/drawing/2015/06/chart">
            <c:ext xmlns:c16="http://schemas.microsoft.com/office/drawing/2014/chart" uri="{C3380CC4-5D6E-409C-BE32-E72D297353CC}">
              <c16:uniqueId val="{00000004-DD96-4EA8-9CFB-914367FDCD68}"/>
            </c:ext>
          </c:extLst>
        </c:ser>
        <c:ser>
          <c:idx val="5"/>
          <c:order val="5"/>
          <c:tx>
            <c:strRef>
              <c:f>'F6'!$G$30</c:f>
              <c:strCache>
                <c:ptCount val="1"/>
                <c:pt idx="0">
                  <c:v>Sep-20</c:v>
                </c:pt>
              </c:strCache>
            </c:strRef>
          </c:tx>
          <c:invertIfNegative val="0"/>
          <c:dLbls>
            <c:spPr>
              <a:noFill/>
              <a:ln>
                <a:noFill/>
              </a:ln>
              <a:effectLst/>
            </c:sp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ext>
            </c:extLst>
          </c:dLbls>
          <c:cat>
            <c:strRef>
              <c:f>'F6'!$H$22:$J$22</c:f>
              <c:strCache>
                <c:ptCount val="3"/>
                <c:pt idx="0">
                  <c:v>Weekly</c:v>
                </c:pt>
                <c:pt idx="1">
                  <c:v>1 Month</c:v>
                </c:pt>
                <c:pt idx="2">
                  <c:v>&gt; 1 Month</c:v>
                </c:pt>
              </c:strCache>
            </c:strRef>
          </c:cat>
          <c:val>
            <c:numRef>
              <c:f>'F6'!$H$30:$J$30</c:f>
              <c:numCache>
                <c:formatCode>0.0%</c:formatCode>
                <c:ptCount val="3"/>
                <c:pt idx="0">
                  <c:v>0.72598987145966887</c:v>
                </c:pt>
                <c:pt idx="1">
                  <c:v>0.26670947590780114</c:v>
                </c:pt>
                <c:pt idx="2">
                  <c:v>7.3006526325299975E-3</c:v>
                </c:pt>
              </c:numCache>
            </c:numRef>
          </c:val>
          <c:extLst xmlns:c16r2="http://schemas.microsoft.com/office/drawing/2015/06/chart">
            <c:ext xmlns:c16="http://schemas.microsoft.com/office/drawing/2014/chart" uri="{C3380CC4-5D6E-409C-BE32-E72D297353CC}">
              <c16:uniqueId val="{00000005-DD96-4EA8-9CFB-914367FDCD68}"/>
            </c:ext>
          </c:extLst>
        </c:ser>
        <c:dLbls>
          <c:dLblPos val="outEnd"/>
          <c:showLegendKey val="0"/>
          <c:showVal val="1"/>
          <c:showCatName val="0"/>
          <c:showSerName val="0"/>
          <c:showPercent val="0"/>
          <c:showBubbleSize val="0"/>
        </c:dLbls>
        <c:gapWidth val="128"/>
        <c:overlap val="-50"/>
        <c:axId val="813067856"/>
        <c:axId val="813056096"/>
      </c:barChart>
      <c:catAx>
        <c:axId val="813067856"/>
        <c:scaling>
          <c:orientation val="maxMin"/>
        </c:scaling>
        <c:delete val="0"/>
        <c:axPos val="l"/>
        <c:title>
          <c:tx>
            <c:rich>
              <a:bodyPr/>
              <a:lstStyle/>
              <a:p>
                <a:pPr>
                  <a:defRPr/>
                </a:pPr>
                <a:endParaRPr lang="en-US"/>
              </a:p>
            </c:rich>
          </c:tx>
          <c:overlay val="0"/>
        </c:title>
        <c:numFmt formatCode="General" sourceLinked="1"/>
        <c:majorTickMark val="cross"/>
        <c:minorTickMark val="cross"/>
        <c:tickLblPos val="nextTo"/>
        <c:crossAx val="813056096"/>
        <c:crosses val="autoZero"/>
        <c:auto val="1"/>
        <c:lblAlgn val="ctr"/>
        <c:lblOffset val="100"/>
        <c:noMultiLvlLbl val="1"/>
      </c:catAx>
      <c:valAx>
        <c:axId val="813056096"/>
        <c:scaling>
          <c:orientation val="minMax"/>
        </c:scaling>
        <c:delete val="1"/>
        <c:axPos val="b"/>
        <c:minorGridlines>
          <c:spPr>
            <a:ln>
              <a:solidFill>
                <a:srgbClr val="CCCCCC">
                  <a:alpha val="0"/>
                </a:srgbClr>
              </a:solidFill>
            </a:ln>
          </c:spPr>
        </c:minorGridlines>
        <c:title>
          <c:tx>
            <c:rich>
              <a:bodyPr/>
              <a:lstStyle/>
              <a:p>
                <a:pPr>
                  <a:defRPr/>
                </a:pPr>
                <a:endParaRPr lang="en-US"/>
              </a:p>
            </c:rich>
          </c:tx>
          <c:overlay val="0"/>
        </c:title>
        <c:numFmt formatCode="0.0%" sourceLinked="1"/>
        <c:majorTickMark val="cross"/>
        <c:minorTickMark val="cross"/>
        <c:tickLblPos val="nextTo"/>
        <c:crossAx val="813067856"/>
        <c:crosses val="max"/>
        <c:crossBetween val="between"/>
      </c:valAx>
    </c:plotArea>
    <c:legend>
      <c:legendPos val="b"/>
      <c:overlay val="0"/>
    </c:legend>
    <c:plotVisOnly val="1"/>
    <c:dispBlanksAs val="zero"/>
    <c:showDLblsOverMax val="1"/>
  </c:chart>
  <c:spPr>
    <a:solidFill>
      <a:schemeClr val="lt1"/>
    </a:solidFill>
    <a:ln w="9525" cap="flat" cmpd="sng" algn="ctr">
      <a:solidFill>
        <a:schemeClr val="bg1">
          <a:lumMod val="50000"/>
        </a:schemeClr>
      </a:solidFill>
      <a:prstDash val="solid"/>
    </a:ln>
    <a:effectLst/>
  </c:spPr>
  <c:txPr>
    <a:bodyPr/>
    <a:lstStyle/>
    <a:p>
      <a:pPr>
        <a:defRPr sz="900">
          <a:solidFill>
            <a:schemeClr val="dk1"/>
          </a:solidFill>
          <a:latin typeface="Palatino Linotype" panose="02040502050505030304" pitchFamily="18" charset="0"/>
          <a:ea typeface="+mn-ea"/>
          <a:cs typeface="+mn-cs"/>
        </a:defRPr>
      </a:pPr>
      <a:endParaRPr lang="en-US"/>
    </a:p>
  </c:txPr>
  <c:externalData r:id="rId2">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0338601031514418"/>
          <c:y val="8.7008923884514436E-2"/>
          <c:w val="0.77862415799423679"/>
          <c:h val="0.57727615918875674"/>
        </c:manualLayout>
      </c:layout>
      <c:barChart>
        <c:barDir val="col"/>
        <c:grouping val="clustered"/>
        <c:varyColors val="1"/>
        <c:ser>
          <c:idx val="0"/>
          <c:order val="0"/>
          <c:tx>
            <c:strRef>
              <c:f>'F7'!$D$2</c:f>
              <c:strCache>
                <c:ptCount val="1"/>
                <c:pt idx="0">
                  <c:v>Average Daily Turnover (LHS)</c:v>
                </c:pt>
              </c:strCache>
            </c:strRef>
          </c:tx>
          <c:spPr>
            <a:solidFill>
              <a:srgbClr val="FF0000"/>
            </a:solidFill>
          </c:spPr>
          <c:invertIfNegative val="1"/>
          <c:cat>
            <c:numRef>
              <c:f>'F7'!$A$9:$A$20</c:f>
              <c:numCache>
                <c:formatCode>[$-409]mmm\-yy</c:formatCode>
                <c:ptCount val="12"/>
                <c:pt idx="0">
                  <c:v>43748</c:v>
                </c:pt>
                <c:pt idx="1">
                  <c:v>43779</c:v>
                </c:pt>
                <c:pt idx="2">
                  <c:v>43809</c:v>
                </c:pt>
                <c:pt idx="3">
                  <c:v>43840</c:v>
                </c:pt>
                <c:pt idx="4">
                  <c:v>43871</c:v>
                </c:pt>
                <c:pt idx="5">
                  <c:v>43900</c:v>
                </c:pt>
                <c:pt idx="6">
                  <c:v>43931</c:v>
                </c:pt>
                <c:pt idx="7">
                  <c:v>43961</c:v>
                </c:pt>
                <c:pt idx="8">
                  <c:v>43992</c:v>
                </c:pt>
                <c:pt idx="9">
                  <c:v>44022</c:v>
                </c:pt>
                <c:pt idx="10">
                  <c:v>44053</c:v>
                </c:pt>
                <c:pt idx="11">
                  <c:v>44084</c:v>
                </c:pt>
              </c:numCache>
            </c:numRef>
          </c:cat>
          <c:val>
            <c:numRef>
              <c:f>'F7'!$D$9:$D$26</c:f>
              <c:numCache>
                <c:formatCode>[&gt;=10000000]#.##\,##\,##0;[&gt;=100000]#.##\,##0;##,##0</c:formatCode>
                <c:ptCount val="18"/>
                <c:pt idx="0">
                  <c:v>14.717048144999998</c:v>
                </c:pt>
                <c:pt idx="1">
                  <c:v>13.565441298855855</c:v>
                </c:pt>
                <c:pt idx="2">
                  <c:v>13.742043780750786</c:v>
                </c:pt>
                <c:pt idx="3">
                  <c:v>16.752434265217392</c:v>
                </c:pt>
                <c:pt idx="4">
                  <c:v>17.414393000650001</c:v>
                </c:pt>
                <c:pt idx="5">
                  <c:v>11.7840466028698</c:v>
                </c:pt>
                <c:pt idx="6">
                  <c:v>11.4907658</c:v>
                </c:pt>
                <c:pt idx="7">
                  <c:v>13.0694374</c:v>
                </c:pt>
                <c:pt idx="8">
                  <c:v>16.686263799999999</c:v>
                </c:pt>
                <c:pt idx="9">
                  <c:v>19.102481950051249</c:v>
                </c:pt>
                <c:pt idx="10">
                  <c:v>18.775890234865429</c:v>
                </c:pt>
                <c:pt idx="11">
                  <c:v>21.570235625705259</c:v>
                </c:pt>
                <c:pt idx="12">
                  <c:v>0</c:v>
                </c:pt>
                <c:pt idx="13">
                  <c:v>0</c:v>
                </c:pt>
                <c:pt idx="14">
                  <c:v>0</c:v>
                </c:pt>
                <c:pt idx="15">
                  <c:v>0</c:v>
                </c:pt>
                <c:pt idx="16">
                  <c:v>0</c:v>
                </c:pt>
                <c:pt idx="17">
                  <c:v>0</c:v>
                </c:pt>
              </c:numCache>
            </c:numRef>
          </c:val>
          <c:extLst xmlns:c16r2="http://schemas.microsoft.com/office/drawing/2015/06/chart">
            <c:ext xmlns:c16="http://schemas.microsoft.com/office/drawing/2014/chart" uri="{C3380CC4-5D6E-409C-BE32-E72D297353CC}">
              <c16:uniqueId val="{00000000-AF50-4443-88FE-1D5317F27E14}"/>
            </c:ext>
            <c:ext xmlns:c14="http://schemas.microsoft.com/office/drawing/2007/8/2/chart" uri="{6F2FDCE9-48DA-4B69-8628-5D25D57E5C99}">
              <c14:invertSolidFillFmt>
                <c14:spPr xmlns:c14="http://schemas.microsoft.com/office/drawing/2007/8/2/chart">
                  <a:solidFill>
                    <a:srgbClr val="FFFFFF"/>
                  </a:solidFill>
                </c14:spPr>
              </c14:invertSolidFillFmt>
            </c:ext>
          </c:extLst>
        </c:ser>
        <c:dLbls>
          <c:showLegendKey val="0"/>
          <c:showVal val="0"/>
          <c:showCatName val="0"/>
          <c:showSerName val="0"/>
          <c:showPercent val="0"/>
          <c:showBubbleSize val="0"/>
        </c:dLbls>
        <c:gapWidth val="150"/>
        <c:axId val="813056488"/>
        <c:axId val="813067464"/>
      </c:barChart>
      <c:lineChart>
        <c:grouping val="standard"/>
        <c:varyColors val="0"/>
        <c:ser>
          <c:idx val="1"/>
          <c:order val="1"/>
          <c:tx>
            <c:strRef>
              <c:f>'F7'!$E$2</c:f>
              <c:strCache>
                <c:ptCount val="1"/>
                <c:pt idx="0">
                  <c:v>Monthly Turnover (RHS)</c:v>
                </c:pt>
              </c:strCache>
            </c:strRef>
          </c:tx>
          <c:spPr>
            <a:ln w="19050" cmpd="sng">
              <a:solidFill>
                <a:srgbClr val="00B050"/>
              </a:solidFill>
              <a:prstDash val="solid"/>
            </a:ln>
          </c:spPr>
          <c:marker>
            <c:symbol val="circle"/>
            <c:size val="5"/>
            <c:spPr>
              <a:solidFill>
                <a:srgbClr val="00B050"/>
              </a:solidFill>
              <a:ln cmpd="sng">
                <a:solidFill>
                  <a:srgbClr val="00B050"/>
                </a:solidFill>
              </a:ln>
            </c:spPr>
          </c:marker>
          <c:cat>
            <c:numRef>
              <c:f>'F7'!$A$9:$A$20</c:f>
              <c:numCache>
                <c:formatCode>[$-409]mmm\-yy</c:formatCode>
                <c:ptCount val="12"/>
                <c:pt idx="0">
                  <c:v>43748</c:v>
                </c:pt>
                <c:pt idx="1">
                  <c:v>43779</c:v>
                </c:pt>
                <c:pt idx="2">
                  <c:v>43809</c:v>
                </c:pt>
                <c:pt idx="3">
                  <c:v>43840</c:v>
                </c:pt>
                <c:pt idx="4">
                  <c:v>43871</c:v>
                </c:pt>
                <c:pt idx="5">
                  <c:v>43900</c:v>
                </c:pt>
                <c:pt idx="6">
                  <c:v>43931</c:v>
                </c:pt>
                <c:pt idx="7">
                  <c:v>43961</c:v>
                </c:pt>
                <c:pt idx="8">
                  <c:v>43992</c:v>
                </c:pt>
                <c:pt idx="9">
                  <c:v>44022</c:v>
                </c:pt>
                <c:pt idx="10">
                  <c:v>44053</c:v>
                </c:pt>
                <c:pt idx="11">
                  <c:v>44084</c:v>
                </c:pt>
              </c:numCache>
            </c:numRef>
          </c:cat>
          <c:val>
            <c:numRef>
              <c:f>'F7'!$E$9:$E$26</c:f>
              <c:numCache>
                <c:formatCode>[&gt;=10000000]#\,##\,##\,##0;[&gt;=100000]#\,##\,##0;##,##0</c:formatCode>
                <c:ptCount val="18"/>
                <c:pt idx="0">
                  <c:v>294.34096289999997</c:v>
                </c:pt>
                <c:pt idx="1">
                  <c:v>271.30882597711707</c:v>
                </c:pt>
                <c:pt idx="2">
                  <c:v>288.58291939576651</c:v>
                </c:pt>
                <c:pt idx="3">
                  <c:v>385.30598810000004</c:v>
                </c:pt>
                <c:pt idx="4">
                  <c:v>348.287860013</c:v>
                </c:pt>
                <c:pt idx="5">
                  <c:v>247.46497866026593</c:v>
                </c:pt>
                <c:pt idx="6">
                  <c:v>206.83378434861089</c:v>
                </c:pt>
                <c:pt idx="7">
                  <c:v>248.31931028491897</c:v>
                </c:pt>
                <c:pt idx="8" formatCode="[&gt;=10000000]#.##\,##\,##0;[&gt;=100000]#.##\,##0;##,##0">
                  <c:v>367.09780340361169</c:v>
                </c:pt>
                <c:pt idx="9" formatCode="[&gt;=10000000]#.##\,##\,##0;[&gt;=100000]#.##\,##0;##,##0">
                  <c:v>439.35708485117874</c:v>
                </c:pt>
                <c:pt idx="10" formatCode="[&gt;=10000000]#.##\,##\,##0;[&gt;=100000]#.##\,##0;##,##0">
                  <c:v>394.29369493217399</c:v>
                </c:pt>
                <c:pt idx="11" formatCode="[&gt;=10000000]#.##\,##\,##0;[&gt;=100000]#.##\,##0;##,##0">
                  <c:v>474.54518376551567</c:v>
                </c:pt>
                <c:pt idx="12" formatCode="[&gt;=10000000]#.##\,##\,##0;[&gt;=100000]#.##\,##0;##,##0">
                  <c:v>0</c:v>
                </c:pt>
                <c:pt idx="13" formatCode="[&gt;=10000000]#.##\,##\,##0;[&gt;=100000]#.##\,##0;##,##0">
                  <c:v>0</c:v>
                </c:pt>
                <c:pt idx="14" formatCode="[&gt;=10000000]#.##\,##\,##0;[&gt;=100000]#.##\,##0;##,##0">
                  <c:v>0</c:v>
                </c:pt>
                <c:pt idx="15" formatCode="[&gt;=10000000]#.##\,##\,##0;[&gt;=100000]#.##\,##0;##,##0">
                  <c:v>0</c:v>
                </c:pt>
                <c:pt idx="16" formatCode="[&gt;=10000000]#.##\,##\,##0;[&gt;=100000]#.##\,##0;##,##0">
                  <c:v>0</c:v>
                </c:pt>
                <c:pt idx="17" formatCode="[&gt;=10000000]#.##\,##\,##0;[&gt;=100000]#.##\,##0;##,##0">
                  <c:v>0</c:v>
                </c:pt>
              </c:numCache>
            </c:numRef>
          </c:val>
          <c:smooth val="0"/>
          <c:extLst xmlns:c16r2="http://schemas.microsoft.com/office/drawing/2015/06/chart">
            <c:ext xmlns:c16="http://schemas.microsoft.com/office/drawing/2014/chart" uri="{C3380CC4-5D6E-409C-BE32-E72D297353CC}">
              <c16:uniqueId val="{00000001-AF50-4443-88FE-1D5317F27E14}"/>
            </c:ext>
          </c:extLst>
        </c:ser>
        <c:dLbls>
          <c:showLegendKey val="0"/>
          <c:showVal val="0"/>
          <c:showCatName val="0"/>
          <c:showSerName val="0"/>
          <c:showPercent val="0"/>
          <c:showBubbleSize val="0"/>
        </c:dLbls>
        <c:marker val="1"/>
        <c:smooth val="0"/>
        <c:axId val="813067072"/>
        <c:axId val="813057272"/>
      </c:lineChart>
      <c:dateAx>
        <c:axId val="813056488"/>
        <c:scaling>
          <c:orientation val="minMax"/>
        </c:scaling>
        <c:delete val="0"/>
        <c:axPos val="b"/>
        <c:title>
          <c:tx>
            <c:rich>
              <a:bodyPr/>
              <a:lstStyle/>
              <a:p>
                <a:pPr>
                  <a:defRPr/>
                </a:pPr>
                <a:endParaRPr lang="en-IN"/>
              </a:p>
            </c:rich>
          </c:tx>
          <c:overlay val="0"/>
        </c:title>
        <c:numFmt formatCode="[$-409]mmm\-yy" sourceLinked="1"/>
        <c:majorTickMark val="cross"/>
        <c:minorTickMark val="cross"/>
        <c:tickLblPos val="nextTo"/>
        <c:txPr>
          <a:bodyPr rot="-5400000"/>
          <a:lstStyle/>
          <a:p>
            <a:pPr>
              <a:defRPr/>
            </a:pPr>
            <a:endParaRPr lang="en-US"/>
          </a:p>
        </c:txPr>
        <c:crossAx val="813067464"/>
        <c:crosses val="autoZero"/>
        <c:auto val="1"/>
        <c:lblOffset val="100"/>
        <c:baseTimeUnit val="months"/>
      </c:dateAx>
      <c:valAx>
        <c:axId val="813067464"/>
        <c:scaling>
          <c:orientation val="minMax"/>
          <c:min val="10"/>
        </c:scaling>
        <c:delete val="0"/>
        <c:axPos val="l"/>
        <c:majorGridlines>
          <c:spPr>
            <a:ln>
              <a:solidFill>
                <a:srgbClr val="FFFFFF"/>
              </a:solidFill>
            </a:ln>
          </c:spPr>
        </c:majorGridlines>
        <c:minorGridlines>
          <c:spPr>
            <a:ln>
              <a:solidFill>
                <a:srgbClr val="CCCCCC">
                  <a:alpha val="0"/>
                </a:srgbClr>
              </a:solidFill>
            </a:ln>
          </c:spPr>
        </c:minorGridlines>
        <c:title>
          <c:tx>
            <c:rich>
              <a:bodyPr/>
              <a:lstStyle/>
              <a:p>
                <a:pPr>
                  <a:defRPr b="0"/>
                </a:pPr>
                <a:r>
                  <a:rPr lang="en-US" sz="900" b="0" i="0" baseline="0">
                    <a:effectLst/>
                  </a:rPr>
                  <a:t> </a:t>
                </a:r>
                <a:r>
                  <a:rPr lang="en-GB" sz="900" b="0" i="0" baseline="0">
                    <a:effectLst/>
                  </a:rPr>
                  <a:t>₹ </a:t>
                </a:r>
                <a:r>
                  <a:rPr lang="en-US" sz="900" b="0" i="0" baseline="0">
                    <a:effectLst/>
                  </a:rPr>
                  <a:t>Lakh Crore</a:t>
                </a:r>
                <a:endParaRPr lang="en-IN" sz="900" b="0">
                  <a:effectLst/>
                </a:endParaRPr>
              </a:p>
            </c:rich>
          </c:tx>
          <c:layout>
            <c:manualLayout>
              <c:xMode val="edge"/>
              <c:yMode val="edge"/>
              <c:x val="1.045463722629077E-2"/>
              <c:y val="0.32930621847257135"/>
            </c:manualLayout>
          </c:layout>
          <c:overlay val="0"/>
        </c:title>
        <c:numFmt formatCode="[&gt;=10000000]#.##\,##\,##0;[&gt;=100000]#.##\,##0;##,##0" sourceLinked="1"/>
        <c:majorTickMark val="cross"/>
        <c:minorTickMark val="cross"/>
        <c:tickLblPos val="nextTo"/>
        <c:spPr>
          <a:ln w="47625">
            <a:noFill/>
          </a:ln>
        </c:spPr>
        <c:crossAx val="813056488"/>
        <c:crosses val="autoZero"/>
        <c:crossBetween val="between"/>
      </c:valAx>
      <c:dateAx>
        <c:axId val="813067072"/>
        <c:scaling>
          <c:orientation val="minMax"/>
        </c:scaling>
        <c:delete val="1"/>
        <c:axPos val="b"/>
        <c:numFmt formatCode="[$-409]mmm\-yy" sourceLinked="1"/>
        <c:majorTickMark val="cross"/>
        <c:minorTickMark val="cross"/>
        <c:tickLblPos val="nextTo"/>
        <c:crossAx val="813057272"/>
        <c:crosses val="autoZero"/>
        <c:auto val="1"/>
        <c:lblOffset val="100"/>
        <c:baseTimeUnit val="months"/>
      </c:dateAx>
      <c:valAx>
        <c:axId val="813057272"/>
        <c:scaling>
          <c:orientation val="minMax"/>
          <c:min val="160"/>
        </c:scaling>
        <c:delete val="0"/>
        <c:axPos val="r"/>
        <c:majorGridlines>
          <c:spPr>
            <a:ln>
              <a:solidFill>
                <a:srgbClr val="B7B7B7"/>
              </a:solidFill>
            </a:ln>
          </c:spPr>
        </c:majorGridlines>
        <c:minorGridlines>
          <c:spPr>
            <a:ln>
              <a:solidFill>
                <a:srgbClr val="CCCCCC">
                  <a:alpha val="0"/>
                </a:srgbClr>
              </a:solidFill>
            </a:ln>
          </c:spPr>
        </c:minorGridlines>
        <c:title>
          <c:tx>
            <c:rich>
              <a:bodyPr rot="5400000" vert="horz" anchor="ctr" anchorCtr="0"/>
              <a:lstStyle/>
              <a:p>
                <a:pPr marL="0" marR="0" indent="0" algn="ctr" defTabSz="914400" rtl="0" eaLnBrk="1" fontAlgn="auto" latinLnBrk="0" hangingPunct="1">
                  <a:lnSpc>
                    <a:spcPct val="100000"/>
                  </a:lnSpc>
                  <a:spcBef>
                    <a:spcPts val="0"/>
                  </a:spcBef>
                  <a:spcAft>
                    <a:spcPts val="0"/>
                  </a:spcAft>
                  <a:buClrTx/>
                  <a:buSzTx/>
                  <a:buFontTx/>
                  <a:buNone/>
                  <a:tabLst/>
                  <a:defRPr sz="900" b="0" i="0" u="none" strike="noStrike" kern="1200" baseline="0">
                    <a:solidFill>
                      <a:sysClr val="windowText" lastClr="000000"/>
                    </a:solidFill>
                    <a:latin typeface="Palatino Linotype" panose="02040502050505030304" pitchFamily="18" charset="0"/>
                    <a:ea typeface="+mn-ea"/>
                    <a:cs typeface="+mn-cs"/>
                  </a:defRPr>
                </a:pPr>
                <a:r>
                  <a:rPr lang="en-US" sz="1800" b="0" i="0" baseline="0">
                    <a:effectLst/>
                  </a:rPr>
                  <a:t> </a:t>
                </a:r>
                <a:r>
                  <a:rPr lang="en-GB" sz="900" b="0" i="0" u="none" strike="noStrike" baseline="0">
                    <a:effectLst/>
                  </a:rPr>
                  <a:t>₹ </a:t>
                </a:r>
                <a:r>
                  <a:rPr lang="en-US" b="0"/>
                  <a:t>Lakh Crore</a:t>
                </a:r>
              </a:p>
            </c:rich>
          </c:tx>
          <c:layout>
            <c:manualLayout>
              <c:xMode val="edge"/>
              <c:yMode val="edge"/>
              <c:x val="0.93639850962685611"/>
              <c:y val="0.2981913814568683"/>
            </c:manualLayout>
          </c:layout>
          <c:overlay val="0"/>
        </c:title>
        <c:numFmt formatCode="[&gt;=10000000]#\,##\,##\,##0;[&gt;=100000]#\,##\,##0;##,##0" sourceLinked="1"/>
        <c:majorTickMark val="cross"/>
        <c:minorTickMark val="cross"/>
        <c:tickLblPos val="nextTo"/>
        <c:spPr>
          <a:ln w="47625">
            <a:noFill/>
          </a:ln>
        </c:spPr>
        <c:crossAx val="813067072"/>
        <c:crosses val="max"/>
        <c:crossBetween val="between"/>
      </c:valAx>
      <c:spPr>
        <a:solidFill>
          <a:srgbClr val="FFFFFF"/>
        </a:solidFill>
      </c:spPr>
    </c:plotArea>
    <c:legend>
      <c:legendPos val="b"/>
      <c:overlay val="0"/>
    </c:legend>
    <c:plotVisOnly val="1"/>
    <c:dispBlanksAs val="zero"/>
    <c:showDLblsOverMax val="1"/>
  </c:chart>
  <c:txPr>
    <a:bodyPr/>
    <a:lstStyle/>
    <a:p>
      <a:pPr>
        <a:defRPr sz="900">
          <a:latin typeface="Palatino Linotype" panose="02040502050505030304" pitchFamily="18" charset="0"/>
        </a:defRPr>
      </a:pPr>
      <a:endParaRPr lang="en-US"/>
    </a:p>
  </c:txPr>
  <c:externalData r:id="rId2">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576127355939804"/>
          <c:y val="7.0317346695299446E-2"/>
          <c:w val="0.72023002149856896"/>
          <c:h val="0.63930838190680706"/>
        </c:manualLayout>
      </c:layout>
      <c:lineChart>
        <c:grouping val="standard"/>
        <c:varyColors val="1"/>
        <c:ser>
          <c:idx val="0"/>
          <c:order val="0"/>
          <c:tx>
            <c:strRef>
              <c:f>'F8'!$B$4</c:f>
              <c:strCache>
                <c:ptCount val="1"/>
                <c:pt idx="0">
                  <c:v>NSE (LHS)</c:v>
                </c:pt>
              </c:strCache>
            </c:strRef>
          </c:tx>
          <c:spPr>
            <a:ln w="19050" cmpd="sng">
              <a:solidFill>
                <a:srgbClr val="FF0000"/>
              </a:solidFill>
              <a:prstDash val="solid"/>
            </a:ln>
          </c:spPr>
          <c:marker>
            <c:symbol val="circle"/>
            <c:size val="5"/>
            <c:spPr>
              <a:solidFill>
                <a:srgbClr val="FF0000"/>
              </a:solidFill>
              <a:ln cmpd="sng">
                <a:solidFill>
                  <a:srgbClr val="FF0000"/>
                </a:solidFill>
              </a:ln>
            </c:spPr>
          </c:marker>
          <c:cat>
            <c:numRef>
              <c:f>'F8'!$A$10:$A$22</c:f>
              <c:numCache>
                <c:formatCode>[$-409]mmm\-yy</c:formatCode>
                <c:ptCount val="12"/>
                <c:pt idx="0">
                  <c:v>43748</c:v>
                </c:pt>
                <c:pt idx="1">
                  <c:v>43779</c:v>
                </c:pt>
                <c:pt idx="2">
                  <c:v>43809</c:v>
                </c:pt>
                <c:pt idx="3">
                  <c:v>43840</c:v>
                </c:pt>
                <c:pt idx="4">
                  <c:v>43871</c:v>
                </c:pt>
                <c:pt idx="5">
                  <c:v>43900</c:v>
                </c:pt>
                <c:pt idx="6">
                  <c:v>43931</c:v>
                </c:pt>
                <c:pt idx="7">
                  <c:v>43961</c:v>
                </c:pt>
                <c:pt idx="8">
                  <c:v>43992</c:v>
                </c:pt>
                <c:pt idx="9">
                  <c:v>44022</c:v>
                </c:pt>
                <c:pt idx="10">
                  <c:v>44053</c:v>
                </c:pt>
                <c:pt idx="11">
                  <c:v>44084</c:v>
                </c:pt>
              </c:numCache>
              <c:extLst xmlns:c16r2="http://schemas.microsoft.com/office/drawing/2015/06/chart"/>
            </c:numRef>
          </c:cat>
          <c:val>
            <c:numRef>
              <c:f>'F8'!$B$10:$B$22</c:f>
              <c:numCache>
                <c:formatCode>0\,00\,000;\-0\,00\,000;0</c:formatCode>
                <c:ptCount val="12"/>
                <c:pt idx="0">
                  <c:v>698832.50789999997</c:v>
                </c:pt>
                <c:pt idx="1">
                  <c:v>763426.91760000004</c:v>
                </c:pt>
                <c:pt idx="2">
                  <c:v>797945.38289999997</c:v>
                </c:pt>
                <c:pt idx="3">
                  <c:v>845443.09140000003</c:v>
                </c:pt>
                <c:pt idx="4">
                  <c:v>788012.82889999996</c:v>
                </c:pt>
                <c:pt idx="5">
                  <c:v>1231222.4816374592</c:v>
                </c:pt>
                <c:pt idx="6">
                  <c:v>696282.45724269352</c:v>
                </c:pt>
                <c:pt idx="7" formatCode="[&gt;=10000000]#\,##\,##\,##0;[&gt;=100000]#\,##\,##0;##,##0">
                  <c:v>729527.23581414134</c:v>
                </c:pt>
                <c:pt idx="8" formatCode="[&gt;=10000000]#\,##\,##\,##0;[&gt;=100000]#\,##\,##0;##,##0">
                  <c:v>949170.06959089276</c:v>
                </c:pt>
                <c:pt idx="9" formatCode="[&gt;=10000000]#\,##\,##\,##0;[&gt;=100000]#\,##\,##0;##,##0">
                  <c:v>943395.67188321159</c:v>
                </c:pt>
                <c:pt idx="10" formatCode="[&gt;=10000000]#\,##\,##\,##0;[&gt;=100000]#\,##\,##0;##,##0">
                  <c:v>976864.32951144269</c:v>
                </c:pt>
                <c:pt idx="11" formatCode="[&gt;=10000000]#\,##\,##\,##0;[&gt;=100000]#\,##\,##0;##,##0">
                  <c:v>1120073.5900000001</c:v>
                </c:pt>
              </c:numCache>
              <c:extLst xmlns:c16r2="http://schemas.microsoft.com/office/drawing/2015/06/chart"/>
            </c:numRef>
          </c:val>
          <c:smooth val="0"/>
          <c:extLst xmlns:c16r2="http://schemas.microsoft.com/office/drawing/2015/06/chart">
            <c:ext xmlns:c16="http://schemas.microsoft.com/office/drawing/2014/chart" uri="{C3380CC4-5D6E-409C-BE32-E72D297353CC}">
              <c16:uniqueId val="{00000000-B110-4E2D-89F3-D53C38329BAA}"/>
            </c:ext>
          </c:extLst>
        </c:ser>
        <c:ser>
          <c:idx val="1"/>
          <c:order val="1"/>
          <c:tx>
            <c:strRef>
              <c:f>'F8'!$D$4</c:f>
              <c:strCache>
                <c:ptCount val="1"/>
                <c:pt idx="0">
                  <c:v>BSE  (LHS)</c:v>
                </c:pt>
              </c:strCache>
            </c:strRef>
          </c:tx>
          <c:spPr>
            <a:ln w="19050" cmpd="sng">
              <a:solidFill>
                <a:srgbClr val="7030A0"/>
              </a:solidFill>
              <a:prstDash val="solid"/>
            </a:ln>
          </c:spPr>
          <c:marker>
            <c:symbol val="circle"/>
            <c:size val="5"/>
            <c:spPr>
              <a:solidFill>
                <a:srgbClr val="7030A0"/>
              </a:solidFill>
              <a:ln cmpd="sng">
                <a:solidFill>
                  <a:srgbClr val="7030A0"/>
                </a:solidFill>
              </a:ln>
            </c:spPr>
          </c:marker>
          <c:cat>
            <c:numRef>
              <c:f>'F8'!$A$10:$A$22</c:f>
              <c:numCache>
                <c:formatCode>[$-409]mmm\-yy</c:formatCode>
                <c:ptCount val="12"/>
                <c:pt idx="0">
                  <c:v>43748</c:v>
                </c:pt>
                <c:pt idx="1">
                  <c:v>43779</c:v>
                </c:pt>
                <c:pt idx="2">
                  <c:v>43809</c:v>
                </c:pt>
                <c:pt idx="3">
                  <c:v>43840</c:v>
                </c:pt>
                <c:pt idx="4">
                  <c:v>43871</c:v>
                </c:pt>
                <c:pt idx="5">
                  <c:v>43900</c:v>
                </c:pt>
                <c:pt idx="6">
                  <c:v>43931</c:v>
                </c:pt>
                <c:pt idx="7">
                  <c:v>43961</c:v>
                </c:pt>
                <c:pt idx="8">
                  <c:v>43992</c:v>
                </c:pt>
                <c:pt idx="9">
                  <c:v>44022</c:v>
                </c:pt>
                <c:pt idx="10">
                  <c:v>44053</c:v>
                </c:pt>
                <c:pt idx="11">
                  <c:v>44084</c:v>
                </c:pt>
              </c:numCache>
              <c:extLst xmlns:c16r2="http://schemas.microsoft.com/office/drawing/2015/06/chart"/>
            </c:numRef>
          </c:cat>
          <c:val>
            <c:numRef>
              <c:f>'F8'!$D$10:$D$22</c:f>
              <c:numCache>
                <c:formatCode>0\,00\,000;\-0\,00\,000;0</c:formatCode>
                <c:ptCount val="12"/>
                <c:pt idx="0">
                  <c:v>526607.6581</c:v>
                </c:pt>
                <c:pt idx="1">
                  <c:v>543325.23179999995</c:v>
                </c:pt>
                <c:pt idx="2">
                  <c:v>564691.59349999996</c:v>
                </c:pt>
                <c:pt idx="3">
                  <c:v>482786.31690000009</c:v>
                </c:pt>
                <c:pt idx="4">
                  <c:v>439995.65480000008</c:v>
                </c:pt>
                <c:pt idx="5">
                  <c:v>471806.4</c:v>
                </c:pt>
                <c:pt idx="6" formatCode="[&gt;=10000000]#\,##\,##\,##0;[&gt;=100000]#\,##\,##0;##,##0">
                  <c:v>271144.38</c:v>
                </c:pt>
                <c:pt idx="7" formatCode="[&gt;=10000000]#\,##\,##\,##0;[&gt;=100000]#\,##\,##0;##,##0">
                  <c:v>306144.90000000002</c:v>
                </c:pt>
                <c:pt idx="8" formatCode="[&gt;=10000000]#\,##\,##\,##0;[&gt;=100000]#\,##\,##0;##,##0">
                  <c:v>467245.2</c:v>
                </c:pt>
                <c:pt idx="9" formatCode="[&gt;=10000000]#\,##\,##\,##0;[&gt;=100000]#\,##\,##0;##,##0">
                  <c:v>437166.34</c:v>
                </c:pt>
                <c:pt idx="10" formatCode="[&gt;=10000000]#\,##\,##\,##0;[&gt;=100000]#\,##\,##0;##,##0">
                  <c:v>451790.26</c:v>
                </c:pt>
                <c:pt idx="11" formatCode="[&gt;=10000000]#\,##\,##\,##0;[&gt;=100000]#\,##\,##0;##,##0">
                  <c:v>429477.39090000006</c:v>
                </c:pt>
              </c:numCache>
              <c:extLst xmlns:c16r2="http://schemas.microsoft.com/office/drawing/2015/06/chart"/>
            </c:numRef>
          </c:val>
          <c:smooth val="0"/>
          <c:extLst xmlns:c16r2="http://schemas.microsoft.com/office/drawing/2015/06/chart">
            <c:ext xmlns:c16="http://schemas.microsoft.com/office/drawing/2014/chart" uri="{C3380CC4-5D6E-409C-BE32-E72D297353CC}">
              <c16:uniqueId val="{00000001-B110-4E2D-89F3-D53C38329BAA}"/>
            </c:ext>
          </c:extLst>
        </c:ser>
        <c:dLbls>
          <c:showLegendKey val="0"/>
          <c:showVal val="0"/>
          <c:showCatName val="0"/>
          <c:showSerName val="0"/>
          <c:showPercent val="0"/>
          <c:showBubbleSize val="0"/>
        </c:dLbls>
        <c:marker val="1"/>
        <c:smooth val="0"/>
        <c:axId val="813068248"/>
        <c:axId val="813056880"/>
      </c:lineChart>
      <c:lineChart>
        <c:grouping val="standard"/>
        <c:varyColors val="0"/>
        <c:ser>
          <c:idx val="2"/>
          <c:order val="2"/>
          <c:tx>
            <c:strRef>
              <c:f>'F8'!$C$4</c:f>
              <c:strCache>
                <c:ptCount val="1"/>
                <c:pt idx="0">
                  <c:v>MSEI (RHS)</c:v>
                </c:pt>
              </c:strCache>
            </c:strRef>
          </c:tx>
          <c:spPr>
            <a:ln w="19050" cmpd="sng">
              <a:solidFill>
                <a:srgbClr val="00B050"/>
              </a:solidFill>
              <a:prstDash val="solid"/>
            </a:ln>
          </c:spPr>
          <c:marker>
            <c:symbol val="circle"/>
            <c:size val="5"/>
            <c:spPr>
              <a:solidFill>
                <a:srgbClr val="00B050"/>
              </a:solidFill>
              <a:ln cmpd="sng">
                <a:solidFill>
                  <a:srgbClr val="00B050"/>
                </a:solidFill>
              </a:ln>
            </c:spPr>
          </c:marker>
          <c:cat>
            <c:numRef>
              <c:f>'F8'!$A$10:$A$22</c:f>
              <c:numCache>
                <c:formatCode>[$-409]mmm\-yy</c:formatCode>
                <c:ptCount val="12"/>
                <c:pt idx="0">
                  <c:v>43748</c:v>
                </c:pt>
                <c:pt idx="1">
                  <c:v>43779</c:v>
                </c:pt>
                <c:pt idx="2">
                  <c:v>43809</c:v>
                </c:pt>
                <c:pt idx="3">
                  <c:v>43840</c:v>
                </c:pt>
                <c:pt idx="4">
                  <c:v>43871</c:v>
                </c:pt>
                <c:pt idx="5">
                  <c:v>43900</c:v>
                </c:pt>
                <c:pt idx="6">
                  <c:v>43931</c:v>
                </c:pt>
                <c:pt idx="7">
                  <c:v>43961</c:v>
                </c:pt>
                <c:pt idx="8">
                  <c:v>43992</c:v>
                </c:pt>
                <c:pt idx="9">
                  <c:v>44022</c:v>
                </c:pt>
                <c:pt idx="10">
                  <c:v>44053</c:v>
                </c:pt>
                <c:pt idx="11">
                  <c:v>44084</c:v>
                </c:pt>
              </c:numCache>
              <c:extLst xmlns:c16r2="http://schemas.microsoft.com/office/drawing/2015/06/chart"/>
            </c:numRef>
          </c:cat>
          <c:val>
            <c:numRef>
              <c:f>'F8'!$C$10:$C$22</c:f>
              <c:numCache>
                <c:formatCode>#,##0;\-#,##0;0</c:formatCode>
                <c:ptCount val="12"/>
                <c:pt idx="0">
                  <c:v>3482.5552212500002</c:v>
                </c:pt>
                <c:pt idx="1">
                  <c:v>3370.3709895000002</c:v>
                </c:pt>
                <c:pt idx="2">
                  <c:v>6258.9968397499997</c:v>
                </c:pt>
                <c:pt idx="3">
                  <c:v>5956.6478307500001</c:v>
                </c:pt>
                <c:pt idx="4">
                  <c:v>5313.5327112499999</c:v>
                </c:pt>
                <c:pt idx="5">
                  <c:v>6404.1278092499997</c:v>
                </c:pt>
                <c:pt idx="6" formatCode="[&gt;=10000000]#\,##\,##\,##0;[&gt;=100000]#\,##\,##0;##,##0">
                  <c:v>1785.2814207500001</c:v>
                </c:pt>
                <c:pt idx="7" formatCode="[&gt;=10000000]#\,##\,##\,##0;[&gt;=100000]#\,##\,##0;##,##0">
                  <c:v>1702.4234337499997</c:v>
                </c:pt>
                <c:pt idx="8" formatCode="[&gt;=10000000]#\,##\,##\,##0;[&gt;=100000]#\,##\,##0;##,##0">
                  <c:v>2854.2512265</c:v>
                </c:pt>
                <c:pt idx="9" formatCode="[&gt;=10000000]#\,##\,##\,##0;[&gt;=100000]#\,##\,##0;##,##0">
                  <c:v>4064.4222235000007</c:v>
                </c:pt>
                <c:pt idx="10" formatCode="[&gt;=10000000]#\,##\,##\,##0;[&gt;=100000]#\,##\,##0;##,##0">
                  <c:v>5291.3987129999996</c:v>
                </c:pt>
                <c:pt idx="11" formatCode="[&gt;=10000000]#\,##\,##\,##0;[&gt;=100000]#\,##\,##0;##,##0">
                  <c:v>6888.6162975000007</c:v>
                </c:pt>
              </c:numCache>
              <c:extLst xmlns:c16r2="http://schemas.microsoft.com/office/drawing/2015/06/chart"/>
            </c:numRef>
          </c:val>
          <c:smooth val="0"/>
          <c:extLst xmlns:c16r2="http://schemas.microsoft.com/office/drawing/2015/06/chart">
            <c:ext xmlns:c16="http://schemas.microsoft.com/office/drawing/2014/chart" uri="{C3380CC4-5D6E-409C-BE32-E72D297353CC}">
              <c16:uniqueId val="{00000002-B110-4E2D-89F3-D53C38329BAA}"/>
            </c:ext>
          </c:extLst>
        </c:ser>
        <c:dLbls>
          <c:showLegendKey val="0"/>
          <c:showVal val="0"/>
          <c:showCatName val="0"/>
          <c:showSerName val="0"/>
          <c:showPercent val="0"/>
          <c:showBubbleSize val="0"/>
        </c:dLbls>
        <c:marker val="1"/>
        <c:smooth val="0"/>
        <c:axId val="813057664"/>
        <c:axId val="813058056"/>
      </c:lineChart>
      <c:dateAx>
        <c:axId val="813068248"/>
        <c:scaling>
          <c:orientation val="minMax"/>
        </c:scaling>
        <c:delete val="0"/>
        <c:axPos val="b"/>
        <c:numFmt formatCode="[$-409]mmm\-yy" sourceLinked="1"/>
        <c:majorTickMark val="cross"/>
        <c:minorTickMark val="cross"/>
        <c:tickLblPos val="nextTo"/>
        <c:txPr>
          <a:bodyPr rot="-5400000"/>
          <a:lstStyle/>
          <a:p>
            <a:pPr>
              <a:defRPr/>
            </a:pPr>
            <a:endParaRPr lang="en-US"/>
          </a:p>
        </c:txPr>
        <c:crossAx val="813056880"/>
        <c:crosses val="autoZero"/>
        <c:auto val="1"/>
        <c:lblOffset val="100"/>
        <c:baseTimeUnit val="months"/>
      </c:dateAx>
      <c:valAx>
        <c:axId val="813056880"/>
        <c:scaling>
          <c:orientation val="minMax"/>
          <c:max val="1300000"/>
        </c:scaling>
        <c:delete val="0"/>
        <c:axPos val="l"/>
        <c:majorGridlines>
          <c:spPr>
            <a:ln>
              <a:solidFill>
                <a:srgbClr val="FFFFFF"/>
              </a:solidFill>
            </a:ln>
          </c:spPr>
        </c:majorGridlines>
        <c:minorGridlines>
          <c:spPr>
            <a:ln>
              <a:solidFill>
                <a:srgbClr val="CCCCCC">
                  <a:alpha val="0"/>
                </a:srgbClr>
              </a:solidFill>
            </a:ln>
          </c:spPr>
        </c:minorGridlines>
        <c:title>
          <c:tx>
            <c:rich>
              <a:bodyPr/>
              <a:lstStyle/>
              <a:p>
                <a:pPr>
                  <a:defRPr b="0"/>
                </a:pPr>
                <a:r>
                  <a:rPr lang="en-GB" sz="900" b="0" i="0" u="none" strike="noStrike" baseline="0">
                    <a:effectLst/>
                  </a:rPr>
                  <a:t>₹</a:t>
                </a:r>
                <a:r>
                  <a:rPr lang="en-US" b="0"/>
                  <a:t> crore</a:t>
                </a:r>
              </a:p>
            </c:rich>
          </c:tx>
          <c:layout>
            <c:manualLayout>
              <c:xMode val="edge"/>
              <c:yMode val="edge"/>
              <c:x val="1.7205010177747882E-2"/>
              <c:y val="0.35430037154446609"/>
            </c:manualLayout>
          </c:layout>
          <c:overlay val="0"/>
        </c:title>
        <c:numFmt formatCode="0\,00\,000;\-0\,00\,000;0" sourceLinked="1"/>
        <c:majorTickMark val="cross"/>
        <c:minorTickMark val="cross"/>
        <c:tickLblPos val="nextTo"/>
        <c:spPr>
          <a:ln w="47625">
            <a:noFill/>
          </a:ln>
        </c:spPr>
        <c:crossAx val="813068248"/>
        <c:crosses val="autoZero"/>
        <c:crossBetween val="between"/>
      </c:valAx>
      <c:dateAx>
        <c:axId val="813057664"/>
        <c:scaling>
          <c:orientation val="minMax"/>
        </c:scaling>
        <c:delete val="1"/>
        <c:axPos val="b"/>
        <c:numFmt formatCode="[$-409]mmm\-yy" sourceLinked="1"/>
        <c:majorTickMark val="cross"/>
        <c:minorTickMark val="cross"/>
        <c:tickLblPos val="nextTo"/>
        <c:crossAx val="813058056"/>
        <c:crosses val="autoZero"/>
        <c:auto val="1"/>
        <c:lblOffset val="100"/>
        <c:baseTimeUnit val="months"/>
      </c:dateAx>
      <c:valAx>
        <c:axId val="813058056"/>
        <c:scaling>
          <c:orientation val="minMax"/>
          <c:max val="9000"/>
        </c:scaling>
        <c:delete val="0"/>
        <c:axPos val="r"/>
        <c:majorGridlines>
          <c:spPr>
            <a:ln>
              <a:solidFill>
                <a:srgbClr val="B7B7B7"/>
              </a:solidFill>
            </a:ln>
          </c:spPr>
        </c:majorGridlines>
        <c:minorGridlines>
          <c:spPr>
            <a:ln>
              <a:solidFill>
                <a:srgbClr val="CCCCCC">
                  <a:alpha val="0"/>
                </a:srgbClr>
              </a:solidFill>
            </a:ln>
          </c:spPr>
        </c:minorGridlines>
        <c:title>
          <c:tx>
            <c:rich>
              <a:bodyPr rot="5400000" vert="horz"/>
              <a:lstStyle/>
              <a:p>
                <a:pPr>
                  <a:defRPr b="0"/>
                </a:pPr>
                <a:r>
                  <a:rPr lang="en-GB" sz="900" b="0" i="0" u="none" strike="noStrike" baseline="0">
                    <a:effectLst/>
                  </a:rPr>
                  <a:t>₹</a:t>
                </a:r>
                <a:r>
                  <a:rPr lang="en-US" b="0"/>
                  <a:t> crore</a:t>
                </a:r>
              </a:p>
            </c:rich>
          </c:tx>
          <c:layout>
            <c:manualLayout>
              <c:xMode val="edge"/>
              <c:yMode val="edge"/>
              <c:x val="0.95595000373697003"/>
              <c:y val="0.34304496028905479"/>
            </c:manualLayout>
          </c:layout>
          <c:overlay val="0"/>
        </c:title>
        <c:numFmt formatCode="#,##0;\-#,##0;0" sourceLinked="1"/>
        <c:majorTickMark val="cross"/>
        <c:minorTickMark val="cross"/>
        <c:tickLblPos val="nextTo"/>
        <c:spPr>
          <a:ln w="47625">
            <a:noFill/>
          </a:ln>
        </c:spPr>
        <c:crossAx val="813057664"/>
        <c:crosses val="max"/>
        <c:crossBetween val="between"/>
      </c:valAx>
      <c:spPr>
        <a:solidFill>
          <a:srgbClr val="FFFFFF"/>
        </a:solidFill>
      </c:spPr>
    </c:plotArea>
    <c:legend>
      <c:legendPos val="b"/>
      <c:overlay val="0"/>
    </c:legend>
    <c:plotVisOnly val="1"/>
    <c:dispBlanksAs val="zero"/>
    <c:showDLblsOverMax val="1"/>
  </c:chart>
  <c:txPr>
    <a:bodyPr/>
    <a:lstStyle/>
    <a:p>
      <a:pPr>
        <a:defRPr sz="900">
          <a:latin typeface="Palatino Linotype" panose="02040502050505030304" pitchFamily="18" charset="0"/>
        </a:defRPr>
      </a:pPr>
      <a:endParaRPr lang="en-US"/>
    </a:p>
  </c:txPr>
  <c:externalData r:id="rId2">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5763813671689014"/>
          <c:y val="0.11632392478974667"/>
          <c:w val="0.81789702509783246"/>
          <c:h val="0.53750989177249364"/>
        </c:manualLayout>
      </c:layout>
      <c:lineChart>
        <c:grouping val="standard"/>
        <c:varyColors val="0"/>
        <c:ser>
          <c:idx val="0"/>
          <c:order val="0"/>
          <c:tx>
            <c:strRef>
              <c:f>'F9'!$B$2</c:f>
              <c:strCache>
                <c:ptCount val="1"/>
                <c:pt idx="0">
                  <c:v>BSE</c:v>
                </c:pt>
              </c:strCache>
            </c:strRef>
          </c:tx>
          <c:spPr>
            <a:ln w="28575" cap="rnd">
              <a:solidFill>
                <a:srgbClr val="C00000"/>
              </a:solidFill>
              <a:round/>
            </a:ln>
            <a:effectLst/>
          </c:spPr>
          <c:marker>
            <c:symbol val="none"/>
          </c:marker>
          <c:cat>
            <c:numRef>
              <c:f>'F9'!$A$9:$A$20</c:f>
              <c:numCache>
                <c:formatCode>[$-409]mmm\-yy</c:formatCode>
                <c:ptCount val="12"/>
                <c:pt idx="0">
                  <c:v>43748</c:v>
                </c:pt>
                <c:pt idx="1">
                  <c:v>43779</c:v>
                </c:pt>
                <c:pt idx="2">
                  <c:v>43809</c:v>
                </c:pt>
                <c:pt idx="3">
                  <c:v>43840</c:v>
                </c:pt>
                <c:pt idx="4">
                  <c:v>43871</c:v>
                </c:pt>
                <c:pt idx="5">
                  <c:v>43900</c:v>
                </c:pt>
                <c:pt idx="6">
                  <c:v>43931</c:v>
                </c:pt>
                <c:pt idx="7">
                  <c:v>43961</c:v>
                </c:pt>
                <c:pt idx="8">
                  <c:v>43992</c:v>
                </c:pt>
                <c:pt idx="9">
                  <c:v>44022</c:v>
                </c:pt>
                <c:pt idx="10">
                  <c:v>44053</c:v>
                </c:pt>
                <c:pt idx="11">
                  <c:v>44084</c:v>
                </c:pt>
              </c:numCache>
            </c:numRef>
          </c:cat>
          <c:val>
            <c:numRef>
              <c:f>'F9'!$B$9:$B$20</c:f>
              <c:numCache>
                <c:formatCode>_(* #,##0.0_);_(* \(#,##0.0\);_(* "-"??_);_(@_)</c:formatCode>
                <c:ptCount val="12"/>
                <c:pt idx="0">
                  <c:v>5933.1111999999994</c:v>
                </c:pt>
                <c:pt idx="1">
                  <c:v>5252.2558999999992</c:v>
                </c:pt>
                <c:pt idx="2">
                  <c:v>4813.7728999999999</c:v>
                </c:pt>
                <c:pt idx="3">
                  <c:v>6208.3990000000003</c:v>
                </c:pt>
                <c:pt idx="4">
                  <c:v>5829.3091999999997</c:v>
                </c:pt>
                <c:pt idx="5">
                  <c:v>11042.703600000001</c:v>
                </c:pt>
                <c:pt idx="6">
                  <c:v>2394.6293999999998</c:v>
                </c:pt>
                <c:pt idx="7">
                  <c:v>1898.7684999999999</c:v>
                </c:pt>
                <c:pt idx="8">
                  <c:v>4307.7403000000004</c:v>
                </c:pt>
                <c:pt idx="9">
                  <c:v>4082.3089</c:v>
                </c:pt>
                <c:pt idx="10">
                  <c:v>1339.4258</c:v>
                </c:pt>
                <c:pt idx="11">
                  <c:v>618.83699999999999</c:v>
                </c:pt>
              </c:numCache>
            </c:numRef>
          </c:val>
          <c:smooth val="0"/>
          <c:extLst xmlns:c16r2="http://schemas.microsoft.com/office/drawing/2015/06/chart">
            <c:ext xmlns:c16="http://schemas.microsoft.com/office/drawing/2014/chart" uri="{C3380CC4-5D6E-409C-BE32-E72D297353CC}">
              <c16:uniqueId val="{00000000-B964-4913-9C5B-282FEE80C4AA}"/>
            </c:ext>
          </c:extLst>
        </c:ser>
        <c:ser>
          <c:idx val="1"/>
          <c:order val="1"/>
          <c:tx>
            <c:strRef>
              <c:f>'F9'!$C$2</c:f>
              <c:strCache>
                <c:ptCount val="1"/>
                <c:pt idx="0">
                  <c:v>NSE</c:v>
                </c:pt>
              </c:strCache>
            </c:strRef>
          </c:tx>
          <c:spPr>
            <a:ln w="28575" cap="rnd">
              <a:solidFill>
                <a:srgbClr val="00B050"/>
              </a:solidFill>
              <a:round/>
            </a:ln>
            <a:effectLst/>
          </c:spPr>
          <c:marker>
            <c:symbol val="none"/>
          </c:marker>
          <c:cat>
            <c:numRef>
              <c:f>'F9'!$A$9:$A$20</c:f>
              <c:numCache>
                <c:formatCode>[$-409]mmm\-yy</c:formatCode>
                <c:ptCount val="12"/>
                <c:pt idx="0">
                  <c:v>43748</c:v>
                </c:pt>
                <c:pt idx="1">
                  <c:v>43779</c:v>
                </c:pt>
                <c:pt idx="2">
                  <c:v>43809</c:v>
                </c:pt>
                <c:pt idx="3">
                  <c:v>43840</c:v>
                </c:pt>
                <c:pt idx="4">
                  <c:v>43871</c:v>
                </c:pt>
                <c:pt idx="5">
                  <c:v>43900</c:v>
                </c:pt>
                <c:pt idx="6">
                  <c:v>43931</c:v>
                </c:pt>
                <c:pt idx="7">
                  <c:v>43961</c:v>
                </c:pt>
                <c:pt idx="8">
                  <c:v>43992</c:v>
                </c:pt>
                <c:pt idx="9">
                  <c:v>44022</c:v>
                </c:pt>
                <c:pt idx="10">
                  <c:v>44053</c:v>
                </c:pt>
                <c:pt idx="11">
                  <c:v>44084</c:v>
                </c:pt>
              </c:numCache>
            </c:numRef>
          </c:cat>
          <c:val>
            <c:numRef>
              <c:f>'F9'!$C$9:$C$20</c:f>
              <c:numCache>
                <c:formatCode>_(* #,##0.0_);_(* \(#,##0.0\);_(* "-"??_);_(@_)</c:formatCode>
                <c:ptCount val="12"/>
                <c:pt idx="0">
                  <c:v>25267.643789999998</c:v>
                </c:pt>
                <c:pt idx="1">
                  <c:v>22410.455900000001</c:v>
                </c:pt>
                <c:pt idx="2">
                  <c:v>31363.76467</c:v>
                </c:pt>
                <c:pt idx="3">
                  <c:v>26807.170719999998</c:v>
                </c:pt>
                <c:pt idx="4">
                  <c:v>30879.879639999999</c:v>
                </c:pt>
                <c:pt idx="5">
                  <c:v>33798.002293999991</c:v>
                </c:pt>
                <c:pt idx="6">
                  <c:v>9733.7467485000016</c:v>
                </c:pt>
                <c:pt idx="7">
                  <c:v>12197.847997499997</c:v>
                </c:pt>
                <c:pt idx="8">
                  <c:v>16790.040404000003</c:v>
                </c:pt>
                <c:pt idx="9">
                  <c:v>11477.779758999999</c:v>
                </c:pt>
                <c:pt idx="10">
                  <c:v>8836.0223354999998</c:v>
                </c:pt>
                <c:pt idx="11">
                  <c:v>7968.2005550000003</c:v>
                </c:pt>
              </c:numCache>
            </c:numRef>
          </c:val>
          <c:smooth val="0"/>
          <c:extLst xmlns:c16r2="http://schemas.microsoft.com/office/drawing/2015/06/chart">
            <c:ext xmlns:c16="http://schemas.microsoft.com/office/drawing/2014/chart" uri="{C3380CC4-5D6E-409C-BE32-E72D297353CC}">
              <c16:uniqueId val="{00000001-B964-4913-9C5B-282FEE80C4AA}"/>
            </c:ext>
          </c:extLst>
        </c:ser>
        <c:dLbls>
          <c:showLegendKey val="0"/>
          <c:showVal val="0"/>
          <c:showCatName val="0"/>
          <c:showSerName val="0"/>
          <c:showPercent val="0"/>
          <c:showBubbleSize val="0"/>
        </c:dLbls>
        <c:smooth val="0"/>
        <c:axId val="813061584"/>
        <c:axId val="813059232"/>
      </c:lineChart>
      <c:dateAx>
        <c:axId val="813061584"/>
        <c:scaling>
          <c:orientation val="minMax"/>
        </c:scaling>
        <c:delete val="0"/>
        <c:axPos val="b"/>
        <c:numFmt formatCode="[$-409]mmm\-yy" sourceLinked="1"/>
        <c:majorTickMark val="out"/>
        <c:minorTickMark val="none"/>
        <c:tickLblPos val="nextTo"/>
        <c:spPr>
          <a:noFill/>
          <a:ln w="9525" cap="flat" cmpd="sng" algn="ctr">
            <a:solidFill>
              <a:schemeClr val="tx1">
                <a:lumMod val="15000"/>
                <a:lumOff val="85000"/>
              </a:schemeClr>
            </a:solidFill>
            <a:round/>
          </a:ln>
          <a:effectLst/>
        </c:spPr>
        <c:txPr>
          <a:bodyPr rot="-5400000" spcFirstLastPara="1" vertOverflow="ellipsis"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crossAx val="813059232"/>
        <c:crosses val="autoZero"/>
        <c:auto val="1"/>
        <c:lblOffset val="100"/>
        <c:baseTimeUnit val="months"/>
      </c:dateAx>
      <c:valAx>
        <c:axId val="813059232"/>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lgn="ctr" rtl="0">
                  <a:defRPr sz="900" b="0" i="0" u="none" strike="noStrike" kern="1200" baseline="0">
                    <a:solidFill>
                      <a:sysClr val="windowText" lastClr="000000"/>
                    </a:solidFill>
                    <a:latin typeface="Palatino Linotype" panose="02040502050505030304" pitchFamily="18" charset="0"/>
                    <a:ea typeface="+mn-ea"/>
                    <a:cs typeface="+mn-cs"/>
                  </a:defRPr>
                </a:pPr>
                <a:r>
                  <a:rPr lang="en-GB"/>
                  <a:t>₹</a:t>
                </a:r>
                <a:r>
                  <a:rPr lang="en-US"/>
                  <a:t> crore</a:t>
                </a:r>
                <a:endParaRPr lang="en-IN"/>
              </a:p>
            </c:rich>
          </c:tx>
          <c:layout>
            <c:manualLayout>
              <c:xMode val="edge"/>
              <c:yMode val="edge"/>
              <c:x val="1.5892897876355713E-2"/>
              <c:y val="0.33094859503579049"/>
            </c:manualLayout>
          </c:layout>
          <c:overlay val="0"/>
          <c:spPr>
            <a:noFill/>
            <a:ln>
              <a:noFill/>
            </a:ln>
            <a:effectLst/>
          </c:spPr>
          <c:txPr>
            <a:bodyPr rot="-5400000" spcFirstLastPara="1" vertOverflow="ellipsis" vert="horz" wrap="square" anchor="ctr" anchorCtr="1"/>
            <a:lstStyle/>
            <a:p>
              <a:pPr algn="ctr" rtl="0">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crossAx val="813061584"/>
        <c:crosses val="autoZero"/>
        <c:crossBetween val="between"/>
        <c:majorUnit val="10000"/>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bg1">
          <a:lumMod val="50000"/>
        </a:schemeClr>
      </a:solidFill>
      <a:round/>
    </a:ln>
    <a:effectLst/>
  </c:spPr>
  <c:txPr>
    <a:bodyPr/>
    <a:lstStyle/>
    <a:p>
      <a:pPr>
        <a:defRPr sz="900">
          <a:solidFill>
            <a:sysClr val="windowText" lastClr="000000"/>
          </a:solidFill>
          <a:latin typeface="Palatino Linotype" panose="02040502050505030304" pitchFamily="18" charset="0"/>
        </a:defRPr>
      </a:pPr>
      <a:endParaRPr lang="en-US"/>
    </a:p>
  </c:txPr>
  <c:externalData r:id="rId4">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manualLayout>
          <c:layoutTarget val="inner"/>
          <c:xMode val="edge"/>
          <c:yMode val="edge"/>
          <c:x val="3.9001914253641821E-2"/>
          <c:y val="0.16281381169766232"/>
          <c:w val="0.93251912442983453"/>
          <c:h val="0.53971621567608619"/>
        </c:manualLayout>
      </c:layout>
      <c:barChart>
        <c:barDir val="col"/>
        <c:grouping val="clustered"/>
        <c:varyColors val="0"/>
        <c:ser>
          <c:idx val="0"/>
          <c:order val="0"/>
          <c:tx>
            <c:strRef>
              <c:f>'F10'!$B$2</c:f>
              <c:strCache>
                <c:ptCount val="1"/>
                <c:pt idx="0">
                  <c:v>BSE</c:v>
                </c:pt>
              </c:strCache>
            </c:strRef>
          </c:tx>
          <c:spPr>
            <a:solidFill>
              <a:srgbClr val="00B050"/>
            </a:solidFill>
            <a:ln>
              <a:solidFill>
                <a:schemeClr val="accent3">
                  <a:lumMod val="75000"/>
                </a:schemeClr>
              </a:solidFill>
            </a:ln>
          </c:spPr>
          <c:invertIfNegative val="0"/>
          <c:dLbls>
            <c:spPr>
              <a:noFill/>
              <a:ln>
                <a:noFill/>
              </a:ln>
              <a:effectLst/>
            </c:spPr>
            <c:txPr>
              <a:bodyPr rot="-5400000" vert="horz" anchor="ctr" anchorCtr="0"/>
              <a:lstStyle/>
              <a:p>
                <a:pPr>
                  <a:defRPr lang="en-IN" sz="900" b="0">
                    <a:latin typeface="Palatino Linotype" panose="02040502050505030304" pitchFamily="18" charset="0"/>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0"/>
              </c:ext>
            </c:extLst>
          </c:dLbls>
          <c:cat>
            <c:numRef>
              <c:f>'F10'!$A$9:$A$20</c:f>
              <c:numCache>
                <c:formatCode>[$-409]mmm\-yy</c:formatCode>
                <c:ptCount val="12"/>
                <c:pt idx="0">
                  <c:v>43748</c:v>
                </c:pt>
                <c:pt idx="1">
                  <c:v>43779</c:v>
                </c:pt>
                <c:pt idx="2">
                  <c:v>43809</c:v>
                </c:pt>
                <c:pt idx="3">
                  <c:v>43840</c:v>
                </c:pt>
                <c:pt idx="4">
                  <c:v>43871</c:v>
                </c:pt>
                <c:pt idx="5">
                  <c:v>43900</c:v>
                </c:pt>
                <c:pt idx="6">
                  <c:v>43931</c:v>
                </c:pt>
                <c:pt idx="7">
                  <c:v>43961</c:v>
                </c:pt>
                <c:pt idx="8">
                  <c:v>43992</c:v>
                </c:pt>
                <c:pt idx="9">
                  <c:v>44022</c:v>
                </c:pt>
                <c:pt idx="10">
                  <c:v>44053</c:v>
                </c:pt>
                <c:pt idx="11">
                  <c:v>44084</c:v>
                </c:pt>
              </c:numCache>
            </c:numRef>
          </c:cat>
          <c:val>
            <c:numRef>
              <c:f>'F10'!$B$9:$B$20</c:f>
              <c:numCache>
                <c:formatCode>#,##0;\-#,##0;0</c:formatCode>
                <c:ptCount val="12"/>
                <c:pt idx="0">
                  <c:v>50077.52</c:v>
                </c:pt>
                <c:pt idx="1">
                  <c:v>51449.47</c:v>
                </c:pt>
                <c:pt idx="2">
                  <c:v>52392.3</c:v>
                </c:pt>
                <c:pt idx="3">
                  <c:v>62925.43</c:v>
                </c:pt>
                <c:pt idx="4">
                  <c:v>63973.440000000002</c:v>
                </c:pt>
                <c:pt idx="5">
                  <c:v>82283.460000000006</c:v>
                </c:pt>
                <c:pt idx="6">
                  <c:v>65285.07</c:v>
                </c:pt>
                <c:pt idx="7">
                  <c:v>64964.767999999996</c:v>
                </c:pt>
                <c:pt idx="8">
                  <c:v>76987.050000000017</c:v>
                </c:pt>
                <c:pt idx="9">
                  <c:v>80074.63</c:v>
                </c:pt>
                <c:pt idx="10">
                  <c:v>53915.519999999997</c:v>
                </c:pt>
                <c:pt idx="11">
                  <c:v>50693.919999999998</c:v>
                </c:pt>
              </c:numCache>
            </c:numRef>
          </c:val>
          <c:extLst xmlns:c16r2="http://schemas.microsoft.com/office/drawing/2015/06/chart">
            <c:ext xmlns:c16="http://schemas.microsoft.com/office/drawing/2014/chart" uri="{C3380CC4-5D6E-409C-BE32-E72D297353CC}">
              <c16:uniqueId val="{00000000-C461-4DE5-909E-C7430AC388B9}"/>
            </c:ext>
          </c:extLst>
        </c:ser>
        <c:ser>
          <c:idx val="1"/>
          <c:order val="1"/>
          <c:tx>
            <c:strRef>
              <c:f>'F10'!$C$2</c:f>
              <c:strCache>
                <c:ptCount val="1"/>
                <c:pt idx="0">
                  <c:v>NSE</c:v>
                </c:pt>
              </c:strCache>
            </c:strRef>
          </c:tx>
          <c:spPr>
            <a:solidFill>
              <a:srgbClr val="FF0000"/>
            </a:solidFill>
          </c:spPr>
          <c:invertIfNegative val="0"/>
          <c:dLbls>
            <c:spPr>
              <a:noFill/>
              <a:ln>
                <a:noFill/>
              </a:ln>
              <a:effectLst/>
            </c:spPr>
            <c:txPr>
              <a:bodyPr rot="-5400000" vert="horz"/>
              <a:lstStyle/>
              <a:p>
                <a:pPr>
                  <a:defRPr lang="en-IN" sz="900" b="0">
                    <a:latin typeface="Palatino Linotype" panose="02040502050505030304" pitchFamily="18" charset="0"/>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0"/>
              </c:ext>
            </c:extLst>
          </c:dLbls>
          <c:cat>
            <c:numRef>
              <c:f>'F10'!$A$9:$A$20</c:f>
              <c:numCache>
                <c:formatCode>[$-409]mmm\-yy</c:formatCode>
                <c:ptCount val="12"/>
                <c:pt idx="0">
                  <c:v>43748</c:v>
                </c:pt>
                <c:pt idx="1">
                  <c:v>43779</c:v>
                </c:pt>
                <c:pt idx="2">
                  <c:v>43809</c:v>
                </c:pt>
                <c:pt idx="3">
                  <c:v>43840</c:v>
                </c:pt>
                <c:pt idx="4">
                  <c:v>43871</c:v>
                </c:pt>
                <c:pt idx="5">
                  <c:v>43900</c:v>
                </c:pt>
                <c:pt idx="6">
                  <c:v>43931</c:v>
                </c:pt>
                <c:pt idx="7">
                  <c:v>43961</c:v>
                </c:pt>
                <c:pt idx="8">
                  <c:v>43992</c:v>
                </c:pt>
                <c:pt idx="9">
                  <c:v>44022</c:v>
                </c:pt>
                <c:pt idx="10">
                  <c:v>44053</c:v>
                </c:pt>
                <c:pt idx="11">
                  <c:v>44084</c:v>
                </c:pt>
              </c:numCache>
            </c:numRef>
          </c:cat>
          <c:val>
            <c:numRef>
              <c:f>'F10'!$C$9:$C$20</c:f>
              <c:numCache>
                <c:formatCode>0\,00\,000;\-0\,00\,000;0</c:formatCode>
                <c:ptCount val="12"/>
                <c:pt idx="0">
                  <c:v>100000.68</c:v>
                </c:pt>
                <c:pt idx="1">
                  <c:v>102471.7</c:v>
                </c:pt>
                <c:pt idx="2" formatCode="#,##0;\-#,##0;0">
                  <c:v>97560.16</c:v>
                </c:pt>
                <c:pt idx="3">
                  <c:v>134635.69</c:v>
                </c:pt>
                <c:pt idx="4">
                  <c:v>119569.31</c:v>
                </c:pt>
                <c:pt idx="5">
                  <c:v>149081.53</c:v>
                </c:pt>
                <c:pt idx="6">
                  <c:v>149229.69</c:v>
                </c:pt>
                <c:pt idx="7">
                  <c:v>131841.63199999998</c:v>
                </c:pt>
                <c:pt idx="8" formatCode="#,##0;\-#,##0;0">
                  <c:v>130256.79</c:v>
                </c:pt>
                <c:pt idx="9" formatCode="#,##0;\-#,##0;0">
                  <c:v>121730.01</c:v>
                </c:pt>
                <c:pt idx="10" formatCode="#,##0;\-#,##0;0">
                  <c:v>89136.44</c:v>
                </c:pt>
                <c:pt idx="11" formatCode="#,##0;\-#,##0;0">
                  <c:v>90782.64</c:v>
                </c:pt>
              </c:numCache>
            </c:numRef>
          </c:val>
          <c:extLst xmlns:c16r2="http://schemas.microsoft.com/office/drawing/2015/06/chart">
            <c:ext xmlns:c16="http://schemas.microsoft.com/office/drawing/2014/chart" uri="{C3380CC4-5D6E-409C-BE32-E72D297353CC}">
              <c16:uniqueId val="{00000001-C461-4DE5-909E-C7430AC388B9}"/>
            </c:ext>
          </c:extLst>
        </c:ser>
        <c:dLbls>
          <c:showLegendKey val="0"/>
          <c:showVal val="0"/>
          <c:showCatName val="0"/>
          <c:showSerName val="0"/>
          <c:showPercent val="0"/>
          <c:showBubbleSize val="0"/>
        </c:dLbls>
        <c:gapWidth val="150"/>
        <c:axId val="813064328"/>
        <c:axId val="813061976"/>
      </c:barChart>
      <c:dateAx>
        <c:axId val="813064328"/>
        <c:scaling>
          <c:orientation val="minMax"/>
        </c:scaling>
        <c:delete val="0"/>
        <c:axPos val="b"/>
        <c:numFmt formatCode="[$-409]mmm\-yy" sourceLinked="1"/>
        <c:majorTickMark val="none"/>
        <c:minorTickMark val="none"/>
        <c:tickLblPos val="nextTo"/>
        <c:txPr>
          <a:bodyPr rot="-5400000" vert="horz"/>
          <a:lstStyle/>
          <a:p>
            <a:pPr>
              <a:defRPr lang="en-IN" sz="900" b="0" cap="none" baseline="0">
                <a:latin typeface="Palatino Linotype" panose="02040502050505030304" pitchFamily="18" charset="0"/>
              </a:defRPr>
            </a:pPr>
            <a:endParaRPr lang="en-US"/>
          </a:p>
        </c:txPr>
        <c:crossAx val="813061976"/>
        <c:crosses val="autoZero"/>
        <c:auto val="1"/>
        <c:lblOffset val="100"/>
        <c:baseTimeUnit val="months"/>
      </c:dateAx>
      <c:valAx>
        <c:axId val="813061976"/>
        <c:scaling>
          <c:orientation val="minMax"/>
        </c:scaling>
        <c:delete val="1"/>
        <c:axPos val="l"/>
        <c:title>
          <c:tx>
            <c:rich>
              <a:bodyPr/>
              <a:lstStyle/>
              <a:p>
                <a:pPr>
                  <a:defRPr b="0"/>
                </a:pPr>
                <a:r>
                  <a:rPr lang="en-GB" sz="900" b="0" i="0" u="none" strike="noStrike" baseline="0">
                    <a:effectLst/>
                  </a:rPr>
                  <a:t>₹</a:t>
                </a:r>
                <a:r>
                  <a:rPr lang="en-US" sz="900" b="0" i="0" u="none" strike="noStrike" baseline="0">
                    <a:effectLst/>
                  </a:rPr>
                  <a:t> Crore</a:t>
                </a:r>
                <a:endParaRPr lang="en-IN" b="0"/>
              </a:p>
            </c:rich>
          </c:tx>
          <c:layout>
            <c:manualLayout>
              <c:xMode val="edge"/>
              <c:yMode val="edge"/>
              <c:x val="7.0027645634318444E-3"/>
              <c:y val="0.44308240390259701"/>
            </c:manualLayout>
          </c:layout>
          <c:overlay val="0"/>
        </c:title>
        <c:numFmt formatCode="#,##0;\-#,##0;0" sourceLinked="1"/>
        <c:majorTickMark val="out"/>
        <c:minorTickMark val="none"/>
        <c:tickLblPos val="none"/>
        <c:crossAx val="813064328"/>
        <c:crosses val="autoZero"/>
        <c:crossBetween val="between"/>
      </c:valAx>
    </c:plotArea>
    <c:legend>
      <c:legendPos val="b"/>
      <c:layout>
        <c:manualLayout>
          <c:xMode val="edge"/>
          <c:yMode val="edge"/>
          <c:x val="0.41481370554218189"/>
          <c:y val="0.9144460100382189"/>
          <c:w val="0.23932982707201275"/>
          <c:h val="6.8697515018857125E-2"/>
        </c:manualLayout>
      </c:layout>
      <c:overlay val="0"/>
      <c:spPr>
        <a:ln w="3175">
          <a:noFill/>
        </a:ln>
      </c:spPr>
      <c:txPr>
        <a:bodyPr/>
        <a:lstStyle/>
        <a:p>
          <a:pPr>
            <a:defRPr lang="en-IN"/>
          </a:pPr>
          <a:endParaRPr lang="en-US"/>
        </a:p>
      </c:txPr>
    </c:legend>
    <c:plotVisOnly val="1"/>
    <c:dispBlanksAs val="gap"/>
    <c:showDLblsOverMax val="0"/>
  </c:chart>
  <c:spPr>
    <a:ln w="3175">
      <a:solidFill>
        <a:schemeClr val="bg1">
          <a:lumMod val="50000"/>
        </a:schemeClr>
      </a:solidFill>
    </a:ln>
  </c:spPr>
  <c:txPr>
    <a:bodyPr/>
    <a:lstStyle/>
    <a:p>
      <a:pPr>
        <a:defRPr sz="900" b="1" i="0" baseline="0">
          <a:latin typeface="Garamond" pitchFamily="18" charset="0"/>
        </a:defRPr>
      </a:pPr>
      <a:endParaRPr lang="en-US"/>
    </a:p>
  </c:txPr>
  <c:externalData r:id="rId2">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manualLayout>
          <c:layoutTarget val="inner"/>
          <c:xMode val="edge"/>
          <c:yMode val="edge"/>
          <c:x val="0.11145221495188128"/>
          <c:y val="8.3213208096295871E-2"/>
          <c:w val="0.8669348154280625"/>
          <c:h val="0.63075264109688545"/>
        </c:manualLayout>
      </c:layout>
      <c:barChart>
        <c:barDir val="col"/>
        <c:grouping val="clustered"/>
        <c:varyColors val="0"/>
        <c:ser>
          <c:idx val="0"/>
          <c:order val="0"/>
          <c:tx>
            <c:strRef>
              <c:f>'F11'!$B$2</c:f>
              <c:strCache>
                <c:ptCount val="1"/>
                <c:pt idx="0">
                  <c:v>Equity</c:v>
                </c:pt>
              </c:strCache>
            </c:strRef>
          </c:tx>
          <c:spPr>
            <a:solidFill>
              <a:srgbClr val="FF0000"/>
            </a:solidFill>
          </c:spPr>
          <c:invertIfNegative val="0"/>
          <c:cat>
            <c:numRef>
              <c:f>'F11'!$A$9:$A$20</c:f>
              <c:numCache>
                <c:formatCode>[$-409]mmm\-yy</c:formatCode>
                <c:ptCount val="12"/>
                <c:pt idx="0">
                  <c:v>43739</c:v>
                </c:pt>
                <c:pt idx="1">
                  <c:v>43770</c:v>
                </c:pt>
                <c:pt idx="2">
                  <c:v>43800</c:v>
                </c:pt>
                <c:pt idx="3">
                  <c:v>43840</c:v>
                </c:pt>
                <c:pt idx="4">
                  <c:v>43871</c:v>
                </c:pt>
                <c:pt idx="5">
                  <c:v>43900</c:v>
                </c:pt>
                <c:pt idx="6">
                  <c:v>43931</c:v>
                </c:pt>
                <c:pt idx="7">
                  <c:v>43961</c:v>
                </c:pt>
                <c:pt idx="8">
                  <c:v>43992</c:v>
                </c:pt>
                <c:pt idx="9">
                  <c:v>44022</c:v>
                </c:pt>
                <c:pt idx="10">
                  <c:v>44053</c:v>
                </c:pt>
                <c:pt idx="11">
                  <c:v>44084</c:v>
                </c:pt>
              </c:numCache>
            </c:numRef>
          </c:cat>
          <c:val>
            <c:numRef>
              <c:f>'F11'!$B$9:$B$20</c:f>
              <c:numCache>
                <c:formatCode>[&gt;9999999]##\,##\,##\,##0;[&gt;99999]##\,##\,##0;##,##0</c:formatCode>
                <c:ptCount val="12"/>
                <c:pt idx="0">
                  <c:v>3386.45</c:v>
                </c:pt>
                <c:pt idx="1">
                  <c:v>-5097.4399999999996</c:v>
                </c:pt>
                <c:pt idx="2">
                  <c:v>1805.04</c:v>
                </c:pt>
                <c:pt idx="3">
                  <c:v>1384.38</c:v>
                </c:pt>
                <c:pt idx="4">
                  <c:v>9863.2199999999993</c:v>
                </c:pt>
                <c:pt idx="5">
                  <c:v>30285.64</c:v>
                </c:pt>
                <c:pt idx="6">
                  <c:v>7965.5</c:v>
                </c:pt>
                <c:pt idx="7">
                  <c:v>6522.45</c:v>
                </c:pt>
                <c:pt idx="8">
                  <c:v>-501.5</c:v>
                </c:pt>
                <c:pt idx="9">
                  <c:v>-9195.0400000000009</c:v>
                </c:pt>
                <c:pt idx="10">
                  <c:v>-9213.44</c:v>
                </c:pt>
                <c:pt idx="11">
                  <c:v>-4134.37</c:v>
                </c:pt>
              </c:numCache>
            </c:numRef>
          </c:val>
          <c:extLst xmlns:c16r2="http://schemas.microsoft.com/office/drawing/2015/06/chart">
            <c:ext xmlns:c16="http://schemas.microsoft.com/office/drawing/2014/chart" uri="{C3380CC4-5D6E-409C-BE32-E72D297353CC}">
              <c16:uniqueId val="{00000000-5DBE-4040-9E07-E248C0784101}"/>
            </c:ext>
          </c:extLst>
        </c:ser>
        <c:ser>
          <c:idx val="1"/>
          <c:order val="1"/>
          <c:tx>
            <c:strRef>
              <c:f>'F11'!$C$2</c:f>
              <c:strCache>
                <c:ptCount val="1"/>
                <c:pt idx="0">
                  <c:v>Debt</c:v>
                </c:pt>
              </c:strCache>
            </c:strRef>
          </c:tx>
          <c:spPr>
            <a:solidFill>
              <a:srgbClr val="00B050"/>
            </a:solidFill>
          </c:spPr>
          <c:invertIfNegative val="0"/>
          <c:cat>
            <c:numRef>
              <c:f>'F11'!$A$9:$A$20</c:f>
              <c:numCache>
                <c:formatCode>[$-409]mmm\-yy</c:formatCode>
                <c:ptCount val="12"/>
                <c:pt idx="0">
                  <c:v>43739</c:v>
                </c:pt>
                <c:pt idx="1">
                  <c:v>43770</c:v>
                </c:pt>
                <c:pt idx="2">
                  <c:v>43800</c:v>
                </c:pt>
                <c:pt idx="3">
                  <c:v>43840</c:v>
                </c:pt>
                <c:pt idx="4">
                  <c:v>43871</c:v>
                </c:pt>
                <c:pt idx="5">
                  <c:v>43900</c:v>
                </c:pt>
                <c:pt idx="6">
                  <c:v>43931</c:v>
                </c:pt>
                <c:pt idx="7">
                  <c:v>43961</c:v>
                </c:pt>
                <c:pt idx="8">
                  <c:v>43992</c:v>
                </c:pt>
                <c:pt idx="9">
                  <c:v>44022</c:v>
                </c:pt>
                <c:pt idx="10">
                  <c:v>44053</c:v>
                </c:pt>
                <c:pt idx="11">
                  <c:v>44084</c:v>
                </c:pt>
              </c:numCache>
            </c:numRef>
          </c:cat>
          <c:val>
            <c:numRef>
              <c:f>'F11'!$C$9:$C$20</c:f>
              <c:numCache>
                <c:formatCode>[&gt;9999999]##\,##\,##\,##0;[&gt;99999]##\,##\,##0;##,##0</c:formatCode>
                <c:ptCount val="12"/>
                <c:pt idx="0">
                  <c:v>42294.13</c:v>
                </c:pt>
                <c:pt idx="1">
                  <c:v>41014.559999999998</c:v>
                </c:pt>
                <c:pt idx="2">
                  <c:v>45492.51</c:v>
                </c:pt>
                <c:pt idx="3">
                  <c:v>32193.26</c:v>
                </c:pt>
                <c:pt idx="4">
                  <c:v>18026.73</c:v>
                </c:pt>
                <c:pt idx="5">
                  <c:v>-19645.759999999998</c:v>
                </c:pt>
                <c:pt idx="6">
                  <c:v>9794.5400000000009</c:v>
                </c:pt>
                <c:pt idx="7">
                  <c:v>10699.37</c:v>
                </c:pt>
                <c:pt idx="8">
                  <c:v>41364.71</c:v>
                </c:pt>
                <c:pt idx="9">
                  <c:v>31897.85</c:v>
                </c:pt>
                <c:pt idx="10">
                  <c:v>25780.28</c:v>
                </c:pt>
                <c:pt idx="11">
                  <c:v>17004.97</c:v>
                </c:pt>
              </c:numCache>
            </c:numRef>
          </c:val>
          <c:extLst xmlns:c16r2="http://schemas.microsoft.com/office/drawing/2015/06/chart">
            <c:ext xmlns:c16="http://schemas.microsoft.com/office/drawing/2014/chart" uri="{C3380CC4-5D6E-409C-BE32-E72D297353CC}">
              <c16:uniqueId val="{00000001-5DBE-4040-9E07-E248C0784101}"/>
            </c:ext>
          </c:extLst>
        </c:ser>
        <c:dLbls>
          <c:showLegendKey val="0"/>
          <c:showVal val="0"/>
          <c:showCatName val="0"/>
          <c:showSerName val="0"/>
          <c:showPercent val="0"/>
          <c:showBubbleSize val="0"/>
        </c:dLbls>
        <c:gapWidth val="150"/>
        <c:axId val="813065896"/>
        <c:axId val="813060016"/>
      </c:barChart>
      <c:lineChart>
        <c:grouping val="standard"/>
        <c:varyColors val="0"/>
        <c:ser>
          <c:idx val="2"/>
          <c:order val="2"/>
          <c:tx>
            <c:strRef>
              <c:f>'F11'!$D$2</c:f>
              <c:strCache>
                <c:ptCount val="1"/>
                <c:pt idx="0">
                  <c:v>Total</c:v>
                </c:pt>
              </c:strCache>
            </c:strRef>
          </c:tx>
          <c:spPr>
            <a:ln>
              <a:solidFill>
                <a:srgbClr val="002060"/>
              </a:solidFill>
            </a:ln>
          </c:spPr>
          <c:marker>
            <c:symbol val="diamond"/>
            <c:size val="4"/>
            <c:spPr>
              <a:solidFill>
                <a:schemeClr val="tx2"/>
              </a:solidFill>
              <a:ln cap="sq">
                <a:solidFill>
                  <a:schemeClr val="tx2"/>
                </a:solidFill>
                <a:bevel/>
                <a:headEnd type="diamond"/>
              </a:ln>
            </c:spPr>
          </c:marker>
          <c:cat>
            <c:numRef>
              <c:f>'F11'!$A$9:$A$20</c:f>
              <c:numCache>
                <c:formatCode>[$-409]mmm\-yy</c:formatCode>
                <c:ptCount val="12"/>
                <c:pt idx="0">
                  <c:v>43739</c:v>
                </c:pt>
                <c:pt idx="1">
                  <c:v>43770</c:v>
                </c:pt>
                <c:pt idx="2">
                  <c:v>43800</c:v>
                </c:pt>
                <c:pt idx="3">
                  <c:v>43840</c:v>
                </c:pt>
                <c:pt idx="4">
                  <c:v>43871</c:v>
                </c:pt>
                <c:pt idx="5">
                  <c:v>43900</c:v>
                </c:pt>
                <c:pt idx="6">
                  <c:v>43931</c:v>
                </c:pt>
                <c:pt idx="7">
                  <c:v>43961</c:v>
                </c:pt>
                <c:pt idx="8">
                  <c:v>43992</c:v>
                </c:pt>
                <c:pt idx="9">
                  <c:v>44022</c:v>
                </c:pt>
                <c:pt idx="10">
                  <c:v>44053</c:v>
                </c:pt>
                <c:pt idx="11">
                  <c:v>44084</c:v>
                </c:pt>
              </c:numCache>
            </c:numRef>
          </c:cat>
          <c:val>
            <c:numRef>
              <c:f>'F11'!$D$9:$D$20</c:f>
              <c:numCache>
                <c:formatCode>[&gt;9999999]##\,##\,##\,##0;[&gt;99999]##\,##\,##0;##,##0</c:formatCode>
                <c:ptCount val="12"/>
                <c:pt idx="0">
                  <c:v>45680.579999999994</c:v>
                </c:pt>
                <c:pt idx="1">
                  <c:v>35917.119999999995</c:v>
                </c:pt>
                <c:pt idx="2">
                  <c:v>47297.55</c:v>
                </c:pt>
                <c:pt idx="3">
                  <c:v>33577.64</c:v>
                </c:pt>
                <c:pt idx="4">
                  <c:v>27889.949999999997</c:v>
                </c:pt>
                <c:pt idx="5">
                  <c:v>10639.880000000001</c:v>
                </c:pt>
                <c:pt idx="6">
                  <c:v>17760.04</c:v>
                </c:pt>
                <c:pt idx="7">
                  <c:v>17221.82</c:v>
                </c:pt>
                <c:pt idx="8">
                  <c:v>40863.21</c:v>
                </c:pt>
                <c:pt idx="9">
                  <c:v>22702.809999999998</c:v>
                </c:pt>
                <c:pt idx="10">
                  <c:v>16566.839999999997</c:v>
                </c:pt>
                <c:pt idx="11">
                  <c:v>12870.600000000002</c:v>
                </c:pt>
              </c:numCache>
            </c:numRef>
          </c:val>
          <c:smooth val="0"/>
          <c:extLst xmlns:c16r2="http://schemas.microsoft.com/office/drawing/2015/06/chart">
            <c:ext xmlns:c16="http://schemas.microsoft.com/office/drawing/2014/chart" uri="{C3380CC4-5D6E-409C-BE32-E72D297353CC}">
              <c16:uniqueId val="{00000002-5DBE-4040-9E07-E248C0784101}"/>
            </c:ext>
          </c:extLst>
        </c:ser>
        <c:dLbls>
          <c:showLegendKey val="0"/>
          <c:showVal val="0"/>
          <c:showCatName val="0"/>
          <c:showSerName val="0"/>
          <c:showPercent val="0"/>
          <c:showBubbleSize val="0"/>
        </c:dLbls>
        <c:marker val="1"/>
        <c:smooth val="0"/>
        <c:axId val="813065896"/>
        <c:axId val="813060016"/>
      </c:lineChart>
      <c:catAx>
        <c:axId val="813065896"/>
        <c:scaling>
          <c:orientation val="minMax"/>
        </c:scaling>
        <c:delete val="0"/>
        <c:axPos val="b"/>
        <c:numFmt formatCode="[$-409]mmm\-yy" sourceLinked="1"/>
        <c:majorTickMark val="none"/>
        <c:minorTickMark val="none"/>
        <c:tickLblPos val="low"/>
        <c:txPr>
          <a:bodyPr rot="-5400000" vert="horz"/>
          <a:lstStyle/>
          <a:p>
            <a:pPr>
              <a:defRPr b="0"/>
            </a:pPr>
            <a:endParaRPr lang="en-US"/>
          </a:p>
        </c:txPr>
        <c:crossAx val="813060016"/>
        <c:crosses val="autoZero"/>
        <c:auto val="0"/>
        <c:lblAlgn val="ctr"/>
        <c:lblOffset val="1"/>
        <c:noMultiLvlLbl val="0"/>
      </c:catAx>
      <c:valAx>
        <c:axId val="813060016"/>
        <c:scaling>
          <c:orientation val="minMax"/>
          <c:max val="70000"/>
          <c:min val="-20000"/>
        </c:scaling>
        <c:delete val="0"/>
        <c:axPos val="l"/>
        <c:title>
          <c:tx>
            <c:rich>
              <a:bodyPr/>
              <a:lstStyle/>
              <a:p>
                <a:pPr>
                  <a:defRPr/>
                </a:pPr>
                <a:r>
                  <a:rPr lang="en-GB" sz="900" b="0" i="0" baseline="0">
                    <a:effectLst/>
                  </a:rPr>
                  <a:t>₹</a:t>
                </a:r>
                <a:r>
                  <a:rPr lang="en-US" sz="900" b="0" i="0" baseline="0">
                    <a:effectLst/>
                  </a:rPr>
                  <a:t> crore</a:t>
                </a:r>
                <a:endParaRPr lang="en-IN" sz="900">
                  <a:effectLst/>
                </a:endParaRPr>
              </a:p>
            </c:rich>
          </c:tx>
          <c:layout>
            <c:manualLayout>
              <c:xMode val="edge"/>
              <c:yMode val="edge"/>
              <c:x val="0"/>
              <c:y val="0.37212440503008865"/>
            </c:manualLayout>
          </c:layout>
          <c:overlay val="0"/>
        </c:title>
        <c:numFmt formatCode="[&gt;9999999]##\,##\,##\,##0;[&gt;99999]##\,##\,##0;##,##0" sourceLinked="1"/>
        <c:majorTickMark val="out"/>
        <c:minorTickMark val="none"/>
        <c:tickLblPos val="nextTo"/>
        <c:spPr>
          <a:ln>
            <a:noFill/>
          </a:ln>
        </c:spPr>
        <c:txPr>
          <a:bodyPr/>
          <a:lstStyle/>
          <a:p>
            <a:pPr>
              <a:defRPr b="0"/>
            </a:pPr>
            <a:endParaRPr lang="en-US"/>
          </a:p>
        </c:txPr>
        <c:crossAx val="813065896"/>
        <c:crosses val="autoZero"/>
        <c:crossBetween val="between"/>
        <c:majorUnit val="10000"/>
      </c:valAx>
    </c:plotArea>
    <c:legend>
      <c:legendPos val="b"/>
      <c:layout>
        <c:manualLayout>
          <c:xMode val="edge"/>
          <c:yMode val="edge"/>
          <c:x val="0.27249453819226865"/>
          <c:y val="0.89266853845790795"/>
          <c:w val="0.47305882728441651"/>
          <c:h val="6.9774466716542874E-2"/>
        </c:manualLayout>
      </c:layout>
      <c:overlay val="0"/>
      <c:spPr>
        <a:noFill/>
        <a:ln w="3175">
          <a:noFill/>
        </a:ln>
      </c:spPr>
      <c:txPr>
        <a:bodyPr/>
        <a:lstStyle/>
        <a:p>
          <a:pPr>
            <a:defRPr b="0"/>
          </a:pPr>
          <a:endParaRPr lang="en-US"/>
        </a:p>
      </c:txPr>
    </c:legend>
    <c:plotVisOnly val="1"/>
    <c:dispBlanksAs val="gap"/>
    <c:showDLblsOverMax val="0"/>
  </c:chart>
  <c:spPr>
    <a:solidFill>
      <a:schemeClr val="bg1"/>
    </a:solidFill>
    <a:ln w="3175">
      <a:solidFill>
        <a:schemeClr val="bg1">
          <a:lumMod val="50000"/>
        </a:schemeClr>
      </a:solidFill>
    </a:ln>
  </c:spPr>
  <c:txPr>
    <a:bodyPr/>
    <a:lstStyle/>
    <a:p>
      <a:pPr>
        <a:defRPr sz="900" b="1" i="0" baseline="0">
          <a:latin typeface="Palatino Linotype" panose="02040502050505030304" pitchFamily="18" charset="0"/>
        </a:defRPr>
      </a:pPr>
      <a:endParaRPr lang="en-US"/>
    </a:p>
  </c:txPr>
  <c:externalData r:id="rId2">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4732935239203335"/>
          <c:y val="8.1861646885150491E-2"/>
          <c:w val="0.83013306049462665"/>
          <c:h val="0.77243083341247287"/>
        </c:manualLayout>
      </c:layout>
      <c:barChart>
        <c:barDir val="col"/>
        <c:grouping val="clustered"/>
        <c:varyColors val="0"/>
        <c:ser>
          <c:idx val="0"/>
          <c:order val="0"/>
          <c:tx>
            <c:strRef>
              <c:f>'F 12'!$B$3</c:f>
              <c:strCache>
                <c:ptCount val="1"/>
                <c:pt idx="0">
                  <c:v>Equity </c:v>
                </c:pt>
              </c:strCache>
            </c:strRef>
          </c:tx>
          <c:spPr>
            <a:solidFill>
              <a:schemeClr val="accent1"/>
            </a:solidFill>
            <a:ln>
              <a:noFill/>
            </a:ln>
            <a:effectLst/>
          </c:spPr>
          <c:invertIfNegative val="0"/>
          <c:cat>
            <c:numRef>
              <c:f>'F 12'!$A$10:$A$21</c:f>
              <c:numCache>
                <c:formatCode>[$-409]mmm\-yy</c:formatCode>
                <c:ptCount val="12"/>
                <c:pt idx="0">
                  <c:v>43739</c:v>
                </c:pt>
                <c:pt idx="1">
                  <c:v>43770</c:v>
                </c:pt>
                <c:pt idx="2">
                  <c:v>43800</c:v>
                </c:pt>
                <c:pt idx="3">
                  <c:v>43840</c:v>
                </c:pt>
                <c:pt idx="4">
                  <c:v>43871</c:v>
                </c:pt>
                <c:pt idx="5">
                  <c:v>43900</c:v>
                </c:pt>
                <c:pt idx="6">
                  <c:v>43931</c:v>
                </c:pt>
                <c:pt idx="7">
                  <c:v>43961</c:v>
                </c:pt>
                <c:pt idx="8">
                  <c:v>43992</c:v>
                </c:pt>
                <c:pt idx="9">
                  <c:v>44022</c:v>
                </c:pt>
                <c:pt idx="10">
                  <c:v>44053</c:v>
                </c:pt>
                <c:pt idx="11">
                  <c:v>44084</c:v>
                </c:pt>
              </c:numCache>
            </c:numRef>
          </c:cat>
          <c:val>
            <c:numRef>
              <c:f>'F 12'!$B$10:$B$21</c:f>
              <c:numCache>
                <c:formatCode>#,##0</c:formatCode>
                <c:ptCount val="12"/>
                <c:pt idx="0">
                  <c:v>12368</c:v>
                </c:pt>
                <c:pt idx="1">
                  <c:v>25231</c:v>
                </c:pt>
                <c:pt idx="2">
                  <c:v>7338</c:v>
                </c:pt>
                <c:pt idx="3">
                  <c:v>12123</c:v>
                </c:pt>
                <c:pt idx="4">
                  <c:v>1820</c:v>
                </c:pt>
                <c:pt idx="5">
                  <c:v>-61973</c:v>
                </c:pt>
                <c:pt idx="6">
                  <c:v>-6884</c:v>
                </c:pt>
                <c:pt idx="7">
                  <c:v>14568.77</c:v>
                </c:pt>
                <c:pt idx="8">
                  <c:v>21831.62</c:v>
                </c:pt>
                <c:pt idx="9">
                  <c:v>7562.71</c:v>
                </c:pt>
                <c:pt idx="10">
                  <c:v>47080</c:v>
                </c:pt>
                <c:pt idx="11">
                  <c:v>-7783</c:v>
                </c:pt>
              </c:numCache>
            </c:numRef>
          </c:val>
          <c:extLst xmlns:c16r2="http://schemas.microsoft.com/office/drawing/2015/06/chart">
            <c:ext xmlns:c16="http://schemas.microsoft.com/office/drawing/2014/chart" uri="{C3380CC4-5D6E-409C-BE32-E72D297353CC}">
              <c16:uniqueId val="{00000000-E7B3-4622-8050-FB9AD65E7EA8}"/>
            </c:ext>
          </c:extLst>
        </c:ser>
        <c:ser>
          <c:idx val="1"/>
          <c:order val="1"/>
          <c:tx>
            <c:strRef>
              <c:f>'F 12'!$C$3</c:f>
              <c:strCache>
                <c:ptCount val="1"/>
                <c:pt idx="0">
                  <c:v>Debt </c:v>
                </c:pt>
              </c:strCache>
            </c:strRef>
          </c:tx>
          <c:spPr>
            <a:solidFill>
              <a:schemeClr val="accent2"/>
            </a:solidFill>
            <a:ln>
              <a:noFill/>
            </a:ln>
            <a:effectLst/>
          </c:spPr>
          <c:invertIfNegative val="0"/>
          <c:cat>
            <c:numRef>
              <c:f>'F 12'!$A$10:$A$21</c:f>
              <c:numCache>
                <c:formatCode>[$-409]mmm\-yy</c:formatCode>
                <c:ptCount val="12"/>
                <c:pt idx="0">
                  <c:v>43739</c:v>
                </c:pt>
                <c:pt idx="1">
                  <c:v>43770</c:v>
                </c:pt>
                <c:pt idx="2">
                  <c:v>43800</c:v>
                </c:pt>
                <c:pt idx="3">
                  <c:v>43840</c:v>
                </c:pt>
                <c:pt idx="4">
                  <c:v>43871</c:v>
                </c:pt>
                <c:pt idx="5">
                  <c:v>43900</c:v>
                </c:pt>
                <c:pt idx="6">
                  <c:v>43931</c:v>
                </c:pt>
                <c:pt idx="7">
                  <c:v>43961</c:v>
                </c:pt>
                <c:pt idx="8">
                  <c:v>43992</c:v>
                </c:pt>
                <c:pt idx="9">
                  <c:v>44022</c:v>
                </c:pt>
                <c:pt idx="10">
                  <c:v>44053</c:v>
                </c:pt>
                <c:pt idx="11">
                  <c:v>44084</c:v>
                </c:pt>
              </c:numCache>
            </c:numRef>
          </c:cat>
          <c:val>
            <c:numRef>
              <c:f>'F 12'!$C$10:$C$21</c:f>
              <c:numCache>
                <c:formatCode>#,##0</c:formatCode>
                <c:ptCount val="12"/>
                <c:pt idx="0">
                  <c:v>3670</c:v>
                </c:pt>
                <c:pt idx="1">
                  <c:v>-2358</c:v>
                </c:pt>
                <c:pt idx="2">
                  <c:v>-4616</c:v>
                </c:pt>
                <c:pt idx="3">
                  <c:v>-11119</c:v>
                </c:pt>
                <c:pt idx="4">
                  <c:v>4734</c:v>
                </c:pt>
                <c:pt idx="5">
                  <c:v>-56211</c:v>
                </c:pt>
                <c:pt idx="6">
                  <c:v>-8519</c:v>
                </c:pt>
                <c:pt idx="7">
                  <c:v>-21935.37</c:v>
                </c:pt>
                <c:pt idx="8">
                  <c:v>2220.75</c:v>
                </c:pt>
                <c:pt idx="9">
                  <c:v>-4261.9799999999996</c:v>
                </c:pt>
                <c:pt idx="10">
                  <c:v>-548</c:v>
                </c:pt>
                <c:pt idx="11">
                  <c:v>4364</c:v>
                </c:pt>
              </c:numCache>
            </c:numRef>
          </c:val>
          <c:extLst xmlns:c16r2="http://schemas.microsoft.com/office/drawing/2015/06/chart">
            <c:ext xmlns:c16="http://schemas.microsoft.com/office/drawing/2014/chart" uri="{C3380CC4-5D6E-409C-BE32-E72D297353CC}">
              <c16:uniqueId val="{00000001-E7B3-4622-8050-FB9AD65E7EA8}"/>
            </c:ext>
          </c:extLst>
        </c:ser>
        <c:dLbls>
          <c:showLegendKey val="0"/>
          <c:showVal val="0"/>
          <c:showCatName val="0"/>
          <c:showSerName val="0"/>
          <c:showPercent val="0"/>
          <c:showBubbleSize val="0"/>
        </c:dLbls>
        <c:gapWidth val="150"/>
        <c:axId val="813060800"/>
        <c:axId val="813063152"/>
      </c:barChart>
      <c:lineChart>
        <c:grouping val="standard"/>
        <c:varyColors val="0"/>
        <c:ser>
          <c:idx val="2"/>
          <c:order val="2"/>
          <c:tx>
            <c:strRef>
              <c:f>'F 12'!$D$3</c:f>
              <c:strCache>
                <c:ptCount val="1"/>
                <c:pt idx="0">
                  <c:v>Hybrid </c:v>
                </c:pt>
              </c:strCache>
            </c:strRef>
          </c:tx>
          <c:spPr>
            <a:ln w="28575" cap="rnd">
              <a:solidFill>
                <a:schemeClr val="accent3"/>
              </a:solidFill>
              <a:round/>
            </a:ln>
            <a:effectLst/>
          </c:spPr>
          <c:marker>
            <c:symbol val="none"/>
          </c:marker>
          <c:cat>
            <c:numRef>
              <c:f>'F 12'!$A$10:$A$21</c:f>
              <c:numCache>
                <c:formatCode>[$-409]mmm\-yy</c:formatCode>
                <c:ptCount val="12"/>
                <c:pt idx="0">
                  <c:v>43739</c:v>
                </c:pt>
                <c:pt idx="1">
                  <c:v>43770</c:v>
                </c:pt>
                <c:pt idx="2">
                  <c:v>43800</c:v>
                </c:pt>
                <c:pt idx="3">
                  <c:v>43840</c:v>
                </c:pt>
                <c:pt idx="4">
                  <c:v>43871</c:v>
                </c:pt>
                <c:pt idx="5">
                  <c:v>43900</c:v>
                </c:pt>
                <c:pt idx="6">
                  <c:v>43931</c:v>
                </c:pt>
                <c:pt idx="7">
                  <c:v>43961</c:v>
                </c:pt>
                <c:pt idx="8">
                  <c:v>43992</c:v>
                </c:pt>
                <c:pt idx="9">
                  <c:v>44022</c:v>
                </c:pt>
                <c:pt idx="10">
                  <c:v>44053</c:v>
                </c:pt>
                <c:pt idx="11">
                  <c:v>44084</c:v>
                </c:pt>
              </c:numCache>
            </c:numRef>
          </c:cat>
          <c:val>
            <c:numRef>
              <c:f>'F 12'!$D$10:$D$21</c:f>
              <c:numCache>
                <c:formatCode>#,##0</c:formatCode>
                <c:ptCount val="12"/>
                <c:pt idx="0">
                  <c:v>31</c:v>
                </c:pt>
                <c:pt idx="1">
                  <c:v>126</c:v>
                </c:pt>
                <c:pt idx="2">
                  <c:v>40</c:v>
                </c:pt>
                <c:pt idx="3">
                  <c:v>-46</c:v>
                </c:pt>
                <c:pt idx="4">
                  <c:v>2416</c:v>
                </c:pt>
                <c:pt idx="5">
                  <c:v>-19</c:v>
                </c:pt>
                <c:pt idx="6">
                  <c:v>544</c:v>
                </c:pt>
                <c:pt idx="7">
                  <c:v>10.75</c:v>
                </c:pt>
                <c:pt idx="8">
                  <c:v>1957.06</c:v>
                </c:pt>
                <c:pt idx="9">
                  <c:v>0.71</c:v>
                </c:pt>
                <c:pt idx="10">
                  <c:v>3347</c:v>
                </c:pt>
                <c:pt idx="11">
                  <c:v>2222</c:v>
                </c:pt>
              </c:numCache>
            </c:numRef>
          </c:val>
          <c:smooth val="0"/>
          <c:extLst xmlns:c16r2="http://schemas.microsoft.com/office/drawing/2015/06/chart">
            <c:ext xmlns:c16="http://schemas.microsoft.com/office/drawing/2014/chart" uri="{C3380CC4-5D6E-409C-BE32-E72D297353CC}">
              <c16:uniqueId val="{00000002-E7B3-4622-8050-FB9AD65E7EA8}"/>
            </c:ext>
          </c:extLst>
        </c:ser>
        <c:ser>
          <c:idx val="3"/>
          <c:order val="3"/>
          <c:tx>
            <c:strRef>
              <c:f>'F 12'!$E$3</c:f>
              <c:strCache>
                <c:ptCount val="1"/>
                <c:pt idx="0">
                  <c:v>Total</c:v>
                </c:pt>
              </c:strCache>
            </c:strRef>
          </c:tx>
          <c:spPr>
            <a:ln w="28575" cap="rnd">
              <a:solidFill>
                <a:schemeClr val="accent4"/>
              </a:solidFill>
              <a:round/>
            </a:ln>
            <a:effectLst/>
          </c:spPr>
          <c:marker>
            <c:symbol val="none"/>
          </c:marker>
          <c:cat>
            <c:numRef>
              <c:f>'F 12'!$A$10:$A$21</c:f>
              <c:numCache>
                <c:formatCode>[$-409]mmm\-yy</c:formatCode>
                <c:ptCount val="12"/>
                <c:pt idx="0">
                  <c:v>43739</c:v>
                </c:pt>
                <c:pt idx="1">
                  <c:v>43770</c:v>
                </c:pt>
                <c:pt idx="2">
                  <c:v>43800</c:v>
                </c:pt>
                <c:pt idx="3">
                  <c:v>43840</c:v>
                </c:pt>
                <c:pt idx="4">
                  <c:v>43871</c:v>
                </c:pt>
                <c:pt idx="5">
                  <c:v>43900</c:v>
                </c:pt>
                <c:pt idx="6">
                  <c:v>43931</c:v>
                </c:pt>
                <c:pt idx="7">
                  <c:v>43961</c:v>
                </c:pt>
                <c:pt idx="8">
                  <c:v>43992</c:v>
                </c:pt>
                <c:pt idx="9">
                  <c:v>44022</c:v>
                </c:pt>
                <c:pt idx="10">
                  <c:v>44053</c:v>
                </c:pt>
                <c:pt idx="11">
                  <c:v>44084</c:v>
                </c:pt>
              </c:numCache>
            </c:numRef>
          </c:cat>
          <c:val>
            <c:numRef>
              <c:f>'F 12'!$E$10:$E$21</c:f>
              <c:numCache>
                <c:formatCode>#,##0</c:formatCode>
                <c:ptCount val="12"/>
                <c:pt idx="0">
                  <c:v>16069</c:v>
                </c:pt>
                <c:pt idx="1">
                  <c:v>22999</c:v>
                </c:pt>
                <c:pt idx="2">
                  <c:v>2762</c:v>
                </c:pt>
                <c:pt idx="3">
                  <c:v>957</c:v>
                </c:pt>
                <c:pt idx="4">
                  <c:v>8970</c:v>
                </c:pt>
                <c:pt idx="5">
                  <c:v>-118203</c:v>
                </c:pt>
                <c:pt idx="6">
                  <c:v>-14859</c:v>
                </c:pt>
                <c:pt idx="7">
                  <c:v>-7355.8499999999985</c:v>
                </c:pt>
                <c:pt idx="8">
                  <c:v>26009.43</c:v>
                </c:pt>
                <c:pt idx="9">
                  <c:v>3301.4400000000005</c:v>
                </c:pt>
                <c:pt idx="10">
                  <c:v>49879</c:v>
                </c:pt>
                <c:pt idx="11">
                  <c:v>-1197</c:v>
                </c:pt>
              </c:numCache>
            </c:numRef>
          </c:val>
          <c:smooth val="0"/>
          <c:extLst xmlns:c16r2="http://schemas.microsoft.com/office/drawing/2015/06/chart">
            <c:ext xmlns:c16="http://schemas.microsoft.com/office/drawing/2014/chart" uri="{C3380CC4-5D6E-409C-BE32-E72D297353CC}">
              <c16:uniqueId val="{00000003-E7B3-4622-8050-FB9AD65E7EA8}"/>
            </c:ext>
          </c:extLst>
        </c:ser>
        <c:dLbls>
          <c:showLegendKey val="0"/>
          <c:showVal val="0"/>
          <c:showCatName val="0"/>
          <c:showSerName val="0"/>
          <c:showPercent val="0"/>
          <c:showBubbleSize val="0"/>
        </c:dLbls>
        <c:marker val="1"/>
        <c:smooth val="0"/>
        <c:axId val="813060800"/>
        <c:axId val="813063152"/>
      </c:lineChart>
      <c:dateAx>
        <c:axId val="813060800"/>
        <c:scaling>
          <c:orientation val="minMax"/>
        </c:scaling>
        <c:delete val="0"/>
        <c:axPos val="b"/>
        <c:numFmt formatCode="[$-409]mmm\-yy" sourceLinked="1"/>
        <c:majorTickMark val="out"/>
        <c:minorTickMark val="none"/>
        <c:tickLblPos val="nextTo"/>
        <c:spPr>
          <a:noFill/>
          <a:ln w="9525" cap="flat" cmpd="sng" algn="ctr">
            <a:solidFill>
              <a:schemeClr val="tx1">
                <a:lumMod val="15000"/>
                <a:lumOff val="85000"/>
              </a:schemeClr>
            </a:solidFill>
            <a:round/>
          </a:ln>
          <a:effectLst/>
        </c:spPr>
        <c:txPr>
          <a:bodyPr rot="-5400000" spcFirstLastPara="1" vertOverflow="ellipsis"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crossAx val="813063152"/>
        <c:crosses val="autoZero"/>
        <c:auto val="1"/>
        <c:lblOffset val="100"/>
        <c:baseTimeUnit val="months"/>
      </c:dateAx>
      <c:valAx>
        <c:axId val="813063152"/>
        <c:scaling>
          <c:orientation val="minMax"/>
          <c:min val="-12000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ysClr val="windowText" lastClr="000000"/>
                    </a:solidFill>
                    <a:latin typeface="+mn-lt"/>
                    <a:ea typeface="+mn-ea"/>
                    <a:cs typeface="+mn-cs"/>
                  </a:defRPr>
                </a:pPr>
                <a:r>
                  <a:rPr lang="en-GB" sz="1000" b="0" i="0" u="none" strike="noStrike" baseline="0">
                    <a:effectLst/>
                  </a:rPr>
                  <a:t>₹</a:t>
                </a:r>
                <a:r>
                  <a:rPr lang="en-US">
                    <a:solidFill>
                      <a:sysClr val="windowText" lastClr="000000"/>
                    </a:solidFill>
                  </a:rPr>
                  <a:t> crore</a:t>
                </a:r>
              </a:p>
            </c:rich>
          </c:tx>
          <c:overlay val="0"/>
          <c:spPr>
            <a:noFill/>
            <a:ln>
              <a:noFill/>
            </a:ln>
            <a:effectLst/>
          </c:spPr>
          <c:txPr>
            <a:bodyPr rot="-5400000" spcFirstLastPara="1" vertOverflow="ellipsis" vert="horz" wrap="square" anchor="ctr" anchorCtr="1"/>
            <a:lstStyle/>
            <a:p>
              <a:pPr>
                <a:defRPr sz="1000" b="0" i="0" u="none" strike="noStrike" kern="1200" baseline="0">
                  <a:solidFill>
                    <a:sysClr val="windowText" lastClr="000000"/>
                  </a:solidFill>
                  <a:latin typeface="+mn-lt"/>
                  <a:ea typeface="+mn-ea"/>
                  <a:cs typeface="+mn-cs"/>
                </a:defRPr>
              </a:pPr>
              <a:endParaRPr lang="en-US"/>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crossAx val="813060800"/>
        <c:crosses val="autoZero"/>
        <c:crossBetween val="between"/>
        <c:majorUnit val="20000"/>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bg1">
          <a:lumMod val="50000"/>
        </a:schemeClr>
      </a:solidFill>
      <a:round/>
    </a:ln>
    <a:effectLst/>
  </c:spPr>
  <c:txPr>
    <a:bodyPr/>
    <a:lstStyle/>
    <a:p>
      <a:pPr>
        <a:defRPr/>
      </a:pPr>
      <a:endParaRPr lang="en-US"/>
    </a:p>
  </c:txPr>
  <c:externalData r:id="rId4">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2032283377463797"/>
          <c:y val="4.6308180203127915E-2"/>
          <c:w val="0.79940171481497913"/>
          <c:h val="0.64955325380847262"/>
        </c:manualLayout>
      </c:layout>
      <c:barChart>
        <c:barDir val="col"/>
        <c:grouping val="clustered"/>
        <c:varyColors val="1"/>
        <c:ser>
          <c:idx val="0"/>
          <c:order val="0"/>
          <c:tx>
            <c:strRef>
              <c:f>'F13'!$B$5</c:f>
              <c:strCache>
                <c:ptCount val="1"/>
                <c:pt idx="0">
                  <c:v>Offer Value (LHS)</c:v>
                </c:pt>
              </c:strCache>
            </c:strRef>
          </c:tx>
          <c:spPr>
            <a:solidFill>
              <a:srgbClr val="00B050"/>
            </a:solidFill>
            <a:ln>
              <a:noFill/>
            </a:ln>
          </c:spPr>
          <c:invertIfNegative val="1"/>
          <c:dLbls>
            <c:spPr>
              <a:noFill/>
              <a:ln>
                <a:noFill/>
              </a:ln>
              <a:effectLst/>
            </c:sp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pPr xmlns:c15="http://schemas.microsoft.com/office/drawing/2012/chart">
                  <a:prstGeom prst="rect">
                    <a:avLst/>
                  </a:prstGeom>
                </c15:spPr>
                <c15:showLeaderLines val="0"/>
              </c:ext>
            </c:extLst>
          </c:dLbls>
          <c:cat>
            <c:numRef>
              <c:f>'F13'!$A$12:$A$23</c:f>
              <c:numCache>
                <c:formatCode>[$-409]mmm\-yy</c:formatCode>
                <c:ptCount val="12"/>
                <c:pt idx="0">
                  <c:v>43748</c:v>
                </c:pt>
                <c:pt idx="1">
                  <c:v>43779</c:v>
                </c:pt>
                <c:pt idx="2">
                  <c:v>43809</c:v>
                </c:pt>
                <c:pt idx="3">
                  <c:v>43840</c:v>
                </c:pt>
                <c:pt idx="4">
                  <c:v>43871</c:v>
                </c:pt>
                <c:pt idx="5">
                  <c:v>43900</c:v>
                </c:pt>
                <c:pt idx="6">
                  <c:v>43931</c:v>
                </c:pt>
                <c:pt idx="7">
                  <c:v>43961</c:v>
                </c:pt>
                <c:pt idx="8">
                  <c:v>43992</c:v>
                </c:pt>
                <c:pt idx="9">
                  <c:v>44022</c:v>
                </c:pt>
                <c:pt idx="10">
                  <c:v>44053</c:v>
                </c:pt>
                <c:pt idx="11">
                  <c:v>44084</c:v>
                </c:pt>
              </c:numCache>
            </c:numRef>
          </c:cat>
          <c:val>
            <c:numRef>
              <c:f>'F13'!$B$12:$B$23</c:f>
              <c:numCache>
                <c:formatCode>_(* #,##0.0_);_(* \(#,##0.0\);_(* "-"??_);_(@_)</c:formatCode>
                <c:ptCount val="12"/>
                <c:pt idx="0">
                  <c:v>12.77</c:v>
                </c:pt>
                <c:pt idx="1">
                  <c:v>10.23</c:v>
                </c:pt>
                <c:pt idx="2">
                  <c:v>349.02000000000004</c:v>
                </c:pt>
                <c:pt idx="3">
                  <c:v>5078.96</c:v>
                </c:pt>
                <c:pt idx="4">
                  <c:v>20.440000000000001</c:v>
                </c:pt>
                <c:pt idx="5">
                  <c:v>465.13</c:v>
                </c:pt>
                <c:pt idx="6">
                  <c:v>3.72</c:v>
                </c:pt>
                <c:pt idx="7">
                  <c:v>0</c:v>
                </c:pt>
                <c:pt idx="8">
                  <c:v>1088.1099999999999</c:v>
                </c:pt>
                <c:pt idx="9">
                  <c:v>528.16</c:v>
                </c:pt>
                <c:pt idx="10">
                  <c:v>3861.67</c:v>
                </c:pt>
                <c:pt idx="11">
                  <c:v>3010.3900000000003</c:v>
                </c:pt>
              </c:numCache>
            </c:numRef>
          </c:val>
          <c:extLst xmlns:c16r2="http://schemas.microsoft.com/office/drawing/2015/06/chart">
            <c:ext xmlns:c16="http://schemas.microsoft.com/office/drawing/2014/chart" uri="{C3380CC4-5D6E-409C-BE32-E72D297353CC}">
              <c16:uniqueId val="{00000000-430F-40A4-8F95-3983B8F72F92}"/>
            </c:ext>
            <c:ext xmlns:c14="http://schemas.microsoft.com/office/drawing/2007/8/2/chart" uri="{6F2FDCE9-48DA-4B69-8628-5D25D57E5C99}">
              <c14:invertSolidFillFmt>
                <c14:spPr xmlns:c14="http://schemas.microsoft.com/office/drawing/2007/8/2/chart">
                  <a:solidFill>
                    <a:srgbClr val="FFFFFF"/>
                  </a:solidFill>
                  <a:ln>
                    <a:noFill/>
                  </a:ln>
                </c14:spPr>
              </c14:invertSolidFillFmt>
            </c:ext>
          </c:extLst>
        </c:ser>
        <c:dLbls>
          <c:showLegendKey val="0"/>
          <c:showVal val="0"/>
          <c:showCatName val="0"/>
          <c:showSerName val="0"/>
          <c:showPercent val="0"/>
          <c:showBubbleSize val="0"/>
        </c:dLbls>
        <c:gapWidth val="280"/>
        <c:axId val="813062368"/>
        <c:axId val="813065112"/>
      </c:barChart>
      <c:lineChart>
        <c:grouping val="standard"/>
        <c:varyColors val="0"/>
        <c:ser>
          <c:idx val="1"/>
          <c:order val="1"/>
          <c:tx>
            <c:strRef>
              <c:f>'F13'!$C$5</c:f>
              <c:strCache>
                <c:ptCount val="1"/>
                <c:pt idx="0">
                  <c:v>Number of Open Offers (RHS)</c:v>
                </c:pt>
              </c:strCache>
            </c:strRef>
          </c:tx>
          <c:spPr>
            <a:ln w="28575" cmpd="sng">
              <a:solidFill>
                <a:srgbClr val="FF0000"/>
              </a:solidFill>
              <a:prstDash val="solid"/>
            </a:ln>
          </c:spPr>
          <c:marker>
            <c:symbol val="circle"/>
            <c:size val="5"/>
            <c:spPr>
              <a:solidFill>
                <a:srgbClr val="FF0000"/>
              </a:solidFill>
              <a:ln cmpd="sng">
                <a:solidFill>
                  <a:srgbClr val="FF0000"/>
                </a:solidFill>
              </a:ln>
            </c:spPr>
          </c:marker>
          <c:cat>
            <c:numRef>
              <c:f>'F13'!$A$12:$A$23</c:f>
              <c:numCache>
                <c:formatCode>[$-409]mmm\-yy</c:formatCode>
                <c:ptCount val="12"/>
                <c:pt idx="0">
                  <c:v>43748</c:v>
                </c:pt>
                <c:pt idx="1">
                  <c:v>43779</c:v>
                </c:pt>
                <c:pt idx="2">
                  <c:v>43809</c:v>
                </c:pt>
                <c:pt idx="3">
                  <c:v>43840</c:v>
                </c:pt>
                <c:pt idx="4">
                  <c:v>43871</c:v>
                </c:pt>
                <c:pt idx="5">
                  <c:v>43900</c:v>
                </c:pt>
                <c:pt idx="6">
                  <c:v>43931</c:v>
                </c:pt>
                <c:pt idx="7">
                  <c:v>43961</c:v>
                </c:pt>
                <c:pt idx="8">
                  <c:v>43992</c:v>
                </c:pt>
                <c:pt idx="9">
                  <c:v>44022</c:v>
                </c:pt>
                <c:pt idx="10">
                  <c:v>44053</c:v>
                </c:pt>
                <c:pt idx="11">
                  <c:v>44084</c:v>
                </c:pt>
              </c:numCache>
            </c:numRef>
          </c:cat>
          <c:val>
            <c:numRef>
              <c:f>'F13'!$C$12:$C$23</c:f>
              <c:numCache>
                <c:formatCode>[&gt;=10000000]#.#\,##\,##0;[&gt;=100000]#.#\,##0;##,##0</c:formatCode>
                <c:ptCount val="12"/>
                <c:pt idx="0">
                  <c:v>4</c:v>
                </c:pt>
                <c:pt idx="1">
                  <c:v>3</c:v>
                </c:pt>
                <c:pt idx="2">
                  <c:v>3</c:v>
                </c:pt>
                <c:pt idx="3">
                  <c:v>3</c:v>
                </c:pt>
                <c:pt idx="4">
                  <c:v>1</c:v>
                </c:pt>
                <c:pt idx="5">
                  <c:v>7</c:v>
                </c:pt>
                <c:pt idx="6">
                  <c:v>3</c:v>
                </c:pt>
                <c:pt idx="7">
                  <c:v>0</c:v>
                </c:pt>
                <c:pt idx="8">
                  <c:v>4</c:v>
                </c:pt>
                <c:pt idx="9">
                  <c:v>2</c:v>
                </c:pt>
                <c:pt idx="10">
                  <c:v>9</c:v>
                </c:pt>
                <c:pt idx="11">
                  <c:v>6</c:v>
                </c:pt>
              </c:numCache>
            </c:numRef>
          </c:val>
          <c:smooth val="0"/>
          <c:extLst xmlns:c16r2="http://schemas.microsoft.com/office/drawing/2015/06/chart">
            <c:ext xmlns:c16="http://schemas.microsoft.com/office/drawing/2014/chart" uri="{C3380CC4-5D6E-409C-BE32-E72D297353CC}">
              <c16:uniqueId val="{00000001-430F-40A4-8F95-3983B8F72F92}"/>
            </c:ext>
          </c:extLst>
        </c:ser>
        <c:dLbls>
          <c:showLegendKey val="0"/>
          <c:showVal val="0"/>
          <c:showCatName val="0"/>
          <c:showSerName val="0"/>
          <c:showPercent val="0"/>
          <c:showBubbleSize val="0"/>
        </c:dLbls>
        <c:marker val="1"/>
        <c:smooth val="0"/>
        <c:axId val="813062760"/>
        <c:axId val="813063544"/>
      </c:lineChart>
      <c:dateAx>
        <c:axId val="813062368"/>
        <c:scaling>
          <c:orientation val="minMax"/>
        </c:scaling>
        <c:delete val="0"/>
        <c:axPos val="b"/>
        <c:title>
          <c:tx>
            <c:rich>
              <a:bodyPr/>
              <a:lstStyle/>
              <a:p>
                <a:pPr>
                  <a:defRPr/>
                </a:pPr>
                <a:endParaRPr lang="en-IN"/>
              </a:p>
            </c:rich>
          </c:tx>
          <c:overlay val="0"/>
        </c:title>
        <c:numFmt formatCode="[$-409]mmm\-yy" sourceLinked="1"/>
        <c:majorTickMark val="none"/>
        <c:minorTickMark val="none"/>
        <c:tickLblPos val="nextTo"/>
        <c:spPr>
          <a:solidFill>
            <a:srgbClr val="FFFFFF"/>
          </a:solidFill>
          <a:ln w="9525">
            <a:solidFill>
              <a:schemeClr val="tx1">
                <a:shade val="95000"/>
                <a:satMod val="105000"/>
              </a:schemeClr>
            </a:solidFill>
          </a:ln>
        </c:spPr>
        <c:txPr>
          <a:bodyPr rot="-5400000"/>
          <a:lstStyle/>
          <a:p>
            <a:pPr>
              <a:defRPr/>
            </a:pPr>
            <a:endParaRPr lang="en-US"/>
          </a:p>
        </c:txPr>
        <c:crossAx val="813065112"/>
        <c:crosses val="autoZero"/>
        <c:auto val="1"/>
        <c:lblOffset val="100"/>
        <c:baseTimeUnit val="months"/>
      </c:dateAx>
      <c:valAx>
        <c:axId val="813065112"/>
        <c:scaling>
          <c:orientation val="minMax"/>
          <c:min val="0"/>
        </c:scaling>
        <c:delete val="0"/>
        <c:axPos val="l"/>
        <c:title>
          <c:tx>
            <c:rich>
              <a:bodyPr/>
              <a:lstStyle/>
              <a:p>
                <a:pPr>
                  <a:defRPr b="0"/>
                </a:pPr>
                <a:r>
                  <a:rPr lang="en-IN" b="0"/>
                  <a:t>₹ crore</a:t>
                </a:r>
              </a:p>
            </c:rich>
          </c:tx>
          <c:layout>
            <c:manualLayout>
              <c:xMode val="edge"/>
              <c:yMode val="edge"/>
              <c:x val="8.2879445052006524E-3"/>
              <c:y val="0.36157947531625151"/>
            </c:manualLayout>
          </c:layout>
          <c:overlay val="0"/>
        </c:title>
        <c:numFmt formatCode="#,##0" sourceLinked="0"/>
        <c:majorTickMark val="cross"/>
        <c:minorTickMark val="cross"/>
        <c:tickLblPos val="nextTo"/>
        <c:spPr>
          <a:ln w="47625">
            <a:noFill/>
          </a:ln>
        </c:spPr>
        <c:txPr>
          <a:bodyPr rot="0"/>
          <a:lstStyle/>
          <a:p>
            <a:pPr>
              <a:defRPr/>
            </a:pPr>
            <a:endParaRPr lang="en-US"/>
          </a:p>
        </c:txPr>
        <c:crossAx val="813062368"/>
        <c:crosses val="autoZero"/>
        <c:crossBetween val="between"/>
      </c:valAx>
      <c:dateAx>
        <c:axId val="813062760"/>
        <c:scaling>
          <c:orientation val="minMax"/>
        </c:scaling>
        <c:delete val="1"/>
        <c:axPos val="b"/>
        <c:numFmt formatCode="[$-409]mmm\-yy" sourceLinked="1"/>
        <c:majorTickMark val="cross"/>
        <c:minorTickMark val="cross"/>
        <c:tickLblPos val="nextTo"/>
        <c:crossAx val="813063544"/>
        <c:crosses val="autoZero"/>
        <c:auto val="1"/>
        <c:lblOffset val="100"/>
        <c:baseTimeUnit val="months"/>
      </c:dateAx>
      <c:valAx>
        <c:axId val="813063544"/>
        <c:scaling>
          <c:orientation val="minMax"/>
          <c:min val="0"/>
        </c:scaling>
        <c:delete val="0"/>
        <c:axPos val="r"/>
        <c:title>
          <c:tx>
            <c:rich>
              <a:bodyPr rot="5400000" vert="horz"/>
              <a:lstStyle/>
              <a:p>
                <a:pPr>
                  <a:defRPr b="0"/>
                </a:pPr>
                <a:r>
                  <a:rPr lang="en-IN" b="0"/>
                  <a:t>Number</a:t>
                </a:r>
              </a:p>
            </c:rich>
          </c:tx>
          <c:layout>
            <c:manualLayout>
              <c:xMode val="edge"/>
              <c:yMode val="edge"/>
              <c:x val="0.96680645867737003"/>
              <c:y val="0.3901065653797765"/>
            </c:manualLayout>
          </c:layout>
          <c:overlay val="0"/>
        </c:title>
        <c:numFmt formatCode="[&gt;=10000000]#.#\,##\,##0;[&gt;=100000]#.#\,##0;##,##0" sourceLinked="1"/>
        <c:majorTickMark val="cross"/>
        <c:minorTickMark val="cross"/>
        <c:tickLblPos val="nextTo"/>
        <c:spPr>
          <a:ln w="47625">
            <a:noFill/>
          </a:ln>
        </c:spPr>
        <c:crossAx val="813062760"/>
        <c:crosses val="max"/>
        <c:crossBetween val="between"/>
      </c:valAx>
    </c:plotArea>
    <c:legend>
      <c:legendPos val="b"/>
      <c:overlay val="0"/>
    </c:legend>
    <c:plotVisOnly val="1"/>
    <c:dispBlanksAs val="zero"/>
    <c:showDLblsOverMax val="1"/>
  </c:chart>
  <c:spPr>
    <a:solidFill>
      <a:srgbClr val="FFFFFF"/>
    </a:solidFill>
  </c:spPr>
  <c:txPr>
    <a:bodyPr/>
    <a:lstStyle/>
    <a:p>
      <a:pPr>
        <a:defRPr sz="900">
          <a:solidFill>
            <a:sysClr val="windowText" lastClr="000000"/>
          </a:solidFill>
          <a:latin typeface="Palatino Linotype" panose="02040502050505030304" pitchFamily="18" charset="0"/>
        </a:defRPr>
      </a:pPr>
      <a:endParaRPr lang="en-US"/>
    </a:p>
  </c:txPr>
  <c:externalData r:id="rId2">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lineChart>
        <c:grouping val="standard"/>
        <c:varyColors val="0"/>
        <c:ser>
          <c:idx val="0"/>
          <c:order val="0"/>
          <c:tx>
            <c:v>MCX iCOMDEX</c:v>
          </c:tx>
          <c:spPr>
            <a:ln w="28575" cap="rnd">
              <a:solidFill>
                <a:schemeClr val="accent1"/>
              </a:solidFill>
              <a:round/>
            </a:ln>
            <a:effectLst/>
          </c:spPr>
          <c:marker>
            <c:symbol val="none"/>
          </c:marker>
          <c:cat>
            <c:numRef>
              <c:f>Graph!$D$108:$D$130</c:f>
              <c:numCache>
                <c:formatCode>d\-mmm\-yy</c:formatCode>
                <c:ptCount val="23"/>
                <c:pt idx="0">
                  <c:v>44074</c:v>
                </c:pt>
                <c:pt idx="1">
                  <c:v>44075</c:v>
                </c:pt>
                <c:pt idx="2">
                  <c:v>44076</c:v>
                </c:pt>
                <c:pt idx="3">
                  <c:v>44077</c:v>
                </c:pt>
                <c:pt idx="4">
                  <c:v>44078</c:v>
                </c:pt>
                <c:pt idx="5">
                  <c:v>44081</c:v>
                </c:pt>
                <c:pt idx="6">
                  <c:v>44082</c:v>
                </c:pt>
                <c:pt idx="7">
                  <c:v>44083</c:v>
                </c:pt>
                <c:pt idx="8">
                  <c:v>44084</c:v>
                </c:pt>
                <c:pt idx="9">
                  <c:v>44085</c:v>
                </c:pt>
                <c:pt idx="10">
                  <c:v>44088</c:v>
                </c:pt>
                <c:pt idx="11">
                  <c:v>44089</c:v>
                </c:pt>
                <c:pt idx="12">
                  <c:v>44090</c:v>
                </c:pt>
                <c:pt idx="13">
                  <c:v>44091</c:v>
                </c:pt>
                <c:pt idx="14">
                  <c:v>44092</c:v>
                </c:pt>
                <c:pt idx="15">
                  <c:v>44095</c:v>
                </c:pt>
                <c:pt idx="16">
                  <c:v>44096</c:v>
                </c:pt>
                <c:pt idx="17">
                  <c:v>44097</c:v>
                </c:pt>
                <c:pt idx="18">
                  <c:v>44098</c:v>
                </c:pt>
                <c:pt idx="19">
                  <c:v>44099</c:v>
                </c:pt>
                <c:pt idx="20">
                  <c:v>44102</c:v>
                </c:pt>
                <c:pt idx="21">
                  <c:v>44103</c:v>
                </c:pt>
                <c:pt idx="22">
                  <c:v>44104</c:v>
                </c:pt>
              </c:numCache>
            </c:numRef>
          </c:cat>
          <c:val>
            <c:numRef>
              <c:f>Graph!$E$108:$E$130</c:f>
              <c:numCache>
                <c:formatCode>0.00</c:formatCode>
                <c:ptCount val="23"/>
                <c:pt idx="0" formatCode="0.0">
                  <c:v>100</c:v>
                </c:pt>
                <c:pt idx="1">
                  <c:v>99.959618003916958</c:v>
                </c:pt>
                <c:pt idx="2">
                  <c:v>98.625252143032441</c:v>
                </c:pt>
                <c:pt idx="3">
                  <c:v>97.730492709240821</c:v>
                </c:pt>
                <c:pt idx="4">
                  <c:v>97.626457736281125</c:v>
                </c:pt>
                <c:pt idx="5">
                  <c:v>98.212241122560812</c:v>
                </c:pt>
                <c:pt idx="6">
                  <c:v>97.09337627709283</c:v>
                </c:pt>
                <c:pt idx="7">
                  <c:v>97.286681861248226</c:v>
                </c:pt>
                <c:pt idx="8">
                  <c:v>97.275633034232783</c:v>
                </c:pt>
                <c:pt idx="9">
                  <c:v>97.152824833069801</c:v>
                </c:pt>
                <c:pt idx="10">
                  <c:v>97.948535932643196</c:v>
                </c:pt>
                <c:pt idx="11">
                  <c:v>98.390977899412619</c:v>
                </c:pt>
                <c:pt idx="12">
                  <c:v>98.807997786323469</c:v>
                </c:pt>
                <c:pt idx="13">
                  <c:v>98.576559082380214</c:v>
                </c:pt>
                <c:pt idx="14">
                  <c:v>98.834299861254095</c:v>
                </c:pt>
                <c:pt idx="15">
                  <c:v>95.588780258386095</c:v>
                </c:pt>
                <c:pt idx="16">
                  <c:v>95.66445983458047</c:v>
                </c:pt>
                <c:pt idx="17">
                  <c:v>94.298023042182066</c:v>
                </c:pt>
                <c:pt idx="18">
                  <c:v>94.728438409633796</c:v>
                </c:pt>
                <c:pt idx="19">
                  <c:v>94.314449616859932</c:v>
                </c:pt>
                <c:pt idx="20">
                  <c:v>95.406230169555499</c:v>
                </c:pt>
                <c:pt idx="21">
                  <c:v>95.490709696470148</c:v>
                </c:pt>
                <c:pt idx="22">
                  <c:v>94.981779213147519</c:v>
                </c:pt>
              </c:numCache>
            </c:numRef>
          </c:val>
          <c:smooth val="0"/>
          <c:extLst xmlns:c16r2="http://schemas.microsoft.com/office/drawing/2015/06/chart">
            <c:ext xmlns:c16="http://schemas.microsoft.com/office/drawing/2014/chart" uri="{C3380CC4-5D6E-409C-BE32-E72D297353CC}">
              <c16:uniqueId val="{00000000-A5C0-4A2C-A315-930537EA833C}"/>
            </c:ext>
          </c:extLst>
        </c:ser>
        <c:ser>
          <c:idx val="1"/>
          <c:order val="1"/>
          <c:tx>
            <c:v>Nkrishi NCDEX</c:v>
          </c:tx>
          <c:spPr>
            <a:ln w="28575" cap="rnd">
              <a:solidFill>
                <a:schemeClr val="accent2"/>
              </a:solidFill>
              <a:round/>
            </a:ln>
            <a:effectLst/>
          </c:spPr>
          <c:marker>
            <c:symbol val="none"/>
          </c:marker>
          <c:cat>
            <c:numRef>
              <c:f>Graph!$D$108:$D$130</c:f>
              <c:numCache>
                <c:formatCode>d\-mmm\-yy</c:formatCode>
                <c:ptCount val="23"/>
                <c:pt idx="0">
                  <c:v>44074</c:v>
                </c:pt>
                <c:pt idx="1">
                  <c:v>44075</c:v>
                </c:pt>
                <c:pt idx="2">
                  <c:v>44076</c:v>
                </c:pt>
                <c:pt idx="3">
                  <c:v>44077</c:v>
                </c:pt>
                <c:pt idx="4">
                  <c:v>44078</c:v>
                </c:pt>
                <c:pt idx="5">
                  <c:v>44081</c:v>
                </c:pt>
                <c:pt idx="6">
                  <c:v>44082</c:v>
                </c:pt>
                <c:pt idx="7">
                  <c:v>44083</c:v>
                </c:pt>
                <c:pt idx="8">
                  <c:v>44084</c:v>
                </c:pt>
                <c:pt idx="9">
                  <c:v>44085</c:v>
                </c:pt>
                <c:pt idx="10">
                  <c:v>44088</c:v>
                </c:pt>
                <c:pt idx="11">
                  <c:v>44089</c:v>
                </c:pt>
                <c:pt idx="12">
                  <c:v>44090</c:v>
                </c:pt>
                <c:pt idx="13">
                  <c:v>44091</c:v>
                </c:pt>
                <c:pt idx="14">
                  <c:v>44092</c:v>
                </c:pt>
                <c:pt idx="15">
                  <c:v>44095</c:v>
                </c:pt>
                <c:pt idx="16">
                  <c:v>44096</c:v>
                </c:pt>
                <c:pt idx="17">
                  <c:v>44097</c:v>
                </c:pt>
                <c:pt idx="18">
                  <c:v>44098</c:v>
                </c:pt>
                <c:pt idx="19">
                  <c:v>44099</c:v>
                </c:pt>
                <c:pt idx="20">
                  <c:v>44102</c:v>
                </c:pt>
                <c:pt idx="21">
                  <c:v>44103</c:v>
                </c:pt>
                <c:pt idx="22">
                  <c:v>44104</c:v>
                </c:pt>
              </c:numCache>
            </c:numRef>
          </c:cat>
          <c:val>
            <c:numRef>
              <c:f>Graph!$F$108:$F$130</c:f>
              <c:numCache>
                <c:formatCode>0.0</c:formatCode>
                <c:ptCount val="23"/>
                <c:pt idx="0">
                  <c:v>100</c:v>
                </c:pt>
                <c:pt idx="1">
                  <c:v>98.707979323203332</c:v>
                </c:pt>
                <c:pt idx="2">
                  <c:v>99.579806982669169</c:v>
                </c:pt>
                <c:pt idx="3">
                  <c:v>100.24591025127711</c:v>
                </c:pt>
                <c:pt idx="4">
                  <c:v>99.61617666637396</c:v>
                </c:pt>
                <c:pt idx="5">
                  <c:v>99.07982438181034</c:v>
                </c:pt>
                <c:pt idx="6">
                  <c:v>98.757878060820346</c:v>
                </c:pt>
                <c:pt idx="7">
                  <c:v>100.36703593057995</c:v>
                </c:pt>
                <c:pt idx="8">
                  <c:v>102.50947531784659</c:v>
                </c:pt>
                <c:pt idx="9">
                  <c:v>100.92137002242696</c:v>
                </c:pt>
                <c:pt idx="10">
                  <c:v>100.03554436048138</c:v>
                </c:pt>
                <c:pt idx="11">
                  <c:v>99.147798011901727</c:v>
                </c:pt>
                <c:pt idx="12">
                  <c:v>100.49861589645045</c:v>
                </c:pt>
                <c:pt idx="13">
                  <c:v>99.57152644406257</c:v>
                </c:pt>
                <c:pt idx="14">
                  <c:v>100.73289305232052</c:v>
                </c:pt>
                <c:pt idx="15">
                  <c:v>99.828397546616799</c:v>
                </c:pt>
                <c:pt idx="16">
                  <c:v>99.943916008614494</c:v>
                </c:pt>
                <c:pt idx="17">
                  <c:v>100.89925029741195</c:v>
                </c:pt>
                <c:pt idx="18">
                  <c:v>99.153534494025521</c:v>
                </c:pt>
                <c:pt idx="19">
                  <c:v>101.0211207367999</c:v>
                </c:pt>
                <c:pt idx="20">
                  <c:v>99.61744537908443</c:v>
                </c:pt>
                <c:pt idx="21">
                  <c:v>100.0939158157578</c:v>
                </c:pt>
                <c:pt idx="22">
                  <c:v>100.64704916070151</c:v>
                </c:pt>
              </c:numCache>
            </c:numRef>
          </c:val>
          <c:smooth val="0"/>
          <c:extLst xmlns:c16r2="http://schemas.microsoft.com/office/drawing/2015/06/chart">
            <c:ext xmlns:c16="http://schemas.microsoft.com/office/drawing/2014/chart" uri="{C3380CC4-5D6E-409C-BE32-E72D297353CC}">
              <c16:uniqueId val="{00000001-A5C0-4A2C-A315-930537EA833C}"/>
            </c:ext>
          </c:extLst>
        </c:ser>
        <c:dLbls>
          <c:showLegendKey val="0"/>
          <c:showVal val="0"/>
          <c:showCatName val="0"/>
          <c:showSerName val="0"/>
          <c:showPercent val="0"/>
          <c:showBubbleSize val="0"/>
        </c:dLbls>
        <c:smooth val="0"/>
        <c:axId val="813066680"/>
        <c:axId val="813071776"/>
      </c:lineChart>
      <c:dateAx>
        <c:axId val="813066680"/>
        <c:scaling>
          <c:orientation val="minMax"/>
        </c:scaling>
        <c:delete val="0"/>
        <c:axPos val="b"/>
        <c:numFmt formatCode="d\-mmm\-yy"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813071776"/>
        <c:crosses val="autoZero"/>
        <c:auto val="1"/>
        <c:lblOffset val="100"/>
        <c:baseTimeUnit val="days"/>
        <c:majorUnit val="2"/>
        <c:majorTimeUnit val="days"/>
      </c:dateAx>
      <c:valAx>
        <c:axId val="813071776"/>
        <c:scaling>
          <c:orientation val="minMax"/>
          <c:max val="105"/>
          <c:min val="91"/>
        </c:scaling>
        <c:delete val="0"/>
        <c:axPos val="l"/>
        <c:majorGridlines>
          <c:spPr>
            <a:ln w="9525" cap="flat" cmpd="sng" algn="ctr">
              <a:solidFill>
                <a:srgbClr val="0070C0"/>
              </a:solidFill>
              <a:round/>
            </a:ln>
            <a:effectLst/>
          </c:spPr>
        </c:majorGridlines>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813066680"/>
        <c:crosses val="autoZero"/>
        <c:crossBetween val="between"/>
        <c:majorUnit val="3"/>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bg1"/>
    </a:solidFill>
    <a:ln w="9525" cap="flat" cmpd="sng" algn="ctr">
      <a:solidFill>
        <a:srgbClr val="0070C0"/>
      </a:solidFill>
      <a:round/>
    </a:ln>
    <a:effectLst/>
  </c:spPr>
  <c:txPr>
    <a:bodyPr/>
    <a:lstStyle/>
    <a:p>
      <a:pPr>
        <a:defRPr/>
      </a:pPr>
      <a:endParaRPr lang="en-US"/>
    </a:p>
  </c:txPr>
  <c:externalData r:id="rId4">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'Turnover charts'!$B$3</c:f>
              <c:strCache>
                <c:ptCount val="1"/>
                <c:pt idx="0">
                  <c:v>MCX Agri Futures (LHS)</c:v>
                </c:pt>
              </c:strCache>
            </c:strRef>
          </c:tx>
          <c:spPr>
            <a:solidFill>
              <a:srgbClr val="0070C0"/>
            </a:solidFill>
            <a:ln>
              <a:solidFill>
                <a:sysClr val="windowText" lastClr="000000"/>
              </a:solidFill>
            </a:ln>
            <a:effectLst/>
          </c:spPr>
          <c:invertIfNegative val="0"/>
          <c:cat>
            <c:numRef>
              <c:f>'Turnover charts'!$A$38:$A$49</c:f>
              <c:numCache>
                <c:formatCode>mmm\-yy</c:formatCode>
                <c:ptCount val="12"/>
                <c:pt idx="0">
                  <c:v>43739</c:v>
                </c:pt>
                <c:pt idx="1">
                  <c:v>43770</c:v>
                </c:pt>
                <c:pt idx="2">
                  <c:v>43800</c:v>
                </c:pt>
                <c:pt idx="3">
                  <c:v>43831</c:v>
                </c:pt>
                <c:pt idx="4">
                  <c:v>43862</c:v>
                </c:pt>
                <c:pt idx="5">
                  <c:v>43891</c:v>
                </c:pt>
                <c:pt idx="6">
                  <c:v>43922</c:v>
                </c:pt>
                <c:pt idx="7">
                  <c:v>43952</c:v>
                </c:pt>
                <c:pt idx="8">
                  <c:v>43983</c:v>
                </c:pt>
                <c:pt idx="9">
                  <c:v>44013</c:v>
                </c:pt>
                <c:pt idx="10">
                  <c:v>44044</c:v>
                </c:pt>
                <c:pt idx="11">
                  <c:v>44075</c:v>
                </c:pt>
              </c:numCache>
            </c:numRef>
          </c:cat>
          <c:val>
            <c:numRef>
              <c:f>'Turnover charts'!$B$38:$B$49</c:f>
              <c:numCache>
                <c:formatCode>#,##0</c:formatCode>
                <c:ptCount val="12"/>
                <c:pt idx="0">
                  <c:v>4989.9394212000007</c:v>
                </c:pt>
                <c:pt idx="1">
                  <c:v>7012.5588099999977</c:v>
                </c:pt>
                <c:pt idx="2">
                  <c:v>8603.7552158000017</c:v>
                </c:pt>
                <c:pt idx="3">
                  <c:v>12590.9105948</c:v>
                </c:pt>
                <c:pt idx="4">
                  <c:v>10289.779631199997</c:v>
                </c:pt>
                <c:pt idx="5">
                  <c:v>9969.8466008000014</c:v>
                </c:pt>
                <c:pt idx="6">
                  <c:v>3671.8557304000001</c:v>
                </c:pt>
                <c:pt idx="7">
                  <c:v>4106.3184176000004</c:v>
                </c:pt>
                <c:pt idx="8">
                  <c:v>6367.6581902000007</c:v>
                </c:pt>
                <c:pt idx="9">
                  <c:v>7277.3962512000026</c:v>
                </c:pt>
                <c:pt idx="10">
                  <c:v>5824.4504842000024</c:v>
                </c:pt>
                <c:pt idx="11">
                  <c:v>6838.5318600000001</c:v>
                </c:pt>
              </c:numCache>
            </c:numRef>
          </c:val>
          <c:extLst xmlns:c16r2="http://schemas.microsoft.com/office/drawing/2015/06/chart">
            <c:ext xmlns:c16="http://schemas.microsoft.com/office/drawing/2014/chart" uri="{C3380CC4-5D6E-409C-BE32-E72D297353CC}">
              <c16:uniqueId val="{00000000-63B9-4C57-AA70-57FC6B49DA51}"/>
            </c:ext>
          </c:extLst>
        </c:ser>
        <c:ser>
          <c:idx val="1"/>
          <c:order val="1"/>
          <c:tx>
            <c:strRef>
              <c:f>'Turnover charts'!$C$3</c:f>
              <c:strCache>
                <c:ptCount val="1"/>
                <c:pt idx="0">
                  <c:v>NCDEX Agri Futures &amp; Options (LHS)</c:v>
                </c:pt>
              </c:strCache>
            </c:strRef>
          </c:tx>
          <c:spPr>
            <a:solidFill>
              <a:srgbClr val="00B050"/>
            </a:solidFill>
            <a:ln>
              <a:solidFill>
                <a:sysClr val="windowText" lastClr="000000"/>
              </a:solidFill>
            </a:ln>
            <a:effectLst/>
          </c:spPr>
          <c:invertIfNegative val="0"/>
          <c:cat>
            <c:numRef>
              <c:f>'Turnover charts'!$A$38:$A$49</c:f>
              <c:numCache>
                <c:formatCode>mmm\-yy</c:formatCode>
                <c:ptCount val="12"/>
                <c:pt idx="0">
                  <c:v>43739</c:v>
                </c:pt>
                <c:pt idx="1">
                  <c:v>43770</c:v>
                </c:pt>
                <c:pt idx="2">
                  <c:v>43800</c:v>
                </c:pt>
                <c:pt idx="3">
                  <c:v>43831</c:v>
                </c:pt>
                <c:pt idx="4">
                  <c:v>43862</c:v>
                </c:pt>
                <c:pt idx="5">
                  <c:v>43891</c:v>
                </c:pt>
                <c:pt idx="6">
                  <c:v>43922</c:v>
                </c:pt>
                <c:pt idx="7">
                  <c:v>43952</c:v>
                </c:pt>
                <c:pt idx="8">
                  <c:v>43983</c:v>
                </c:pt>
                <c:pt idx="9">
                  <c:v>44013</c:v>
                </c:pt>
                <c:pt idx="10">
                  <c:v>44044</c:v>
                </c:pt>
                <c:pt idx="11">
                  <c:v>44075</c:v>
                </c:pt>
              </c:numCache>
            </c:numRef>
          </c:cat>
          <c:val>
            <c:numRef>
              <c:f>'Turnover charts'!$C$38:$C$49</c:f>
              <c:numCache>
                <c:formatCode>#,##0</c:formatCode>
                <c:ptCount val="12"/>
                <c:pt idx="0">
                  <c:v>26766.299999999996</c:v>
                </c:pt>
                <c:pt idx="1">
                  <c:v>34770.884635000002</c:v>
                </c:pt>
                <c:pt idx="2">
                  <c:v>36254.971464999988</c:v>
                </c:pt>
                <c:pt idx="3">
                  <c:v>37713.501540000019</c:v>
                </c:pt>
                <c:pt idx="4">
                  <c:v>27400.083519999989</c:v>
                </c:pt>
                <c:pt idx="5">
                  <c:v>25485.03999999999</c:v>
                </c:pt>
                <c:pt idx="6">
                  <c:v>12561.501194999999</c:v>
                </c:pt>
                <c:pt idx="7">
                  <c:v>11168.988342500001</c:v>
                </c:pt>
                <c:pt idx="8">
                  <c:v>18922.815102500001</c:v>
                </c:pt>
                <c:pt idx="9">
                  <c:v>18054.353055000007</c:v>
                </c:pt>
                <c:pt idx="10">
                  <c:v>23929.732684999995</c:v>
                </c:pt>
                <c:pt idx="11">
                  <c:v>28599.374342499999</c:v>
                </c:pt>
              </c:numCache>
            </c:numRef>
          </c:val>
          <c:extLst xmlns:c16r2="http://schemas.microsoft.com/office/drawing/2015/06/chart">
            <c:ext xmlns:c16="http://schemas.microsoft.com/office/drawing/2014/chart" uri="{C3380CC4-5D6E-409C-BE32-E72D297353CC}">
              <c16:uniqueId val="{00000001-63B9-4C57-AA70-57FC6B49DA51}"/>
            </c:ext>
          </c:extLst>
        </c:ser>
        <c:dLbls>
          <c:showLegendKey val="0"/>
          <c:showVal val="0"/>
          <c:showCatName val="0"/>
          <c:showSerName val="0"/>
          <c:showPercent val="0"/>
          <c:showBubbleSize val="0"/>
        </c:dLbls>
        <c:gapWidth val="219"/>
        <c:overlap val="-27"/>
        <c:axId val="813071384"/>
        <c:axId val="813068640"/>
      </c:barChart>
      <c:lineChart>
        <c:grouping val="standard"/>
        <c:varyColors val="0"/>
        <c:ser>
          <c:idx val="2"/>
          <c:order val="2"/>
          <c:tx>
            <c:strRef>
              <c:f>'Turnover charts'!$D$3</c:f>
              <c:strCache>
                <c:ptCount val="1"/>
                <c:pt idx="0">
                  <c:v>ICEX Agri Futures (RHS)</c:v>
                </c:pt>
              </c:strCache>
            </c:strRef>
          </c:tx>
          <c:spPr>
            <a:ln w="28575" cap="rnd">
              <a:solidFill>
                <a:srgbClr val="FF0000"/>
              </a:solidFill>
              <a:round/>
            </a:ln>
            <a:effectLst/>
          </c:spPr>
          <c:marker>
            <c:symbol val="none"/>
          </c:marker>
          <c:cat>
            <c:numRef>
              <c:f>'Turnover charts'!$A$39:$A$49</c:f>
              <c:numCache>
                <c:formatCode>mmm\-yy</c:formatCode>
                <c:ptCount val="11"/>
                <c:pt idx="0">
                  <c:v>43770</c:v>
                </c:pt>
                <c:pt idx="1">
                  <c:v>43800</c:v>
                </c:pt>
                <c:pt idx="2">
                  <c:v>43831</c:v>
                </c:pt>
                <c:pt idx="3">
                  <c:v>43862</c:v>
                </c:pt>
                <c:pt idx="4">
                  <c:v>43891</c:v>
                </c:pt>
                <c:pt idx="5">
                  <c:v>43922</c:v>
                </c:pt>
                <c:pt idx="6">
                  <c:v>43952</c:v>
                </c:pt>
                <c:pt idx="7">
                  <c:v>43983</c:v>
                </c:pt>
                <c:pt idx="8">
                  <c:v>44013</c:v>
                </c:pt>
                <c:pt idx="9">
                  <c:v>44044</c:v>
                </c:pt>
                <c:pt idx="10">
                  <c:v>44075</c:v>
                </c:pt>
              </c:numCache>
            </c:numRef>
          </c:cat>
          <c:val>
            <c:numRef>
              <c:f>'Turnover charts'!$D$38:$D$49</c:f>
              <c:numCache>
                <c:formatCode>#,##0</c:formatCode>
                <c:ptCount val="12"/>
                <c:pt idx="0">
                  <c:v>333.78902800000026</c:v>
                </c:pt>
                <c:pt idx="1">
                  <c:v>268.25</c:v>
                </c:pt>
                <c:pt idx="2">
                  <c:v>289.63</c:v>
                </c:pt>
                <c:pt idx="3">
                  <c:v>428.81</c:v>
                </c:pt>
                <c:pt idx="4">
                  <c:v>391.17</c:v>
                </c:pt>
                <c:pt idx="5">
                  <c:v>432.61574500000017</c:v>
                </c:pt>
                <c:pt idx="6">
                  <c:v>213.02189999999999</c:v>
                </c:pt>
                <c:pt idx="7">
                  <c:v>53.65</c:v>
                </c:pt>
                <c:pt idx="8">
                  <c:v>16.16</c:v>
                </c:pt>
                <c:pt idx="9">
                  <c:v>22.481598000000002</c:v>
                </c:pt>
                <c:pt idx="10">
                  <c:v>2.2767149999999998</c:v>
                </c:pt>
                <c:pt idx="11" formatCode="#,##0.0">
                  <c:v>4.0599999999999997E-2</c:v>
                </c:pt>
              </c:numCache>
            </c:numRef>
          </c:val>
          <c:smooth val="0"/>
          <c:extLst xmlns:c16r2="http://schemas.microsoft.com/office/drawing/2015/06/chart">
            <c:ext xmlns:c16="http://schemas.microsoft.com/office/drawing/2014/chart" uri="{C3380CC4-5D6E-409C-BE32-E72D297353CC}">
              <c16:uniqueId val="{00000002-63B9-4C57-AA70-57FC6B49DA51}"/>
            </c:ext>
          </c:extLst>
        </c:ser>
        <c:ser>
          <c:idx val="3"/>
          <c:order val="3"/>
          <c:tx>
            <c:strRef>
              <c:f>'Turnover charts'!$E$3</c:f>
              <c:strCache>
                <c:ptCount val="1"/>
                <c:pt idx="0">
                  <c:v>BSE Agri Futures (RHS)</c:v>
                </c:pt>
              </c:strCache>
            </c:strRef>
          </c:tx>
          <c:spPr>
            <a:ln w="28575" cap="rnd">
              <a:solidFill>
                <a:srgbClr val="002060"/>
              </a:solidFill>
              <a:round/>
            </a:ln>
            <a:effectLst/>
          </c:spPr>
          <c:marker>
            <c:symbol val="none"/>
          </c:marker>
          <c:cat>
            <c:numRef>
              <c:f>'Turnover charts'!$A$39:$A$49</c:f>
              <c:numCache>
                <c:formatCode>mmm\-yy</c:formatCode>
                <c:ptCount val="11"/>
                <c:pt idx="0">
                  <c:v>43770</c:v>
                </c:pt>
                <c:pt idx="1">
                  <c:v>43800</c:v>
                </c:pt>
                <c:pt idx="2">
                  <c:v>43831</c:v>
                </c:pt>
                <c:pt idx="3">
                  <c:v>43862</c:v>
                </c:pt>
                <c:pt idx="4">
                  <c:v>43891</c:v>
                </c:pt>
                <c:pt idx="5">
                  <c:v>43922</c:v>
                </c:pt>
                <c:pt idx="6">
                  <c:v>43952</c:v>
                </c:pt>
                <c:pt idx="7">
                  <c:v>43983</c:v>
                </c:pt>
                <c:pt idx="8">
                  <c:v>44013</c:v>
                </c:pt>
                <c:pt idx="9">
                  <c:v>44044</c:v>
                </c:pt>
                <c:pt idx="10">
                  <c:v>44075</c:v>
                </c:pt>
              </c:numCache>
            </c:numRef>
          </c:cat>
          <c:val>
            <c:numRef>
              <c:f>'Turnover charts'!$E$38:$E$49</c:f>
              <c:numCache>
                <c:formatCode>#,##0</c:formatCode>
                <c:ptCount val="12"/>
                <c:pt idx="0">
                  <c:v>2778.13</c:v>
                </c:pt>
                <c:pt idx="1">
                  <c:v>3519.76</c:v>
                </c:pt>
                <c:pt idx="2">
                  <c:v>3636.65</c:v>
                </c:pt>
                <c:pt idx="3">
                  <c:v>1826.49</c:v>
                </c:pt>
                <c:pt idx="4">
                  <c:v>1729.52</c:v>
                </c:pt>
                <c:pt idx="5">
                  <c:v>2006.22</c:v>
                </c:pt>
                <c:pt idx="6">
                  <c:v>1001.73313</c:v>
                </c:pt>
                <c:pt idx="7">
                  <c:v>847.49</c:v>
                </c:pt>
                <c:pt idx="8">
                  <c:v>1565.29</c:v>
                </c:pt>
                <c:pt idx="9">
                  <c:v>323.74</c:v>
                </c:pt>
                <c:pt idx="10">
                  <c:v>153.78</c:v>
                </c:pt>
                <c:pt idx="11">
                  <c:v>181.2</c:v>
                </c:pt>
              </c:numCache>
            </c:numRef>
          </c:val>
          <c:smooth val="0"/>
          <c:extLst xmlns:c16r2="http://schemas.microsoft.com/office/drawing/2015/06/chart">
            <c:ext xmlns:c16="http://schemas.microsoft.com/office/drawing/2014/chart" uri="{C3380CC4-5D6E-409C-BE32-E72D297353CC}">
              <c16:uniqueId val="{00000003-63B9-4C57-AA70-57FC6B49DA51}"/>
            </c:ext>
          </c:extLst>
        </c:ser>
        <c:dLbls>
          <c:showLegendKey val="0"/>
          <c:showVal val="0"/>
          <c:showCatName val="0"/>
          <c:showSerName val="0"/>
          <c:showPercent val="0"/>
          <c:showBubbleSize val="0"/>
        </c:dLbls>
        <c:marker val="1"/>
        <c:smooth val="0"/>
        <c:axId val="813069032"/>
        <c:axId val="813070600"/>
      </c:lineChart>
      <c:dateAx>
        <c:axId val="813071384"/>
        <c:scaling>
          <c:orientation val="minMax"/>
          <c:max val="44075"/>
          <c:min val="43739"/>
        </c:scaling>
        <c:delete val="0"/>
        <c:axPos val="b"/>
        <c:numFmt formatCode="mmm\-yy" sourceLinked="1"/>
        <c:majorTickMark val="none"/>
        <c:minorTickMark val="none"/>
        <c:tickLblPos val="nextTo"/>
        <c:spPr>
          <a:noFill/>
          <a:ln w="9525" cap="flat" cmpd="sng" algn="ctr">
            <a:solidFill>
              <a:schemeClr val="tx1">
                <a:lumMod val="15000"/>
                <a:lumOff val="85000"/>
              </a:schemeClr>
            </a:solidFill>
            <a:round/>
          </a:ln>
          <a:effectLst/>
        </c:spPr>
        <c:txPr>
          <a:bodyPr rot="-1680000" spcFirstLastPara="1" vertOverflow="ellipsis"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crossAx val="813068640"/>
        <c:crosses val="autoZero"/>
        <c:auto val="0"/>
        <c:lblOffset val="100"/>
        <c:baseTimeUnit val="months"/>
        <c:majorUnit val="1"/>
        <c:majorTimeUnit val="months"/>
      </c:dateAx>
      <c:valAx>
        <c:axId val="813068640"/>
        <c:scaling>
          <c:orientation val="minMax"/>
          <c:max val="6000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r>
                  <a:rPr lang="en-US"/>
                  <a:t>₹</a:t>
                </a:r>
                <a:r>
                  <a:rPr lang="en-IN"/>
                  <a:t> crore</a:t>
                </a:r>
              </a:p>
            </c:rich>
          </c:tx>
          <c:overlay val="0"/>
          <c:spPr>
            <a:noFill/>
            <a:ln>
              <a:noFill/>
            </a:ln>
            <a:effectLst/>
          </c:spPr>
          <c:txPr>
            <a:bodyPr rot="-540000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crossAx val="813071384"/>
        <c:crosses val="autoZero"/>
        <c:crossBetween val="between"/>
      </c:valAx>
      <c:valAx>
        <c:axId val="813070600"/>
        <c:scaling>
          <c:orientation val="minMax"/>
          <c:max val="5000"/>
          <c:min val="0"/>
        </c:scaling>
        <c:delete val="0"/>
        <c:axPos val="r"/>
        <c:title>
          <c:tx>
            <c:rich>
              <a:bodyPr rot="5400000" spcFirstLastPara="1" vertOverflow="ellipsis"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r>
                  <a:rPr lang="en-US"/>
                  <a:t>₹</a:t>
                </a:r>
                <a:r>
                  <a:rPr lang="en-IN"/>
                  <a:t> crore</a:t>
                </a:r>
              </a:p>
            </c:rich>
          </c:tx>
          <c:overlay val="0"/>
          <c:spPr>
            <a:noFill/>
            <a:ln>
              <a:noFill/>
            </a:ln>
            <a:effectLst/>
          </c:spPr>
          <c:txPr>
            <a:bodyPr rot="5400000" spcFirstLastPara="1" vertOverflow="ellipsis"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title>
        <c:numFmt formatCode="#,##0"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crossAx val="813069032"/>
        <c:crosses val="max"/>
        <c:crossBetween val="between"/>
        <c:majorUnit val="1000"/>
      </c:valAx>
      <c:dateAx>
        <c:axId val="813069032"/>
        <c:scaling>
          <c:orientation val="minMax"/>
        </c:scaling>
        <c:delete val="1"/>
        <c:axPos val="b"/>
        <c:numFmt formatCode="mmm\-yy" sourceLinked="1"/>
        <c:majorTickMark val="out"/>
        <c:minorTickMark val="none"/>
        <c:tickLblPos val="nextTo"/>
        <c:crossAx val="813070600"/>
        <c:crosses val="autoZero"/>
        <c:auto val="1"/>
        <c:lblOffset val="100"/>
        <c:baseTimeUnit val="months"/>
      </c:dateAx>
      <c:spPr>
        <a:noFill/>
        <a:ln>
          <a:noFill/>
        </a:ln>
        <a:effectLst/>
      </c:spPr>
    </c:plotArea>
    <c:legend>
      <c:legendPos val="b"/>
      <c:layout>
        <c:manualLayout>
          <c:xMode val="edge"/>
          <c:yMode val="edge"/>
          <c:x val="0.11059526758615527"/>
          <c:y val="0.81530766987459902"/>
          <c:w val="0.83436486736736781"/>
          <c:h val="0.18469233012540098"/>
        </c:manualLayout>
      </c:layout>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bg1">
          <a:lumMod val="65000"/>
        </a:schemeClr>
      </a:solidFill>
      <a:round/>
    </a:ln>
    <a:effectLst/>
  </c:spPr>
  <c:txPr>
    <a:bodyPr/>
    <a:lstStyle/>
    <a:p>
      <a:pPr>
        <a:defRPr sz="900">
          <a:solidFill>
            <a:sysClr val="windowText" lastClr="000000"/>
          </a:solidFill>
          <a:latin typeface="Palatino Linotype" panose="02040502050505030304" pitchFamily="18" charset="0"/>
        </a:defRPr>
      </a:pPr>
      <a:endParaRPr lang="en-US"/>
    </a:p>
  </c:txPr>
  <c:externalData r:id="rId4">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0923031447844071"/>
          <c:y val="2.5425336553711E-2"/>
          <c:w val="0.73940947124360035"/>
          <c:h val="0.66363481190675855"/>
        </c:manualLayout>
      </c:layout>
      <c:barChart>
        <c:barDir val="col"/>
        <c:grouping val="stacked"/>
        <c:varyColors val="0"/>
        <c:ser>
          <c:idx val="1"/>
          <c:order val="1"/>
          <c:tx>
            <c:v>MCX Futures (RHS)</c:v>
          </c:tx>
          <c:spPr>
            <a:solidFill>
              <a:srgbClr val="92D050"/>
            </a:solidFill>
            <a:ln w="12700">
              <a:solidFill>
                <a:schemeClr val="tx1">
                  <a:lumMod val="75000"/>
                  <a:lumOff val="25000"/>
                </a:schemeClr>
              </a:solidFill>
            </a:ln>
            <a:effectLst/>
          </c:spPr>
          <c:invertIfNegative val="0"/>
          <c:cat>
            <c:numRef>
              <c:f>'Turnover charts'!$I$37:$I$49</c:f>
              <c:numCache>
                <c:formatCode>mmm\-yy</c:formatCode>
                <c:ptCount val="13"/>
                <c:pt idx="0">
                  <c:v>43709</c:v>
                </c:pt>
                <c:pt idx="1">
                  <c:v>43739</c:v>
                </c:pt>
                <c:pt idx="2">
                  <c:v>43770</c:v>
                </c:pt>
                <c:pt idx="3">
                  <c:v>43800</c:v>
                </c:pt>
                <c:pt idx="4">
                  <c:v>43831</c:v>
                </c:pt>
                <c:pt idx="5">
                  <c:v>43862</c:v>
                </c:pt>
                <c:pt idx="6">
                  <c:v>43891</c:v>
                </c:pt>
                <c:pt idx="7">
                  <c:v>43922</c:v>
                </c:pt>
                <c:pt idx="8">
                  <c:v>43952</c:v>
                </c:pt>
                <c:pt idx="9">
                  <c:v>43983</c:v>
                </c:pt>
                <c:pt idx="10">
                  <c:v>44013</c:v>
                </c:pt>
                <c:pt idx="11">
                  <c:v>44044</c:v>
                </c:pt>
                <c:pt idx="12">
                  <c:v>44075</c:v>
                </c:pt>
              </c:numCache>
            </c:numRef>
          </c:cat>
          <c:val>
            <c:numRef>
              <c:f>'Turnover charts'!$K$4:$K$49</c:f>
              <c:numCache>
                <c:formatCode>_(* #,##0_);_(* \(#,##0\);_(* "-"??_);_(@_)</c:formatCode>
                <c:ptCount val="31"/>
                <c:pt idx="0">
                  <c:v>703.93000000000006</c:v>
                </c:pt>
                <c:pt idx="1">
                  <c:v>2640.42</c:v>
                </c:pt>
                <c:pt idx="2">
                  <c:v>16870.32</c:v>
                </c:pt>
                <c:pt idx="3">
                  <c:v>15987.750000000002</c:v>
                </c:pt>
                <c:pt idx="4">
                  <c:v>19672.011136500001</c:v>
                </c:pt>
                <c:pt idx="5">
                  <c:v>11041.360000000002</c:v>
                </c:pt>
                <c:pt idx="6">
                  <c:v>46624.133279499998</c:v>
                </c:pt>
                <c:pt idx="7">
                  <c:v>15644.809233</c:v>
                </c:pt>
                <c:pt idx="8">
                  <c:v>10235</c:v>
                </c:pt>
                <c:pt idx="9">
                  <c:v>9813.9104735000001</c:v>
                </c:pt>
                <c:pt idx="10">
                  <c:v>10472.720000000001</c:v>
                </c:pt>
                <c:pt idx="11">
                  <c:v>9291.3051825000002</c:v>
                </c:pt>
                <c:pt idx="12">
                  <c:v>12651.029999999999</c:v>
                </c:pt>
                <c:pt idx="13">
                  <c:v>8685.25</c:v>
                </c:pt>
                <c:pt idx="14">
                  <c:v>16861.852479000001</c:v>
                </c:pt>
                <c:pt idx="15">
                  <c:v>14616.749534499999</c:v>
                </c:pt>
                <c:pt idx="16">
                  <c:v>21042.729179999998</c:v>
                </c:pt>
                <c:pt idx="17">
                  <c:v>23329.757045500002</c:v>
                </c:pt>
                <c:pt idx="18">
                  <c:v>31458.28</c:v>
                </c:pt>
                <c:pt idx="19">
                  <c:v>17859.342895000002</c:v>
                </c:pt>
                <c:pt idx="20">
                  <c:v>21219.491989000002</c:v>
                </c:pt>
                <c:pt idx="21">
                  <c:v>15383.161334999999</c:v>
                </c:pt>
                <c:pt idx="22">
                  <c:v>40469.633901499998</c:v>
                </c:pt>
                <c:pt idx="23">
                  <c:v>33997.311160500001</c:v>
                </c:pt>
                <c:pt idx="24">
                  <c:v>46819.111044999998</c:v>
                </c:pt>
                <c:pt idx="25">
                  <c:v>8497.2066059999997</c:v>
                </c:pt>
                <c:pt idx="26">
                  <c:v>16049.714781499999</c:v>
                </c:pt>
                <c:pt idx="27">
                  <c:v>15138.664696</c:v>
                </c:pt>
                <c:pt idx="28">
                  <c:v>21064.531812000001</c:v>
                </c:pt>
                <c:pt idx="29">
                  <c:v>28998.239947999999</c:v>
                </c:pt>
                <c:pt idx="30">
                  <c:v>26027.212639000005</c:v>
                </c:pt>
              </c:numCache>
            </c:numRef>
          </c:val>
          <c:extLst xmlns:c15="http://schemas.microsoft.com/office/drawing/2012/chart" xmlns:c16r2="http://schemas.microsoft.com/office/drawing/2015/06/chart">
            <c:ext xmlns:c16="http://schemas.microsoft.com/office/drawing/2014/chart" uri="{C3380CC4-5D6E-409C-BE32-E72D297353CC}">
              <c16:uniqueId val="{00000000-0FA6-4759-B63E-FE5C90352A39}"/>
            </c:ext>
          </c:extLst>
        </c:ser>
        <c:dLbls>
          <c:showLegendKey val="0"/>
          <c:showVal val="0"/>
          <c:showCatName val="0"/>
          <c:showSerName val="0"/>
          <c:showPercent val="0"/>
          <c:showBubbleSize val="0"/>
        </c:dLbls>
        <c:gapWidth val="219"/>
        <c:overlap val="100"/>
        <c:axId val="812897744"/>
        <c:axId val="812894216"/>
        <c:extLst xmlns:c16r2="http://schemas.microsoft.com/office/drawing/2015/06/chart">
          <c:ext xmlns:c15="http://schemas.microsoft.com/office/drawing/2012/chart" uri="{02D57815-91ED-43cb-92C2-25804820EDAC}">
            <c15:filteredBarSeries>
              <c15:ser>
                <c:idx val="0"/>
                <c:order val="0"/>
                <c:tx>
                  <c:v>MCX Futures (LHS)</c:v>
                </c:tx>
                <c:spPr>
                  <a:solidFill>
                    <a:srgbClr val="92D050"/>
                  </a:solidFill>
                  <a:ln>
                    <a:solidFill>
                      <a:sysClr val="windowText" lastClr="000000"/>
                    </a:solidFill>
                  </a:ln>
                  <a:effectLst/>
                </c:spPr>
                <c:invertIfNegative val="0"/>
                <c:cat>
                  <c:numRef>
                    <c:extLst xmlns:c16r2="http://schemas.microsoft.com/office/drawing/2015/06/chart">
                      <c:ext uri="{02D57815-91ED-43cb-92C2-25804820EDAC}">
                        <c15:formulaRef>
                          <c15:sqref>'Turnover charts'!$I$37:$I$49</c15:sqref>
                        </c15:formulaRef>
                      </c:ext>
                    </c:extLst>
                    <c:numCache>
                      <c:formatCode>mmm\-yy</c:formatCode>
                      <c:ptCount val="13"/>
                      <c:pt idx="0">
                        <c:v>43709</c:v>
                      </c:pt>
                      <c:pt idx="1">
                        <c:v>43739</c:v>
                      </c:pt>
                      <c:pt idx="2">
                        <c:v>43770</c:v>
                      </c:pt>
                      <c:pt idx="3">
                        <c:v>43800</c:v>
                      </c:pt>
                      <c:pt idx="4">
                        <c:v>43831</c:v>
                      </c:pt>
                      <c:pt idx="5">
                        <c:v>43862</c:v>
                      </c:pt>
                      <c:pt idx="6">
                        <c:v>43891</c:v>
                      </c:pt>
                      <c:pt idx="7">
                        <c:v>43922</c:v>
                      </c:pt>
                      <c:pt idx="8">
                        <c:v>43952</c:v>
                      </c:pt>
                      <c:pt idx="9">
                        <c:v>43983</c:v>
                      </c:pt>
                      <c:pt idx="10">
                        <c:v>44013</c:v>
                      </c:pt>
                      <c:pt idx="11">
                        <c:v>44044</c:v>
                      </c:pt>
                      <c:pt idx="12">
                        <c:v>44075</c:v>
                      </c:pt>
                    </c:numCache>
                  </c:numRef>
                </c:cat>
                <c:val>
                  <c:numRef>
                    <c:extLst xmlns:c16r2="http://schemas.microsoft.com/office/drawing/2015/06/chart">
                      <c:ext uri="{02D57815-91ED-43cb-92C2-25804820EDAC}">
                        <c15:formulaRef>
                          <c15:sqref>'Turnover charts'!$J$4:$J$49</c15:sqref>
                        </c15:formulaRef>
                      </c:ext>
                    </c:extLst>
                    <c:numCache>
                      <c:formatCode>_(* #,##0_);_(* \(#,##0\);_(* "-"??_);_(@_)</c:formatCode>
                      <c:ptCount val="31"/>
                      <c:pt idx="0">
                        <c:v>502333.84615715011</c:v>
                      </c:pt>
                      <c:pt idx="1">
                        <c:v>554481.07702095003</c:v>
                      </c:pt>
                      <c:pt idx="2">
                        <c:v>514263.34081070009</c:v>
                      </c:pt>
                      <c:pt idx="3">
                        <c:v>488935.25250099995</c:v>
                      </c:pt>
                      <c:pt idx="4">
                        <c:v>510099.26815124979</c:v>
                      </c:pt>
                      <c:pt idx="5">
                        <c:v>503460.0791320501</c:v>
                      </c:pt>
                      <c:pt idx="6">
                        <c:v>540136.1876240999</c:v>
                      </c:pt>
                      <c:pt idx="7">
                        <c:v>602393.52301564987</c:v>
                      </c:pt>
                      <c:pt idx="8">
                        <c:v>560373.39216535003</c:v>
                      </c:pt>
                      <c:pt idx="9">
                        <c:v>515431.74569595006</c:v>
                      </c:pt>
                      <c:pt idx="10">
                        <c:v>600469.55308069987</c:v>
                      </c:pt>
                      <c:pt idx="11">
                        <c:v>532389.84253700008</c:v>
                      </c:pt>
                      <c:pt idx="12">
                        <c:v>567761.35483295005</c:v>
                      </c:pt>
                      <c:pt idx="13">
                        <c:v>516307.34400520008</c:v>
                      </c:pt>
                      <c:pt idx="14">
                        <c:v>615537.92995134997</c:v>
                      </c:pt>
                      <c:pt idx="15">
                        <c:v>569240.9336420499</c:v>
                      </c:pt>
                      <c:pt idx="16">
                        <c:v>716525.07049199997</c:v>
                      </c:pt>
                      <c:pt idx="17">
                        <c:v>728211.15374000021</c:v>
                      </c:pt>
                      <c:pt idx="18">
                        <c:v>781695.78193319985</c:v>
                      </c:pt>
                      <c:pt idx="19">
                        <c:v>668208.51480580005</c:v>
                      </c:pt>
                      <c:pt idx="20">
                        <c:v>672255.75945409993</c:v>
                      </c:pt>
                      <c:pt idx="21">
                        <c:v>644422.79156839987</c:v>
                      </c:pt>
                      <c:pt idx="22">
                        <c:v>827755.84935100004</c:v>
                      </c:pt>
                      <c:pt idx="23">
                        <c:v>781969.06022450014</c:v>
                      </c:pt>
                      <c:pt idx="24">
                        <c:v>774725.27535569982</c:v>
                      </c:pt>
                      <c:pt idx="25">
                        <c:v>278174.58910059999</c:v>
                      </c:pt>
                      <c:pt idx="26">
                        <c:v>494950.96162219997</c:v>
                      </c:pt>
                      <c:pt idx="27">
                        <c:v>623568.06468549999</c:v>
                      </c:pt>
                      <c:pt idx="28">
                        <c:v>846844.32924410037</c:v>
                      </c:pt>
                      <c:pt idx="29">
                        <c:v>904796.19616849977</c:v>
                      </c:pt>
                      <c:pt idx="30">
                        <c:v>745965.04735440004</c:v>
                      </c:pt>
                    </c:numCache>
                  </c:numRef>
                </c:val>
                <c:extLst xmlns:c16r2="http://schemas.microsoft.com/office/drawing/2015/06/chart">
                  <c:ext xmlns:c16="http://schemas.microsoft.com/office/drawing/2014/chart" uri="{C3380CC4-5D6E-409C-BE32-E72D297353CC}">
                    <c16:uniqueId val="{00000004-0FA6-4759-B63E-FE5C90352A39}"/>
                  </c:ext>
                </c:extLst>
              </c15:ser>
            </c15:filteredBarSeries>
          </c:ext>
        </c:extLst>
      </c:barChart>
      <c:lineChart>
        <c:grouping val="standard"/>
        <c:varyColors val="0"/>
        <c:ser>
          <c:idx val="2"/>
          <c:order val="2"/>
          <c:tx>
            <c:v>BSE Futures (RHS)</c:v>
          </c:tx>
          <c:spPr>
            <a:ln w="19050" cap="rnd">
              <a:solidFill>
                <a:srgbClr val="7030A0"/>
              </a:solidFill>
              <a:prstDash val="dash"/>
              <a:round/>
            </a:ln>
            <a:effectLst/>
          </c:spPr>
          <c:marker>
            <c:symbol val="diamond"/>
            <c:size val="5"/>
            <c:spPr>
              <a:solidFill>
                <a:srgbClr val="7030A0"/>
              </a:solidFill>
              <a:ln w="19050">
                <a:solidFill>
                  <a:srgbClr val="7030A0"/>
                </a:solidFill>
                <a:prstDash val="dash"/>
              </a:ln>
              <a:effectLst/>
            </c:spPr>
          </c:marker>
          <c:cat>
            <c:numRef>
              <c:f>'Turnover charts'!$I$4:$I$49</c:f>
              <c:numCache>
                <c:formatCode>mmm\-yy</c:formatCode>
                <c:ptCount val="31"/>
                <c:pt idx="0">
                  <c:v>43160</c:v>
                </c:pt>
                <c:pt idx="1">
                  <c:v>43191</c:v>
                </c:pt>
                <c:pt idx="2">
                  <c:v>43221</c:v>
                </c:pt>
                <c:pt idx="3">
                  <c:v>43252</c:v>
                </c:pt>
                <c:pt idx="4">
                  <c:v>43282</c:v>
                </c:pt>
                <c:pt idx="5">
                  <c:v>43313</c:v>
                </c:pt>
                <c:pt idx="6">
                  <c:v>43344</c:v>
                </c:pt>
                <c:pt idx="7">
                  <c:v>43374</c:v>
                </c:pt>
                <c:pt idx="8">
                  <c:v>43405</c:v>
                </c:pt>
                <c:pt idx="9">
                  <c:v>43435</c:v>
                </c:pt>
                <c:pt idx="10">
                  <c:v>43466</c:v>
                </c:pt>
                <c:pt idx="11">
                  <c:v>43497</c:v>
                </c:pt>
                <c:pt idx="12">
                  <c:v>43525</c:v>
                </c:pt>
                <c:pt idx="13">
                  <c:v>43556</c:v>
                </c:pt>
                <c:pt idx="14">
                  <c:v>43586</c:v>
                </c:pt>
                <c:pt idx="15">
                  <c:v>43617</c:v>
                </c:pt>
                <c:pt idx="16">
                  <c:v>43647</c:v>
                </c:pt>
                <c:pt idx="17">
                  <c:v>43678</c:v>
                </c:pt>
                <c:pt idx="18">
                  <c:v>43709</c:v>
                </c:pt>
                <c:pt idx="19">
                  <c:v>43739</c:v>
                </c:pt>
                <c:pt idx="20">
                  <c:v>43770</c:v>
                </c:pt>
                <c:pt idx="21">
                  <c:v>43800</c:v>
                </c:pt>
                <c:pt idx="22">
                  <c:v>43831</c:v>
                </c:pt>
                <c:pt idx="23">
                  <c:v>43862</c:v>
                </c:pt>
                <c:pt idx="24">
                  <c:v>43891</c:v>
                </c:pt>
                <c:pt idx="25">
                  <c:v>43922</c:v>
                </c:pt>
                <c:pt idx="26">
                  <c:v>43952</c:v>
                </c:pt>
                <c:pt idx="27">
                  <c:v>43983</c:v>
                </c:pt>
                <c:pt idx="28">
                  <c:v>44013</c:v>
                </c:pt>
                <c:pt idx="29">
                  <c:v>44044</c:v>
                </c:pt>
                <c:pt idx="30">
                  <c:v>44075</c:v>
                </c:pt>
              </c:numCache>
            </c:numRef>
          </c:cat>
          <c:val>
            <c:numRef>
              <c:f>'Turnover charts'!$L$4:$L$48</c:f>
              <c:numCache>
                <c:formatCode>General</c:formatCode>
                <c:ptCount val="30"/>
                <c:pt idx="7" formatCode="_(* #,##0_);_(* \(#,##0\);_(* &quot;-&quot;??_);_(@_)">
                  <c:v>7049.36</c:v>
                </c:pt>
                <c:pt idx="8" formatCode="_(* #,##0_);_(* \(#,##0\);_(* &quot;-&quot;??_);_(@_)">
                  <c:v>7228.18</c:v>
                </c:pt>
                <c:pt idx="9" formatCode="_(* #,##0_);_(* \(#,##0\);_(* &quot;-&quot;??_);_(@_)">
                  <c:v>3754.7995000000001</c:v>
                </c:pt>
                <c:pt idx="10" formatCode="_(* #,##0_);_(* \(#,##0\);_(* &quot;-&quot;??_);_(@_)">
                  <c:v>6538.5090380000001</c:v>
                </c:pt>
                <c:pt idx="11" formatCode="_(* #,##0_);_(* \(#,##0\);_(* &quot;-&quot;??_);_(@_)">
                  <c:v>1990.250556</c:v>
                </c:pt>
                <c:pt idx="12" formatCode="_(* #,##0_);_(* \(#,##0\);_(* &quot;-&quot;??_);_(@_)">
                  <c:v>1523.74</c:v>
                </c:pt>
                <c:pt idx="13" formatCode="_(* #,##0_);_(* \(#,##0\);_(* &quot;-&quot;??_);_(@_)">
                  <c:v>2218.23</c:v>
                </c:pt>
                <c:pt idx="14" formatCode="_(* #,##0_);_(* \(#,##0\);_(* &quot;-&quot;??_);_(@_)">
                  <c:v>2157.7899499999999</c:v>
                </c:pt>
                <c:pt idx="15" formatCode="_(* #,##0_);_(* \(#,##0\);_(* &quot;-&quot;??_);_(@_)">
                  <c:v>1756.83</c:v>
                </c:pt>
                <c:pt idx="16" formatCode="_(* #,##0_);_(* \(#,##0\);_(* &quot;-&quot;??_);_(@_)">
                  <c:v>713.38525000000004</c:v>
                </c:pt>
                <c:pt idx="17" formatCode="_(* #,##0_);_(* \(#,##0\);_(* &quot;-&quot;??_);_(@_)">
                  <c:v>521.28</c:v>
                </c:pt>
                <c:pt idx="18" formatCode="_(* #,##0_);_(* \(#,##0\);_(* &quot;-&quot;??_);_(@_)">
                  <c:v>523.60118499999999</c:v>
                </c:pt>
                <c:pt idx="19" formatCode="_(* #,##0_);_(* \(#,##0\);_(* &quot;-&quot;??_);_(@_)">
                  <c:v>317.45999999999998</c:v>
                </c:pt>
                <c:pt idx="20" formatCode="_(* #,##0_);_(* \(#,##0\);_(* &quot;-&quot;??_);_(@_)">
                  <c:v>102.15</c:v>
                </c:pt>
                <c:pt idx="21" formatCode="_(* #,##0_);_(* \(#,##0\);_(* &quot;-&quot;??_);_(@_)">
                  <c:v>49.92</c:v>
                </c:pt>
                <c:pt idx="22" formatCode="_(* #,##0_);_(* \(#,##0\);_(* &quot;-&quot;??_);_(@_)">
                  <c:v>506.52000000000004</c:v>
                </c:pt>
                <c:pt idx="23" formatCode="_(* #,##0_);_(* \(#,##0\);_(* &quot;-&quot;??_);_(@_)">
                  <c:v>995.73</c:v>
                </c:pt>
                <c:pt idx="24" formatCode="_(* #,##0_);_(* \(#,##0\);_(* &quot;-&quot;??_);_(@_)">
                  <c:v>259.89</c:v>
                </c:pt>
                <c:pt idx="25" formatCode="_(* #,##0_);_(* \(#,##0\);_(* &quot;-&quot;??_);_(@_)">
                  <c:v>0</c:v>
                </c:pt>
                <c:pt idx="26" formatCode="_(* #,##0_);_(* \(#,##0\);_(* &quot;-&quot;??_);_(@_)">
                  <c:v>0.57201000000000002</c:v>
                </c:pt>
                <c:pt idx="27" formatCode="_(* #,##0_);_(* \(#,##0\);_(* &quot;-&quot;??_);_(@_)">
                  <c:v>18.64</c:v>
                </c:pt>
                <c:pt idx="28" formatCode="_(* #,##0_);_(* \(#,##0\);_(* &quot;-&quot;??_);_(@_)">
                  <c:v>0</c:v>
                </c:pt>
                <c:pt idx="29" formatCode="_(* #,##0_);_(* \(#,##0\);_(* &quot;-&quot;??_);_(@_)">
                  <c:v>0</c:v>
                </c:pt>
              </c:numCache>
            </c:numRef>
          </c:val>
          <c:smooth val="0"/>
          <c:extLst xmlns:c16r2="http://schemas.microsoft.com/office/drawing/2015/06/chart">
            <c:ext xmlns:c16="http://schemas.microsoft.com/office/drawing/2014/chart" uri="{C3380CC4-5D6E-409C-BE32-E72D297353CC}">
              <c16:uniqueId val="{00000001-0FA6-4759-B63E-FE5C90352A39}"/>
            </c:ext>
          </c:extLst>
        </c:ser>
        <c:ser>
          <c:idx val="4"/>
          <c:order val="4"/>
          <c:tx>
            <c:v>NSE Futures (LHS)</c:v>
          </c:tx>
          <c:spPr>
            <a:ln w="19050" cap="rnd">
              <a:solidFill>
                <a:srgbClr val="C0504D">
                  <a:lumMod val="75000"/>
                </a:srgbClr>
              </a:solidFill>
              <a:prstDash val="sysDash"/>
              <a:round/>
            </a:ln>
            <a:effectLst/>
          </c:spPr>
          <c:marker>
            <c:symbol val="none"/>
          </c:marker>
          <c:cat>
            <c:numRef>
              <c:f>'Turnover charts'!$I$4:$I$49</c:f>
              <c:numCache>
                <c:formatCode>mmm\-yy</c:formatCode>
                <c:ptCount val="31"/>
                <c:pt idx="0">
                  <c:v>43160</c:v>
                </c:pt>
                <c:pt idx="1">
                  <c:v>43191</c:v>
                </c:pt>
                <c:pt idx="2">
                  <c:v>43221</c:v>
                </c:pt>
                <c:pt idx="3">
                  <c:v>43252</c:v>
                </c:pt>
                <c:pt idx="4">
                  <c:v>43282</c:v>
                </c:pt>
                <c:pt idx="5">
                  <c:v>43313</c:v>
                </c:pt>
                <c:pt idx="6">
                  <c:v>43344</c:v>
                </c:pt>
                <c:pt idx="7">
                  <c:v>43374</c:v>
                </c:pt>
                <c:pt idx="8">
                  <c:v>43405</c:v>
                </c:pt>
                <c:pt idx="9">
                  <c:v>43435</c:v>
                </c:pt>
                <c:pt idx="10">
                  <c:v>43466</c:v>
                </c:pt>
                <c:pt idx="11">
                  <c:v>43497</c:v>
                </c:pt>
                <c:pt idx="12">
                  <c:v>43525</c:v>
                </c:pt>
                <c:pt idx="13">
                  <c:v>43556</c:v>
                </c:pt>
                <c:pt idx="14">
                  <c:v>43586</c:v>
                </c:pt>
                <c:pt idx="15">
                  <c:v>43617</c:v>
                </c:pt>
                <c:pt idx="16">
                  <c:v>43647</c:v>
                </c:pt>
                <c:pt idx="17">
                  <c:v>43678</c:v>
                </c:pt>
                <c:pt idx="18">
                  <c:v>43709</c:v>
                </c:pt>
                <c:pt idx="19">
                  <c:v>43739</c:v>
                </c:pt>
                <c:pt idx="20">
                  <c:v>43770</c:v>
                </c:pt>
                <c:pt idx="21">
                  <c:v>43800</c:v>
                </c:pt>
                <c:pt idx="22">
                  <c:v>43831</c:v>
                </c:pt>
                <c:pt idx="23">
                  <c:v>43862</c:v>
                </c:pt>
                <c:pt idx="24">
                  <c:v>43891</c:v>
                </c:pt>
                <c:pt idx="25">
                  <c:v>43922</c:v>
                </c:pt>
                <c:pt idx="26">
                  <c:v>43952</c:v>
                </c:pt>
                <c:pt idx="27">
                  <c:v>43983</c:v>
                </c:pt>
                <c:pt idx="28">
                  <c:v>44013</c:v>
                </c:pt>
                <c:pt idx="29">
                  <c:v>44044</c:v>
                </c:pt>
                <c:pt idx="30">
                  <c:v>44075</c:v>
                </c:pt>
              </c:numCache>
            </c:numRef>
          </c:cat>
          <c:val>
            <c:numRef>
              <c:f>'Turnover charts'!$N$4:$N$49</c:f>
              <c:numCache>
                <c:formatCode>General</c:formatCode>
                <c:ptCount val="31"/>
                <c:pt idx="7" formatCode="_(* #,##0_);_(* \(#,##0\);_(* &quot;-&quot;??_);_(@_)">
                  <c:v>696</c:v>
                </c:pt>
                <c:pt idx="8" formatCode="_(* #,##0_);_(* \(#,##0\);_(* &quot;-&quot;??_);_(@_)">
                  <c:v>838</c:v>
                </c:pt>
                <c:pt idx="9" formatCode="_(* #,##0_);_(* \(#,##0\);_(* &quot;-&quot;??_);_(@_)">
                  <c:v>532.61176099999989</c:v>
                </c:pt>
                <c:pt idx="10" formatCode="_(* #,##0_);_(* \(#,##0\);_(* &quot;-&quot;??_);_(@_)">
                  <c:v>448.81896000000006</c:v>
                </c:pt>
                <c:pt idx="11" formatCode="_(* #,##0_);_(* \(#,##0\);_(* &quot;-&quot;??_);_(@_)">
                  <c:v>498.68747400000018</c:v>
                </c:pt>
                <c:pt idx="12" formatCode="_(* #,##0_);_(* \(#,##0\);_(* &quot;-&quot;??_);_(@_)">
                  <c:v>429.59991599999989</c:v>
                </c:pt>
                <c:pt idx="13" formatCode="_ * #,##0_ ;_ * \-#,##0_ ;_ * &quot;-&quot;??_ ;_ @_ ">
                  <c:v>489.78634199999982</c:v>
                </c:pt>
                <c:pt idx="14" formatCode="_ * #,##0_ ;_ * \-#,##0_ ;_ * &quot;-&quot;??_ ;_ @_ ">
                  <c:v>442.31177699999989</c:v>
                </c:pt>
                <c:pt idx="15" formatCode="_ * #,##0_ ;_ * \-#,##0_ ;_ * &quot;-&quot;??_ ;_ @_ ">
                  <c:v>433.71475299999997</c:v>
                </c:pt>
                <c:pt idx="16" formatCode="_ * #,##0_ ;_ * \-#,##0_ ;_ * &quot;-&quot;??_ ;_ @_ ">
                  <c:v>503.29481899999996</c:v>
                </c:pt>
                <c:pt idx="17" formatCode="_ * #,##0_ ;_ * \-#,##0_ ;_ * &quot;-&quot;??_ ;_ @_ ">
                  <c:v>1488.9719589999997</c:v>
                </c:pt>
                <c:pt idx="18" formatCode="_ * #,##0_ ;_ * \-#,##0_ ;_ * &quot;-&quot;??_ ;_ @_ ">
                  <c:v>935.04276299999981</c:v>
                </c:pt>
                <c:pt idx="19" formatCode="_ * #,##0_ ;_ * \-#,##0_ ;_ * &quot;-&quot;??_ ;_ @_ ">
                  <c:v>866.89360199999999</c:v>
                </c:pt>
                <c:pt idx="20" formatCode="_ * #,##0_ ;_ * \-#,##0_ ;_ * &quot;-&quot;??_ ;_ @_ ">
                  <c:v>721.01195100000018</c:v>
                </c:pt>
                <c:pt idx="21" formatCode="_ * #,##0_ ;_ * \-#,##0_ ;_ * &quot;-&quot;??_ ;_ @_ ">
                  <c:v>118.52533</c:v>
                </c:pt>
                <c:pt idx="22" formatCode="_ * #,##0_ ;_ * \-#,##0_ ;_ * &quot;-&quot;??_ ;_ @_ ">
                  <c:v>112.63363</c:v>
                </c:pt>
                <c:pt idx="23" formatCode="_ * #,##0_ ;_ * \-#,##0_ ;_ * &quot;-&quot;??_ ;_ @_ ">
                  <c:v>157.351113</c:v>
                </c:pt>
                <c:pt idx="24" formatCode="_(* #,##0_);_(* \(#,##0\);_(* &quot;-&quot;??_);_(@_)">
                  <c:v>92.761235999999997</c:v>
                </c:pt>
                <c:pt idx="25" formatCode="_(* #,##0_);_(* \(#,##0\);_(* &quot;-&quot;??_);_(@_)">
                  <c:v>57.360366999999997</c:v>
                </c:pt>
                <c:pt idx="26" formatCode="_(* #,##0_);_(* \(#,##0\);_(* &quot;-&quot;??_);_(@_)">
                  <c:v>76.517431000000016</c:v>
                </c:pt>
                <c:pt idx="27" formatCode="_(* #,##0_);_(* \(#,##0\);_(* &quot;-&quot;??_);_(@_)">
                  <c:v>209.17937999999998</c:v>
                </c:pt>
                <c:pt idx="28" formatCode="_(* #,##0_);_(* \(#,##0\);_(* &quot;-&quot;??_);_(@_)">
                  <c:v>45.493170000000013</c:v>
                </c:pt>
                <c:pt idx="29" formatCode="_(* #,##0_);_(* \(#,##0\);_(* &quot;-&quot;??_);_(@_)">
                  <c:v>92.012484999999998</c:v>
                </c:pt>
                <c:pt idx="30" formatCode="_(* #,##0_);_(* \(#,##0\);_(* &quot;-&quot;??_);_(@_)">
                  <c:v>65.526607000000013</c:v>
                </c:pt>
              </c:numCache>
            </c:numRef>
          </c:val>
          <c:smooth val="0"/>
          <c:extLst xmlns:c16r2="http://schemas.microsoft.com/office/drawing/2015/06/chart">
            <c:ext xmlns:c16="http://schemas.microsoft.com/office/drawing/2014/chart" uri="{C3380CC4-5D6E-409C-BE32-E72D297353CC}">
              <c16:uniqueId val="{00000002-0FA6-4759-B63E-FE5C90352A39}"/>
            </c:ext>
          </c:extLst>
        </c:ser>
        <c:ser>
          <c:idx val="6"/>
          <c:order val="6"/>
          <c:tx>
            <c:v>ICEX Futures (LHS)</c:v>
          </c:tx>
          <c:spPr>
            <a:ln w="19050" cap="rnd">
              <a:solidFill>
                <a:srgbClr val="FF3399"/>
              </a:solidFill>
              <a:round/>
            </a:ln>
            <a:effectLst/>
          </c:spPr>
          <c:marker>
            <c:symbol val="none"/>
          </c:marker>
          <c:cat>
            <c:numRef>
              <c:f>'Turnover charts'!$I$4:$I$49</c:f>
              <c:numCache>
                <c:formatCode>mmm\-yy</c:formatCode>
                <c:ptCount val="31"/>
                <c:pt idx="0">
                  <c:v>43160</c:v>
                </c:pt>
                <c:pt idx="1">
                  <c:v>43191</c:v>
                </c:pt>
                <c:pt idx="2">
                  <c:v>43221</c:v>
                </c:pt>
                <c:pt idx="3">
                  <c:v>43252</c:v>
                </c:pt>
                <c:pt idx="4">
                  <c:v>43282</c:v>
                </c:pt>
                <c:pt idx="5">
                  <c:v>43313</c:v>
                </c:pt>
                <c:pt idx="6">
                  <c:v>43344</c:v>
                </c:pt>
                <c:pt idx="7">
                  <c:v>43374</c:v>
                </c:pt>
                <c:pt idx="8">
                  <c:v>43405</c:v>
                </c:pt>
                <c:pt idx="9">
                  <c:v>43435</c:v>
                </c:pt>
                <c:pt idx="10">
                  <c:v>43466</c:v>
                </c:pt>
                <c:pt idx="11">
                  <c:v>43497</c:v>
                </c:pt>
                <c:pt idx="12">
                  <c:v>43525</c:v>
                </c:pt>
                <c:pt idx="13">
                  <c:v>43556</c:v>
                </c:pt>
                <c:pt idx="14">
                  <c:v>43586</c:v>
                </c:pt>
                <c:pt idx="15">
                  <c:v>43617</c:v>
                </c:pt>
                <c:pt idx="16">
                  <c:v>43647</c:v>
                </c:pt>
                <c:pt idx="17">
                  <c:v>43678</c:v>
                </c:pt>
                <c:pt idx="18">
                  <c:v>43709</c:v>
                </c:pt>
                <c:pt idx="19">
                  <c:v>43739</c:v>
                </c:pt>
                <c:pt idx="20">
                  <c:v>43770</c:v>
                </c:pt>
                <c:pt idx="21">
                  <c:v>43800</c:v>
                </c:pt>
                <c:pt idx="22">
                  <c:v>43831</c:v>
                </c:pt>
                <c:pt idx="23">
                  <c:v>43862</c:v>
                </c:pt>
                <c:pt idx="24">
                  <c:v>43891</c:v>
                </c:pt>
                <c:pt idx="25">
                  <c:v>43922</c:v>
                </c:pt>
                <c:pt idx="26">
                  <c:v>43952</c:v>
                </c:pt>
                <c:pt idx="27">
                  <c:v>43983</c:v>
                </c:pt>
                <c:pt idx="28">
                  <c:v>44013</c:v>
                </c:pt>
                <c:pt idx="29">
                  <c:v>44044</c:v>
                </c:pt>
                <c:pt idx="30">
                  <c:v>44075</c:v>
                </c:pt>
              </c:numCache>
            </c:numRef>
          </c:cat>
          <c:val>
            <c:numRef>
              <c:f>'Turnover charts'!$P$4:$P$49</c:f>
              <c:numCache>
                <c:formatCode>_(* #,##0_);_(* \(#,##0\);_(* "-"??_);_(@_)</c:formatCode>
                <c:ptCount val="31"/>
                <c:pt idx="0">
                  <c:v>416.07</c:v>
                </c:pt>
                <c:pt idx="1">
                  <c:v>479.26</c:v>
                </c:pt>
                <c:pt idx="2">
                  <c:v>362.4169</c:v>
                </c:pt>
                <c:pt idx="3">
                  <c:v>294.87927165000002</c:v>
                </c:pt>
                <c:pt idx="4">
                  <c:v>465.09</c:v>
                </c:pt>
                <c:pt idx="5">
                  <c:v>432.48</c:v>
                </c:pt>
                <c:pt idx="6">
                  <c:v>931.1400000000001</c:v>
                </c:pt>
                <c:pt idx="7">
                  <c:v>1605.41</c:v>
                </c:pt>
                <c:pt idx="8">
                  <c:v>2282</c:v>
                </c:pt>
                <c:pt idx="9">
                  <c:v>2864.81</c:v>
                </c:pt>
                <c:pt idx="10">
                  <c:v>3465.17</c:v>
                </c:pt>
                <c:pt idx="11" formatCode="_ * #,##0_ ;_ * \-#,##0_ ;_ * &quot;-&quot;??_ ;_ @_ ">
                  <c:v>5142.6001000000006</c:v>
                </c:pt>
                <c:pt idx="12" formatCode="_ * #,##0_ ;_ * \-#,##0_ ;_ * &quot;-&quot;??_ ;_ @_ ">
                  <c:v>4639</c:v>
                </c:pt>
                <c:pt idx="13" formatCode="_ * #,##0_ ;_ * \-#,##0_ ;_ * &quot;-&quot;??_ ;_ @_ ">
                  <c:v>4213.75</c:v>
                </c:pt>
                <c:pt idx="14" formatCode="_ * #,##0_ ;_ * \-#,##0_ ;_ * &quot;-&quot;??_ ;_ @_ ">
                  <c:v>4377.28</c:v>
                </c:pt>
                <c:pt idx="15" formatCode="_ * #,##0_ ;_ * \-#,##0_ ;_ * &quot;-&quot;??_ ;_ @_ ">
                  <c:v>2098.69</c:v>
                </c:pt>
                <c:pt idx="16" formatCode="_ * #,##0_ ;_ * \-#,##0_ ;_ * &quot;-&quot;??_ ;_ @_ ">
                  <c:v>1620.43</c:v>
                </c:pt>
                <c:pt idx="17" formatCode="_ * #,##0_ ;_ * \-#,##0_ ;_ * &quot;-&quot;??_ ;_ @_ ">
                  <c:v>1905.46</c:v>
                </c:pt>
                <c:pt idx="18" formatCode="_ * #,##0_ ;_ * \-#,##0_ ;_ * &quot;-&quot;??_ ;_ @_ ">
                  <c:v>1203.5981999999999</c:v>
                </c:pt>
                <c:pt idx="19" formatCode="_ * #,##0_ ;_ * \-#,##0_ ;_ * &quot;-&quot;??_ ;_ @_ ">
                  <c:v>3028.555050220004</c:v>
                </c:pt>
                <c:pt idx="20" formatCode="_ * #,##0_ ;_ * \-#,##0_ ;_ * &quot;-&quot;??_ ;_ @_ ">
                  <c:v>2871.1499999999996</c:v>
                </c:pt>
                <c:pt idx="21" formatCode="_ * #,##0_ ;_ * \-#,##0_ ;_ * &quot;-&quot;??_ ;_ @_ ">
                  <c:v>3042.59</c:v>
                </c:pt>
                <c:pt idx="22" formatCode="_ * #,##0_ ;_ * \-#,##0_ ;_ * &quot;-&quot;??_ ;_ @_ ">
                  <c:v>4160.09</c:v>
                </c:pt>
                <c:pt idx="23" formatCode="_ * #,##0_ ;_ * \-#,##0_ ;_ * &quot;-&quot;??_ ;_ @_ ">
                  <c:v>3755.1499999999996</c:v>
                </c:pt>
                <c:pt idx="24" formatCode="_ * #,##0_ ;_ * \-#,##0_ ;_ * &quot;-&quot;??_ ;_ @_ ">
                  <c:v>2881.026557055</c:v>
                </c:pt>
                <c:pt idx="25" formatCode="_ * #,##0_ ;_ * \-#,##0_ ;_ * &quot;-&quot;??_ ;_ @_ ">
                  <c:v>723.36930000000007</c:v>
                </c:pt>
                <c:pt idx="26" formatCode="_ * #,##0_ ;_ * \-#,##0_ ;_ * &quot;-&quot;??_ ;_ @_ ">
                  <c:v>489.81</c:v>
                </c:pt>
                <c:pt idx="27" formatCode="_ * #,##0_ ;_ * \-#,##0_ ;_ * &quot;-&quot;??_ ;_ @_ ">
                  <c:v>83.703000000000003</c:v>
                </c:pt>
                <c:pt idx="28" formatCode="_ * #,##0_ ;_ * \-#,##0_ ;_ * &quot;-&quot;??_ ;_ @_ ">
                  <c:v>4.3270248599999999</c:v>
                </c:pt>
                <c:pt idx="29" formatCode="_ * #,##0_ ;_ * \-#,##0_ ;_ * &quot;-&quot;??_ ;_ @_ ">
                  <c:v>1.6379999999999999E-3</c:v>
                </c:pt>
                <c:pt idx="30" formatCode="_ * #,##0_ ;_ * \-#,##0_ ;_ * &quot;-&quot;??_ ;_ @_ ">
                  <c:v>0.1153</c:v>
                </c:pt>
              </c:numCache>
            </c:numRef>
          </c:val>
          <c:smooth val="0"/>
          <c:extLst xmlns:c16r2="http://schemas.microsoft.com/office/drawing/2015/06/chart">
            <c:ext xmlns:c16="http://schemas.microsoft.com/office/drawing/2014/chart" uri="{C3380CC4-5D6E-409C-BE32-E72D297353CC}">
              <c16:uniqueId val="{00000003-0FA6-4759-B63E-FE5C90352A39}"/>
            </c:ext>
          </c:extLst>
        </c:ser>
        <c:dLbls>
          <c:showLegendKey val="0"/>
          <c:showVal val="0"/>
          <c:showCatName val="0"/>
          <c:showSerName val="0"/>
          <c:showPercent val="0"/>
          <c:showBubbleSize val="0"/>
        </c:dLbls>
        <c:marker val="1"/>
        <c:smooth val="0"/>
        <c:axId val="813069816"/>
        <c:axId val="813070208"/>
        <c:extLst xmlns:c16r2="http://schemas.microsoft.com/office/drawing/2015/06/chart">
          <c:ext xmlns:c15="http://schemas.microsoft.com/office/drawing/2012/chart" uri="{02D57815-91ED-43cb-92C2-25804820EDAC}">
            <c15:filteredLineSeries>
              <c15:ser>
                <c:idx val="3"/>
                <c:order val="3"/>
                <c:tx>
                  <c:strRef>
                    <c:extLst xmlns:c16r2="http://schemas.microsoft.com/office/drawing/2015/06/chart">
                      <c:ext uri="{02D57815-91ED-43cb-92C2-25804820EDAC}">
                        <c15:formulaRef>
                          <c15:sqref>'Turnover charts'!$M$3</c15:sqref>
                        </c15:formulaRef>
                      </c:ext>
                    </c:extLst>
                    <c:strCache>
                      <c:ptCount val="1"/>
                      <c:pt idx="0">
                        <c:v>BSE Options (RHS)</c:v>
                      </c:pt>
                    </c:strCache>
                  </c:strRef>
                </c:tx>
                <c:spPr>
                  <a:ln w="28575" cap="rnd">
                    <a:solidFill>
                      <a:srgbClr val="0070C0"/>
                    </a:solidFill>
                    <a:round/>
                  </a:ln>
                  <a:effectLst/>
                </c:spPr>
                <c:marker>
                  <c:symbol val="circle"/>
                  <c:size val="5"/>
                  <c:spPr>
                    <a:solidFill>
                      <a:srgbClr val="0070C0"/>
                    </a:solidFill>
                    <a:ln w="9525">
                      <a:solidFill>
                        <a:srgbClr val="0070C0"/>
                      </a:solidFill>
                    </a:ln>
                    <a:effectLst/>
                  </c:spPr>
                </c:marker>
                <c:cat>
                  <c:numRef>
                    <c:extLst xmlns:c16r2="http://schemas.microsoft.com/office/drawing/2015/06/chart">
                      <c:ext uri="{02D57815-91ED-43cb-92C2-25804820EDAC}">
                        <c15:formulaRef>
                          <c15:sqref>'Turnover charts'!$I$4:$I$49</c15:sqref>
                        </c15:formulaRef>
                      </c:ext>
                    </c:extLst>
                    <c:numCache>
                      <c:formatCode>mmm\-yy</c:formatCode>
                      <c:ptCount val="31"/>
                      <c:pt idx="0">
                        <c:v>43160</c:v>
                      </c:pt>
                      <c:pt idx="1">
                        <c:v>43191</c:v>
                      </c:pt>
                      <c:pt idx="2">
                        <c:v>43221</c:v>
                      </c:pt>
                      <c:pt idx="3">
                        <c:v>43252</c:v>
                      </c:pt>
                      <c:pt idx="4">
                        <c:v>43282</c:v>
                      </c:pt>
                      <c:pt idx="5">
                        <c:v>43313</c:v>
                      </c:pt>
                      <c:pt idx="6">
                        <c:v>43344</c:v>
                      </c:pt>
                      <c:pt idx="7">
                        <c:v>43374</c:v>
                      </c:pt>
                      <c:pt idx="8">
                        <c:v>43405</c:v>
                      </c:pt>
                      <c:pt idx="9">
                        <c:v>43435</c:v>
                      </c:pt>
                      <c:pt idx="10">
                        <c:v>43466</c:v>
                      </c:pt>
                      <c:pt idx="11">
                        <c:v>43497</c:v>
                      </c:pt>
                      <c:pt idx="12">
                        <c:v>43525</c:v>
                      </c:pt>
                      <c:pt idx="13">
                        <c:v>43556</c:v>
                      </c:pt>
                      <c:pt idx="14">
                        <c:v>43586</c:v>
                      </c:pt>
                      <c:pt idx="15">
                        <c:v>43617</c:v>
                      </c:pt>
                      <c:pt idx="16">
                        <c:v>43647</c:v>
                      </c:pt>
                      <c:pt idx="17">
                        <c:v>43678</c:v>
                      </c:pt>
                      <c:pt idx="18">
                        <c:v>43709</c:v>
                      </c:pt>
                      <c:pt idx="19">
                        <c:v>43739</c:v>
                      </c:pt>
                      <c:pt idx="20">
                        <c:v>43770</c:v>
                      </c:pt>
                      <c:pt idx="21">
                        <c:v>43800</c:v>
                      </c:pt>
                      <c:pt idx="22">
                        <c:v>43831</c:v>
                      </c:pt>
                      <c:pt idx="23">
                        <c:v>43862</c:v>
                      </c:pt>
                      <c:pt idx="24">
                        <c:v>43891</c:v>
                      </c:pt>
                      <c:pt idx="25">
                        <c:v>43922</c:v>
                      </c:pt>
                      <c:pt idx="26">
                        <c:v>43952</c:v>
                      </c:pt>
                      <c:pt idx="27">
                        <c:v>43983</c:v>
                      </c:pt>
                      <c:pt idx="28">
                        <c:v>44013</c:v>
                      </c:pt>
                      <c:pt idx="29">
                        <c:v>44044</c:v>
                      </c:pt>
                      <c:pt idx="30">
                        <c:v>44075</c:v>
                      </c:pt>
                    </c:numCache>
                  </c:numRef>
                </c:cat>
                <c:val>
                  <c:numRef>
                    <c:extLst xmlns:c16r2="http://schemas.microsoft.com/office/drawing/2015/06/chart">
                      <c:ext uri="{02D57815-91ED-43cb-92C2-25804820EDAC}">
                        <c15:formulaRef>
                          <c15:sqref>'Turnover charts'!$M$4:$M$48</c15:sqref>
                        </c15:formulaRef>
                      </c:ext>
                    </c:extLst>
                    <c:numCache>
                      <c:formatCode>General</c:formatCode>
                      <c:ptCount val="30"/>
                      <c:pt idx="7" formatCode="_(* #,##0_);_(* \(#,##0\);_(* &quot;-&quot;??_);_(@_)">
                        <c:v>0</c:v>
                      </c:pt>
                      <c:pt idx="8" formatCode="_(* #,##0_);_(* \(#,##0\);_(* &quot;-&quot;??_);_(@_)">
                        <c:v>0</c:v>
                      </c:pt>
                      <c:pt idx="9" formatCode="_(* #,##0_);_(* \(#,##0\);_(* &quot;-&quot;??_);_(@_)">
                        <c:v>0</c:v>
                      </c:pt>
                      <c:pt idx="10" formatCode="_(* #,##0_);_(* \(#,##0\);_(* &quot;-&quot;??_);_(@_)">
                        <c:v>0</c:v>
                      </c:pt>
                      <c:pt idx="11" formatCode="_(* #,##0_);_(* \(#,##0\);_(* &quot;-&quot;??_);_(@_)">
                        <c:v>0</c:v>
                      </c:pt>
                      <c:pt idx="12" formatCode="_(* #,##0_);_(* \(#,##0\);_(* &quot;-&quot;??_);_(@_)">
                        <c:v>0</c:v>
                      </c:pt>
                      <c:pt idx="13" formatCode="_(* #,##0_);_(* \(#,##0\);_(* &quot;-&quot;??_);_(@_)">
                        <c:v>0</c:v>
                      </c:pt>
                      <c:pt idx="14" formatCode="_(* #,##0_);_(* \(#,##0\);_(* &quot;-&quot;??_);_(@_)">
                        <c:v>0</c:v>
                      </c:pt>
                      <c:pt idx="15" formatCode="_(* #,##0_);_(* \(#,##0\);_(* &quot;-&quot;??_);_(@_)">
                        <c:v>0</c:v>
                      </c:pt>
                      <c:pt idx="16" formatCode="_(* #,##0_);_(* \(#,##0\);_(* &quot;-&quot;??_);_(@_)">
                        <c:v>0</c:v>
                      </c:pt>
                      <c:pt idx="17" formatCode="_(* #,##0_);_(* \(#,##0\);_(* &quot;-&quot;??_);_(@_)">
                        <c:v>0</c:v>
                      </c:pt>
                      <c:pt idx="18" formatCode="_(* #,##0_);_(* \(#,##0\);_(* &quot;-&quot;??_);_(@_)">
                        <c:v>0</c:v>
                      </c:pt>
                      <c:pt idx="19" formatCode="_(* #,##0_);_(* \(#,##0\);_(* &quot;-&quot;??_);_(@_)">
                        <c:v>0</c:v>
                      </c:pt>
                      <c:pt idx="20" formatCode="_(* #,##0_);_(* \(#,##0\);_(* &quot;-&quot;??_);_(@_)">
                        <c:v>0</c:v>
                      </c:pt>
                      <c:pt idx="21" formatCode="_(* #,##0_);_(* \(#,##0\);_(* &quot;-&quot;??_);_(@_)">
                        <c:v>0</c:v>
                      </c:pt>
                      <c:pt idx="22" formatCode="_(* #,##0_);_(* \(#,##0\);_(* &quot;-&quot;??_);_(@_)">
                        <c:v>0</c:v>
                      </c:pt>
                      <c:pt idx="23" formatCode="_(* #,##0_);_(* \(#,##0\);_(* &quot;-&quot;??_);_(@_)">
                        <c:v>0</c:v>
                      </c:pt>
                      <c:pt idx="24" formatCode="_(* #,##0_);_(* \(#,##0\);_(* &quot;-&quot;??_);_(@_)">
                        <c:v>0</c:v>
                      </c:pt>
                      <c:pt idx="25" formatCode="_(* #,##0_);_(* \(#,##0\);_(* &quot;-&quot;??_);_(@_)">
                        <c:v>0</c:v>
                      </c:pt>
                      <c:pt idx="26" formatCode="_(* #,##0_);_(* \(#,##0\);_(* &quot;-&quot;??_);_(@_)">
                        <c:v>0</c:v>
                      </c:pt>
                      <c:pt idx="27" formatCode="_ * #,##0_ ;_ * \-#,##0_ ;_ * &quot;-&quot;??_ ;_ @_ ">
                        <c:v>26816.769999999997</c:v>
                      </c:pt>
                      <c:pt idx="28" formatCode="_ * #,##0_ ;_ * \-#,##0_ ;_ * &quot;-&quot;??_ ;_ @_ ">
                        <c:v>72242.989999999991</c:v>
                      </c:pt>
                      <c:pt idx="29" formatCode="_ * #,##0_ ;_ * \-#,##0_ ;_ * &quot;-&quot;??_ ;_ @_ ">
                        <c:v>71670.850000000006</c:v>
                      </c:pt>
                    </c:numCache>
                  </c:numRef>
                </c:val>
                <c:smooth val="0"/>
                <c:extLst xmlns:c16r2="http://schemas.microsoft.com/office/drawing/2015/06/chart">
                  <c:ext xmlns:c16="http://schemas.microsoft.com/office/drawing/2014/chart" uri="{C3380CC4-5D6E-409C-BE32-E72D297353CC}">
                    <c16:uniqueId val="{00000005-0FA6-4759-B63E-FE5C90352A39}"/>
                  </c:ext>
                </c:extLst>
              </c15:ser>
            </c15:filteredLineSeries>
            <c15:filteredLineSeries>
              <c15:ser>
                <c:idx val="5"/>
                <c:order val="5"/>
                <c:tx>
                  <c:strRef>
                    <c:extLst xmlns:c15="http://schemas.microsoft.com/office/drawing/2012/chart" xmlns:c16r2="http://schemas.microsoft.com/office/drawing/2015/06/chart">
                      <c:ext xmlns:c15="http://schemas.microsoft.com/office/drawing/2012/chart" uri="{02D57815-91ED-43cb-92C2-25804820EDAC}">
                        <c15:formulaRef>
                          <c15:sqref>'Turnover charts'!$O$3</c15:sqref>
                        </c15:formulaRef>
                      </c:ext>
                    </c:extLst>
                    <c:strCache>
                      <c:ptCount val="1"/>
                      <c:pt idx="0">
                        <c:v>NSE option (RHS)</c:v>
                      </c:pt>
                    </c:strCache>
                  </c:strRef>
                </c:tx>
                <c:spPr>
                  <a:ln w="28575" cap="rnd">
                    <a:solidFill>
                      <a:schemeClr val="accent6"/>
                    </a:solidFill>
                    <a:round/>
                  </a:ln>
                  <a:effectLst/>
                </c:spPr>
                <c:marker>
                  <c:symbol val="none"/>
                </c:marker>
                <c:cat>
                  <c:numRef>
                    <c:extLst xmlns:c15="http://schemas.microsoft.com/office/drawing/2012/chart" xmlns:c16r2="http://schemas.microsoft.com/office/drawing/2015/06/chart">
                      <c:ext xmlns:c15="http://schemas.microsoft.com/office/drawing/2012/chart" uri="{02D57815-91ED-43cb-92C2-25804820EDAC}">
                        <c15:formulaRef>
                          <c15:sqref>'Turnover charts'!$I$4:$I$49</c15:sqref>
                        </c15:formulaRef>
                      </c:ext>
                    </c:extLst>
                    <c:numCache>
                      <c:formatCode>mmm\-yy</c:formatCode>
                      <c:ptCount val="31"/>
                      <c:pt idx="0">
                        <c:v>43160</c:v>
                      </c:pt>
                      <c:pt idx="1">
                        <c:v>43191</c:v>
                      </c:pt>
                      <c:pt idx="2">
                        <c:v>43221</c:v>
                      </c:pt>
                      <c:pt idx="3">
                        <c:v>43252</c:v>
                      </c:pt>
                      <c:pt idx="4">
                        <c:v>43282</c:v>
                      </c:pt>
                      <c:pt idx="5">
                        <c:v>43313</c:v>
                      </c:pt>
                      <c:pt idx="6">
                        <c:v>43344</c:v>
                      </c:pt>
                      <c:pt idx="7">
                        <c:v>43374</c:v>
                      </c:pt>
                      <c:pt idx="8">
                        <c:v>43405</c:v>
                      </c:pt>
                      <c:pt idx="9">
                        <c:v>43435</c:v>
                      </c:pt>
                      <c:pt idx="10">
                        <c:v>43466</c:v>
                      </c:pt>
                      <c:pt idx="11">
                        <c:v>43497</c:v>
                      </c:pt>
                      <c:pt idx="12">
                        <c:v>43525</c:v>
                      </c:pt>
                      <c:pt idx="13">
                        <c:v>43556</c:v>
                      </c:pt>
                      <c:pt idx="14">
                        <c:v>43586</c:v>
                      </c:pt>
                      <c:pt idx="15">
                        <c:v>43617</c:v>
                      </c:pt>
                      <c:pt idx="16">
                        <c:v>43647</c:v>
                      </c:pt>
                      <c:pt idx="17">
                        <c:v>43678</c:v>
                      </c:pt>
                      <c:pt idx="18">
                        <c:v>43709</c:v>
                      </c:pt>
                      <c:pt idx="19">
                        <c:v>43739</c:v>
                      </c:pt>
                      <c:pt idx="20">
                        <c:v>43770</c:v>
                      </c:pt>
                      <c:pt idx="21">
                        <c:v>43800</c:v>
                      </c:pt>
                      <c:pt idx="22">
                        <c:v>43831</c:v>
                      </c:pt>
                      <c:pt idx="23">
                        <c:v>43862</c:v>
                      </c:pt>
                      <c:pt idx="24">
                        <c:v>43891</c:v>
                      </c:pt>
                      <c:pt idx="25">
                        <c:v>43922</c:v>
                      </c:pt>
                      <c:pt idx="26">
                        <c:v>43952</c:v>
                      </c:pt>
                      <c:pt idx="27">
                        <c:v>43983</c:v>
                      </c:pt>
                      <c:pt idx="28">
                        <c:v>44013</c:v>
                      </c:pt>
                      <c:pt idx="29">
                        <c:v>44044</c:v>
                      </c:pt>
                      <c:pt idx="30">
                        <c:v>44075</c:v>
                      </c:pt>
                    </c:numCache>
                  </c:numRef>
                </c:cat>
                <c:val>
                  <c:numRef>
                    <c:extLst xmlns:c15="http://schemas.microsoft.com/office/drawing/2012/chart" xmlns:c16r2="http://schemas.microsoft.com/office/drawing/2015/06/chart">
                      <c:ext xmlns:c15="http://schemas.microsoft.com/office/drawing/2012/chart" uri="{02D57815-91ED-43cb-92C2-25804820EDAC}">
                        <c15:formulaRef>
                          <c15:sqref>'Turnover charts'!$O$4:$O$48</c15:sqref>
                        </c15:formulaRef>
                      </c:ext>
                    </c:extLst>
                    <c:numCache>
                      <c:formatCode>General</c:formatCode>
                      <c:ptCount val="30"/>
                      <c:pt idx="7" formatCode="_(* #,##0_);_(* \(#,##0\);_(* &quot;-&quot;??_);_(@_)">
                        <c:v>0</c:v>
                      </c:pt>
                      <c:pt idx="8" formatCode="_(* #,##0_);_(* \(#,##0\);_(* &quot;-&quot;??_);_(@_)">
                        <c:v>0</c:v>
                      </c:pt>
                      <c:pt idx="9" formatCode="_(* #,##0_);_(* \(#,##0\);_(* &quot;-&quot;??_);_(@_)">
                        <c:v>0</c:v>
                      </c:pt>
                      <c:pt idx="10" formatCode="_(* #,##0_);_(* \(#,##0\);_(* &quot;-&quot;??_);_(@_)">
                        <c:v>0</c:v>
                      </c:pt>
                      <c:pt idx="11" formatCode="_(* #,##0_);_(* \(#,##0\);_(* &quot;-&quot;??_);_(@_)">
                        <c:v>0</c:v>
                      </c:pt>
                      <c:pt idx="12" formatCode="_(* #,##0_);_(* \(#,##0\);_(* &quot;-&quot;??_);_(@_)">
                        <c:v>0</c:v>
                      </c:pt>
                      <c:pt idx="13" formatCode="_ * #,##0_ ;_ * \-#,##0_ ;_ * &quot;-&quot;??_ ;_ @_ ">
                        <c:v>0</c:v>
                      </c:pt>
                      <c:pt idx="14" formatCode="_ * #,##0_ ;_ * \-#,##0_ ;_ * &quot;-&quot;??_ ;_ @_ ">
                        <c:v>0</c:v>
                      </c:pt>
                      <c:pt idx="15" formatCode="_ * #,##0_ ;_ * \-#,##0_ ;_ * &quot;-&quot;??_ ;_ @_ ">
                        <c:v>0</c:v>
                      </c:pt>
                      <c:pt idx="16" formatCode="_ * #,##0_ ;_ * \-#,##0_ ;_ * &quot;-&quot;??_ ;_ @_ ">
                        <c:v>0</c:v>
                      </c:pt>
                      <c:pt idx="17" formatCode="_ * #,##0_ ;_ * \-#,##0_ ;_ * &quot;-&quot;??_ ;_ @_ ">
                        <c:v>0</c:v>
                      </c:pt>
                      <c:pt idx="18" formatCode="_ * #,##0_ ;_ * \-#,##0_ ;_ * &quot;-&quot;??_ ;_ @_ ">
                        <c:v>0</c:v>
                      </c:pt>
                      <c:pt idx="19" formatCode="_ * #,##0_ ;_ * \-#,##0_ ;_ * &quot;-&quot;??_ ;_ @_ ">
                        <c:v>0</c:v>
                      </c:pt>
                      <c:pt idx="20" formatCode="_ * #,##0_ ;_ * \-#,##0_ ;_ * &quot;-&quot;??_ ;_ @_ ">
                        <c:v>0</c:v>
                      </c:pt>
                      <c:pt idx="21" formatCode="_ * #,##0_ ;_ * \-#,##0_ ;_ * &quot;-&quot;??_ ;_ @_ ">
                        <c:v>0</c:v>
                      </c:pt>
                      <c:pt idx="22" formatCode="_ * #,##0_ ;_ * \-#,##0_ ;_ * &quot;-&quot;??_ ;_ @_ ">
                        <c:v>0</c:v>
                      </c:pt>
                      <c:pt idx="23" formatCode="_ * #,##0_ ;_ * \-#,##0_ ;_ * &quot;-&quot;??_ ;_ @_ ">
                        <c:v>0</c:v>
                      </c:pt>
                      <c:pt idx="24" formatCode="_(* #,##0_);_(* \(#,##0\);_(* &quot;-&quot;??_);_(@_)">
                        <c:v>0</c:v>
                      </c:pt>
                      <c:pt idx="25" formatCode="_(* #,##0_);_(* \(#,##0\);_(* &quot;-&quot;??_);_(@_)">
                        <c:v>0</c:v>
                      </c:pt>
                      <c:pt idx="26" formatCode="_(* #,##0_);_(* \(#,##0\);_(* &quot;-&quot;??_);_(@_)">
                        <c:v>0</c:v>
                      </c:pt>
                      <c:pt idx="27" formatCode="_ * #,##0_ ;_ * \-#,##0_ ;_ * &quot;-&quot;??_ ;_ @_ ">
                        <c:v>1751.8752035000002</c:v>
                      </c:pt>
                      <c:pt idx="28" formatCode="_ * #,##0_ ;_ * \-#,##0_ ;_ * &quot;-&quot;??_ ;_ @_ ">
                        <c:v>6235.7549739999995</c:v>
                      </c:pt>
                      <c:pt idx="29" formatCode="_ * #,##0_ ;_ * \-#,##0_ ;_ * &quot;-&quot;??_ ;_ @_ ">
                        <c:v>2381.9200970000002</c:v>
                      </c:pt>
                    </c:numCache>
                  </c:numRef>
                </c:val>
                <c:smooth val="0"/>
                <c:extLst xmlns:c15="http://schemas.microsoft.com/office/drawing/2012/chart" xmlns:c16r2="http://schemas.microsoft.com/office/drawing/2015/06/chart">
                  <c:ext xmlns:c16="http://schemas.microsoft.com/office/drawing/2014/chart" uri="{C3380CC4-5D6E-409C-BE32-E72D297353CC}">
                    <c16:uniqueId val="{00000006-0FA6-4759-B63E-FE5C90352A39}"/>
                  </c:ext>
                </c:extLst>
              </c15:ser>
            </c15:filteredLineSeries>
          </c:ext>
        </c:extLst>
      </c:lineChart>
      <c:dateAx>
        <c:axId val="813069816"/>
        <c:scaling>
          <c:orientation val="minMax"/>
          <c:min val="43739"/>
        </c:scaling>
        <c:delete val="0"/>
        <c:axPos val="b"/>
        <c:numFmt formatCode="mmm\-yy" sourceLinked="1"/>
        <c:majorTickMark val="out"/>
        <c:minorTickMark val="none"/>
        <c:tickLblPos val="nextTo"/>
        <c:spPr>
          <a:noFill/>
          <a:ln w="9525" cap="flat" cmpd="sng" algn="ctr">
            <a:solidFill>
              <a:schemeClr val="tx1">
                <a:lumMod val="15000"/>
                <a:lumOff val="85000"/>
              </a:schemeClr>
            </a:solidFill>
            <a:round/>
          </a:ln>
          <a:effectLst/>
        </c:spPr>
        <c:txPr>
          <a:bodyPr rot="-2400000" spcFirstLastPara="1" vertOverflow="ellipsis"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crossAx val="813070208"/>
        <c:crosses val="autoZero"/>
        <c:auto val="1"/>
        <c:lblOffset val="100"/>
        <c:baseTimeUnit val="months"/>
      </c:dateAx>
      <c:valAx>
        <c:axId val="813070208"/>
        <c:scaling>
          <c:orientation val="minMax"/>
          <c:max val="5000"/>
          <c:min val="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lgn="ctr" rtl="0">
                  <a:defRPr sz="900" b="0" i="0" u="none" strike="noStrike" kern="1200" baseline="0">
                    <a:solidFill>
                      <a:sysClr val="windowText" lastClr="000000"/>
                    </a:solidFill>
                    <a:latin typeface="Palatino Linotype" panose="02040502050505030304" pitchFamily="18" charset="0"/>
                    <a:ea typeface="+mn-ea"/>
                    <a:cs typeface="+mn-cs"/>
                  </a:defRPr>
                </a:pPr>
                <a:r>
                  <a:rPr lang="en-US"/>
                  <a:t>₹</a:t>
                </a:r>
                <a:r>
                  <a:rPr lang="en-IN"/>
                  <a:t> crore</a:t>
                </a:r>
              </a:p>
            </c:rich>
          </c:tx>
          <c:overlay val="0"/>
          <c:spPr>
            <a:noFill/>
            <a:ln>
              <a:noFill/>
            </a:ln>
            <a:effectLst/>
          </c:spPr>
          <c:txPr>
            <a:bodyPr rot="-5400000" spcFirstLastPara="1" vertOverflow="ellipsis" vert="horz" wrap="square" anchor="ctr" anchorCtr="1"/>
            <a:lstStyle/>
            <a:p>
              <a:pPr algn="ctr" rtl="0">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title>
        <c:numFmt formatCode="0" sourceLinked="0"/>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crossAx val="813069816"/>
        <c:crosses val="autoZero"/>
        <c:crossBetween val="between"/>
        <c:majorUnit val="1000"/>
      </c:valAx>
      <c:valAx>
        <c:axId val="812894216"/>
        <c:scaling>
          <c:orientation val="minMax"/>
        </c:scaling>
        <c:delete val="0"/>
        <c:axPos val="r"/>
        <c:title>
          <c:tx>
            <c:rich>
              <a:bodyPr rot="5400000" spcFirstLastPara="1" vertOverflow="ellipsis"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r>
                  <a:rPr lang="en-US" sz="900" b="0" i="0" baseline="0">
                    <a:effectLst/>
                  </a:rPr>
                  <a:t>₹</a:t>
                </a:r>
                <a:r>
                  <a:rPr lang="en-IN" sz="900" b="0" i="0" baseline="0">
                    <a:effectLst/>
                  </a:rPr>
                  <a:t> crore</a:t>
                </a:r>
                <a:endParaRPr lang="en-IN" sz="900">
                  <a:effectLst/>
                </a:endParaRPr>
              </a:p>
            </c:rich>
          </c:tx>
          <c:overlay val="0"/>
          <c:spPr>
            <a:noFill/>
            <a:ln>
              <a:noFill/>
            </a:ln>
            <a:effectLst/>
          </c:spPr>
          <c:txPr>
            <a:bodyPr rot="5400000" spcFirstLastPara="1" vertOverflow="ellipsis"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title>
        <c:numFmt formatCode="_(* #,##0_);_(* \(#,##0\);_(* &quot;-&quot;??_);_(@_)"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crossAx val="812897744"/>
        <c:crosses val="max"/>
        <c:crossBetween val="between"/>
      </c:valAx>
      <c:dateAx>
        <c:axId val="812897744"/>
        <c:scaling>
          <c:orientation val="minMax"/>
        </c:scaling>
        <c:delete val="1"/>
        <c:axPos val="b"/>
        <c:numFmt formatCode="mmm\-yy" sourceLinked="1"/>
        <c:majorTickMark val="out"/>
        <c:minorTickMark val="none"/>
        <c:tickLblPos val="nextTo"/>
        <c:crossAx val="812894216"/>
        <c:crosses val="autoZero"/>
        <c:auto val="1"/>
        <c:lblOffset val="100"/>
        <c:baseTimeUnit val="months"/>
        <c:majorUnit val="1"/>
        <c:minorUnit val="1"/>
      </c:dateAx>
      <c:spPr>
        <a:noFill/>
        <a:ln>
          <a:noFill/>
        </a:ln>
        <a:effectLst/>
      </c:spPr>
    </c:plotArea>
    <c:legend>
      <c:legendPos val="b"/>
      <c:layout>
        <c:manualLayout>
          <c:xMode val="edge"/>
          <c:yMode val="edge"/>
          <c:x val="0.10228638086905803"/>
          <c:y val="0.86911128542727867"/>
          <c:w val="0.82778999518551322"/>
          <c:h val="0.13088871457272128"/>
        </c:manualLayout>
      </c:layout>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bg1"/>
    </a:solidFill>
    <a:ln w="9525" cap="flat" cmpd="sng" algn="ctr">
      <a:solidFill>
        <a:sysClr val="window" lastClr="FFFFFF">
          <a:lumMod val="65000"/>
        </a:sysClr>
      </a:solidFill>
      <a:round/>
    </a:ln>
    <a:effectLst/>
  </c:spPr>
  <c:txPr>
    <a:bodyPr/>
    <a:lstStyle/>
    <a:p>
      <a:pPr>
        <a:defRPr sz="900">
          <a:solidFill>
            <a:sysClr val="windowText" lastClr="000000"/>
          </a:solidFill>
          <a:latin typeface="Palatino Linotype" panose="02040502050505030304" pitchFamily="18" charset="0"/>
        </a:defRPr>
      </a:pPr>
      <a:endParaRPr lang="en-US"/>
    </a:p>
  </c:txPr>
  <c:externalData r:id="rId4">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0923031447844071"/>
          <c:y val="2.5425336553711E-2"/>
          <c:w val="0.76899943817894811"/>
          <c:h val="0.66768552180430396"/>
        </c:manualLayout>
      </c:layout>
      <c:barChart>
        <c:barDir val="col"/>
        <c:grouping val="stacked"/>
        <c:varyColors val="0"/>
        <c:ser>
          <c:idx val="1"/>
          <c:order val="0"/>
          <c:tx>
            <c:v>MCX Options (LHS)</c:v>
          </c:tx>
          <c:spPr>
            <a:solidFill>
              <a:schemeClr val="accent2"/>
            </a:solidFill>
            <a:ln w="12700">
              <a:solidFill>
                <a:schemeClr val="tx1">
                  <a:lumMod val="75000"/>
                  <a:lumOff val="25000"/>
                </a:schemeClr>
              </a:solidFill>
            </a:ln>
            <a:effectLst/>
          </c:spPr>
          <c:invertIfNegative val="0"/>
          <c:cat>
            <c:numRef>
              <c:f>'Turnover charts'!$I$4:$I$49</c:f>
              <c:numCache>
                <c:formatCode>mmm\-yy</c:formatCode>
                <c:ptCount val="31"/>
                <c:pt idx="0">
                  <c:v>43160</c:v>
                </c:pt>
                <c:pt idx="1">
                  <c:v>43191</c:v>
                </c:pt>
                <c:pt idx="2">
                  <c:v>43221</c:v>
                </c:pt>
                <c:pt idx="3">
                  <c:v>43252</c:v>
                </c:pt>
                <c:pt idx="4">
                  <c:v>43282</c:v>
                </c:pt>
                <c:pt idx="5">
                  <c:v>43313</c:v>
                </c:pt>
                <c:pt idx="6">
                  <c:v>43344</c:v>
                </c:pt>
                <c:pt idx="7">
                  <c:v>43374</c:v>
                </c:pt>
                <c:pt idx="8">
                  <c:v>43405</c:v>
                </c:pt>
                <c:pt idx="9">
                  <c:v>43435</c:v>
                </c:pt>
                <c:pt idx="10">
                  <c:v>43466</c:v>
                </c:pt>
                <c:pt idx="11">
                  <c:v>43497</c:v>
                </c:pt>
                <c:pt idx="12">
                  <c:v>43525</c:v>
                </c:pt>
                <c:pt idx="13">
                  <c:v>43556</c:v>
                </c:pt>
                <c:pt idx="14">
                  <c:v>43586</c:v>
                </c:pt>
                <c:pt idx="15">
                  <c:v>43617</c:v>
                </c:pt>
                <c:pt idx="16">
                  <c:v>43647</c:v>
                </c:pt>
                <c:pt idx="17">
                  <c:v>43678</c:v>
                </c:pt>
                <c:pt idx="18">
                  <c:v>43709</c:v>
                </c:pt>
                <c:pt idx="19">
                  <c:v>43739</c:v>
                </c:pt>
                <c:pt idx="20">
                  <c:v>43770</c:v>
                </c:pt>
                <c:pt idx="21">
                  <c:v>43800</c:v>
                </c:pt>
                <c:pt idx="22">
                  <c:v>43831</c:v>
                </c:pt>
                <c:pt idx="23">
                  <c:v>43862</c:v>
                </c:pt>
                <c:pt idx="24">
                  <c:v>43891</c:v>
                </c:pt>
                <c:pt idx="25">
                  <c:v>43922</c:v>
                </c:pt>
                <c:pt idx="26">
                  <c:v>43952</c:v>
                </c:pt>
                <c:pt idx="27">
                  <c:v>43983</c:v>
                </c:pt>
                <c:pt idx="28">
                  <c:v>44013</c:v>
                </c:pt>
                <c:pt idx="29">
                  <c:v>44044</c:v>
                </c:pt>
                <c:pt idx="30">
                  <c:v>44075</c:v>
                </c:pt>
              </c:numCache>
            </c:numRef>
          </c:cat>
          <c:val>
            <c:numRef>
              <c:f>'Turnover charts'!$K$4:$K$49</c:f>
              <c:numCache>
                <c:formatCode>_(* #,##0_);_(* \(#,##0\);_(* "-"??_);_(@_)</c:formatCode>
                <c:ptCount val="31"/>
                <c:pt idx="0">
                  <c:v>703.93000000000006</c:v>
                </c:pt>
                <c:pt idx="1">
                  <c:v>2640.42</c:v>
                </c:pt>
                <c:pt idx="2">
                  <c:v>16870.32</c:v>
                </c:pt>
                <c:pt idx="3">
                  <c:v>15987.750000000002</c:v>
                </c:pt>
                <c:pt idx="4">
                  <c:v>19672.011136500001</c:v>
                </c:pt>
                <c:pt idx="5">
                  <c:v>11041.360000000002</c:v>
                </c:pt>
                <c:pt idx="6">
                  <c:v>46624.133279499998</c:v>
                </c:pt>
                <c:pt idx="7">
                  <c:v>15644.809233</c:v>
                </c:pt>
                <c:pt idx="8">
                  <c:v>10235</c:v>
                </c:pt>
                <c:pt idx="9">
                  <c:v>9813.9104735000001</c:v>
                </c:pt>
                <c:pt idx="10">
                  <c:v>10472.720000000001</c:v>
                </c:pt>
                <c:pt idx="11">
                  <c:v>9291.3051825000002</c:v>
                </c:pt>
                <c:pt idx="12">
                  <c:v>12651.029999999999</c:v>
                </c:pt>
                <c:pt idx="13">
                  <c:v>8685.25</c:v>
                </c:pt>
                <c:pt idx="14">
                  <c:v>16861.852479000001</c:v>
                </c:pt>
                <c:pt idx="15">
                  <c:v>14616.749534499999</c:v>
                </c:pt>
                <c:pt idx="16">
                  <c:v>21042.729179999998</c:v>
                </c:pt>
                <c:pt idx="17">
                  <c:v>23329.757045500002</c:v>
                </c:pt>
                <c:pt idx="18">
                  <c:v>31458.28</c:v>
                </c:pt>
                <c:pt idx="19">
                  <c:v>17859.342895000002</c:v>
                </c:pt>
                <c:pt idx="20">
                  <c:v>21219.491989000002</c:v>
                </c:pt>
                <c:pt idx="21">
                  <c:v>15383.161334999999</c:v>
                </c:pt>
                <c:pt idx="22">
                  <c:v>40469.633901499998</c:v>
                </c:pt>
                <c:pt idx="23">
                  <c:v>33997.311160500001</c:v>
                </c:pt>
                <c:pt idx="24">
                  <c:v>46819.111044999998</c:v>
                </c:pt>
                <c:pt idx="25">
                  <c:v>8497.2066059999997</c:v>
                </c:pt>
                <c:pt idx="26">
                  <c:v>16049.714781499999</c:v>
                </c:pt>
                <c:pt idx="27">
                  <c:v>15138.664696</c:v>
                </c:pt>
                <c:pt idx="28">
                  <c:v>21064.531812000001</c:v>
                </c:pt>
                <c:pt idx="29">
                  <c:v>28998.239947999999</c:v>
                </c:pt>
                <c:pt idx="30">
                  <c:v>26027.212639000005</c:v>
                </c:pt>
              </c:numCache>
            </c:numRef>
          </c:val>
          <c:extLst xmlns:c16r2="http://schemas.microsoft.com/office/drawing/2015/06/chart">
            <c:ext xmlns:c16="http://schemas.microsoft.com/office/drawing/2014/chart" uri="{C3380CC4-5D6E-409C-BE32-E72D297353CC}">
              <c16:uniqueId val="{00000000-5653-4AFF-8B27-FF19897A2746}"/>
            </c:ext>
          </c:extLst>
        </c:ser>
        <c:dLbls>
          <c:showLegendKey val="0"/>
          <c:showVal val="0"/>
          <c:showCatName val="0"/>
          <c:showSerName val="0"/>
          <c:showPercent val="0"/>
          <c:showBubbleSize val="0"/>
        </c:dLbls>
        <c:gapWidth val="219"/>
        <c:overlap val="100"/>
        <c:axId val="812893040"/>
        <c:axId val="812898136"/>
      </c:barChart>
      <c:lineChart>
        <c:grouping val="standard"/>
        <c:varyColors val="0"/>
        <c:ser>
          <c:idx val="5"/>
          <c:order val="2"/>
          <c:tx>
            <c:v>NSE Options (LHS)</c:v>
          </c:tx>
          <c:spPr>
            <a:ln w="28575" cap="rnd">
              <a:solidFill>
                <a:schemeClr val="accent6"/>
              </a:solidFill>
              <a:round/>
            </a:ln>
            <a:effectLst/>
          </c:spPr>
          <c:marker>
            <c:symbol val="none"/>
          </c:marker>
          <c:cat>
            <c:numRef>
              <c:f>'Turnover charts'!$I$4:$I$49</c:f>
              <c:numCache>
                <c:formatCode>mmm\-yy</c:formatCode>
                <c:ptCount val="31"/>
                <c:pt idx="0">
                  <c:v>43160</c:v>
                </c:pt>
                <c:pt idx="1">
                  <c:v>43191</c:v>
                </c:pt>
                <c:pt idx="2">
                  <c:v>43221</c:v>
                </c:pt>
                <c:pt idx="3">
                  <c:v>43252</c:v>
                </c:pt>
                <c:pt idx="4">
                  <c:v>43282</c:v>
                </c:pt>
                <c:pt idx="5">
                  <c:v>43313</c:v>
                </c:pt>
                <c:pt idx="6">
                  <c:v>43344</c:v>
                </c:pt>
                <c:pt idx="7">
                  <c:v>43374</c:v>
                </c:pt>
                <c:pt idx="8">
                  <c:v>43405</c:v>
                </c:pt>
                <c:pt idx="9">
                  <c:v>43435</c:v>
                </c:pt>
                <c:pt idx="10">
                  <c:v>43466</c:v>
                </c:pt>
                <c:pt idx="11">
                  <c:v>43497</c:v>
                </c:pt>
                <c:pt idx="12">
                  <c:v>43525</c:v>
                </c:pt>
                <c:pt idx="13">
                  <c:v>43556</c:v>
                </c:pt>
                <c:pt idx="14">
                  <c:v>43586</c:v>
                </c:pt>
                <c:pt idx="15">
                  <c:v>43617</c:v>
                </c:pt>
                <c:pt idx="16">
                  <c:v>43647</c:v>
                </c:pt>
                <c:pt idx="17">
                  <c:v>43678</c:v>
                </c:pt>
                <c:pt idx="18">
                  <c:v>43709</c:v>
                </c:pt>
                <c:pt idx="19">
                  <c:v>43739</c:v>
                </c:pt>
                <c:pt idx="20">
                  <c:v>43770</c:v>
                </c:pt>
                <c:pt idx="21">
                  <c:v>43800</c:v>
                </c:pt>
                <c:pt idx="22">
                  <c:v>43831</c:v>
                </c:pt>
                <c:pt idx="23">
                  <c:v>43862</c:v>
                </c:pt>
                <c:pt idx="24">
                  <c:v>43891</c:v>
                </c:pt>
                <c:pt idx="25">
                  <c:v>43922</c:v>
                </c:pt>
                <c:pt idx="26">
                  <c:v>43952</c:v>
                </c:pt>
                <c:pt idx="27">
                  <c:v>43983</c:v>
                </c:pt>
                <c:pt idx="28">
                  <c:v>44013</c:v>
                </c:pt>
                <c:pt idx="29">
                  <c:v>44044</c:v>
                </c:pt>
                <c:pt idx="30">
                  <c:v>44075</c:v>
                </c:pt>
              </c:numCache>
            </c:numRef>
          </c:cat>
          <c:val>
            <c:numRef>
              <c:f>'Turnover charts'!$O$4:$O$49</c:f>
              <c:numCache>
                <c:formatCode>General</c:formatCode>
                <c:ptCount val="31"/>
                <c:pt idx="7" formatCode="_(* #,##0_);_(* \(#,##0\);_(* &quot;-&quot;??_);_(@_)">
                  <c:v>0</c:v>
                </c:pt>
                <c:pt idx="8" formatCode="_(* #,##0_);_(* \(#,##0\);_(* &quot;-&quot;??_);_(@_)">
                  <c:v>0</c:v>
                </c:pt>
                <c:pt idx="9" formatCode="_(* #,##0_);_(* \(#,##0\);_(* &quot;-&quot;??_);_(@_)">
                  <c:v>0</c:v>
                </c:pt>
                <c:pt idx="10" formatCode="_(* #,##0_);_(* \(#,##0\);_(* &quot;-&quot;??_);_(@_)">
                  <c:v>0</c:v>
                </c:pt>
                <c:pt idx="11" formatCode="_(* #,##0_);_(* \(#,##0\);_(* &quot;-&quot;??_);_(@_)">
                  <c:v>0</c:v>
                </c:pt>
                <c:pt idx="12" formatCode="_(* #,##0_);_(* \(#,##0\);_(* &quot;-&quot;??_);_(@_)">
                  <c:v>0</c:v>
                </c:pt>
                <c:pt idx="13" formatCode="_ * #,##0_ ;_ * \-#,##0_ ;_ * &quot;-&quot;??_ ;_ @_ ">
                  <c:v>0</c:v>
                </c:pt>
                <c:pt idx="14" formatCode="_ * #,##0_ ;_ * \-#,##0_ ;_ * &quot;-&quot;??_ ;_ @_ ">
                  <c:v>0</c:v>
                </c:pt>
                <c:pt idx="15" formatCode="_ * #,##0_ ;_ * \-#,##0_ ;_ * &quot;-&quot;??_ ;_ @_ ">
                  <c:v>0</c:v>
                </c:pt>
                <c:pt idx="16" formatCode="_ * #,##0_ ;_ * \-#,##0_ ;_ * &quot;-&quot;??_ ;_ @_ ">
                  <c:v>0</c:v>
                </c:pt>
                <c:pt idx="17" formatCode="_ * #,##0_ ;_ * \-#,##0_ ;_ * &quot;-&quot;??_ ;_ @_ ">
                  <c:v>0</c:v>
                </c:pt>
                <c:pt idx="18" formatCode="_ * #,##0_ ;_ * \-#,##0_ ;_ * &quot;-&quot;??_ ;_ @_ ">
                  <c:v>0</c:v>
                </c:pt>
                <c:pt idx="19" formatCode="_ * #,##0_ ;_ * \-#,##0_ ;_ * &quot;-&quot;??_ ;_ @_ ">
                  <c:v>0</c:v>
                </c:pt>
                <c:pt idx="20" formatCode="_ * #,##0_ ;_ * \-#,##0_ ;_ * &quot;-&quot;??_ ;_ @_ ">
                  <c:v>0</c:v>
                </c:pt>
                <c:pt idx="21" formatCode="_ * #,##0_ ;_ * \-#,##0_ ;_ * &quot;-&quot;??_ ;_ @_ ">
                  <c:v>0</c:v>
                </c:pt>
                <c:pt idx="22" formatCode="_ * #,##0_ ;_ * \-#,##0_ ;_ * &quot;-&quot;??_ ;_ @_ ">
                  <c:v>0</c:v>
                </c:pt>
                <c:pt idx="23" formatCode="_ * #,##0_ ;_ * \-#,##0_ ;_ * &quot;-&quot;??_ ;_ @_ ">
                  <c:v>0</c:v>
                </c:pt>
                <c:pt idx="24" formatCode="_(* #,##0_);_(* \(#,##0\);_(* &quot;-&quot;??_);_(@_)">
                  <c:v>0</c:v>
                </c:pt>
                <c:pt idx="25" formatCode="_(* #,##0_);_(* \(#,##0\);_(* &quot;-&quot;??_);_(@_)">
                  <c:v>0</c:v>
                </c:pt>
                <c:pt idx="26" formatCode="_(* #,##0_);_(* \(#,##0\);_(* &quot;-&quot;??_);_(@_)">
                  <c:v>0</c:v>
                </c:pt>
                <c:pt idx="27" formatCode="_ * #,##0_ ;_ * \-#,##0_ ;_ * &quot;-&quot;??_ ;_ @_ ">
                  <c:v>1751.8752035000002</c:v>
                </c:pt>
                <c:pt idx="28" formatCode="_ * #,##0_ ;_ * \-#,##0_ ;_ * &quot;-&quot;??_ ;_ @_ ">
                  <c:v>6235.7549739999995</c:v>
                </c:pt>
                <c:pt idx="29" formatCode="_ * #,##0_ ;_ * \-#,##0_ ;_ * &quot;-&quot;??_ ;_ @_ ">
                  <c:v>2381.9200970000002</c:v>
                </c:pt>
                <c:pt idx="30" formatCode="_ * #,##0_ ;_ * \-#,##0_ ;_ * &quot;-&quot;??_ ;_ @_ ">
                  <c:v>1734.4075534999997</c:v>
                </c:pt>
              </c:numCache>
            </c:numRef>
          </c:val>
          <c:smooth val="0"/>
          <c:extLst xmlns:c16r2="http://schemas.microsoft.com/office/drawing/2015/06/chart">
            <c:ext xmlns:c16="http://schemas.microsoft.com/office/drawing/2014/chart" uri="{C3380CC4-5D6E-409C-BE32-E72D297353CC}">
              <c16:uniqueId val="{00000001-5653-4AFF-8B27-FF19897A2746}"/>
            </c:ext>
          </c:extLst>
        </c:ser>
        <c:dLbls>
          <c:showLegendKey val="0"/>
          <c:showVal val="0"/>
          <c:showCatName val="0"/>
          <c:showSerName val="0"/>
          <c:showPercent val="0"/>
          <c:showBubbleSize val="0"/>
        </c:dLbls>
        <c:marker val="1"/>
        <c:smooth val="0"/>
        <c:axId val="812893040"/>
        <c:axId val="812898136"/>
      </c:lineChart>
      <c:lineChart>
        <c:grouping val="standard"/>
        <c:varyColors val="0"/>
        <c:ser>
          <c:idx val="3"/>
          <c:order val="1"/>
          <c:tx>
            <c:strRef>
              <c:f>'Turnover charts'!$M$3</c:f>
              <c:strCache>
                <c:ptCount val="1"/>
                <c:pt idx="0">
                  <c:v>BSE Options (RHS)</c:v>
                </c:pt>
              </c:strCache>
            </c:strRef>
          </c:tx>
          <c:spPr>
            <a:ln w="28575" cap="rnd">
              <a:solidFill>
                <a:srgbClr val="0070C0"/>
              </a:solidFill>
              <a:round/>
            </a:ln>
            <a:effectLst/>
          </c:spPr>
          <c:marker>
            <c:symbol val="circle"/>
            <c:size val="5"/>
            <c:spPr>
              <a:solidFill>
                <a:srgbClr val="0070C0"/>
              </a:solidFill>
              <a:ln w="9525">
                <a:solidFill>
                  <a:srgbClr val="0070C0"/>
                </a:solidFill>
              </a:ln>
              <a:effectLst/>
            </c:spPr>
          </c:marker>
          <c:cat>
            <c:numRef>
              <c:f>'Turnover charts'!$I$4:$I$49</c:f>
              <c:numCache>
                <c:formatCode>mmm\-yy</c:formatCode>
                <c:ptCount val="31"/>
                <c:pt idx="0">
                  <c:v>43160</c:v>
                </c:pt>
                <c:pt idx="1">
                  <c:v>43191</c:v>
                </c:pt>
                <c:pt idx="2">
                  <c:v>43221</c:v>
                </c:pt>
                <c:pt idx="3">
                  <c:v>43252</c:v>
                </c:pt>
                <c:pt idx="4">
                  <c:v>43282</c:v>
                </c:pt>
                <c:pt idx="5">
                  <c:v>43313</c:v>
                </c:pt>
                <c:pt idx="6">
                  <c:v>43344</c:v>
                </c:pt>
                <c:pt idx="7">
                  <c:v>43374</c:v>
                </c:pt>
                <c:pt idx="8">
                  <c:v>43405</c:v>
                </c:pt>
                <c:pt idx="9">
                  <c:v>43435</c:v>
                </c:pt>
                <c:pt idx="10">
                  <c:v>43466</c:v>
                </c:pt>
                <c:pt idx="11">
                  <c:v>43497</c:v>
                </c:pt>
                <c:pt idx="12">
                  <c:v>43525</c:v>
                </c:pt>
                <c:pt idx="13">
                  <c:v>43556</c:v>
                </c:pt>
                <c:pt idx="14">
                  <c:v>43586</c:v>
                </c:pt>
                <c:pt idx="15">
                  <c:v>43617</c:v>
                </c:pt>
                <c:pt idx="16">
                  <c:v>43647</c:v>
                </c:pt>
                <c:pt idx="17">
                  <c:v>43678</c:v>
                </c:pt>
                <c:pt idx="18">
                  <c:v>43709</c:v>
                </c:pt>
                <c:pt idx="19">
                  <c:v>43739</c:v>
                </c:pt>
                <c:pt idx="20">
                  <c:v>43770</c:v>
                </c:pt>
                <c:pt idx="21">
                  <c:v>43800</c:v>
                </c:pt>
                <c:pt idx="22">
                  <c:v>43831</c:v>
                </c:pt>
                <c:pt idx="23">
                  <c:v>43862</c:v>
                </c:pt>
                <c:pt idx="24">
                  <c:v>43891</c:v>
                </c:pt>
                <c:pt idx="25">
                  <c:v>43922</c:v>
                </c:pt>
                <c:pt idx="26">
                  <c:v>43952</c:v>
                </c:pt>
                <c:pt idx="27">
                  <c:v>43983</c:v>
                </c:pt>
                <c:pt idx="28">
                  <c:v>44013</c:v>
                </c:pt>
                <c:pt idx="29">
                  <c:v>44044</c:v>
                </c:pt>
                <c:pt idx="30">
                  <c:v>44075</c:v>
                </c:pt>
              </c:numCache>
            </c:numRef>
          </c:cat>
          <c:val>
            <c:numRef>
              <c:f>'Turnover charts'!$M$4:$M$49</c:f>
              <c:numCache>
                <c:formatCode>General</c:formatCode>
                <c:ptCount val="31"/>
                <c:pt idx="7" formatCode="_(* #,##0_);_(* \(#,##0\);_(* &quot;-&quot;??_);_(@_)">
                  <c:v>0</c:v>
                </c:pt>
                <c:pt idx="8" formatCode="_(* #,##0_);_(* \(#,##0\);_(* &quot;-&quot;??_);_(@_)">
                  <c:v>0</c:v>
                </c:pt>
                <c:pt idx="9" formatCode="_(* #,##0_);_(* \(#,##0\);_(* &quot;-&quot;??_);_(@_)">
                  <c:v>0</c:v>
                </c:pt>
                <c:pt idx="10" formatCode="_(* #,##0_);_(* \(#,##0\);_(* &quot;-&quot;??_);_(@_)">
                  <c:v>0</c:v>
                </c:pt>
                <c:pt idx="11" formatCode="_(* #,##0_);_(* \(#,##0\);_(* &quot;-&quot;??_);_(@_)">
                  <c:v>0</c:v>
                </c:pt>
                <c:pt idx="12" formatCode="_(* #,##0_);_(* \(#,##0\);_(* &quot;-&quot;??_);_(@_)">
                  <c:v>0</c:v>
                </c:pt>
                <c:pt idx="13" formatCode="_(* #,##0_);_(* \(#,##0\);_(* &quot;-&quot;??_);_(@_)">
                  <c:v>0</c:v>
                </c:pt>
                <c:pt idx="14" formatCode="_(* #,##0_);_(* \(#,##0\);_(* &quot;-&quot;??_);_(@_)">
                  <c:v>0</c:v>
                </c:pt>
                <c:pt idx="15" formatCode="_(* #,##0_);_(* \(#,##0\);_(* &quot;-&quot;??_);_(@_)">
                  <c:v>0</c:v>
                </c:pt>
                <c:pt idx="16" formatCode="_(* #,##0_);_(* \(#,##0\);_(* &quot;-&quot;??_);_(@_)">
                  <c:v>0</c:v>
                </c:pt>
                <c:pt idx="17" formatCode="_(* #,##0_);_(* \(#,##0\);_(* &quot;-&quot;??_);_(@_)">
                  <c:v>0</c:v>
                </c:pt>
                <c:pt idx="18" formatCode="_(* #,##0_);_(* \(#,##0\);_(* &quot;-&quot;??_);_(@_)">
                  <c:v>0</c:v>
                </c:pt>
                <c:pt idx="19" formatCode="_(* #,##0_);_(* \(#,##0\);_(* &quot;-&quot;??_);_(@_)">
                  <c:v>0</c:v>
                </c:pt>
                <c:pt idx="20" formatCode="_(* #,##0_);_(* \(#,##0\);_(* &quot;-&quot;??_);_(@_)">
                  <c:v>0</c:v>
                </c:pt>
                <c:pt idx="21" formatCode="_(* #,##0_);_(* \(#,##0\);_(* &quot;-&quot;??_);_(@_)">
                  <c:v>0</c:v>
                </c:pt>
                <c:pt idx="22" formatCode="_(* #,##0_);_(* \(#,##0\);_(* &quot;-&quot;??_);_(@_)">
                  <c:v>0</c:v>
                </c:pt>
                <c:pt idx="23" formatCode="_(* #,##0_);_(* \(#,##0\);_(* &quot;-&quot;??_);_(@_)">
                  <c:v>0</c:v>
                </c:pt>
                <c:pt idx="24" formatCode="_(* #,##0_);_(* \(#,##0\);_(* &quot;-&quot;??_);_(@_)">
                  <c:v>0</c:v>
                </c:pt>
                <c:pt idx="25" formatCode="_(* #,##0_);_(* \(#,##0\);_(* &quot;-&quot;??_);_(@_)">
                  <c:v>0</c:v>
                </c:pt>
                <c:pt idx="26" formatCode="_(* #,##0_);_(* \(#,##0\);_(* &quot;-&quot;??_);_(@_)">
                  <c:v>0</c:v>
                </c:pt>
                <c:pt idx="27" formatCode="_ * #,##0_ ;_ * \-#,##0_ ;_ * &quot;-&quot;??_ ;_ @_ ">
                  <c:v>26816.769999999997</c:v>
                </c:pt>
                <c:pt idx="28" formatCode="_ * #,##0_ ;_ * \-#,##0_ ;_ * &quot;-&quot;??_ ;_ @_ ">
                  <c:v>72242.989999999991</c:v>
                </c:pt>
                <c:pt idx="29" formatCode="_ * #,##0_ ;_ * \-#,##0_ ;_ * &quot;-&quot;??_ ;_ @_ ">
                  <c:v>71670.850000000006</c:v>
                </c:pt>
                <c:pt idx="30" formatCode="_ * #,##0_ ;_ * \-#,##0_ ;_ * &quot;-&quot;??_ ;_ @_ ">
                  <c:v>58331.41</c:v>
                </c:pt>
              </c:numCache>
            </c:numRef>
          </c:val>
          <c:smooth val="0"/>
          <c:extLst xmlns:c16r2="http://schemas.microsoft.com/office/drawing/2015/06/chart">
            <c:ext xmlns:c16="http://schemas.microsoft.com/office/drawing/2014/chart" uri="{C3380CC4-5D6E-409C-BE32-E72D297353CC}">
              <c16:uniqueId val="{00000002-5653-4AFF-8B27-FF19897A2746}"/>
            </c:ext>
          </c:extLst>
        </c:ser>
        <c:dLbls>
          <c:showLegendKey val="0"/>
          <c:showVal val="0"/>
          <c:showCatName val="0"/>
          <c:showSerName val="0"/>
          <c:showPercent val="0"/>
          <c:showBubbleSize val="0"/>
        </c:dLbls>
        <c:marker val="1"/>
        <c:smooth val="0"/>
        <c:axId val="812898528"/>
        <c:axId val="812895000"/>
      </c:lineChart>
      <c:dateAx>
        <c:axId val="812893040"/>
        <c:scaling>
          <c:orientation val="minMax"/>
          <c:min val="43739"/>
        </c:scaling>
        <c:delete val="0"/>
        <c:axPos val="b"/>
        <c:numFmt formatCode="mmm\-yy" sourceLinked="1"/>
        <c:majorTickMark val="out"/>
        <c:minorTickMark val="none"/>
        <c:tickLblPos val="nextTo"/>
        <c:spPr>
          <a:noFill/>
          <a:ln w="9525" cap="flat" cmpd="sng" algn="ctr">
            <a:solidFill>
              <a:schemeClr val="tx1">
                <a:lumMod val="15000"/>
                <a:lumOff val="85000"/>
              </a:schemeClr>
            </a:solidFill>
            <a:round/>
          </a:ln>
          <a:effectLst/>
        </c:spPr>
        <c:txPr>
          <a:bodyPr rot="-2400000" spcFirstLastPara="1" vertOverflow="ellipsis"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crossAx val="812898136"/>
        <c:crosses val="autoZero"/>
        <c:auto val="1"/>
        <c:lblOffset val="100"/>
        <c:baseTimeUnit val="months"/>
      </c:dateAx>
      <c:valAx>
        <c:axId val="812898136"/>
        <c:scaling>
          <c:orientation val="minMax"/>
          <c:max val="5000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lgn="ctr" rtl="0">
                  <a:defRPr sz="900" b="0" i="0" u="none" strike="noStrike" kern="1200" baseline="0">
                    <a:solidFill>
                      <a:sysClr val="windowText" lastClr="000000"/>
                    </a:solidFill>
                    <a:latin typeface="Palatino Linotype" panose="02040502050505030304" pitchFamily="18" charset="0"/>
                    <a:ea typeface="+mn-ea"/>
                    <a:cs typeface="+mn-cs"/>
                  </a:defRPr>
                </a:pPr>
                <a:r>
                  <a:rPr lang="en-US"/>
                  <a:t>₹</a:t>
                </a:r>
                <a:r>
                  <a:rPr lang="en-IN"/>
                  <a:t> crore</a:t>
                </a:r>
              </a:p>
            </c:rich>
          </c:tx>
          <c:overlay val="0"/>
          <c:spPr>
            <a:noFill/>
            <a:ln>
              <a:noFill/>
            </a:ln>
            <a:effectLst/>
          </c:spPr>
          <c:txPr>
            <a:bodyPr rot="-5400000" spcFirstLastPara="1" vertOverflow="ellipsis" vert="horz" wrap="square" anchor="ctr" anchorCtr="1"/>
            <a:lstStyle/>
            <a:p>
              <a:pPr algn="ctr" rtl="0">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title>
        <c:numFmt formatCode="0" sourceLinked="0"/>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crossAx val="812893040"/>
        <c:crosses val="autoZero"/>
        <c:crossBetween val="between"/>
        <c:majorUnit val="5000"/>
        <c:minorUnit val="5000"/>
      </c:valAx>
      <c:valAx>
        <c:axId val="812895000"/>
        <c:scaling>
          <c:orientation val="minMax"/>
          <c:max val="75000"/>
          <c:min val="0"/>
        </c:scaling>
        <c:delete val="0"/>
        <c:axPos val="r"/>
        <c:title>
          <c:tx>
            <c:rich>
              <a:bodyPr rot="5400000" spcFirstLastPara="1" vertOverflow="ellipsis" wrap="square" anchor="ctr" anchorCtr="1"/>
              <a:lstStyle/>
              <a:p>
                <a:pPr algn="ctr" rtl="0">
                  <a:defRPr sz="900" b="0" i="0" u="none" strike="noStrike" kern="1200" baseline="0">
                    <a:solidFill>
                      <a:sysClr val="windowText" lastClr="000000"/>
                    </a:solidFill>
                    <a:latin typeface="Palatino Linotype" panose="02040502050505030304" pitchFamily="18" charset="0"/>
                    <a:ea typeface="+mn-ea"/>
                    <a:cs typeface="+mn-cs"/>
                  </a:defRPr>
                </a:pPr>
                <a:r>
                  <a:rPr lang="en-US"/>
                  <a:t>₹</a:t>
                </a:r>
                <a:r>
                  <a:rPr lang="en-IN"/>
                  <a:t> crore</a:t>
                </a:r>
              </a:p>
            </c:rich>
          </c:tx>
          <c:layout>
            <c:manualLayout>
              <c:xMode val="edge"/>
              <c:yMode val="edge"/>
              <c:x val="0.96802305074641692"/>
              <c:y val="0.31903100347750651"/>
            </c:manualLayout>
          </c:layout>
          <c:overlay val="0"/>
          <c:spPr>
            <a:noFill/>
            <a:ln>
              <a:noFill/>
            </a:ln>
            <a:effectLst/>
          </c:spPr>
          <c:txPr>
            <a:bodyPr rot="5400000" spcFirstLastPara="1" vertOverflow="ellipsis" wrap="square" anchor="ctr" anchorCtr="1"/>
            <a:lstStyle/>
            <a:p>
              <a:pPr algn="ctr" rtl="0">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crossAx val="812898528"/>
        <c:crosses val="max"/>
        <c:crossBetween val="between"/>
        <c:majorUnit val="10000"/>
      </c:valAx>
      <c:dateAx>
        <c:axId val="812898528"/>
        <c:scaling>
          <c:orientation val="minMax"/>
        </c:scaling>
        <c:delete val="1"/>
        <c:axPos val="b"/>
        <c:numFmt formatCode="mmm\-yy" sourceLinked="1"/>
        <c:majorTickMark val="out"/>
        <c:minorTickMark val="none"/>
        <c:tickLblPos val="nextTo"/>
        <c:crossAx val="812895000"/>
        <c:crossesAt val="0"/>
        <c:auto val="1"/>
        <c:lblOffset val="100"/>
        <c:baseTimeUnit val="months"/>
      </c:dateAx>
      <c:spPr>
        <a:noFill/>
        <a:ln>
          <a:noFill/>
        </a:ln>
        <a:effectLst/>
      </c:spPr>
    </c:plotArea>
    <c:legend>
      <c:legendPos val="b"/>
      <c:layout>
        <c:manualLayout>
          <c:xMode val="edge"/>
          <c:yMode val="edge"/>
          <c:x val="0.10228638086905803"/>
          <c:y val="0.88298072419128193"/>
          <c:w val="0.82778999518551322"/>
          <c:h val="0.11701927580871811"/>
        </c:manualLayout>
      </c:layout>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bg1"/>
    </a:solidFill>
    <a:ln w="9525" cap="flat" cmpd="sng" algn="ctr">
      <a:solidFill>
        <a:sysClr val="window" lastClr="FFFFFF">
          <a:lumMod val="65000"/>
        </a:sysClr>
      </a:solidFill>
      <a:round/>
    </a:ln>
    <a:effectLst/>
  </c:spPr>
  <c:txPr>
    <a:bodyPr/>
    <a:lstStyle/>
    <a:p>
      <a:pPr>
        <a:defRPr sz="900">
          <a:solidFill>
            <a:sysClr val="windowText" lastClr="000000"/>
          </a:solidFill>
          <a:latin typeface="Palatino Linotype" panose="02040502050505030304" pitchFamily="18" charset="0"/>
        </a:defRPr>
      </a:pPr>
      <a:endParaRPr lang="en-US"/>
    </a:p>
  </c:txPr>
  <c:externalData r:id="rId4">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2.8143789177433799E-2"/>
          <c:y val="2.7014220237395699E-2"/>
          <c:w val="0.93859536906741703"/>
          <c:h val="0.81321729520651997"/>
        </c:manualLayout>
      </c:layout>
      <c:barChart>
        <c:barDir val="col"/>
        <c:grouping val="clustered"/>
        <c:varyColors val="0"/>
        <c:ser>
          <c:idx val="0"/>
          <c:order val="0"/>
          <c:tx>
            <c:strRef>
              <c:f>Sheet1!$C$2</c:f>
              <c:strCache>
                <c:ptCount val="1"/>
              </c:strCache>
            </c:strRef>
          </c:tx>
          <c:spPr>
            <a:solidFill>
              <a:schemeClr val="accent1"/>
            </a:solidFill>
            <a:ln>
              <a:noFill/>
            </a:ln>
            <a:effectLst/>
          </c:spPr>
          <c:invertIfNegative val="0"/>
          <c:dPt>
            <c:idx val="0"/>
            <c:invertIfNegative val="0"/>
            <c:bubble3D val="0"/>
            <c:spPr>
              <a:solidFill>
                <a:schemeClr val="accent2">
                  <a:lumMod val="75000"/>
                </a:schemeClr>
              </a:solidFill>
              <a:ln>
                <a:noFill/>
              </a:ln>
              <a:effectLst/>
            </c:spPr>
            <c:extLst xmlns:c16r2="http://schemas.microsoft.com/office/drawing/2015/06/chart">
              <c:ext xmlns:c16="http://schemas.microsoft.com/office/drawing/2014/chart" uri="{C3380CC4-5D6E-409C-BE32-E72D297353CC}">
                <c16:uniqueId val="{00000001-FD41-4B4C-B9AF-6A4B04DD2AF5}"/>
              </c:ext>
            </c:extLst>
          </c:dPt>
          <c:dPt>
            <c:idx val="1"/>
            <c:invertIfNegative val="0"/>
            <c:bubble3D val="0"/>
            <c:spPr>
              <a:solidFill>
                <a:schemeClr val="accent2">
                  <a:lumMod val="75000"/>
                </a:schemeClr>
              </a:solidFill>
              <a:ln>
                <a:noFill/>
              </a:ln>
              <a:effectLst/>
            </c:spPr>
            <c:extLst xmlns:c16r2="http://schemas.microsoft.com/office/drawing/2015/06/chart">
              <c:ext xmlns:c16="http://schemas.microsoft.com/office/drawing/2014/chart" uri="{C3380CC4-5D6E-409C-BE32-E72D297353CC}">
                <c16:uniqueId val="{00000003-FD41-4B4C-B9AF-6A4B04DD2AF5}"/>
              </c:ext>
            </c:extLst>
          </c:dPt>
          <c:dPt>
            <c:idx val="2"/>
            <c:invertIfNegative val="0"/>
            <c:bubble3D val="0"/>
            <c:spPr>
              <a:solidFill>
                <a:schemeClr val="accent2">
                  <a:lumMod val="75000"/>
                </a:schemeClr>
              </a:solidFill>
              <a:ln>
                <a:noFill/>
              </a:ln>
              <a:effectLst/>
            </c:spPr>
            <c:extLst xmlns:c16r2="http://schemas.microsoft.com/office/drawing/2015/06/chart">
              <c:ext xmlns:c16="http://schemas.microsoft.com/office/drawing/2014/chart" uri="{C3380CC4-5D6E-409C-BE32-E72D297353CC}">
                <c16:uniqueId val="{00000005-FD41-4B4C-B9AF-6A4B04DD2AF5}"/>
              </c:ext>
            </c:extLst>
          </c:dPt>
          <c:dPt>
            <c:idx val="6"/>
            <c:invertIfNegative val="0"/>
            <c:bubble3D val="0"/>
            <c:spPr>
              <a:solidFill>
                <a:schemeClr val="accent6">
                  <a:lumMod val="75000"/>
                </a:schemeClr>
              </a:solidFill>
              <a:ln>
                <a:noFill/>
              </a:ln>
              <a:effectLst/>
            </c:spPr>
            <c:extLst xmlns:c16r2="http://schemas.microsoft.com/office/drawing/2015/06/chart">
              <c:ext xmlns:c16="http://schemas.microsoft.com/office/drawing/2014/chart" uri="{C3380CC4-5D6E-409C-BE32-E72D297353CC}">
                <c16:uniqueId val="{00000007-FD41-4B4C-B9AF-6A4B04DD2AF5}"/>
              </c:ext>
            </c:extLst>
          </c:dPt>
          <c:dPt>
            <c:idx val="7"/>
            <c:invertIfNegative val="0"/>
            <c:bubble3D val="0"/>
            <c:spPr>
              <a:solidFill>
                <a:schemeClr val="accent6">
                  <a:lumMod val="75000"/>
                </a:schemeClr>
              </a:solidFill>
              <a:ln>
                <a:noFill/>
              </a:ln>
              <a:effectLst/>
            </c:spPr>
            <c:extLst xmlns:c16r2="http://schemas.microsoft.com/office/drawing/2015/06/chart">
              <c:ext xmlns:c16="http://schemas.microsoft.com/office/drawing/2014/chart" uri="{C3380CC4-5D6E-409C-BE32-E72D297353CC}">
                <c16:uniqueId val="{00000009-FD41-4B4C-B9AF-6A4B04DD2AF5}"/>
              </c:ext>
            </c:extLst>
          </c:dPt>
          <c:dPt>
            <c:idx val="8"/>
            <c:invertIfNegative val="0"/>
            <c:bubble3D val="0"/>
            <c:spPr>
              <a:solidFill>
                <a:schemeClr val="accent6">
                  <a:lumMod val="75000"/>
                </a:schemeClr>
              </a:solidFill>
              <a:ln>
                <a:noFill/>
              </a:ln>
              <a:effectLst/>
            </c:spPr>
            <c:extLst xmlns:c16r2="http://schemas.microsoft.com/office/drawing/2015/06/chart">
              <c:ext xmlns:c16="http://schemas.microsoft.com/office/drawing/2014/chart" uri="{C3380CC4-5D6E-409C-BE32-E72D297353CC}">
                <c16:uniqueId val="{0000000B-FD41-4B4C-B9AF-6A4B04DD2AF5}"/>
              </c:ext>
            </c:extLst>
          </c:dPt>
          <c:dPt>
            <c:idx val="9"/>
            <c:invertIfNegative val="0"/>
            <c:bubble3D val="0"/>
            <c:spPr>
              <a:solidFill>
                <a:schemeClr val="accent2"/>
              </a:solidFill>
              <a:ln>
                <a:noFill/>
              </a:ln>
              <a:effectLst/>
            </c:spPr>
            <c:extLst xmlns:c16r2="http://schemas.microsoft.com/office/drawing/2015/06/chart">
              <c:ext xmlns:c16="http://schemas.microsoft.com/office/drawing/2014/chart" uri="{C3380CC4-5D6E-409C-BE32-E72D297353CC}">
                <c16:uniqueId val="{0000000D-FD41-4B4C-B9AF-6A4B04DD2AF5}"/>
              </c:ext>
            </c:extLst>
          </c:dPt>
          <c:dPt>
            <c:idx val="10"/>
            <c:invertIfNegative val="0"/>
            <c:bubble3D val="0"/>
            <c:spPr>
              <a:solidFill>
                <a:schemeClr val="accent2"/>
              </a:solidFill>
              <a:ln>
                <a:noFill/>
              </a:ln>
              <a:effectLst/>
            </c:spPr>
            <c:extLst xmlns:c16r2="http://schemas.microsoft.com/office/drawing/2015/06/chart">
              <c:ext xmlns:c16="http://schemas.microsoft.com/office/drawing/2014/chart" uri="{C3380CC4-5D6E-409C-BE32-E72D297353CC}">
                <c16:uniqueId val="{0000000F-FD41-4B4C-B9AF-6A4B04DD2AF5}"/>
              </c:ext>
            </c:extLst>
          </c:dPt>
          <c:dPt>
            <c:idx val="11"/>
            <c:invertIfNegative val="0"/>
            <c:bubble3D val="0"/>
            <c:spPr>
              <a:solidFill>
                <a:schemeClr val="accent2"/>
              </a:solidFill>
              <a:ln>
                <a:noFill/>
              </a:ln>
              <a:effectLst/>
            </c:spPr>
            <c:extLst xmlns:c16r2="http://schemas.microsoft.com/office/drawing/2015/06/chart">
              <c:ext xmlns:c16="http://schemas.microsoft.com/office/drawing/2014/chart" uri="{C3380CC4-5D6E-409C-BE32-E72D297353CC}">
                <c16:uniqueId val="{00000011-FD41-4B4C-B9AF-6A4B04DD2AF5}"/>
              </c:ext>
            </c:extLst>
          </c:dPt>
          <c:dLbls>
            <c:numFmt formatCode="0.0%" sourceLinked="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Sheet1!$A$3:$B$14</c:f>
              <c:multiLvlStrCache>
                <c:ptCount val="12"/>
                <c:lvl>
                  <c:pt idx="0">
                    <c:v>2019</c:v>
                  </c:pt>
                  <c:pt idx="1">
                    <c:v>2020</c:v>
                  </c:pt>
                  <c:pt idx="2">
                    <c:v>2021</c:v>
                  </c:pt>
                  <c:pt idx="3">
                    <c:v>2019</c:v>
                  </c:pt>
                  <c:pt idx="4">
                    <c:v>2020</c:v>
                  </c:pt>
                  <c:pt idx="5">
                    <c:v>2021</c:v>
                  </c:pt>
                  <c:pt idx="6">
                    <c:v>2019</c:v>
                  </c:pt>
                  <c:pt idx="7">
                    <c:v>2020</c:v>
                  </c:pt>
                  <c:pt idx="8">
                    <c:v>2021</c:v>
                  </c:pt>
                  <c:pt idx="9">
                    <c:v>FY20</c:v>
                  </c:pt>
                  <c:pt idx="10">
                    <c:v>FY21</c:v>
                  </c:pt>
                  <c:pt idx="11">
                    <c:v>FY22</c:v>
                  </c:pt>
                </c:lvl>
                <c:lvl>
                  <c:pt idx="0">
                    <c:v>Global Economy</c:v>
                  </c:pt>
                  <c:pt idx="3">
                    <c:v>Advanced Economy</c:v>
                  </c:pt>
                  <c:pt idx="6">
                    <c:v>Emerging Markets</c:v>
                  </c:pt>
                  <c:pt idx="9">
                    <c:v>India</c:v>
                  </c:pt>
                </c:lvl>
              </c:multiLvlStrCache>
            </c:multiLvlStrRef>
          </c:cat>
          <c:val>
            <c:numRef>
              <c:f>Sheet1!$C$3:$C$14</c:f>
              <c:numCache>
                <c:formatCode>0.0%</c:formatCode>
                <c:ptCount val="12"/>
                <c:pt idx="0">
                  <c:v>2.8000000000000001E-2</c:v>
                </c:pt>
                <c:pt idx="1">
                  <c:v>-4.3999999999999997E-2</c:v>
                </c:pt>
                <c:pt idx="2">
                  <c:v>5.1999999999999998E-2</c:v>
                </c:pt>
                <c:pt idx="3">
                  <c:v>1.7000000000000001E-2</c:v>
                </c:pt>
                <c:pt idx="4">
                  <c:v>-5.8000000000000003E-2</c:v>
                </c:pt>
                <c:pt idx="5">
                  <c:v>3.9E-2</c:v>
                </c:pt>
                <c:pt idx="6">
                  <c:v>3.6999999999999998E-2</c:v>
                </c:pt>
                <c:pt idx="7">
                  <c:v>-3.3000000000000002E-2</c:v>
                </c:pt>
                <c:pt idx="8">
                  <c:v>0.06</c:v>
                </c:pt>
                <c:pt idx="9">
                  <c:v>4.2000000000000003E-2</c:v>
                </c:pt>
                <c:pt idx="10">
                  <c:v>-0.10299999999999999</c:v>
                </c:pt>
                <c:pt idx="11">
                  <c:v>8.7999999999999995E-2</c:v>
                </c:pt>
              </c:numCache>
            </c:numRef>
          </c:val>
          <c:extLst xmlns:c16r2="http://schemas.microsoft.com/office/drawing/2015/06/chart">
            <c:ext xmlns:c16="http://schemas.microsoft.com/office/drawing/2014/chart" uri="{C3380CC4-5D6E-409C-BE32-E72D297353CC}">
              <c16:uniqueId val="{00000012-FD41-4B4C-B9AF-6A4B04DD2AF5}"/>
            </c:ext>
          </c:extLst>
        </c:ser>
        <c:dLbls>
          <c:showLegendKey val="0"/>
          <c:showVal val="0"/>
          <c:showCatName val="0"/>
          <c:showSerName val="0"/>
          <c:showPercent val="0"/>
          <c:showBubbleSize val="0"/>
        </c:dLbls>
        <c:gapWidth val="91"/>
        <c:overlap val="-7"/>
        <c:axId val="812899312"/>
        <c:axId val="812899704"/>
      </c:barChart>
      <c:catAx>
        <c:axId val="812899312"/>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in"/>
        <c:minorTickMark val="in"/>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1" i="0" u="none" strike="noStrike" kern="1200" baseline="0">
                <a:solidFill>
                  <a:srgbClr val="002060"/>
                </a:solidFill>
                <a:latin typeface="+mn-lt"/>
                <a:ea typeface="+mn-ea"/>
                <a:cs typeface="+mn-cs"/>
              </a:defRPr>
            </a:pPr>
            <a:endParaRPr lang="en-US"/>
          </a:p>
        </c:txPr>
        <c:crossAx val="812899704"/>
        <c:crosses val="autoZero"/>
        <c:auto val="1"/>
        <c:lblAlgn val="ctr"/>
        <c:lblOffset val="100"/>
        <c:noMultiLvlLbl val="0"/>
      </c:catAx>
      <c:valAx>
        <c:axId val="812899704"/>
        <c:scaling>
          <c:orientation val="minMax"/>
        </c:scaling>
        <c:delete val="1"/>
        <c:axPos val="l"/>
        <c:majorGridlines>
          <c:spPr>
            <a:ln w="9525" cap="flat" cmpd="sng" algn="ctr">
              <a:solidFill>
                <a:schemeClr val="tx1">
                  <a:lumMod val="15000"/>
                  <a:lumOff val="85000"/>
                </a:schemeClr>
              </a:solidFill>
              <a:round/>
            </a:ln>
            <a:effectLst/>
          </c:spPr>
        </c:majorGridlines>
        <c:numFmt formatCode="0%" sourceLinked="0"/>
        <c:majorTickMark val="none"/>
        <c:minorTickMark val="none"/>
        <c:tickLblPos val="nextTo"/>
        <c:crossAx val="81289931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2">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5.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6.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7.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8.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9.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0.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3.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4.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5.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6.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7.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8.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Klassify>
  <SNO>1</SNO>
  <KDate>2019-10-14 14:59:27</KDate>
  <Classification>SEBI-CONFIDENTIAL</Classification>
  <HostName>MUM0111832</HostName>
  <Domain_User>SEBINT/1832</Domain_User>
  <IPAdd>10.21.77.31</IPAdd>
  <FilePath>C:\Users\1832\Documents\Work_HO_DEPA\2019-20\Bulletin\October 2019\SEBI Bulletin October 2019 Issue.docx</FilePath>
  <KID>7427EA48EFCA637066619672483538</KID>
  <UniqueName/>
  <Suggested/>
  <Justification/>
</Klassify>
</file>

<file path=customXml/item2.xml><?xml version="1.0" encoding="utf-8"?>
<Klassify>
  <SNO>2</SNO>
  <KDate>2019-10-17 16:00:03</KDate>
  <Classification>SEBI-PUBLIC</Classification>
  <HostName>MUM0111515A</HostName>
  <Domain_User>SEBINT/1515</Domain_User>
  <IPAdd>10.21.53.15</IPAdd>
  <FilePath>E:\C Drive Data 19.12.2017\DEPA 2019\10. October 2019\SEBI Bulletin October 2019 Issue.docx</FilePath>
  <KID>7427EA48EFCA637066619672483538</KID>
  <UniqueName/>
  <Suggested/>
  <Justification/>
</Klassify>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874CF5-52D4-4685-80EC-6F1B86646A89}">
  <ds:schemaRefs/>
</ds:datastoreItem>
</file>

<file path=customXml/itemProps2.xml><?xml version="1.0" encoding="utf-8"?>
<ds:datastoreItem xmlns:ds="http://schemas.openxmlformats.org/officeDocument/2006/customXml" ds:itemID="{982F008C-5608-4977-B1FB-BF780A09BDC2}">
  <ds:schemaRefs/>
</ds:datastoreItem>
</file>

<file path=customXml/itemProps3.xml><?xml version="1.0" encoding="utf-8"?>
<ds:datastoreItem xmlns:ds="http://schemas.openxmlformats.org/officeDocument/2006/customXml" ds:itemID="{2815B45F-8BD4-4327-8D37-AD9C3B8418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18192</Words>
  <Characters>103700</Characters>
  <Application>Microsoft Office Word</Application>
  <DocSecurity>0</DocSecurity>
  <Lines>864</Lines>
  <Paragraphs>243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121649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Tathagata Biswas</dc:creator>
  <cp:keywords/>
  <dc:description/>
  <cp:lastModifiedBy>Nilima Karandikar</cp:lastModifiedBy>
  <cp:revision>3</cp:revision>
  <cp:lastPrinted>2019-03-19T09:59:00Z</cp:lastPrinted>
  <dcterms:created xsi:type="dcterms:W3CDTF">2020-11-03T08:38:00Z</dcterms:created>
  <dcterms:modified xsi:type="dcterms:W3CDTF">2020-11-03T08:38:00Z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
    <vt:lpwstr>SEBI-PUBLIC</vt:lpwstr>
  </property>
  <property fmtid="{D5CDD505-2E9C-101B-9397-08002B2CF9AE}" pid="3" name="Rules">
    <vt:lpwstr/>
  </property>
  <property fmtid="{D5CDD505-2E9C-101B-9397-08002B2CF9AE}" pid="4" name="KID">
    <vt:lpwstr>7427EA48EFCA637066619672483538</vt:lpwstr>
  </property>
</Properties>
</file>