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7.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bookmarkStart w:id="0" w:name="_GoBack"/>
      <w:bookmarkEnd w:id="0"/>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B25705"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FEBRUARY</w:t>
      </w:r>
      <w:r w:rsidR="001B5B2F">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Pr>
          <w:rFonts w:ascii="Palatino Linotype" w:hAnsi="Palatino Linotype"/>
          <w:b/>
          <w:color w:val="FF0000"/>
          <w:sz w:val="22"/>
          <w:szCs w:val="22"/>
        </w:rPr>
        <w:t>2</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1B5B2F" w:rsidRPr="00A36146" w:rsidRDefault="001B5B2F"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A637F" w:rsidRDefault="00CA637F" w:rsidP="001A42AC">
      <w:pPr>
        <w:spacing w:line="360" w:lineRule="auto"/>
        <w:jc w:val="center"/>
        <w:outlineLvl w:val="0"/>
        <w:rPr>
          <w:rFonts w:ascii="Palatino Linotype" w:hAnsi="Palatino Linotype" w:cs="Helvetica"/>
          <w:b/>
          <w:sz w:val="22"/>
          <w:szCs w:val="22"/>
        </w:rPr>
      </w:pPr>
    </w:p>
    <w:p w:rsidR="001A42AC" w:rsidRDefault="001A42AC" w:rsidP="007547DA">
      <w:pPr>
        <w:jc w:val="center"/>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B25705" w:rsidRPr="002357A9" w:rsidRDefault="00B25705" w:rsidP="00B25705">
      <w:pPr>
        <w:jc w:val="both"/>
        <w:rPr>
          <w:rFonts w:ascii="Palatino Linotype" w:hAnsi="Palatino Linotype"/>
          <w:sz w:val="22"/>
          <w:szCs w:val="22"/>
          <w:highlight w:val="yellow"/>
        </w:rPr>
      </w:pPr>
    </w:p>
    <w:p w:rsidR="00B25705" w:rsidRPr="002357A9" w:rsidRDefault="00B25705" w:rsidP="00B25705">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Trends in Resource Mobilisation by Corporates  </w:t>
      </w:r>
    </w:p>
    <w:p w:rsidR="00B25705" w:rsidRPr="002357A9" w:rsidRDefault="00B25705" w:rsidP="00B25705">
      <w:pPr>
        <w:widowControl w:val="0"/>
        <w:spacing w:line="276" w:lineRule="auto"/>
        <w:jc w:val="both"/>
        <w:rPr>
          <w:rFonts w:ascii="Palatino Linotype" w:eastAsia="Palatino Linotype" w:hAnsi="Palatino Linotype" w:cs="Palatino Linotype"/>
          <w:b/>
          <w:color w:val="2E74B5"/>
          <w:sz w:val="22"/>
          <w:szCs w:val="22"/>
          <w:highlight w:val="yellow"/>
        </w:rPr>
      </w:pPr>
    </w:p>
    <w:p w:rsidR="00B25705" w:rsidRPr="002357A9" w:rsidRDefault="00B25705" w:rsidP="00B25705">
      <w:pPr>
        <w:widowControl w:val="0"/>
        <w:spacing w:line="276" w:lineRule="auto"/>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Table 1: Fund Mobilisation by Corporates (</w:t>
      </w:r>
      <w:r w:rsidRPr="002357A9">
        <w:rPr>
          <w:rFonts w:ascii="Times New Roman" w:eastAsia="Tahoma" w:hAnsi="Times New Roman"/>
          <w:b/>
          <w:sz w:val="22"/>
          <w:szCs w:val="22"/>
        </w:rPr>
        <w:t>₹</w:t>
      </w:r>
      <w:r>
        <w:rPr>
          <w:rFonts w:ascii="Times New Roman" w:eastAsia="Tahoma" w:hAnsi="Times New Roman"/>
          <w:b/>
          <w:sz w:val="22"/>
          <w:szCs w:val="22"/>
        </w:rPr>
        <w:t xml:space="preserve"> </w:t>
      </w:r>
      <w:r w:rsidRPr="002357A9">
        <w:rPr>
          <w:rFonts w:ascii="Palatino Linotype" w:eastAsia="Palatino Linotype" w:hAnsi="Palatino Linotype" w:cs="Palatino Linotype"/>
          <w:b/>
          <w:sz w:val="22"/>
          <w:szCs w:val="22"/>
        </w:rPr>
        <w:t xml:space="preserve">crore) </w:t>
      </w:r>
    </w:p>
    <w:tbl>
      <w:tblPr>
        <w:tblW w:w="9862" w:type="dxa"/>
        <w:tblInd w:w="113" w:type="dxa"/>
        <w:tblLook w:val="04A0" w:firstRow="1" w:lastRow="0" w:firstColumn="1" w:lastColumn="0" w:noHBand="0" w:noVBand="1"/>
      </w:tblPr>
      <w:tblGrid>
        <w:gridCol w:w="6321"/>
        <w:gridCol w:w="1746"/>
        <w:gridCol w:w="1795"/>
      </w:tblGrid>
      <w:tr w:rsidR="00B25705" w:rsidRPr="002357A9" w:rsidTr="00B25705">
        <w:trPr>
          <w:trHeight w:val="261"/>
        </w:trPr>
        <w:tc>
          <w:tcPr>
            <w:tcW w:w="6321"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B25705" w:rsidRPr="002357A9" w:rsidRDefault="00B25705" w:rsidP="00B25705">
            <w:pPr>
              <w:rPr>
                <w:rFonts w:ascii="Palatino Linotype" w:hAnsi="Palatino Linotype"/>
                <w:b/>
                <w:bCs/>
                <w:color w:val="000000"/>
                <w:sz w:val="22"/>
                <w:szCs w:val="22"/>
              </w:rPr>
            </w:pPr>
            <w:r w:rsidRPr="002357A9">
              <w:rPr>
                <w:rFonts w:ascii="Palatino Linotype" w:hAnsi="Palatino Linotype"/>
                <w:b/>
                <w:bCs/>
                <w:color w:val="000000"/>
                <w:sz w:val="22"/>
                <w:szCs w:val="22"/>
              </w:rPr>
              <w:t>Particulars</w:t>
            </w:r>
          </w:p>
        </w:tc>
        <w:tc>
          <w:tcPr>
            <w:tcW w:w="1746" w:type="dxa"/>
            <w:tcBorders>
              <w:top w:val="single" w:sz="4" w:space="0" w:color="000000"/>
              <w:left w:val="nil"/>
              <w:bottom w:val="single" w:sz="4" w:space="0" w:color="000000"/>
              <w:right w:val="single" w:sz="4" w:space="0" w:color="000000"/>
            </w:tcBorders>
            <w:shd w:val="clear" w:color="A9D08E" w:fill="A9D08E"/>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Dec-20</w:t>
            </w:r>
          </w:p>
        </w:tc>
        <w:tc>
          <w:tcPr>
            <w:tcW w:w="1795" w:type="dxa"/>
            <w:tcBorders>
              <w:top w:val="single" w:sz="4" w:space="0" w:color="000000"/>
              <w:left w:val="nil"/>
              <w:bottom w:val="single" w:sz="4" w:space="0" w:color="000000"/>
              <w:right w:val="single" w:sz="4" w:space="0" w:color="000000"/>
            </w:tcBorders>
            <w:shd w:val="clear" w:color="A9D08E" w:fill="A9D08E"/>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Jan-21</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000000" w:fill="B7DEE8"/>
            <w:noWrap/>
            <w:vAlign w:val="center"/>
            <w:hideMark/>
          </w:tcPr>
          <w:p w:rsidR="00B25705" w:rsidRPr="002357A9" w:rsidRDefault="00B25705" w:rsidP="00B25705">
            <w:pPr>
              <w:rPr>
                <w:rFonts w:ascii="Palatino Linotype" w:hAnsi="Palatino Linotype"/>
                <w:b/>
                <w:bCs/>
                <w:i/>
                <w:iCs/>
                <w:color w:val="000000"/>
                <w:sz w:val="22"/>
                <w:szCs w:val="22"/>
              </w:rPr>
            </w:pPr>
            <w:r w:rsidRPr="002357A9">
              <w:rPr>
                <w:rFonts w:ascii="Palatino Linotype" w:hAnsi="Palatino Linotype"/>
                <w:b/>
                <w:bCs/>
                <w:i/>
                <w:iCs/>
                <w:color w:val="000000"/>
                <w:sz w:val="22"/>
                <w:szCs w:val="22"/>
              </w:rPr>
              <w:t>A. Funds Mobilisation through Public  Issue (I+II)</w:t>
            </w:r>
          </w:p>
        </w:tc>
        <w:tc>
          <w:tcPr>
            <w:tcW w:w="1746" w:type="dxa"/>
            <w:tcBorders>
              <w:top w:val="nil"/>
              <w:left w:val="nil"/>
              <w:bottom w:val="single" w:sz="4" w:space="0" w:color="000000"/>
              <w:right w:val="single" w:sz="4" w:space="0" w:color="000000"/>
            </w:tcBorders>
            <w:shd w:val="clear" w:color="000000" w:fill="B7DEE8"/>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1,652</w:t>
            </w:r>
          </w:p>
        </w:tc>
        <w:tc>
          <w:tcPr>
            <w:tcW w:w="1795" w:type="dxa"/>
            <w:tcBorders>
              <w:top w:val="nil"/>
              <w:left w:val="nil"/>
              <w:bottom w:val="single" w:sz="4" w:space="0" w:color="000000"/>
              <w:right w:val="single" w:sz="4" w:space="0" w:color="000000"/>
            </w:tcBorders>
            <w:shd w:val="clear" w:color="000000" w:fill="B7DEE8"/>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10,262</w:t>
            </w:r>
          </w:p>
        </w:tc>
      </w:tr>
      <w:tr w:rsidR="00B25705" w:rsidRPr="002357A9" w:rsidTr="00B25705">
        <w:trPr>
          <w:trHeight w:val="261"/>
        </w:trPr>
        <w:tc>
          <w:tcPr>
            <w:tcW w:w="6321" w:type="dxa"/>
            <w:tcBorders>
              <w:top w:val="nil"/>
              <w:left w:val="single" w:sz="4" w:space="0" w:color="000000"/>
              <w:bottom w:val="single" w:sz="4" w:space="0" w:color="000000"/>
              <w:right w:val="nil"/>
            </w:tcBorders>
            <w:shd w:val="clear" w:color="auto" w:fill="auto"/>
            <w:vAlign w:val="center"/>
            <w:hideMark/>
          </w:tcPr>
          <w:p w:rsidR="00B25705" w:rsidRPr="002357A9" w:rsidRDefault="00B25705" w:rsidP="00B25705">
            <w:pPr>
              <w:rPr>
                <w:rFonts w:ascii="Palatino Linotype" w:hAnsi="Palatino Linotype"/>
                <w:b/>
                <w:bCs/>
                <w:i/>
                <w:iCs/>
                <w:color w:val="000000"/>
                <w:sz w:val="22"/>
                <w:szCs w:val="22"/>
              </w:rPr>
            </w:pPr>
            <w:r w:rsidRPr="002357A9">
              <w:rPr>
                <w:rFonts w:ascii="Palatino Linotype" w:hAnsi="Palatino Linotype"/>
                <w:b/>
                <w:bCs/>
                <w:i/>
                <w:iCs/>
                <w:color w:val="000000"/>
                <w:sz w:val="22"/>
                <w:szCs w:val="22"/>
              </w:rPr>
              <w:t>I. Equity Public Issue</w:t>
            </w:r>
          </w:p>
        </w:tc>
        <w:tc>
          <w:tcPr>
            <w:tcW w:w="1746"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1,652</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5,015</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color w:val="000000"/>
                <w:sz w:val="22"/>
                <w:szCs w:val="22"/>
              </w:rPr>
            </w:pPr>
            <w:r w:rsidRPr="002357A9">
              <w:rPr>
                <w:rFonts w:ascii="Palatino Linotype" w:hAnsi="Palatino Linotype"/>
                <w:color w:val="000000"/>
                <w:sz w:val="22"/>
                <w:szCs w:val="22"/>
              </w:rPr>
              <w:t>a. IPOs (i+ii)</w:t>
            </w:r>
          </w:p>
        </w:tc>
        <w:tc>
          <w:tcPr>
            <w:tcW w:w="1746" w:type="dxa"/>
            <w:tcBorders>
              <w:top w:val="nil"/>
              <w:left w:val="nil"/>
              <w:bottom w:val="single" w:sz="4" w:space="0" w:color="auto"/>
              <w:right w:val="single" w:sz="4" w:space="0" w:color="auto"/>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 xml:space="preserve">          1,353 </w:t>
            </w:r>
          </w:p>
        </w:tc>
        <w:tc>
          <w:tcPr>
            <w:tcW w:w="1795" w:type="dxa"/>
            <w:tcBorders>
              <w:top w:val="nil"/>
              <w:left w:val="nil"/>
              <w:bottom w:val="single" w:sz="4" w:space="0" w:color="auto"/>
              <w:right w:val="single" w:sz="4" w:space="0" w:color="auto"/>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4,933</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color w:val="000000"/>
                <w:sz w:val="22"/>
                <w:szCs w:val="22"/>
              </w:rPr>
            </w:pPr>
            <w:r w:rsidRPr="002357A9">
              <w:rPr>
                <w:rFonts w:ascii="Palatino Linotype" w:hAnsi="Palatino Linotype"/>
                <w:color w:val="000000"/>
                <w:sz w:val="22"/>
                <w:szCs w:val="22"/>
              </w:rPr>
              <w:t xml:space="preserve">    i. Main Board</w:t>
            </w:r>
          </w:p>
        </w:tc>
        <w:tc>
          <w:tcPr>
            <w:tcW w:w="1746"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1,351</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4,933</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color w:val="000000"/>
                <w:sz w:val="22"/>
                <w:szCs w:val="22"/>
              </w:rPr>
            </w:pPr>
            <w:r w:rsidRPr="002357A9">
              <w:rPr>
                <w:rFonts w:ascii="Palatino Linotype" w:hAnsi="Palatino Linotype"/>
                <w:color w:val="000000"/>
                <w:sz w:val="22"/>
                <w:szCs w:val="22"/>
              </w:rPr>
              <w:t xml:space="preserve">    ii. SME Platform</w:t>
            </w:r>
          </w:p>
        </w:tc>
        <w:tc>
          <w:tcPr>
            <w:tcW w:w="1746"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3</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0</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b/>
                <w:bCs/>
                <w:color w:val="000000"/>
                <w:sz w:val="22"/>
                <w:szCs w:val="22"/>
              </w:rPr>
            </w:pPr>
            <w:r w:rsidRPr="002357A9">
              <w:rPr>
                <w:rFonts w:ascii="Palatino Linotype" w:hAnsi="Palatino Linotype"/>
                <w:b/>
                <w:bCs/>
                <w:color w:val="000000"/>
                <w:sz w:val="22"/>
                <w:szCs w:val="22"/>
              </w:rPr>
              <w:t>b. FPOs</w:t>
            </w:r>
          </w:p>
        </w:tc>
        <w:tc>
          <w:tcPr>
            <w:tcW w:w="1746"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0</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0</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color w:val="000000"/>
                <w:sz w:val="22"/>
                <w:szCs w:val="22"/>
              </w:rPr>
            </w:pPr>
            <w:r w:rsidRPr="002357A9">
              <w:rPr>
                <w:rFonts w:ascii="Palatino Linotype" w:hAnsi="Palatino Linotype"/>
                <w:color w:val="000000"/>
                <w:sz w:val="22"/>
                <w:szCs w:val="22"/>
              </w:rPr>
              <w:t>c. Equity Right Issue</w:t>
            </w:r>
          </w:p>
        </w:tc>
        <w:tc>
          <w:tcPr>
            <w:tcW w:w="1746"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299</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81</w:t>
            </w:r>
          </w:p>
        </w:tc>
      </w:tr>
      <w:tr w:rsidR="00B25705" w:rsidRPr="002357A9" w:rsidTr="00B25705">
        <w:trPr>
          <w:trHeight w:val="261"/>
        </w:trPr>
        <w:tc>
          <w:tcPr>
            <w:tcW w:w="6321" w:type="dxa"/>
            <w:tcBorders>
              <w:top w:val="nil"/>
              <w:left w:val="single" w:sz="4" w:space="0" w:color="000000"/>
              <w:bottom w:val="single" w:sz="4" w:space="0" w:color="000000"/>
              <w:right w:val="nil"/>
            </w:tcBorders>
            <w:shd w:val="clear" w:color="auto" w:fill="auto"/>
            <w:vAlign w:val="center"/>
            <w:hideMark/>
          </w:tcPr>
          <w:p w:rsidR="00B25705" w:rsidRPr="002357A9" w:rsidRDefault="00B25705" w:rsidP="00B25705">
            <w:pPr>
              <w:rPr>
                <w:rFonts w:ascii="Palatino Linotype" w:hAnsi="Palatino Linotype"/>
                <w:b/>
                <w:bCs/>
                <w:i/>
                <w:iCs/>
                <w:color w:val="000000"/>
                <w:sz w:val="22"/>
                <w:szCs w:val="22"/>
              </w:rPr>
            </w:pPr>
            <w:r w:rsidRPr="002357A9">
              <w:rPr>
                <w:rFonts w:ascii="Palatino Linotype" w:hAnsi="Palatino Linotype"/>
                <w:b/>
                <w:bCs/>
                <w:i/>
                <w:iCs/>
                <w:color w:val="000000"/>
                <w:sz w:val="22"/>
                <w:szCs w:val="22"/>
              </w:rPr>
              <w:t xml:space="preserve">  II. Debt Public Issue </w:t>
            </w:r>
          </w:p>
        </w:tc>
        <w:tc>
          <w:tcPr>
            <w:tcW w:w="1746"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0</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5,248</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000000" w:fill="B7DEE8"/>
            <w:noWrap/>
            <w:vAlign w:val="center"/>
            <w:hideMark/>
          </w:tcPr>
          <w:p w:rsidR="00B25705" w:rsidRPr="002357A9" w:rsidRDefault="00B25705" w:rsidP="00B25705">
            <w:pPr>
              <w:rPr>
                <w:rFonts w:ascii="Palatino Linotype" w:hAnsi="Palatino Linotype"/>
                <w:b/>
                <w:bCs/>
                <w:i/>
                <w:iCs/>
                <w:color w:val="000000"/>
                <w:sz w:val="22"/>
                <w:szCs w:val="22"/>
              </w:rPr>
            </w:pPr>
            <w:r w:rsidRPr="002357A9">
              <w:rPr>
                <w:rFonts w:ascii="Palatino Linotype" w:hAnsi="Palatino Linotype"/>
                <w:b/>
                <w:bCs/>
                <w:i/>
                <w:iCs/>
                <w:color w:val="000000"/>
                <w:sz w:val="22"/>
                <w:szCs w:val="22"/>
              </w:rPr>
              <w:t>B. Funds Mobilisation through Private Placement</w:t>
            </w:r>
          </w:p>
        </w:tc>
        <w:tc>
          <w:tcPr>
            <w:tcW w:w="1746" w:type="dxa"/>
            <w:tcBorders>
              <w:top w:val="nil"/>
              <w:left w:val="nil"/>
              <w:bottom w:val="single" w:sz="4" w:space="0" w:color="000000"/>
              <w:right w:val="single" w:sz="4" w:space="0" w:color="000000"/>
            </w:tcBorders>
            <w:shd w:val="clear" w:color="000000" w:fill="B7DEE8"/>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97,335</w:t>
            </w:r>
          </w:p>
        </w:tc>
        <w:tc>
          <w:tcPr>
            <w:tcW w:w="1795" w:type="dxa"/>
            <w:tcBorders>
              <w:top w:val="nil"/>
              <w:left w:val="nil"/>
              <w:bottom w:val="single" w:sz="4" w:space="0" w:color="000000"/>
              <w:right w:val="single" w:sz="4" w:space="0" w:color="000000"/>
            </w:tcBorders>
            <w:shd w:val="clear" w:color="000000" w:fill="B7DEE8"/>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62,127</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color w:val="000000"/>
                <w:sz w:val="22"/>
                <w:szCs w:val="22"/>
              </w:rPr>
            </w:pPr>
            <w:r w:rsidRPr="002357A9">
              <w:rPr>
                <w:rFonts w:ascii="Palatino Linotype" w:hAnsi="Palatino Linotype"/>
                <w:color w:val="000000"/>
                <w:sz w:val="22"/>
                <w:szCs w:val="22"/>
              </w:rPr>
              <w:t>1. QIP/IPP</w:t>
            </w:r>
          </w:p>
        </w:tc>
        <w:tc>
          <w:tcPr>
            <w:tcW w:w="1746"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 xml:space="preserve">          7,423 </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 xml:space="preserve">        1,170 </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color w:val="000000"/>
                <w:sz w:val="22"/>
                <w:szCs w:val="22"/>
              </w:rPr>
            </w:pPr>
            <w:r w:rsidRPr="002357A9">
              <w:rPr>
                <w:rFonts w:ascii="Palatino Linotype" w:hAnsi="Palatino Linotype"/>
                <w:color w:val="000000"/>
                <w:sz w:val="22"/>
                <w:szCs w:val="22"/>
              </w:rPr>
              <w:t>2. Preferential Allotment</w:t>
            </w:r>
          </w:p>
        </w:tc>
        <w:tc>
          <w:tcPr>
            <w:tcW w:w="1746"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 xml:space="preserve">          1,782 </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 xml:space="preserve">        5,333 </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2357A9" w:rsidRDefault="00B25705" w:rsidP="00B25705">
            <w:pPr>
              <w:rPr>
                <w:rFonts w:ascii="Palatino Linotype" w:hAnsi="Palatino Linotype"/>
                <w:color w:val="000000"/>
                <w:sz w:val="22"/>
                <w:szCs w:val="22"/>
              </w:rPr>
            </w:pPr>
            <w:r w:rsidRPr="002357A9">
              <w:rPr>
                <w:rFonts w:ascii="Palatino Linotype" w:hAnsi="Palatino Linotype"/>
                <w:color w:val="000000"/>
                <w:sz w:val="22"/>
                <w:szCs w:val="22"/>
              </w:rPr>
              <w:t>3. Private Placement of Debt</w:t>
            </w:r>
          </w:p>
        </w:tc>
        <w:tc>
          <w:tcPr>
            <w:tcW w:w="1746"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 xml:space="preserve">        88,130 </w:t>
            </w:r>
          </w:p>
        </w:tc>
        <w:tc>
          <w:tcPr>
            <w:tcW w:w="1795" w:type="dxa"/>
            <w:tcBorders>
              <w:top w:val="nil"/>
              <w:left w:val="nil"/>
              <w:bottom w:val="single" w:sz="4" w:space="0" w:color="000000"/>
              <w:right w:val="single" w:sz="4" w:space="0" w:color="000000"/>
            </w:tcBorders>
            <w:shd w:val="clear" w:color="auto" w:fill="auto"/>
            <w:noWrap/>
            <w:vAlign w:val="center"/>
            <w:hideMark/>
          </w:tcPr>
          <w:p w:rsidR="00B25705" w:rsidRPr="002357A9" w:rsidRDefault="00B25705" w:rsidP="00B25705">
            <w:pPr>
              <w:jc w:val="right"/>
              <w:rPr>
                <w:rFonts w:ascii="Palatino Linotype" w:hAnsi="Palatino Linotype"/>
                <w:color w:val="000000"/>
                <w:sz w:val="22"/>
                <w:szCs w:val="22"/>
              </w:rPr>
            </w:pPr>
            <w:r w:rsidRPr="002357A9">
              <w:rPr>
                <w:rFonts w:ascii="Palatino Linotype" w:hAnsi="Palatino Linotype"/>
                <w:color w:val="000000"/>
                <w:sz w:val="22"/>
                <w:szCs w:val="22"/>
              </w:rPr>
              <w:t xml:space="preserve">      55,624 </w:t>
            </w:r>
          </w:p>
        </w:tc>
      </w:tr>
      <w:tr w:rsidR="00B25705" w:rsidRPr="002357A9" w:rsidTr="00B25705">
        <w:trPr>
          <w:trHeight w:val="261"/>
        </w:trPr>
        <w:tc>
          <w:tcPr>
            <w:tcW w:w="6321" w:type="dxa"/>
            <w:tcBorders>
              <w:top w:val="nil"/>
              <w:left w:val="single" w:sz="4" w:space="0" w:color="000000"/>
              <w:bottom w:val="single" w:sz="4" w:space="0" w:color="000000"/>
              <w:right w:val="single" w:sz="4" w:space="0" w:color="000000"/>
            </w:tcBorders>
            <w:shd w:val="clear" w:color="000000" w:fill="B7DEE8"/>
            <w:noWrap/>
            <w:vAlign w:val="center"/>
            <w:hideMark/>
          </w:tcPr>
          <w:p w:rsidR="00B25705" w:rsidRPr="002357A9" w:rsidRDefault="00B25705" w:rsidP="00B25705">
            <w:pPr>
              <w:rPr>
                <w:rFonts w:ascii="Palatino Linotype" w:hAnsi="Palatino Linotype"/>
                <w:b/>
                <w:bCs/>
                <w:color w:val="000000"/>
                <w:sz w:val="22"/>
                <w:szCs w:val="22"/>
              </w:rPr>
            </w:pPr>
            <w:r w:rsidRPr="002357A9">
              <w:rPr>
                <w:rFonts w:ascii="Palatino Linotype" w:hAnsi="Palatino Linotype"/>
                <w:b/>
                <w:bCs/>
                <w:color w:val="000000"/>
                <w:sz w:val="22"/>
                <w:szCs w:val="22"/>
              </w:rPr>
              <w:t>Total Funds Mobilised (A+B)</w:t>
            </w:r>
          </w:p>
        </w:tc>
        <w:tc>
          <w:tcPr>
            <w:tcW w:w="1746" w:type="dxa"/>
            <w:tcBorders>
              <w:top w:val="nil"/>
              <w:left w:val="nil"/>
              <w:bottom w:val="single" w:sz="4" w:space="0" w:color="000000"/>
              <w:right w:val="single" w:sz="4" w:space="0" w:color="000000"/>
            </w:tcBorders>
            <w:shd w:val="clear" w:color="000000" w:fill="B7DEE8"/>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98,987</w:t>
            </w:r>
          </w:p>
        </w:tc>
        <w:tc>
          <w:tcPr>
            <w:tcW w:w="1795" w:type="dxa"/>
            <w:tcBorders>
              <w:top w:val="nil"/>
              <w:left w:val="nil"/>
              <w:bottom w:val="single" w:sz="4" w:space="0" w:color="000000"/>
              <w:right w:val="single" w:sz="4" w:space="0" w:color="000000"/>
            </w:tcBorders>
            <w:shd w:val="clear" w:color="000000" w:fill="B7DEE8"/>
            <w:noWrap/>
            <w:vAlign w:val="center"/>
            <w:hideMark/>
          </w:tcPr>
          <w:p w:rsidR="00B25705" w:rsidRPr="002357A9" w:rsidRDefault="00B25705" w:rsidP="00B25705">
            <w:pPr>
              <w:jc w:val="right"/>
              <w:rPr>
                <w:rFonts w:ascii="Palatino Linotype" w:hAnsi="Palatino Linotype"/>
                <w:b/>
                <w:bCs/>
                <w:color w:val="000000"/>
                <w:sz w:val="22"/>
                <w:szCs w:val="22"/>
              </w:rPr>
            </w:pPr>
            <w:r w:rsidRPr="002357A9">
              <w:rPr>
                <w:rFonts w:ascii="Palatino Linotype" w:hAnsi="Palatino Linotype"/>
                <w:b/>
                <w:bCs/>
                <w:color w:val="000000"/>
                <w:sz w:val="22"/>
                <w:szCs w:val="22"/>
              </w:rPr>
              <w:t>72,389</w:t>
            </w:r>
          </w:p>
        </w:tc>
      </w:tr>
    </w:tbl>
    <w:p w:rsidR="00B25705" w:rsidRPr="002357A9" w:rsidRDefault="00B25705" w:rsidP="00B25705">
      <w:pPr>
        <w:widowControl w:val="0"/>
        <w:tabs>
          <w:tab w:val="right" w:pos="9888"/>
        </w:tabs>
        <w:spacing w:line="276" w:lineRule="auto"/>
        <w:jc w:val="both"/>
        <w:rPr>
          <w:rFonts w:ascii="Palatino Linotype" w:eastAsia="Palatino Linotype" w:hAnsi="Palatino Linotype" w:cs="Palatino Linotype"/>
          <w:b/>
          <w:sz w:val="18"/>
          <w:szCs w:val="18"/>
        </w:rPr>
      </w:pPr>
      <w:r w:rsidRPr="002357A9">
        <w:rPr>
          <w:rFonts w:ascii="Palatino Linotype" w:eastAsia="Palatino Linotype" w:hAnsi="Palatino Linotype" w:cs="Palatino Linotype"/>
          <w:b/>
          <w:sz w:val="18"/>
          <w:szCs w:val="18"/>
        </w:rPr>
        <w:t xml:space="preserve">   Source: SEBI, NSE, BSE and MSEI</w:t>
      </w:r>
    </w:p>
    <w:p w:rsidR="00B25705" w:rsidRPr="002357A9" w:rsidRDefault="00B25705" w:rsidP="00B25705">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January 2021, there were two Main Board IPO issues and one rights issue, mobilising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4,933 crore and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81crore, respectively.  </w:t>
      </w: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January 2021, there were four public issues of corporate bonds, amounting to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5,248 crore compared to no public issue of corporate bond during December 2020.  </w:t>
      </w: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An amount of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6,503 crore was raised through private placement of equity (i.e., preferential allotment and QIP) during January 2021, against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9,205 crore during December 2020. </w:t>
      </w: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Private placement of corporate debt reported on BSE and NSE stood at </w:t>
      </w:r>
      <w:r w:rsidRPr="002357A9">
        <w:rPr>
          <w:rFonts w:ascii="Times New Roman" w:eastAsia="Palatino Linotype" w:hAnsi="Times New Roman"/>
          <w:sz w:val="22"/>
          <w:szCs w:val="22"/>
        </w:rPr>
        <w:t>₹</w:t>
      </w:r>
      <w:r w:rsidRPr="002357A9">
        <w:rPr>
          <w:rFonts w:ascii="Palatino Linotype" w:hAnsi="Palatino Linotype"/>
          <w:color w:val="000000"/>
          <w:sz w:val="22"/>
          <w:szCs w:val="22"/>
        </w:rPr>
        <w:t xml:space="preserve">55,624 </w:t>
      </w:r>
      <w:r w:rsidRPr="002357A9">
        <w:rPr>
          <w:rFonts w:ascii="Palatino Linotype" w:eastAsia="Palatino Linotype" w:hAnsi="Palatino Linotype" w:cs="Palatino Linotype"/>
          <w:sz w:val="22"/>
          <w:szCs w:val="22"/>
        </w:rPr>
        <w:t xml:space="preserve">crore during December 2020, compared to </w:t>
      </w:r>
      <w:r w:rsidRPr="002357A9">
        <w:rPr>
          <w:rFonts w:ascii="Times New Roman" w:eastAsia="Palatino Linotype" w:hAnsi="Times New Roman"/>
          <w:sz w:val="22"/>
          <w:szCs w:val="22"/>
        </w:rPr>
        <w:t>₹</w:t>
      </w:r>
      <w:r w:rsidRPr="002357A9">
        <w:rPr>
          <w:rFonts w:ascii="Palatino Linotype" w:hAnsi="Palatino Linotype"/>
          <w:color w:val="000000"/>
          <w:sz w:val="22"/>
          <w:szCs w:val="22"/>
        </w:rPr>
        <w:t xml:space="preserve">88,130 </w:t>
      </w:r>
      <w:r w:rsidRPr="002357A9">
        <w:rPr>
          <w:rFonts w:ascii="Palatino Linotype" w:eastAsia="Palatino Linotype" w:hAnsi="Palatino Linotype" w:cs="Palatino Linotype"/>
          <w:sz w:val="22"/>
          <w:szCs w:val="22"/>
        </w:rPr>
        <w:t xml:space="preserve">crore during December 2020.  </w:t>
      </w:r>
    </w:p>
    <w:p w:rsidR="00B25705" w:rsidRPr="002357A9" w:rsidRDefault="00B25705" w:rsidP="00B25705">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B25705" w:rsidRPr="002357A9" w:rsidRDefault="00B25705" w:rsidP="00B25705">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the Secondary Market</w:t>
      </w:r>
    </w:p>
    <w:p w:rsidR="00B25705" w:rsidRPr="002357A9" w:rsidRDefault="00B25705" w:rsidP="00B25705">
      <w:pPr>
        <w:widowControl w:val="0"/>
        <w:tabs>
          <w:tab w:val="left" w:pos="3915"/>
        </w:tabs>
        <w:spacing w:line="276" w:lineRule="auto"/>
        <w:jc w:val="both"/>
        <w:rPr>
          <w:rFonts w:ascii="Palatino Linotype" w:eastAsia="Palatino Linotype" w:hAnsi="Palatino Linotype" w:cs="Palatino Linotype"/>
          <w:b/>
          <w:sz w:val="22"/>
          <w:szCs w:val="22"/>
        </w:rPr>
      </w:pP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At the end of January 2021, Nifty 50 closed at 13,635 points registering a decrease of 2.5 per cent as compared to the 13,982 points level at the end of December 2020.</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S&amp;P BSE Sensex closed at 46,286 at the end of January 2021, indicating a decrease of 3.1 per cent as compared to the 47,751 at the end of December 2020.</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Nifty 50 reached its intraday high for the month</w:t>
      </w:r>
      <w:r w:rsidR="00BA55C5">
        <w:rPr>
          <w:rFonts w:ascii="Palatino Linotype" w:eastAsia="Palatino Linotype" w:hAnsi="Palatino Linotype" w:cs="Palatino Linotype"/>
          <w:sz w:val="22"/>
          <w:szCs w:val="22"/>
        </w:rPr>
        <w:t xml:space="preserve"> at 14,754</w:t>
      </w:r>
      <w:r w:rsidRPr="00C41524">
        <w:rPr>
          <w:rFonts w:ascii="Palatino Linotype" w:eastAsia="Palatino Linotype" w:hAnsi="Palatino Linotype" w:cs="Palatino Linotype"/>
          <w:sz w:val="22"/>
          <w:szCs w:val="22"/>
        </w:rPr>
        <w:t>, on January 21, 2021 and intraday low for the month</w:t>
      </w:r>
      <w:r w:rsidR="00BA55C5">
        <w:rPr>
          <w:rFonts w:ascii="Palatino Linotype" w:eastAsia="Palatino Linotype" w:hAnsi="Palatino Linotype" w:cs="Palatino Linotype"/>
          <w:sz w:val="22"/>
          <w:szCs w:val="22"/>
        </w:rPr>
        <w:t xml:space="preserve"> at 13,597</w:t>
      </w:r>
      <w:r w:rsidRPr="00C41524">
        <w:rPr>
          <w:rFonts w:ascii="Palatino Linotype" w:eastAsia="Palatino Linotype" w:hAnsi="Palatino Linotype" w:cs="Palatino Linotype"/>
          <w:sz w:val="22"/>
          <w:szCs w:val="22"/>
        </w:rPr>
        <w:t xml:space="preserve">, on January 29, 2021. S&amp;P BSE Sensex too reached its intraday high </w:t>
      </w:r>
      <w:r w:rsidR="00BA55C5">
        <w:rPr>
          <w:rFonts w:ascii="Palatino Linotype" w:eastAsia="Palatino Linotype" w:hAnsi="Palatino Linotype" w:cs="Palatino Linotype"/>
          <w:sz w:val="22"/>
          <w:szCs w:val="22"/>
        </w:rPr>
        <w:t xml:space="preserve">at </w:t>
      </w:r>
      <w:r w:rsidR="00BA55C5" w:rsidRPr="00C41524">
        <w:rPr>
          <w:rFonts w:ascii="Palatino Linotype" w:eastAsia="Palatino Linotype" w:hAnsi="Palatino Linotype" w:cs="Palatino Linotype"/>
          <w:sz w:val="22"/>
          <w:szCs w:val="22"/>
        </w:rPr>
        <w:t xml:space="preserve">50,184 </w:t>
      </w:r>
      <w:r w:rsidRPr="00C41524">
        <w:rPr>
          <w:rFonts w:ascii="Palatino Linotype" w:eastAsia="Palatino Linotype" w:hAnsi="Palatino Linotype" w:cs="Palatino Linotype"/>
          <w:sz w:val="22"/>
          <w:szCs w:val="22"/>
        </w:rPr>
        <w:t>for the month, on January 21, 2021 and intraday low</w:t>
      </w:r>
      <w:r w:rsidR="00BA55C5">
        <w:rPr>
          <w:rFonts w:ascii="Palatino Linotype" w:eastAsia="Palatino Linotype" w:hAnsi="Palatino Linotype" w:cs="Palatino Linotype"/>
          <w:sz w:val="22"/>
          <w:szCs w:val="22"/>
        </w:rPr>
        <w:t xml:space="preserve"> at 46,160</w:t>
      </w:r>
      <w:r w:rsidRPr="00C41524">
        <w:rPr>
          <w:rFonts w:ascii="Palatino Linotype" w:eastAsia="Palatino Linotype" w:hAnsi="Palatino Linotype" w:cs="Palatino Linotype"/>
          <w:sz w:val="22"/>
          <w:szCs w:val="22"/>
        </w:rPr>
        <w:t xml:space="preserve"> for the month, on January 29, 2021.</w:t>
      </w: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The P/E ratios of S&amp;P BSE Sensex and Nifty 50 were 31.8 and 36.6, respectively, at the end of January 2021 compared to 33.5 and 38.5, respectively, at the end of December 2020.</w:t>
      </w:r>
    </w:p>
    <w:p w:rsidR="00B25705" w:rsidRPr="002357A9" w:rsidRDefault="00B25705" w:rsidP="00B25705">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Table 2: Snapshot of Indian Capital Market </w:t>
      </w:r>
    </w:p>
    <w:tbl>
      <w:tblPr>
        <w:tblW w:w="9801" w:type="dxa"/>
        <w:tblInd w:w="-5" w:type="dxa"/>
        <w:tblLook w:val="04A0" w:firstRow="1" w:lastRow="0" w:firstColumn="1" w:lastColumn="0" w:noHBand="0" w:noVBand="1"/>
      </w:tblPr>
      <w:tblGrid>
        <w:gridCol w:w="3498"/>
        <w:gridCol w:w="1977"/>
        <w:gridCol w:w="1976"/>
        <w:gridCol w:w="2350"/>
      </w:tblGrid>
      <w:tr w:rsidR="00B25705" w:rsidRPr="007F700C" w:rsidTr="00B25705">
        <w:trPr>
          <w:trHeight w:val="518"/>
        </w:trPr>
        <w:tc>
          <w:tcPr>
            <w:tcW w:w="3498"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Description</w:t>
            </w:r>
          </w:p>
        </w:tc>
        <w:tc>
          <w:tcPr>
            <w:tcW w:w="1976" w:type="dxa"/>
            <w:tcBorders>
              <w:top w:val="single" w:sz="4" w:space="0" w:color="000000"/>
              <w:left w:val="nil"/>
              <w:bottom w:val="single" w:sz="4" w:space="0" w:color="000000"/>
              <w:right w:val="single" w:sz="4" w:space="0" w:color="000000"/>
            </w:tcBorders>
            <w:shd w:val="clear" w:color="92CDDC" w:fill="92CDDC"/>
            <w:noWrap/>
            <w:vAlign w:val="center"/>
            <w:hideMark/>
          </w:tcPr>
          <w:p w:rsidR="00B25705" w:rsidRPr="007F700C" w:rsidRDefault="00B25705" w:rsidP="00B25705">
            <w:pPr>
              <w:jc w:val="cente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Dec-20</w:t>
            </w:r>
          </w:p>
        </w:tc>
        <w:tc>
          <w:tcPr>
            <w:tcW w:w="1976" w:type="dxa"/>
            <w:tcBorders>
              <w:top w:val="single" w:sz="4" w:space="0" w:color="000000"/>
              <w:left w:val="nil"/>
              <w:bottom w:val="single" w:sz="4" w:space="0" w:color="000000"/>
              <w:right w:val="single" w:sz="4" w:space="0" w:color="000000"/>
            </w:tcBorders>
            <w:shd w:val="clear" w:color="92CDDC" w:fill="92CDDC"/>
            <w:noWrap/>
            <w:vAlign w:val="center"/>
            <w:hideMark/>
          </w:tcPr>
          <w:p w:rsidR="00B25705" w:rsidRPr="007F700C" w:rsidRDefault="00B25705" w:rsidP="00B25705">
            <w:pPr>
              <w:jc w:val="cente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Jan-21</w:t>
            </w:r>
          </w:p>
        </w:tc>
        <w:tc>
          <w:tcPr>
            <w:tcW w:w="2350" w:type="dxa"/>
            <w:tcBorders>
              <w:top w:val="single" w:sz="4" w:space="0" w:color="000000"/>
              <w:left w:val="nil"/>
              <w:bottom w:val="single" w:sz="4" w:space="0" w:color="000000"/>
              <w:right w:val="single" w:sz="4" w:space="0" w:color="000000"/>
            </w:tcBorders>
            <w:shd w:val="clear" w:color="92CDDC" w:fill="92CDDC"/>
            <w:vAlign w:val="center"/>
            <w:hideMark/>
          </w:tcPr>
          <w:p w:rsidR="00B25705" w:rsidRPr="007F700C" w:rsidRDefault="00B25705" w:rsidP="00E263F0">
            <w:pPr>
              <w:jc w:val="cente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xml:space="preserve">Change </w:t>
            </w:r>
            <w:r w:rsidR="00E263F0">
              <w:rPr>
                <w:rFonts w:ascii="Palatino Linotype" w:eastAsia="Times New Roman" w:hAnsi="Palatino Linotype"/>
                <w:b/>
                <w:bCs/>
                <w:sz w:val="22"/>
                <w:szCs w:val="22"/>
                <w:lang w:val="en-IN" w:eastAsia="en-IN" w:bidi="hi-IN"/>
              </w:rPr>
              <w:t>over</w:t>
            </w:r>
            <w:r w:rsidRPr="007F700C">
              <w:rPr>
                <w:rFonts w:ascii="Palatino Linotype" w:eastAsia="Times New Roman" w:hAnsi="Palatino Linotype"/>
                <w:b/>
                <w:bCs/>
                <w:sz w:val="22"/>
                <w:szCs w:val="22"/>
                <w:lang w:val="en-IN" w:eastAsia="en-IN" w:bidi="hi-IN"/>
              </w:rPr>
              <w:t xml:space="preserve"> the Month</w:t>
            </w:r>
          </w:p>
        </w:tc>
      </w:tr>
      <w:tr w:rsidR="00B25705" w:rsidRPr="007F700C" w:rsidTr="00B25705">
        <w:trPr>
          <w:trHeight w:val="209"/>
        </w:trPr>
        <w:tc>
          <w:tcPr>
            <w:tcW w:w="3498" w:type="dxa"/>
            <w:tcBorders>
              <w:top w:val="nil"/>
              <w:left w:val="single" w:sz="4" w:space="0" w:color="000000"/>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Index in Equity Market</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Nifty 50</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13,982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13,635 </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-2.5</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Sensex</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47,751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46,286 </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-3.1</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Nifty Midcap</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5,873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6,003 </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2.2</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Nifty Smallcap</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7,088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7,177 </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1.3</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BSE Midcap</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17,941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18,082 </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0.8</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BSE Smallcap</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18,098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17,988 </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-0.6</w:t>
            </w:r>
          </w:p>
        </w:tc>
      </w:tr>
      <w:tr w:rsidR="00B25705" w:rsidRPr="007F700C" w:rsidTr="00B25705">
        <w:trPr>
          <w:trHeight w:val="209"/>
        </w:trPr>
        <w:tc>
          <w:tcPr>
            <w:tcW w:w="5475"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Market Capitalisation (</w:t>
            </w:r>
            <w:r w:rsidRPr="007F700C">
              <w:rPr>
                <w:rFonts w:ascii="Times New Roman" w:eastAsia="Times New Roman" w:hAnsi="Times New Roman"/>
                <w:b/>
                <w:bCs/>
                <w:sz w:val="22"/>
                <w:szCs w:val="22"/>
                <w:lang w:val="en-IN" w:eastAsia="en-IN" w:bidi="hi-IN"/>
              </w:rPr>
              <w:t>₹</w:t>
            </w:r>
            <w:r w:rsidRPr="007F700C">
              <w:rPr>
                <w:rFonts w:ascii="Palatino Linotype" w:eastAsia="Times New Roman" w:hAnsi="Palatino Linotype"/>
                <w:b/>
                <w:bCs/>
                <w:sz w:val="22"/>
                <w:szCs w:val="22"/>
                <w:lang w:val="en-IN" w:eastAsia="en-IN" w:bidi="hi-IN"/>
              </w:rPr>
              <w:t xml:space="preserve"> crore)</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BSE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1,88,03,519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1,86,12,644</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-1.0</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NSE</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1,86,46,769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1,84,74,450</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-0.9</w:t>
            </w:r>
          </w:p>
        </w:tc>
      </w:tr>
      <w:tr w:rsidR="00B25705" w:rsidRPr="007F700C" w:rsidTr="00B25705">
        <w:trPr>
          <w:trHeight w:val="209"/>
        </w:trPr>
        <w:tc>
          <w:tcPr>
            <w:tcW w:w="3498" w:type="dxa"/>
            <w:tcBorders>
              <w:top w:val="nil"/>
              <w:left w:val="single" w:sz="4" w:space="0" w:color="000000"/>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P/E Ratio</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Sensex</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33.5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31.8</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-5.2</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Nifty 50</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38.5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36.6</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-4.9</w:t>
            </w:r>
          </w:p>
        </w:tc>
      </w:tr>
      <w:tr w:rsidR="00B25705" w:rsidRPr="007F700C" w:rsidTr="00B25705">
        <w:trPr>
          <w:trHeight w:val="209"/>
        </w:trPr>
        <w:tc>
          <w:tcPr>
            <w:tcW w:w="3498" w:type="dxa"/>
            <w:tcBorders>
              <w:top w:val="nil"/>
              <w:left w:val="single" w:sz="4" w:space="0" w:color="000000"/>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No</w:t>
            </w:r>
            <w:r w:rsidR="00BA55C5">
              <w:rPr>
                <w:rFonts w:ascii="Palatino Linotype" w:eastAsia="Times New Roman" w:hAnsi="Palatino Linotype"/>
                <w:b/>
                <w:bCs/>
                <w:sz w:val="22"/>
                <w:szCs w:val="22"/>
                <w:lang w:val="en-IN" w:eastAsia="en-IN" w:bidi="hi-IN"/>
              </w:rPr>
              <w:t>.</w:t>
            </w:r>
            <w:r w:rsidRPr="007F700C">
              <w:rPr>
                <w:rFonts w:ascii="Palatino Linotype" w:eastAsia="Times New Roman" w:hAnsi="Palatino Linotype"/>
                <w:b/>
                <w:bCs/>
                <w:sz w:val="22"/>
                <w:szCs w:val="22"/>
                <w:lang w:val="en-IN" w:eastAsia="en-IN" w:bidi="hi-IN"/>
              </w:rPr>
              <w:t xml:space="preserve"> of Listed Companies</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BSE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5,454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5,455</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0.0</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NSE</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                    1,962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1,965</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0.2</w:t>
            </w:r>
          </w:p>
        </w:tc>
      </w:tr>
      <w:tr w:rsidR="00B25705" w:rsidRPr="007F700C" w:rsidTr="00B25705">
        <w:trPr>
          <w:trHeight w:val="209"/>
        </w:trPr>
        <w:tc>
          <w:tcPr>
            <w:tcW w:w="5475"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Gross Turnover in Equity Segment (</w:t>
            </w:r>
            <w:r w:rsidRPr="007F700C">
              <w:rPr>
                <w:rFonts w:ascii="Times New Roman" w:eastAsia="Times New Roman" w:hAnsi="Times New Roman"/>
                <w:b/>
                <w:bCs/>
                <w:sz w:val="22"/>
                <w:szCs w:val="22"/>
                <w:lang w:val="en-IN" w:eastAsia="en-IN" w:bidi="hi-IN"/>
              </w:rPr>
              <w:t>₹</w:t>
            </w:r>
            <w:r w:rsidRPr="007F700C">
              <w:rPr>
                <w:rFonts w:ascii="Palatino Linotype" w:eastAsia="Times New Roman" w:hAnsi="Palatino Linotype"/>
                <w:b/>
                <w:bCs/>
                <w:sz w:val="22"/>
                <w:szCs w:val="22"/>
                <w:lang w:val="en-IN" w:eastAsia="en-IN" w:bidi="hi-IN"/>
              </w:rPr>
              <w:t xml:space="preserve"> </w:t>
            </w:r>
            <w:r>
              <w:rPr>
                <w:rFonts w:ascii="Palatino Linotype" w:eastAsia="Times New Roman" w:hAnsi="Palatino Linotype"/>
                <w:b/>
                <w:bCs/>
                <w:sz w:val="22"/>
                <w:szCs w:val="22"/>
                <w:lang w:val="en-IN" w:eastAsia="en-IN" w:bidi="hi-IN"/>
              </w:rPr>
              <w:t>c</w:t>
            </w:r>
            <w:r w:rsidRPr="007F700C">
              <w:rPr>
                <w:rFonts w:ascii="Palatino Linotype" w:eastAsia="Times New Roman" w:hAnsi="Palatino Linotype"/>
                <w:b/>
                <w:bCs/>
                <w:sz w:val="22"/>
                <w:szCs w:val="22"/>
                <w:lang w:val="en-IN" w:eastAsia="en-IN" w:bidi="hi-IN"/>
              </w:rPr>
              <w:t>rore)</w:t>
            </w:r>
          </w:p>
        </w:tc>
        <w:tc>
          <w:tcPr>
            <w:tcW w:w="1976" w:type="dxa"/>
            <w:tcBorders>
              <w:top w:val="nil"/>
              <w:left w:val="nil"/>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BSE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99,415</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1,04,063</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4.7</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NSE</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13,74,552</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14,49,445</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5.4</w:t>
            </w:r>
          </w:p>
        </w:tc>
      </w:tr>
      <w:tr w:rsidR="00B25705" w:rsidRPr="007F700C" w:rsidTr="00B25705">
        <w:trPr>
          <w:trHeight w:val="209"/>
        </w:trPr>
        <w:tc>
          <w:tcPr>
            <w:tcW w:w="7451"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xml:space="preserve">Gross </w:t>
            </w:r>
            <w:r>
              <w:rPr>
                <w:rFonts w:ascii="Palatino Linotype" w:eastAsia="Times New Roman" w:hAnsi="Palatino Linotype"/>
                <w:b/>
                <w:bCs/>
                <w:sz w:val="22"/>
                <w:szCs w:val="22"/>
                <w:lang w:val="en-IN" w:eastAsia="en-IN" w:bidi="hi-IN"/>
              </w:rPr>
              <w:t xml:space="preserve">Notional </w:t>
            </w:r>
            <w:r w:rsidRPr="007F700C">
              <w:rPr>
                <w:rFonts w:ascii="Palatino Linotype" w:eastAsia="Times New Roman" w:hAnsi="Palatino Linotype"/>
                <w:b/>
                <w:bCs/>
                <w:sz w:val="22"/>
                <w:szCs w:val="22"/>
                <w:lang w:val="en-IN" w:eastAsia="en-IN" w:bidi="hi-IN"/>
              </w:rPr>
              <w:t>Turnover in Equity Derivatives Segment (</w:t>
            </w:r>
            <w:r w:rsidRPr="007F700C">
              <w:rPr>
                <w:rFonts w:ascii="Times New Roman" w:eastAsia="Times New Roman" w:hAnsi="Times New Roman"/>
                <w:b/>
                <w:bCs/>
                <w:sz w:val="22"/>
                <w:szCs w:val="22"/>
                <w:lang w:val="en-IN" w:eastAsia="en-IN" w:bidi="hi-IN"/>
              </w:rPr>
              <w:t>₹</w:t>
            </w:r>
            <w:r w:rsidRPr="007F700C">
              <w:rPr>
                <w:rFonts w:ascii="Palatino Linotype" w:eastAsia="Times New Roman" w:hAnsi="Palatino Linotype"/>
                <w:b/>
                <w:bCs/>
                <w:sz w:val="22"/>
                <w:szCs w:val="22"/>
                <w:lang w:val="en-IN" w:eastAsia="en-IN" w:bidi="hi-IN"/>
              </w:rPr>
              <w:t xml:space="preserve"> crore)</w:t>
            </w:r>
          </w:p>
        </w:tc>
        <w:tc>
          <w:tcPr>
            <w:tcW w:w="2350" w:type="dxa"/>
            <w:tcBorders>
              <w:top w:val="nil"/>
              <w:left w:val="nil"/>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BSE </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49,02,205</w:t>
            </w:r>
          </w:p>
        </w:tc>
        <w:tc>
          <w:tcPr>
            <w:tcW w:w="1976" w:type="dxa"/>
            <w:tcBorders>
              <w:top w:val="nil"/>
              <w:left w:val="nil"/>
              <w:bottom w:val="single" w:sz="4" w:space="0" w:color="000000"/>
              <w:right w:val="single" w:sz="4" w:space="0" w:color="000000"/>
            </w:tcBorders>
            <w:shd w:val="clear" w:color="auto" w:fill="auto"/>
            <w:noWrap/>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49,33,029</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0.6</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NSE</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6,72,62,248</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7,19,13,140</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6.9</w:t>
            </w:r>
          </w:p>
        </w:tc>
      </w:tr>
      <w:tr w:rsidR="00B25705" w:rsidRPr="007F700C" w:rsidTr="00B25705">
        <w:trPr>
          <w:trHeight w:val="209"/>
        </w:trPr>
        <w:tc>
          <w:tcPr>
            <w:tcW w:w="7451"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xml:space="preserve">Gross </w:t>
            </w:r>
            <w:r>
              <w:rPr>
                <w:rFonts w:ascii="Palatino Linotype" w:eastAsia="Times New Roman" w:hAnsi="Palatino Linotype"/>
                <w:b/>
                <w:bCs/>
                <w:sz w:val="22"/>
                <w:szCs w:val="22"/>
                <w:lang w:val="en-IN" w:eastAsia="en-IN" w:bidi="hi-IN"/>
              </w:rPr>
              <w:t xml:space="preserve">Notional </w:t>
            </w:r>
            <w:r w:rsidRPr="007F700C">
              <w:rPr>
                <w:rFonts w:ascii="Palatino Linotype" w:eastAsia="Times New Roman" w:hAnsi="Palatino Linotype"/>
                <w:b/>
                <w:bCs/>
                <w:sz w:val="22"/>
                <w:szCs w:val="22"/>
                <w:lang w:val="en-IN" w:eastAsia="en-IN" w:bidi="hi-IN"/>
              </w:rPr>
              <w:t>Turnover in Currency Derivatives Segment (</w:t>
            </w:r>
            <w:r w:rsidRPr="007F700C">
              <w:rPr>
                <w:rFonts w:ascii="Times New Roman" w:eastAsia="Times New Roman" w:hAnsi="Times New Roman"/>
                <w:b/>
                <w:bCs/>
                <w:sz w:val="22"/>
                <w:szCs w:val="22"/>
                <w:lang w:val="en-IN" w:eastAsia="en-IN" w:bidi="hi-IN"/>
              </w:rPr>
              <w:t>₹</w:t>
            </w:r>
            <w:r w:rsidRPr="007F700C">
              <w:rPr>
                <w:rFonts w:ascii="Palatino Linotype" w:eastAsia="Times New Roman" w:hAnsi="Palatino Linotype"/>
                <w:b/>
                <w:bCs/>
                <w:sz w:val="22"/>
                <w:szCs w:val="22"/>
                <w:lang w:val="en-IN" w:eastAsia="en-IN" w:bidi="hi-IN"/>
              </w:rPr>
              <w:t xml:space="preserve"> crore)</w:t>
            </w:r>
          </w:p>
        </w:tc>
        <w:tc>
          <w:tcPr>
            <w:tcW w:w="2350" w:type="dxa"/>
            <w:tcBorders>
              <w:top w:val="nil"/>
              <w:left w:val="nil"/>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BSE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4,96,941</w:t>
            </w:r>
          </w:p>
        </w:tc>
        <w:tc>
          <w:tcPr>
            <w:tcW w:w="1976" w:type="dxa"/>
            <w:tcBorders>
              <w:top w:val="nil"/>
              <w:left w:val="nil"/>
              <w:bottom w:val="single" w:sz="4" w:space="0" w:color="auto"/>
              <w:right w:val="single" w:sz="4" w:space="0" w:color="auto"/>
            </w:tcBorders>
            <w:shd w:val="clear" w:color="000000" w:fill="FFFFFF"/>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4,40,262</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-11.4</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NSE</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11,60,619</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10,01,206</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-13.7</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MSEI</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14,310</w:t>
            </w:r>
          </w:p>
        </w:tc>
        <w:tc>
          <w:tcPr>
            <w:tcW w:w="1976"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13,562</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-5.2</w:t>
            </w:r>
          </w:p>
        </w:tc>
      </w:tr>
      <w:tr w:rsidR="00B25705" w:rsidRPr="007F700C" w:rsidTr="00B25705">
        <w:trPr>
          <w:trHeight w:val="209"/>
        </w:trPr>
        <w:tc>
          <w:tcPr>
            <w:tcW w:w="9801"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B25705" w:rsidRPr="007F700C" w:rsidRDefault="00B25705" w:rsidP="00B25705">
            <w:pPr>
              <w:rPr>
                <w:rFonts w:ascii="Palatino Linotype" w:eastAsia="Times New Roman" w:hAnsi="Palatino Linotype"/>
                <w:b/>
                <w:bCs/>
                <w:sz w:val="22"/>
                <w:szCs w:val="22"/>
                <w:lang w:val="en-IN" w:eastAsia="en-IN" w:bidi="hi-IN"/>
              </w:rPr>
            </w:pPr>
            <w:r w:rsidRPr="007F700C">
              <w:rPr>
                <w:rFonts w:ascii="Palatino Linotype" w:eastAsia="Times New Roman" w:hAnsi="Palatino Linotype"/>
                <w:b/>
                <w:bCs/>
                <w:sz w:val="22"/>
                <w:szCs w:val="22"/>
                <w:lang w:val="en-IN" w:eastAsia="en-IN" w:bidi="hi-IN"/>
              </w:rPr>
              <w:t xml:space="preserve">Gross </w:t>
            </w:r>
            <w:r>
              <w:rPr>
                <w:rFonts w:ascii="Palatino Linotype" w:eastAsia="Times New Roman" w:hAnsi="Palatino Linotype"/>
                <w:b/>
                <w:bCs/>
                <w:sz w:val="22"/>
                <w:szCs w:val="22"/>
                <w:lang w:val="en-IN" w:eastAsia="en-IN" w:bidi="hi-IN"/>
              </w:rPr>
              <w:t xml:space="preserve">Notional </w:t>
            </w:r>
            <w:r w:rsidRPr="007F700C">
              <w:rPr>
                <w:rFonts w:ascii="Palatino Linotype" w:eastAsia="Times New Roman" w:hAnsi="Palatino Linotype"/>
                <w:b/>
                <w:bCs/>
                <w:sz w:val="22"/>
                <w:szCs w:val="22"/>
                <w:lang w:val="en-IN" w:eastAsia="en-IN" w:bidi="hi-IN"/>
              </w:rPr>
              <w:t>Turnover in Interest Rate Derivatives Segment (</w:t>
            </w:r>
            <w:r w:rsidRPr="007F700C">
              <w:rPr>
                <w:rFonts w:ascii="Times New Roman" w:eastAsia="Times New Roman" w:hAnsi="Times New Roman"/>
                <w:b/>
                <w:bCs/>
                <w:sz w:val="22"/>
                <w:szCs w:val="22"/>
                <w:lang w:val="en-IN" w:eastAsia="en-IN" w:bidi="hi-IN"/>
              </w:rPr>
              <w:t>₹</w:t>
            </w:r>
            <w:r w:rsidRPr="007F700C">
              <w:rPr>
                <w:rFonts w:ascii="Palatino Linotype" w:eastAsia="Times New Roman" w:hAnsi="Palatino Linotype"/>
                <w:b/>
                <w:bCs/>
                <w:sz w:val="22"/>
                <w:szCs w:val="22"/>
                <w:lang w:val="en-IN" w:eastAsia="en-IN" w:bidi="hi-IN"/>
              </w:rPr>
              <w:t xml:space="preserve"> crore)</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 xml:space="preserve">BSE </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1,087</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1,101</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1.2</w:t>
            </w:r>
          </w:p>
        </w:tc>
      </w:tr>
      <w:tr w:rsidR="00B25705" w:rsidRPr="007F700C" w:rsidTr="00B25705">
        <w:trPr>
          <w:trHeight w:val="209"/>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B25705" w:rsidRPr="007F700C" w:rsidRDefault="00B25705" w:rsidP="00B25705">
            <w:pPr>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NSE</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5,464</w:t>
            </w:r>
          </w:p>
        </w:tc>
        <w:tc>
          <w:tcPr>
            <w:tcW w:w="1976" w:type="dxa"/>
            <w:tcBorders>
              <w:top w:val="nil"/>
              <w:left w:val="nil"/>
              <w:bottom w:val="single" w:sz="4" w:space="0" w:color="000000"/>
              <w:right w:val="single" w:sz="4" w:space="0" w:color="000000"/>
            </w:tcBorders>
            <w:shd w:val="clear" w:color="FFFFFF" w:fill="FFFFFF"/>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4,094</w:t>
            </w:r>
          </w:p>
        </w:tc>
        <w:tc>
          <w:tcPr>
            <w:tcW w:w="2350" w:type="dxa"/>
            <w:tcBorders>
              <w:top w:val="nil"/>
              <w:left w:val="nil"/>
              <w:bottom w:val="single" w:sz="4" w:space="0" w:color="000000"/>
              <w:right w:val="single" w:sz="4" w:space="0" w:color="000000"/>
            </w:tcBorders>
            <w:shd w:val="clear" w:color="auto" w:fill="auto"/>
            <w:noWrap/>
            <w:vAlign w:val="bottom"/>
            <w:hideMark/>
          </w:tcPr>
          <w:p w:rsidR="00B25705" w:rsidRPr="007F700C" w:rsidRDefault="00B25705" w:rsidP="00B25705">
            <w:pPr>
              <w:jc w:val="right"/>
              <w:rPr>
                <w:rFonts w:ascii="Palatino Linotype" w:eastAsia="Times New Roman" w:hAnsi="Palatino Linotype"/>
                <w:sz w:val="22"/>
                <w:szCs w:val="22"/>
                <w:lang w:val="en-IN" w:eastAsia="en-IN" w:bidi="hi-IN"/>
              </w:rPr>
            </w:pPr>
            <w:r w:rsidRPr="007F700C">
              <w:rPr>
                <w:rFonts w:ascii="Palatino Linotype" w:eastAsia="Times New Roman" w:hAnsi="Palatino Linotype"/>
                <w:sz w:val="22"/>
                <w:szCs w:val="22"/>
                <w:lang w:val="en-IN" w:eastAsia="en-IN" w:bidi="hi-IN"/>
              </w:rPr>
              <w:t>-25.1</w:t>
            </w:r>
          </w:p>
        </w:tc>
      </w:tr>
    </w:tbl>
    <w:p w:rsidR="00B25705" w:rsidRPr="00C41524" w:rsidRDefault="00B25705" w:rsidP="00B25705">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Source: BSE, NSE and MSEI</w:t>
      </w:r>
      <w:r w:rsidRPr="00C41524">
        <w:rPr>
          <w:rFonts w:ascii="Palatino Linotype" w:eastAsia="Palatino Linotype" w:hAnsi="Palatino Linotype" w:cs="Palatino Linotype"/>
          <w:b/>
          <w:sz w:val="18"/>
          <w:szCs w:val="18"/>
        </w:rPr>
        <w:br w:type="page"/>
      </w: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1: Movement of S&amp;P BSE Sensex and Nifty 50 during January 2021</w:t>
      </w:r>
    </w:p>
    <w:p w:rsidR="00B25705" w:rsidRPr="002357A9" w:rsidRDefault="00B25705" w:rsidP="00B25705">
      <w:pPr>
        <w:spacing w:line="276" w:lineRule="auto"/>
        <w:rPr>
          <w:rFonts w:ascii="Palatino Linotype" w:eastAsia="Palatino Linotype" w:hAnsi="Palatino Linotype" w:cs="Palatino Linotype"/>
          <w:bCs/>
          <w:sz w:val="22"/>
          <w:szCs w:val="22"/>
          <w:highlight w:val="yellow"/>
        </w:rPr>
      </w:pPr>
      <w:r w:rsidRPr="002357A9">
        <w:rPr>
          <w:rFonts w:ascii="Palatino Linotype" w:hAnsi="Palatino Linotype"/>
          <w:noProof/>
          <w:sz w:val="22"/>
          <w:szCs w:val="22"/>
          <w:lang w:val="en-IN" w:eastAsia="en-IN" w:bidi="hi-IN"/>
        </w:rPr>
        <w:drawing>
          <wp:inline distT="0" distB="0" distL="0" distR="0" wp14:anchorId="564922AC" wp14:editId="4EC400BB">
            <wp:extent cx="6200775" cy="2381250"/>
            <wp:effectExtent l="0" t="0" r="9525"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B25705" w:rsidRPr="00C41524" w:rsidRDefault="00B25705" w:rsidP="00B25705">
      <w:pPr>
        <w:spacing w:line="276" w:lineRule="auto"/>
        <w:rPr>
          <w:rFonts w:ascii="Palatino Linotype" w:eastAsia="Palatino Linotype" w:hAnsi="Palatino Linotype" w:cs="Palatino Linotype"/>
          <w:b/>
          <w:i/>
          <w:iCs/>
          <w:sz w:val="18"/>
          <w:szCs w:val="18"/>
        </w:rPr>
      </w:pPr>
      <w:r w:rsidRPr="00C41524">
        <w:rPr>
          <w:rFonts w:ascii="Palatino Linotype" w:eastAsia="Palatino Linotype" w:hAnsi="Palatino Linotype" w:cs="Palatino Linotype"/>
          <w:b/>
          <w:i/>
          <w:iCs/>
          <w:sz w:val="18"/>
          <w:szCs w:val="18"/>
        </w:rPr>
        <w:t xml:space="preserve">Note: The closing values of Nifty 50 and Sensex have been rebased with respective closing values of first day of the month. </w:t>
      </w:r>
    </w:p>
    <w:p w:rsidR="00B25705" w:rsidRPr="00C41524" w:rsidRDefault="00B25705" w:rsidP="00B25705">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Source: BSE and NSE</w:t>
      </w:r>
    </w:p>
    <w:p w:rsidR="00B25705" w:rsidRPr="002357A9" w:rsidRDefault="00B25705" w:rsidP="00B25705">
      <w:pPr>
        <w:spacing w:line="276" w:lineRule="auto"/>
        <w:rPr>
          <w:rFonts w:ascii="Palatino Linotype" w:eastAsia="Palatino Linotype" w:hAnsi="Palatino Linotype" w:cs="Palatino Linotype"/>
          <w:b/>
          <w:sz w:val="22"/>
          <w:szCs w:val="22"/>
        </w:rPr>
      </w:pP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At the end of January 2021, the market capitalisation of both the BSE and NSE decreased by </w:t>
      </w:r>
      <w:r w:rsidR="006A0BB3">
        <w:rPr>
          <w:rFonts w:ascii="Palatino Linotype" w:eastAsia="Palatino Linotype" w:hAnsi="Palatino Linotype" w:cs="Palatino Linotype"/>
          <w:sz w:val="22"/>
          <w:szCs w:val="22"/>
        </w:rPr>
        <w:t>o</w:t>
      </w:r>
      <w:r>
        <w:rPr>
          <w:rFonts w:ascii="Palatino Linotype" w:eastAsia="Palatino Linotype" w:hAnsi="Palatino Linotype" w:cs="Palatino Linotype"/>
          <w:sz w:val="22"/>
          <w:szCs w:val="22"/>
        </w:rPr>
        <w:t>ne</w:t>
      </w:r>
      <w:r w:rsidRPr="002357A9">
        <w:rPr>
          <w:rFonts w:ascii="Palatino Linotype" w:eastAsia="Palatino Linotype" w:hAnsi="Palatino Linotype" w:cs="Palatino Linotype"/>
          <w:sz w:val="22"/>
          <w:szCs w:val="22"/>
        </w:rPr>
        <w:t xml:space="preserve"> per cent and 0.9 per cent, respectively over the level as at the end of </w:t>
      </w:r>
      <w:r>
        <w:rPr>
          <w:rFonts w:ascii="Palatino Linotype" w:eastAsia="Palatino Linotype" w:hAnsi="Palatino Linotype" w:cs="Palatino Linotype"/>
          <w:sz w:val="22"/>
          <w:szCs w:val="22"/>
        </w:rPr>
        <w:t>previous</w:t>
      </w:r>
      <w:r w:rsidRPr="002357A9">
        <w:rPr>
          <w:rFonts w:ascii="Palatino Linotype" w:eastAsia="Palatino Linotype" w:hAnsi="Palatino Linotype" w:cs="Palatino Linotype"/>
          <w:sz w:val="22"/>
          <w:szCs w:val="22"/>
        </w:rPr>
        <w:t xml:space="preserve"> month.  </w:t>
      </w:r>
    </w:p>
    <w:p w:rsidR="00B25705" w:rsidRPr="002357A9"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2357A9">
        <w:rPr>
          <w:rFonts w:ascii="Palatino Linotype" w:eastAsia="Palatino Linotype" w:hAnsi="Palatino Linotype" w:cs="Palatino Linotype"/>
          <w:b/>
          <w:sz w:val="22"/>
          <w:szCs w:val="22"/>
        </w:rPr>
        <w:t>Figure 2: Trends in Average Daily Values of Nifty 50 and NSE Equity Cash Segment Turnover</w:t>
      </w: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2357A9">
        <w:rPr>
          <w:rFonts w:ascii="Palatino Linotype" w:hAnsi="Palatino Linotype"/>
          <w:noProof/>
          <w:sz w:val="22"/>
          <w:szCs w:val="22"/>
          <w:lang w:val="en-IN" w:eastAsia="en-IN" w:bidi="hi-IN"/>
        </w:rPr>
        <w:drawing>
          <wp:inline distT="0" distB="0" distL="0" distR="0" wp14:anchorId="505CD8CE" wp14:editId="14F62CA2">
            <wp:extent cx="6210300" cy="2371725"/>
            <wp:effectExtent l="0" t="0" r="0" b="952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B25705" w:rsidRPr="00C41524" w:rsidRDefault="00B25705" w:rsidP="00B25705">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Note: ADV implies Average Daily Values and ATD implies Average Daily Turnover</w:t>
      </w:r>
    </w:p>
    <w:p w:rsidR="00B25705" w:rsidRPr="00C41524" w:rsidRDefault="00B25705" w:rsidP="00B25705">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NSE  </w:t>
      </w:r>
      <w:r w:rsidRPr="00C41524">
        <w:rPr>
          <w:rFonts w:ascii="Palatino Linotype" w:eastAsia="Palatino Linotype" w:hAnsi="Palatino Linotype" w:cs="Palatino Linotype"/>
          <w:b/>
          <w:sz w:val="18"/>
          <w:szCs w:val="18"/>
        </w:rPr>
        <w:br w:type="page"/>
      </w:r>
    </w:p>
    <w:p w:rsidR="00B25705" w:rsidRPr="002357A9" w:rsidRDefault="00B25705" w:rsidP="00B25705">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3: Trends in Average Daily Values of S&amp;P BSE Sensex and BSE Equity Cash Segment Turnover</w:t>
      </w:r>
    </w:p>
    <w:p w:rsidR="00B25705" w:rsidRPr="002357A9" w:rsidRDefault="00B25705" w:rsidP="00B25705">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2357A9">
        <w:rPr>
          <w:rFonts w:ascii="Palatino Linotype" w:hAnsi="Palatino Linotype"/>
          <w:noProof/>
          <w:sz w:val="22"/>
          <w:szCs w:val="22"/>
          <w:lang w:val="en-IN" w:eastAsia="en-IN" w:bidi="hi-IN"/>
        </w:rPr>
        <w:drawing>
          <wp:inline distT="0" distB="0" distL="0" distR="0" wp14:anchorId="431AF581" wp14:editId="7C49279B">
            <wp:extent cx="5981700" cy="2600325"/>
            <wp:effectExtent l="0" t="0" r="0" b="952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B25705" w:rsidRPr="00C41524" w:rsidRDefault="00B25705" w:rsidP="00B25705">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Note: ADV implies Average Daily Values and ATD implies Average Daily Turnover</w:t>
      </w:r>
    </w:p>
    <w:p w:rsidR="00B25705" w:rsidRPr="00C41524" w:rsidRDefault="00B25705" w:rsidP="00B25705">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BSE  </w:t>
      </w:r>
    </w:p>
    <w:p w:rsidR="00B25705" w:rsidRPr="002357A9" w:rsidRDefault="00B25705" w:rsidP="00B25705">
      <w:pPr>
        <w:spacing w:line="276" w:lineRule="auto"/>
        <w:jc w:val="both"/>
        <w:rPr>
          <w:rFonts w:ascii="Palatino Linotype" w:eastAsia="Palatino Linotype" w:hAnsi="Palatino Linotype" w:cs="Palatino Linotype"/>
          <w:color w:val="2E74B5"/>
          <w:sz w:val="22"/>
          <w:szCs w:val="22"/>
        </w:rPr>
      </w:pP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January 2021, the gross turnover in the equity cash segments, both at BSE and NSE, grew by 4.7 per cent and 5.4 per cent, respectively. </w:t>
      </w:r>
    </w:p>
    <w:p w:rsidR="00B25705" w:rsidRPr="002357A9"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January 2021, the selected BSE sectoral indices, referred to in Figure 4, posted mixed returns.  Amongst these, </w:t>
      </w:r>
      <w:r w:rsidR="006A0BB3">
        <w:rPr>
          <w:rFonts w:ascii="Palatino Linotype" w:eastAsia="Palatino Linotype" w:hAnsi="Palatino Linotype" w:cs="Palatino Linotype"/>
          <w:sz w:val="22"/>
          <w:szCs w:val="22"/>
        </w:rPr>
        <w:t xml:space="preserve">return by </w:t>
      </w:r>
      <w:r w:rsidRPr="002357A9">
        <w:rPr>
          <w:rFonts w:ascii="Palatino Linotype" w:eastAsia="Palatino Linotype" w:hAnsi="Palatino Linotype" w:cs="Palatino Linotype"/>
          <w:sz w:val="22"/>
          <w:szCs w:val="22"/>
        </w:rPr>
        <w:t xml:space="preserve">S&amp;P BSE Auto increased by 6.3 per cent, followed by S&amp;P BSE Capital Goods (3.9 per cent) and S&amp;P BSE Teck (2.5 per cent), over the previous month. On the other hand, </w:t>
      </w:r>
      <w:r w:rsidR="006A0BB3">
        <w:rPr>
          <w:rFonts w:ascii="Palatino Linotype" w:eastAsia="Palatino Linotype" w:hAnsi="Palatino Linotype" w:cs="Palatino Linotype"/>
          <w:sz w:val="22"/>
          <w:szCs w:val="22"/>
        </w:rPr>
        <w:t xml:space="preserve">returns from </w:t>
      </w:r>
      <w:r w:rsidRPr="002357A9">
        <w:rPr>
          <w:rFonts w:ascii="Palatino Linotype" w:eastAsia="Palatino Linotype" w:hAnsi="Palatino Linotype" w:cs="Palatino Linotype"/>
          <w:sz w:val="22"/>
          <w:szCs w:val="22"/>
        </w:rPr>
        <w:t>S&amp;P BSE Metal decreased by 4.9 per cent, followed by S&amp;P BSE Bankex (3.4 per cent), S&amp;P BSE Power (2.8 per cent) and S&amp;P BSE Realty (2.4 per cent).   The average daily volatility and monthly returns for these select BSE indices for January 2021 are illustrated in Figure 4.</w:t>
      </w:r>
    </w:p>
    <w:p w:rsidR="00B25705" w:rsidRPr="002357A9" w:rsidRDefault="00B25705" w:rsidP="00B25705">
      <w:pPr>
        <w:spacing w:line="276" w:lineRule="auto"/>
        <w:jc w:val="both"/>
        <w:rPr>
          <w:rFonts w:ascii="Palatino Linotype" w:eastAsia="Palatino Linotype" w:hAnsi="Palatino Linotype" w:cs="Palatino Linotype"/>
          <w:b/>
          <w:sz w:val="22"/>
          <w:szCs w:val="22"/>
        </w:rPr>
      </w:pPr>
    </w:p>
    <w:p w:rsidR="00B25705" w:rsidRPr="002357A9" w:rsidRDefault="00B25705" w:rsidP="00B25705">
      <w:pP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4: Performance of BSE Sectoral Indices during January 2021 (per cent)</w:t>
      </w:r>
    </w:p>
    <w:p w:rsidR="00B25705" w:rsidRPr="002357A9" w:rsidRDefault="00B25705" w:rsidP="00B25705">
      <w:pPr>
        <w:spacing w:line="276" w:lineRule="auto"/>
        <w:jc w:val="center"/>
        <w:rPr>
          <w:rFonts w:ascii="Palatino Linotype" w:eastAsia="Palatino Linotype" w:hAnsi="Palatino Linotype" w:cs="Palatino Linotype"/>
          <w:b/>
          <w:color w:val="2E74B5"/>
          <w:sz w:val="22"/>
          <w:szCs w:val="22"/>
          <w:highlight w:val="yellow"/>
        </w:rPr>
      </w:pPr>
      <w:r w:rsidRPr="002357A9">
        <w:rPr>
          <w:rFonts w:ascii="Palatino Linotype" w:hAnsi="Palatino Linotype"/>
          <w:noProof/>
          <w:sz w:val="22"/>
          <w:szCs w:val="22"/>
          <w:lang w:val="en-IN" w:eastAsia="en-IN" w:bidi="hi-IN"/>
        </w:rPr>
        <w:drawing>
          <wp:inline distT="0" distB="0" distL="0" distR="0" wp14:anchorId="1D816C08" wp14:editId="091A392A">
            <wp:extent cx="6200775" cy="2657475"/>
            <wp:effectExtent l="0" t="0" r="9525" b="952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B25705" w:rsidRPr="00C41524" w:rsidRDefault="00B25705" w:rsidP="00B25705">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Source: BSE</w:t>
      </w:r>
    </w:p>
    <w:p w:rsidR="00B25705" w:rsidRPr="002357A9" w:rsidRDefault="00B25705" w:rsidP="00B25705">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Similarly, the select sectoral indices of the NSE, referred to in Figure 5, posted mixed returns.  Amongst these, </w:t>
      </w:r>
      <w:r w:rsidR="006A0BB3">
        <w:rPr>
          <w:rFonts w:ascii="Palatino Linotype" w:eastAsia="Palatino Linotype" w:hAnsi="Palatino Linotype" w:cs="Palatino Linotype"/>
          <w:sz w:val="22"/>
          <w:szCs w:val="22"/>
        </w:rPr>
        <w:t>return</w:t>
      </w:r>
      <w:r w:rsidR="009F7467">
        <w:rPr>
          <w:rFonts w:ascii="Palatino Linotype" w:eastAsia="Palatino Linotype" w:hAnsi="Palatino Linotype" w:cs="Palatino Linotype"/>
          <w:sz w:val="22"/>
          <w:szCs w:val="22"/>
        </w:rPr>
        <w:t>s</w:t>
      </w:r>
      <w:r w:rsidR="006A0BB3">
        <w:rPr>
          <w:rFonts w:ascii="Palatino Linotype" w:eastAsia="Palatino Linotype" w:hAnsi="Palatino Linotype" w:cs="Palatino Linotype"/>
          <w:sz w:val="22"/>
          <w:szCs w:val="22"/>
        </w:rPr>
        <w:t xml:space="preserve"> </w:t>
      </w:r>
      <w:r w:rsidR="009F7467">
        <w:rPr>
          <w:rFonts w:ascii="Palatino Linotype" w:eastAsia="Palatino Linotype" w:hAnsi="Palatino Linotype" w:cs="Palatino Linotype"/>
          <w:sz w:val="22"/>
          <w:szCs w:val="22"/>
        </w:rPr>
        <w:t xml:space="preserve">by </w:t>
      </w:r>
      <w:r w:rsidRPr="002357A9">
        <w:rPr>
          <w:rFonts w:ascii="Palatino Linotype" w:eastAsia="Palatino Linotype" w:hAnsi="Palatino Linotype" w:cs="Palatino Linotype"/>
          <w:sz w:val="22"/>
          <w:szCs w:val="22"/>
        </w:rPr>
        <w:t xml:space="preserve">Nifty PSU Bank increased by 3.5 per cent, followed by Nifty IT (1.6 per cent) and Nifty Infrastructure (0.6 per cent), over the previous month. On the other hands, Nifty Pharma </w:t>
      </w:r>
      <w:r w:rsidR="009F7467">
        <w:rPr>
          <w:rFonts w:ascii="Palatino Linotype" w:eastAsia="Palatino Linotype" w:hAnsi="Palatino Linotype" w:cs="Palatino Linotype"/>
          <w:sz w:val="22"/>
          <w:szCs w:val="22"/>
        </w:rPr>
        <w:t xml:space="preserve">returns </w:t>
      </w:r>
      <w:r w:rsidRPr="002357A9">
        <w:rPr>
          <w:rFonts w:ascii="Palatino Linotype" w:eastAsia="Palatino Linotype" w:hAnsi="Palatino Linotype" w:cs="Palatino Linotype"/>
          <w:sz w:val="22"/>
          <w:szCs w:val="22"/>
        </w:rPr>
        <w:t>decreased by 5.8 per cent, followed by Nifty Energy (4.5 per cent), Nifty FMCG (3.1 per cent) and Nifty PSE (2.7 per cent).  The average daily volatility and monthly returns of these select NSE indices for January 2021 are illustrated in Figure 5.</w:t>
      </w:r>
    </w:p>
    <w:p w:rsidR="00B25705" w:rsidRPr="002357A9" w:rsidRDefault="00B25705" w:rsidP="00B25705">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B25705" w:rsidRPr="002357A9" w:rsidRDefault="00B25705" w:rsidP="00B25705">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5: Performance of NSE Sectoral Indices during January 2021 (per cent)</w:t>
      </w:r>
    </w:p>
    <w:p w:rsidR="00B25705" w:rsidRPr="002357A9" w:rsidRDefault="00B25705" w:rsidP="00B25705">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2357A9">
        <w:rPr>
          <w:rFonts w:ascii="Palatino Linotype" w:hAnsi="Palatino Linotype"/>
          <w:noProof/>
          <w:sz w:val="22"/>
          <w:szCs w:val="22"/>
          <w:lang w:val="en-IN" w:eastAsia="en-IN" w:bidi="hi-IN"/>
        </w:rPr>
        <w:drawing>
          <wp:inline distT="0" distB="0" distL="0" distR="0" wp14:anchorId="4E0FB3F5" wp14:editId="4B77A495">
            <wp:extent cx="6267450" cy="2820670"/>
            <wp:effectExtent l="0" t="0" r="0" b="1778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B25705" w:rsidRPr="00C41524" w:rsidRDefault="00B25705" w:rsidP="00B25705">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Source: </w:t>
      </w:r>
      <w:r>
        <w:rPr>
          <w:rFonts w:ascii="Palatino Linotype" w:eastAsia="Palatino Linotype" w:hAnsi="Palatino Linotype" w:cs="Palatino Linotype"/>
          <w:b/>
          <w:sz w:val="18"/>
          <w:szCs w:val="18"/>
        </w:rPr>
        <w:t>N</w:t>
      </w:r>
      <w:r w:rsidRPr="00C41524">
        <w:rPr>
          <w:rFonts w:ascii="Palatino Linotype" w:eastAsia="Palatino Linotype" w:hAnsi="Palatino Linotype" w:cs="Palatino Linotype"/>
          <w:b/>
          <w:sz w:val="18"/>
          <w:szCs w:val="18"/>
        </w:rPr>
        <w:t>SE</w:t>
      </w:r>
    </w:p>
    <w:p w:rsidR="00B25705" w:rsidRPr="002357A9" w:rsidRDefault="00B25705" w:rsidP="00B25705">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B25705" w:rsidRPr="002357A9" w:rsidRDefault="00B25705" w:rsidP="00B25705">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Trends in Depository Accounts </w:t>
      </w:r>
    </w:p>
    <w:p w:rsidR="00B25705"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As at the end of January 2021, there were 211 lakh demat accounts at NSDL and 304 lakh demat accounts at CDSL. Further, till the end of January 2021, 5,654 listed companies were signed up with NSDL and 5,747 listed companies were signed up with CDSL to make their equity holdings available in dematerialised form.</w:t>
      </w: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Pr="002357A9"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25705" w:rsidRPr="002357A9" w:rsidRDefault="00B25705" w:rsidP="00B25705">
      <w:pPr>
        <w:spacing w:line="276" w:lineRule="auto"/>
        <w:rPr>
          <w:rFonts w:ascii="Palatino Linotype" w:eastAsia="Palatino Linotype" w:hAnsi="Palatino Linotype" w:cs="Palatino Linotype"/>
          <w:b/>
          <w:color w:val="2E74B5"/>
          <w:sz w:val="22"/>
          <w:szCs w:val="22"/>
          <w:highlight w:val="yellow"/>
        </w:rPr>
      </w:pPr>
    </w:p>
    <w:p w:rsidR="00B25705" w:rsidRPr="002357A9" w:rsidRDefault="00B25705" w:rsidP="00B25705">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Derivatives Segment</w:t>
      </w:r>
      <w:r w:rsidRPr="002357A9">
        <w:rPr>
          <w:rFonts w:ascii="Palatino Linotype" w:eastAsia="Palatino Linotype" w:hAnsi="Palatino Linotype" w:cs="Palatino Linotype"/>
          <w:b/>
          <w:sz w:val="22"/>
          <w:szCs w:val="22"/>
        </w:rPr>
        <w:tab/>
      </w:r>
    </w:p>
    <w:p w:rsidR="00B25705" w:rsidRPr="002357A9" w:rsidRDefault="00B25705" w:rsidP="00B25705">
      <w:pPr>
        <w:widowControl w:val="0"/>
        <w:spacing w:line="276" w:lineRule="auto"/>
        <w:jc w:val="both"/>
        <w:rPr>
          <w:rFonts w:ascii="Palatino Linotype" w:eastAsia="Palatino Linotype" w:hAnsi="Palatino Linotype" w:cs="Palatino Linotype"/>
          <w:sz w:val="22"/>
          <w:szCs w:val="22"/>
        </w:rPr>
      </w:pPr>
    </w:p>
    <w:p w:rsidR="00B25705" w:rsidRPr="002357A9" w:rsidRDefault="00B25705" w:rsidP="00B25705">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Equity Derivatives</w:t>
      </w:r>
    </w:p>
    <w:p w:rsidR="00B25705" w:rsidRPr="002357A9" w:rsidRDefault="00B25705" w:rsidP="00B25705">
      <w:pPr>
        <w:widowControl w:val="0"/>
        <w:spacing w:line="276" w:lineRule="auto"/>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Table 3: Trends in Equity Derivatives Market</w:t>
      </w:r>
    </w:p>
    <w:tbl>
      <w:tblPr>
        <w:tblW w:w="9992" w:type="dxa"/>
        <w:tblLook w:val="04A0" w:firstRow="1" w:lastRow="0" w:firstColumn="1" w:lastColumn="0" w:noHBand="0" w:noVBand="1"/>
      </w:tblPr>
      <w:tblGrid>
        <w:gridCol w:w="2013"/>
        <w:gridCol w:w="1234"/>
        <w:gridCol w:w="1234"/>
        <w:gridCol w:w="1320"/>
        <w:gridCol w:w="1376"/>
        <w:gridCol w:w="1376"/>
        <w:gridCol w:w="1439"/>
      </w:tblGrid>
      <w:tr w:rsidR="00B25705" w:rsidRPr="00C41524" w:rsidTr="00B25705">
        <w:trPr>
          <w:trHeight w:val="207"/>
        </w:trPr>
        <w:tc>
          <w:tcPr>
            <w:tcW w:w="2013" w:type="dxa"/>
            <w:vMerge w:val="restart"/>
            <w:tcBorders>
              <w:top w:val="single" w:sz="4" w:space="0" w:color="000000"/>
              <w:left w:val="single" w:sz="4" w:space="0" w:color="000000"/>
              <w:bottom w:val="single" w:sz="4" w:space="0" w:color="000000"/>
              <w:right w:val="single" w:sz="4" w:space="0" w:color="000000"/>
            </w:tcBorders>
            <w:shd w:val="clear" w:color="8DB3E2" w:fill="8DB3E2"/>
            <w:noWrap/>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Description</w:t>
            </w:r>
          </w:p>
        </w:tc>
        <w:tc>
          <w:tcPr>
            <w:tcW w:w="3788" w:type="dxa"/>
            <w:gridSpan w:val="3"/>
            <w:tcBorders>
              <w:top w:val="single" w:sz="4" w:space="0" w:color="000000"/>
              <w:left w:val="nil"/>
              <w:bottom w:val="single" w:sz="4" w:space="0" w:color="000000"/>
              <w:right w:val="single" w:sz="4" w:space="0" w:color="000000"/>
            </w:tcBorders>
            <w:shd w:val="clear" w:color="8DB3E2" w:fill="8DB3E2"/>
            <w:noWrap/>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NSE</w:t>
            </w:r>
          </w:p>
        </w:tc>
        <w:tc>
          <w:tcPr>
            <w:tcW w:w="4191" w:type="dxa"/>
            <w:gridSpan w:val="3"/>
            <w:tcBorders>
              <w:top w:val="single" w:sz="4" w:space="0" w:color="000000"/>
              <w:left w:val="nil"/>
              <w:bottom w:val="single" w:sz="4" w:space="0" w:color="000000"/>
              <w:right w:val="single" w:sz="4" w:space="0" w:color="000000"/>
            </w:tcBorders>
            <w:shd w:val="clear" w:color="8DB3E2" w:fill="8DB3E2"/>
            <w:noWrap/>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BSE</w:t>
            </w:r>
          </w:p>
        </w:tc>
      </w:tr>
      <w:tr w:rsidR="00B25705" w:rsidRPr="00C41524" w:rsidTr="00B25705">
        <w:trPr>
          <w:trHeight w:val="207"/>
        </w:trPr>
        <w:tc>
          <w:tcPr>
            <w:tcW w:w="2013" w:type="dxa"/>
            <w:vMerge/>
            <w:tcBorders>
              <w:top w:val="single" w:sz="4" w:space="0" w:color="000000"/>
              <w:left w:val="single" w:sz="4" w:space="0" w:color="000000"/>
              <w:bottom w:val="single" w:sz="4" w:space="0" w:color="000000"/>
              <w:right w:val="single" w:sz="4" w:space="0" w:color="000000"/>
            </w:tcBorders>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p>
        </w:tc>
        <w:tc>
          <w:tcPr>
            <w:tcW w:w="1234" w:type="dxa"/>
            <w:tcBorders>
              <w:top w:val="nil"/>
              <w:left w:val="nil"/>
              <w:bottom w:val="nil"/>
              <w:right w:val="single" w:sz="4" w:space="0" w:color="000000"/>
            </w:tcBorders>
            <w:shd w:val="clear" w:color="8DB3E2" w:fill="8DB3E2"/>
            <w:noWrap/>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Dec-20</w:t>
            </w:r>
          </w:p>
        </w:tc>
        <w:tc>
          <w:tcPr>
            <w:tcW w:w="1234" w:type="dxa"/>
            <w:tcBorders>
              <w:top w:val="nil"/>
              <w:left w:val="nil"/>
              <w:bottom w:val="nil"/>
              <w:right w:val="single" w:sz="4" w:space="0" w:color="000000"/>
            </w:tcBorders>
            <w:shd w:val="clear" w:color="8DB3E2" w:fill="8DB3E2"/>
            <w:noWrap/>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Jan-21</w:t>
            </w:r>
          </w:p>
        </w:tc>
        <w:tc>
          <w:tcPr>
            <w:tcW w:w="1319" w:type="dxa"/>
            <w:tcBorders>
              <w:top w:val="nil"/>
              <w:left w:val="nil"/>
              <w:bottom w:val="nil"/>
              <w:right w:val="single" w:sz="4" w:space="0" w:color="000000"/>
            </w:tcBorders>
            <w:shd w:val="clear" w:color="8DB3E2" w:fill="8DB3E2"/>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Percentage Change Over Month</w:t>
            </w:r>
          </w:p>
        </w:tc>
        <w:tc>
          <w:tcPr>
            <w:tcW w:w="1376" w:type="dxa"/>
            <w:tcBorders>
              <w:top w:val="nil"/>
              <w:left w:val="nil"/>
              <w:bottom w:val="nil"/>
              <w:right w:val="single" w:sz="4" w:space="0" w:color="000000"/>
            </w:tcBorders>
            <w:shd w:val="clear" w:color="8DB3E2" w:fill="8DB3E2"/>
            <w:noWrap/>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Dec-20</w:t>
            </w:r>
          </w:p>
        </w:tc>
        <w:tc>
          <w:tcPr>
            <w:tcW w:w="1376" w:type="dxa"/>
            <w:tcBorders>
              <w:top w:val="nil"/>
              <w:left w:val="nil"/>
              <w:bottom w:val="nil"/>
              <w:right w:val="single" w:sz="4" w:space="0" w:color="000000"/>
            </w:tcBorders>
            <w:shd w:val="clear" w:color="8DB3E2" w:fill="8DB3E2"/>
            <w:noWrap/>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Jan-21</w:t>
            </w:r>
          </w:p>
        </w:tc>
        <w:tc>
          <w:tcPr>
            <w:tcW w:w="1438" w:type="dxa"/>
            <w:tcBorders>
              <w:top w:val="nil"/>
              <w:left w:val="nil"/>
              <w:bottom w:val="nil"/>
              <w:right w:val="single" w:sz="4" w:space="0" w:color="000000"/>
            </w:tcBorders>
            <w:shd w:val="clear" w:color="8DB3E2" w:fill="8DB3E2"/>
            <w:vAlign w:val="center"/>
            <w:hideMark/>
          </w:tcPr>
          <w:p w:rsidR="00B25705" w:rsidRPr="00C41524" w:rsidRDefault="00B25705" w:rsidP="00B25705">
            <w:pPr>
              <w:jc w:val="cente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Percentage Change Over Month</w:t>
            </w:r>
          </w:p>
        </w:tc>
      </w:tr>
      <w:tr w:rsidR="00B25705" w:rsidRPr="00C41524" w:rsidTr="00B25705">
        <w:trPr>
          <w:trHeight w:val="207"/>
        </w:trPr>
        <w:tc>
          <w:tcPr>
            <w:tcW w:w="9992"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A. Turnover  (</w:t>
            </w:r>
            <w:r w:rsidRPr="00C41524">
              <w:rPr>
                <w:rFonts w:ascii="Rupee Foradian" w:eastAsia="Times New Roman" w:hAnsi="Rupee Foradian"/>
                <w:b/>
                <w:bCs/>
                <w:sz w:val="18"/>
                <w:szCs w:val="18"/>
                <w:lang w:val="en-IN" w:eastAsia="en-IN" w:bidi="hi-IN"/>
              </w:rPr>
              <w:t>`</w:t>
            </w:r>
            <w:r w:rsidRPr="00C41524">
              <w:rPr>
                <w:rFonts w:ascii="Palatino Linotype" w:eastAsia="Times New Roman" w:hAnsi="Palatino Linotype"/>
                <w:b/>
                <w:bCs/>
                <w:sz w:val="18"/>
                <w:szCs w:val="18"/>
                <w:lang w:val="en-IN" w:eastAsia="en-IN" w:bidi="hi-IN"/>
              </w:rPr>
              <w:t xml:space="preserve"> crore)</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 Index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6,91,463</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7,32,707</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6.0</w:t>
            </w:r>
          </w:p>
        </w:tc>
        <w:tc>
          <w:tcPr>
            <w:tcW w:w="1376" w:type="dxa"/>
            <w:tcBorders>
              <w:top w:val="nil"/>
              <w:left w:val="single" w:sz="4" w:space="0" w:color="000000"/>
              <w:bottom w:val="nil"/>
              <w:right w:val="single" w:sz="4" w:space="0" w:color="000000"/>
            </w:tcBorders>
            <w:shd w:val="clear" w:color="auto" w:fill="auto"/>
            <w:vAlign w:val="center"/>
            <w:hideMark/>
          </w:tcPr>
          <w:p w:rsidR="00B25705" w:rsidRPr="00C41524" w:rsidRDefault="00B25705" w:rsidP="00B25705">
            <w:pPr>
              <w:jc w:val="right"/>
              <w:rPr>
                <w:rFonts w:ascii="Palatino Linotype" w:eastAsia="Times New Roman" w:hAnsi="Palatino Linotype"/>
                <w:color w:val="000000"/>
                <w:sz w:val="18"/>
                <w:szCs w:val="18"/>
                <w:lang w:val="en-IN" w:eastAsia="en-IN" w:bidi="hi-IN"/>
              </w:rPr>
            </w:pPr>
            <w:r w:rsidRPr="00C41524">
              <w:rPr>
                <w:rFonts w:ascii="Palatino Linotype" w:eastAsia="Times New Roman" w:hAnsi="Palatino Linotype"/>
                <w:color w:val="000000"/>
                <w:sz w:val="18"/>
                <w:szCs w:val="18"/>
                <w:lang w:val="en-IN" w:eastAsia="en-IN" w:bidi="hi-IN"/>
              </w:rPr>
              <w:t>483.9</w:t>
            </w:r>
          </w:p>
        </w:tc>
        <w:tc>
          <w:tcPr>
            <w:tcW w:w="1376" w:type="dxa"/>
            <w:tcBorders>
              <w:top w:val="nil"/>
              <w:left w:val="nil"/>
              <w:bottom w:val="nil"/>
              <w:right w:val="single" w:sz="4" w:space="0" w:color="000000"/>
            </w:tcBorders>
            <w:shd w:val="clear" w:color="auto" w:fill="auto"/>
            <w:vAlign w:val="center"/>
            <w:hideMark/>
          </w:tcPr>
          <w:p w:rsidR="00B25705" w:rsidRPr="00C41524" w:rsidRDefault="00B25705" w:rsidP="00B25705">
            <w:pPr>
              <w:jc w:val="right"/>
              <w:rPr>
                <w:rFonts w:ascii="Palatino Linotype" w:eastAsia="Times New Roman" w:hAnsi="Palatino Linotype"/>
                <w:color w:val="000000"/>
                <w:sz w:val="18"/>
                <w:szCs w:val="18"/>
                <w:lang w:val="en-IN" w:eastAsia="en-IN" w:bidi="hi-IN"/>
              </w:rPr>
            </w:pPr>
            <w:r w:rsidRPr="00C41524">
              <w:rPr>
                <w:rFonts w:ascii="Palatino Linotype" w:eastAsia="Times New Roman" w:hAnsi="Palatino Linotype"/>
                <w:color w:val="000000"/>
                <w:sz w:val="18"/>
                <w:szCs w:val="18"/>
                <w:lang w:val="en-IN" w:eastAsia="en-IN" w:bidi="hi-IN"/>
              </w:rPr>
              <w:t>347.2</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-28</w:t>
            </w:r>
            <w:r w:rsidR="009F7467">
              <w:rPr>
                <w:rFonts w:ascii="Palatino Linotype" w:eastAsia="Times New Roman" w:hAnsi="Palatino Linotype"/>
                <w:sz w:val="18"/>
                <w:szCs w:val="18"/>
                <w:lang w:val="en-IN" w:eastAsia="en-IN" w:bidi="hi-IN"/>
              </w:rPr>
              <w:t>.2</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 Options on Index</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3,07,28,815</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3,26,47,285</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6.2</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20,29,266</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7,89,525</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-61.1</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3,16,20,338</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3,34,81,060</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5.9</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28,72,455</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41,43,157</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44.2</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(iii) Stock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15,87,988</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17,65,967</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11.2</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(iv) Options on Stock</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7,62,420</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9,28,070</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21.7</w:t>
            </w:r>
          </w:p>
        </w:tc>
        <w:tc>
          <w:tcPr>
            <w:tcW w:w="1376" w:type="dxa"/>
            <w:tcBorders>
              <w:top w:val="nil"/>
              <w:left w:val="single" w:sz="4" w:space="0" w:color="000000"/>
              <w:bottom w:val="nil"/>
              <w:right w:val="single" w:sz="4" w:space="0" w:color="000000"/>
            </w:tcBorders>
            <w:shd w:val="clear" w:color="auto" w:fill="auto"/>
            <w:noWrap/>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376" w:type="dxa"/>
            <w:tcBorders>
              <w:top w:val="nil"/>
              <w:left w:val="nil"/>
              <w:bottom w:val="nil"/>
              <w:right w:val="single" w:sz="4" w:space="0" w:color="000000"/>
            </w:tcBorders>
            <w:shd w:val="clear" w:color="auto" w:fill="auto"/>
            <w:noWrap/>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single" w:sz="4" w:space="0" w:color="000000"/>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18,71,224</w:t>
            </w:r>
          </w:p>
        </w:tc>
        <w:tc>
          <w:tcPr>
            <w:tcW w:w="1234" w:type="dxa"/>
            <w:tcBorders>
              <w:top w:val="nil"/>
              <w:left w:val="nil"/>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23,58,051</w:t>
            </w:r>
          </w:p>
        </w:tc>
        <w:tc>
          <w:tcPr>
            <w:tcW w:w="1319" w:type="dxa"/>
            <w:tcBorders>
              <w:top w:val="nil"/>
              <w:left w:val="nil"/>
              <w:bottom w:val="single" w:sz="4" w:space="0" w:color="000000"/>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26.0</w:t>
            </w:r>
          </w:p>
        </w:tc>
        <w:tc>
          <w:tcPr>
            <w:tcW w:w="1376" w:type="dxa"/>
            <w:tcBorders>
              <w:top w:val="nil"/>
              <w:left w:val="single" w:sz="4" w:space="0" w:color="000000"/>
              <w:bottom w:val="single" w:sz="4" w:space="0" w:color="000000"/>
              <w:right w:val="single" w:sz="4" w:space="0" w:color="000000"/>
            </w:tcBorders>
            <w:shd w:val="clear" w:color="auto" w:fill="auto"/>
            <w:noWrap/>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376" w:type="dxa"/>
            <w:tcBorders>
              <w:top w:val="nil"/>
              <w:left w:val="nil"/>
              <w:bottom w:val="single" w:sz="4" w:space="0" w:color="000000"/>
              <w:right w:val="single" w:sz="4" w:space="0" w:color="000000"/>
            </w:tcBorders>
            <w:shd w:val="clear" w:color="auto" w:fill="auto"/>
            <w:noWrap/>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single" w:sz="4" w:space="0" w:color="000000"/>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 xml:space="preserve">         Total</w:t>
            </w:r>
          </w:p>
        </w:tc>
        <w:tc>
          <w:tcPr>
            <w:tcW w:w="1234"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6,72,62,248</w:t>
            </w:r>
          </w:p>
        </w:tc>
        <w:tc>
          <w:tcPr>
            <w:tcW w:w="1234"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7,19,13,140</w:t>
            </w:r>
          </w:p>
        </w:tc>
        <w:tc>
          <w:tcPr>
            <w:tcW w:w="1319"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6.9</w:t>
            </w:r>
          </w:p>
        </w:tc>
        <w:tc>
          <w:tcPr>
            <w:tcW w:w="1376"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49,02,205</w:t>
            </w:r>
          </w:p>
        </w:tc>
        <w:tc>
          <w:tcPr>
            <w:tcW w:w="1376"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49,33,029</w:t>
            </w:r>
          </w:p>
        </w:tc>
        <w:tc>
          <w:tcPr>
            <w:tcW w:w="1438"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0.6</w:t>
            </w:r>
          </w:p>
        </w:tc>
      </w:tr>
      <w:tr w:rsidR="00B25705" w:rsidRPr="00C41524" w:rsidTr="00B25705">
        <w:trPr>
          <w:trHeight w:val="207"/>
        </w:trPr>
        <w:tc>
          <w:tcPr>
            <w:tcW w:w="9992"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 xml:space="preserve">B. No. of Contracts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 Index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79,89,064</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80,16,190</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0.3</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color w:val="000000"/>
                <w:sz w:val="18"/>
                <w:szCs w:val="18"/>
                <w:lang w:val="en-IN" w:eastAsia="en-IN" w:bidi="hi-IN"/>
              </w:rPr>
            </w:pPr>
            <w:r w:rsidRPr="00C41524">
              <w:rPr>
                <w:rFonts w:ascii="Palatino Linotype" w:eastAsia="Times New Roman" w:hAnsi="Palatino Linotype"/>
                <w:color w:val="000000"/>
                <w:sz w:val="18"/>
                <w:szCs w:val="18"/>
                <w:lang w:val="en-IN" w:eastAsia="en-IN" w:bidi="hi-IN"/>
              </w:rPr>
              <w:t>4,575</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color w:val="000000"/>
                <w:sz w:val="18"/>
                <w:szCs w:val="18"/>
                <w:lang w:val="en-IN" w:eastAsia="en-IN" w:bidi="hi-IN"/>
              </w:rPr>
            </w:pPr>
            <w:r w:rsidRPr="00C41524">
              <w:rPr>
                <w:rFonts w:ascii="Palatino Linotype" w:eastAsia="Times New Roman" w:hAnsi="Palatino Linotype"/>
                <w:color w:val="000000"/>
                <w:sz w:val="18"/>
                <w:szCs w:val="18"/>
                <w:lang w:val="en-IN" w:eastAsia="en-IN" w:bidi="hi-IN"/>
              </w:rPr>
              <w:t>3,087</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color w:val="000000"/>
                <w:sz w:val="18"/>
                <w:szCs w:val="18"/>
                <w:lang w:val="en-IN" w:eastAsia="en-IN" w:bidi="hi-IN"/>
              </w:rPr>
            </w:pPr>
            <w:r w:rsidRPr="00C41524">
              <w:rPr>
                <w:rFonts w:ascii="Palatino Linotype" w:eastAsia="Times New Roman" w:hAnsi="Palatino Linotype"/>
                <w:color w:val="000000"/>
                <w:sz w:val="18"/>
                <w:szCs w:val="18"/>
                <w:lang w:val="en-IN" w:eastAsia="en-IN" w:bidi="hi-IN"/>
              </w:rPr>
              <w:t>-32.5</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 Options on Index</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36,49,50,536</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37,06,62,774</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1.6</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2,24,46,596</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76,24,305</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-66.0</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36,63,57,313</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36,79,28,467</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0.4</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2,54,77,518</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3,48,84,632</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36.9</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(iii) Stock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1,98,41,495</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2,07,69,652</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4.7</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(iv) Options on Stock</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96,34,933</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1,09,93,251</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14.1</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single" w:sz="4" w:space="0" w:color="000000"/>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2,19,05,972</w:t>
            </w:r>
          </w:p>
        </w:tc>
        <w:tc>
          <w:tcPr>
            <w:tcW w:w="1234" w:type="dxa"/>
            <w:tcBorders>
              <w:top w:val="nil"/>
              <w:left w:val="nil"/>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2,58,24,971</w:t>
            </w:r>
          </w:p>
        </w:tc>
        <w:tc>
          <w:tcPr>
            <w:tcW w:w="1319" w:type="dxa"/>
            <w:tcBorders>
              <w:top w:val="nil"/>
              <w:left w:val="nil"/>
              <w:bottom w:val="single" w:sz="4" w:space="0" w:color="000000"/>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17.9</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single" w:sz="4" w:space="0" w:color="000000"/>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 xml:space="preserve">         Total</w:t>
            </w:r>
          </w:p>
        </w:tc>
        <w:tc>
          <w:tcPr>
            <w:tcW w:w="1234"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79,06,79,313</w:t>
            </w:r>
          </w:p>
        </w:tc>
        <w:tc>
          <w:tcPr>
            <w:tcW w:w="1234"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80,41,95,305</w:t>
            </w:r>
          </w:p>
        </w:tc>
        <w:tc>
          <w:tcPr>
            <w:tcW w:w="1319"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1.7</w:t>
            </w:r>
          </w:p>
        </w:tc>
        <w:tc>
          <w:tcPr>
            <w:tcW w:w="1376"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4,79,28,689</w:t>
            </w:r>
          </w:p>
        </w:tc>
        <w:tc>
          <w:tcPr>
            <w:tcW w:w="1376"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4,25,12,024</w:t>
            </w:r>
          </w:p>
        </w:tc>
        <w:tc>
          <w:tcPr>
            <w:tcW w:w="1438"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-11.3</w:t>
            </w:r>
          </w:p>
        </w:tc>
      </w:tr>
      <w:tr w:rsidR="00B25705" w:rsidRPr="00C41524" w:rsidTr="00B25705">
        <w:trPr>
          <w:trHeight w:val="207"/>
        </w:trPr>
        <w:tc>
          <w:tcPr>
            <w:tcW w:w="9992"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 xml:space="preserve">C.  Open Interest in Terms of Value ( </w:t>
            </w:r>
            <w:r w:rsidRPr="00C41524">
              <w:rPr>
                <w:rFonts w:ascii="Rupee Foradian" w:eastAsia="Times New Roman" w:hAnsi="Rupee Foradian"/>
                <w:b/>
                <w:bCs/>
                <w:sz w:val="18"/>
                <w:szCs w:val="18"/>
                <w:lang w:val="en-IN" w:eastAsia="en-IN" w:bidi="hi-IN"/>
              </w:rPr>
              <w:t>`</w:t>
            </w:r>
            <w:r w:rsidRPr="00C41524">
              <w:rPr>
                <w:rFonts w:ascii="Palatino Linotype" w:eastAsia="Times New Roman" w:hAnsi="Palatino Linotype"/>
                <w:b/>
                <w:bCs/>
                <w:sz w:val="18"/>
                <w:szCs w:val="18"/>
                <w:lang w:val="en-IN" w:eastAsia="en-IN" w:bidi="hi-IN"/>
              </w:rPr>
              <w:t xml:space="preserve"> crore)</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 Index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22,386</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18,887</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-15.6</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5</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-18.4</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 Options on Index</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88,988</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95,293</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7.1</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79</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133</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68.9</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64,000</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1,00,168</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56.5</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90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292</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223.4</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(iii) Stock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1,16,163</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1,17,927</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1.5</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(iv) Options on Stock</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12,930</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16,517</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27.7</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21,843</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29,689</w:t>
            </w:r>
          </w:p>
        </w:tc>
        <w:tc>
          <w:tcPr>
            <w:tcW w:w="1319" w:type="dxa"/>
            <w:tcBorders>
              <w:top w:val="nil"/>
              <w:left w:val="nil"/>
              <w:bottom w:val="single" w:sz="4" w:space="0" w:color="000000"/>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35.9</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single" w:sz="4" w:space="0" w:color="000000"/>
              <w:left w:val="single" w:sz="4" w:space="0" w:color="000000"/>
              <w:bottom w:val="single" w:sz="4" w:space="0" w:color="000000"/>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 xml:space="preserve">         Total</w:t>
            </w:r>
          </w:p>
        </w:tc>
        <w:tc>
          <w:tcPr>
            <w:tcW w:w="1234"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3,26,309</w:t>
            </w:r>
          </w:p>
        </w:tc>
        <w:tc>
          <w:tcPr>
            <w:tcW w:w="1234"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3,78,480</w:t>
            </w:r>
          </w:p>
        </w:tc>
        <w:tc>
          <w:tcPr>
            <w:tcW w:w="1319"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16.0</w:t>
            </w:r>
          </w:p>
        </w:tc>
        <w:tc>
          <w:tcPr>
            <w:tcW w:w="1376"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175.6</w:t>
            </w:r>
          </w:p>
        </w:tc>
        <w:tc>
          <w:tcPr>
            <w:tcW w:w="1376"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430.0</w:t>
            </w:r>
          </w:p>
        </w:tc>
        <w:tc>
          <w:tcPr>
            <w:tcW w:w="1438"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144.9</w:t>
            </w:r>
          </w:p>
        </w:tc>
      </w:tr>
      <w:tr w:rsidR="00B25705" w:rsidRPr="00C41524" w:rsidTr="00B25705">
        <w:trPr>
          <w:trHeight w:val="207"/>
        </w:trPr>
        <w:tc>
          <w:tcPr>
            <w:tcW w:w="9992"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D.  Open Interest in Terms of No of Contracts</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 Index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2,28,432</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2,02,739</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-11.2</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61</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51</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-16.4</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 Options on Index</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9,05,213</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10,05,699</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11.1</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717</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1,241</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73.1</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6,65,045</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10,64,901</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60.1</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821</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2,721</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231.4</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xml:space="preserve">  (iii) Stock Futures</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14,71,076</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15,12,278</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2.8</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(iv) Options on Stock</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 </w:t>
            </w:r>
          </w:p>
        </w:tc>
      </w:tr>
      <w:tr w:rsidR="00B25705" w:rsidRPr="00C41524" w:rsidTr="00B25705">
        <w:trPr>
          <w:trHeight w:val="207"/>
        </w:trPr>
        <w:tc>
          <w:tcPr>
            <w:tcW w:w="2013" w:type="dxa"/>
            <w:tcBorders>
              <w:top w:val="nil"/>
              <w:left w:val="single" w:sz="4" w:space="0" w:color="000000"/>
              <w:bottom w:val="nil"/>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Put</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1,69,475</w:t>
            </w:r>
          </w:p>
        </w:tc>
        <w:tc>
          <w:tcPr>
            <w:tcW w:w="1234"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2,17,285</w:t>
            </w:r>
          </w:p>
        </w:tc>
        <w:tc>
          <w:tcPr>
            <w:tcW w:w="1319" w:type="dxa"/>
            <w:tcBorders>
              <w:top w:val="nil"/>
              <w:left w:val="nil"/>
              <w:bottom w:val="nil"/>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28.2</w:t>
            </w:r>
          </w:p>
        </w:tc>
        <w:tc>
          <w:tcPr>
            <w:tcW w:w="1376" w:type="dxa"/>
            <w:tcBorders>
              <w:top w:val="nil"/>
              <w:left w:val="single" w:sz="4" w:space="0" w:color="000000"/>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single" w:sz="4" w:space="0" w:color="000000"/>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i/>
                <w:iCs/>
                <w:sz w:val="18"/>
                <w:szCs w:val="18"/>
                <w:lang w:val="en-IN" w:eastAsia="en-IN" w:bidi="hi-IN"/>
              </w:rPr>
            </w:pPr>
            <w:r w:rsidRPr="00C41524">
              <w:rPr>
                <w:rFonts w:ascii="Palatino Linotype" w:eastAsia="Times New Roman" w:hAnsi="Palatino Linotype"/>
                <w:i/>
                <w:iCs/>
                <w:sz w:val="18"/>
                <w:szCs w:val="18"/>
                <w:lang w:val="en-IN" w:eastAsia="en-IN" w:bidi="hi-IN"/>
              </w:rPr>
              <w:t xml:space="preserve">          Call</w:t>
            </w:r>
          </w:p>
        </w:tc>
        <w:tc>
          <w:tcPr>
            <w:tcW w:w="1234" w:type="dxa"/>
            <w:tcBorders>
              <w:top w:val="nil"/>
              <w:left w:val="nil"/>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2,88,536</w:t>
            </w:r>
          </w:p>
        </w:tc>
        <w:tc>
          <w:tcPr>
            <w:tcW w:w="1234" w:type="dxa"/>
            <w:tcBorders>
              <w:top w:val="nil"/>
              <w:left w:val="nil"/>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3,98,082</w:t>
            </w:r>
          </w:p>
        </w:tc>
        <w:tc>
          <w:tcPr>
            <w:tcW w:w="1319" w:type="dxa"/>
            <w:tcBorders>
              <w:top w:val="nil"/>
              <w:left w:val="nil"/>
              <w:bottom w:val="single" w:sz="4" w:space="0" w:color="000000"/>
              <w:right w:val="nil"/>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38.0</w:t>
            </w:r>
          </w:p>
        </w:tc>
        <w:tc>
          <w:tcPr>
            <w:tcW w:w="1376" w:type="dxa"/>
            <w:tcBorders>
              <w:top w:val="nil"/>
              <w:left w:val="single" w:sz="4" w:space="0" w:color="000000"/>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376" w:type="dxa"/>
            <w:tcBorders>
              <w:top w:val="nil"/>
              <w:left w:val="nil"/>
              <w:bottom w:val="single" w:sz="4" w:space="0" w:color="000000"/>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0</w:t>
            </w:r>
          </w:p>
        </w:tc>
        <w:tc>
          <w:tcPr>
            <w:tcW w:w="1438" w:type="dxa"/>
            <w:tcBorders>
              <w:top w:val="nil"/>
              <w:left w:val="nil"/>
              <w:bottom w:val="nil"/>
              <w:right w:val="single" w:sz="4" w:space="0" w:color="000000"/>
            </w:tcBorders>
            <w:shd w:val="clear" w:color="auto" w:fill="auto"/>
            <w:noWrap/>
            <w:vAlign w:val="center"/>
            <w:hideMark/>
          </w:tcPr>
          <w:p w:rsidR="00B25705" w:rsidRPr="00C41524" w:rsidRDefault="00B25705" w:rsidP="00B25705">
            <w:pPr>
              <w:jc w:val="right"/>
              <w:rPr>
                <w:rFonts w:ascii="Palatino Linotype" w:eastAsia="Times New Roman" w:hAnsi="Palatino Linotype"/>
                <w:sz w:val="18"/>
                <w:szCs w:val="18"/>
                <w:lang w:val="en-IN" w:eastAsia="en-IN" w:bidi="hi-IN"/>
              </w:rPr>
            </w:pPr>
            <w:r w:rsidRPr="00C41524">
              <w:rPr>
                <w:rFonts w:ascii="Palatino Linotype" w:eastAsia="Times New Roman" w:hAnsi="Palatino Linotype"/>
                <w:sz w:val="18"/>
                <w:szCs w:val="18"/>
                <w:lang w:val="en-IN" w:eastAsia="en-IN" w:bidi="hi-IN"/>
              </w:rPr>
              <w:t>NA</w:t>
            </w:r>
          </w:p>
        </w:tc>
      </w:tr>
      <w:tr w:rsidR="00B25705" w:rsidRPr="00C41524" w:rsidTr="00B25705">
        <w:trPr>
          <w:trHeight w:val="207"/>
        </w:trPr>
        <w:tc>
          <w:tcPr>
            <w:tcW w:w="2013" w:type="dxa"/>
            <w:tcBorders>
              <w:top w:val="nil"/>
              <w:left w:val="single" w:sz="4" w:space="0" w:color="000000"/>
              <w:bottom w:val="single" w:sz="4" w:space="0" w:color="000000"/>
              <w:right w:val="single" w:sz="4" w:space="0" w:color="000000"/>
            </w:tcBorders>
            <w:shd w:val="clear" w:color="C6D9F0" w:fill="C6D9F0"/>
            <w:noWrap/>
            <w:vAlign w:val="center"/>
            <w:hideMark/>
          </w:tcPr>
          <w:p w:rsidR="00B25705" w:rsidRPr="00C41524" w:rsidRDefault="00B25705" w:rsidP="00B25705">
            <w:pPr>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 xml:space="preserve">         Total</w:t>
            </w:r>
          </w:p>
        </w:tc>
        <w:tc>
          <w:tcPr>
            <w:tcW w:w="1234"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37,27,777</w:t>
            </w:r>
          </w:p>
        </w:tc>
        <w:tc>
          <w:tcPr>
            <w:tcW w:w="1234"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44,00,984</w:t>
            </w:r>
          </w:p>
        </w:tc>
        <w:tc>
          <w:tcPr>
            <w:tcW w:w="1319"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18.1</w:t>
            </w:r>
          </w:p>
        </w:tc>
        <w:tc>
          <w:tcPr>
            <w:tcW w:w="1376"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1,599</w:t>
            </w:r>
          </w:p>
        </w:tc>
        <w:tc>
          <w:tcPr>
            <w:tcW w:w="1376" w:type="dxa"/>
            <w:tcBorders>
              <w:top w:val="nil"/>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4,013</w:t>
            </w:r>
          </w:p>
        </w:tc>
        <w:tc>
          <w:tcPr>
            <w:tcW w:w="1438" w:type="dxa"/>
            <w:tcBorders>
              <w:top w:val="single" w:sz="4" w:space="0" w:color="000000"/>
              <w:left w:val="nil"/>
              <w:bottom w:val="single" w:sz="4" w:space="0" w:color="000000"/>
              <w:right w:val="single" w:sz="4" w:space="0" w:color="000000"/>
            </w:tcBorders>
            <w:shd w:val="clear" w:color="C6D9F0" w:fill="C6D9F0"/>
            <w:noWrap/>
            <w:vAlign w:val="center"/>
            <w:hideMark/>
          </w:tcPr>
          <w:p w:rsidR="00B25705" w:rsidRPr="00C41524" w:rsidRDefault="00B25705" w:rsidP="00B25705">
            <w:pPr>
              <w:jc w:val="right"/>
              <w:rPr>
                <w:rFonts w:ascii="Palatino Linotype" w:eastAsia="Times New Roman" w:hAnsi="Palatino Linotype"/>
                <w:b/>
                <w:bCs/>
                <w:sz w:val="18"/>
                <w:szCs w:val="18"/>
                <w:lang w:val="en-IN" w:eastAsia="en-IN" w:bidi="hi-IN"/>
              </w:rPr>
            </w:pPr>
            <w:r w:rsidRPr="00C41524">
              <w:rPr>
                <w:rFonts w:ascii="Palatino Linotype" w:eastAsia="Times New Roman" w:hAnsi="Palatino Linotype"/>
                <w:b/>
                <w:bCs/>
                <w:sz w:val="18"/>
                <w:szCs w:val="18"/>
                <w:lang w:val="en-IN" w:eastAsia="en-IN" w:bidi="hi-IN"/>
              </w:rPr>
              <w:t>151.0</w:t>
            </w:r>
          </w:p>
        </w:tc>
      </w:tr>
    </w:tbl>
    <w:p w:rsidR="00B25705" w:rsidRPr="00C41524" w:rsidRDefault="00B25705" w:rsidP="00B25705">
      <w:pPr>
        <w:tabs>
          <w:tab w:val="left" w:pos="3135"/>
        </w:tabs>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Source: NSE and BSE</w:t>
      </w:r>
    </w:p>
    <w:p w:rsidR="00B25705" w:rsidRPr="002357A9" w:rsidRDefault="00B25705" w:rsidP="00B25705">
      <w:pPr>
        <w:tabs>
          <w:tab w:val="left" w:pos="3135"/>
        </w:tabs>
        <w:spacing w:line="276" w:lineRule="auto"/>
        <w:rPr>
          <w:rFonts w:ascii="Palatino Linotype" w:eastAsia="Palatino Linotype" w:hAnsi="Palatino Linotype" w:cs="Palatino Linotype"/>
          <w:b/>
          <w:color w:val="2E74B5"/>
          <w:sz w:val="22"/>
          <w:szCs w:val="22"/>
          <w:highlight w:val="yellow"/>
        </w:rPr>
      </w:pPr>
    </w:p>
    <w:p w:rsidR="00B25705" w:rsidRPr="002357A9" w:rsidRDefault="00B25705" w:rsidP="00B25705">
      <w:pPr>
        <w:tabs>
          <w:tab w:val="left" w:pos="3135"/>
        </w:tabs>
        <w:spacing w:line="276" w:lineRule="auto"/>
        <w:rPr>
          <w:rFonts w:ascii="Palatino Linotype" w:eastAsia="Palatino Linotype" w:hAnsi="Palatino Linotype" w:cs="Palatino Linotype"/>
          <w:b/>
          <w:sz w:val="22"/>
          <w:szCs w:val="22"/>
          <w:u w:val="single"/>
        </w:rPr>
      </w:pPr>
      <w:r w:rsidRPr="002357A9">
        <w:rPr>
          <w:rFonts w:ascii="Palatino Linotype" w:eastAsia="Palatino Linotype" w:hAnsi="Palatino Linotype" w:cs="Palatino Linotype"/>
          <w:b/>
          <w:sz w:val="22"/>
          <w:szCs w:val="22"/>
          <w:u w:val="single"/>
        </w:rPr>
        <w:t xml:space="preserve">BSE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January 2021, the notional turnover of the equity derivatives segment at BSE increased marginally by 0.6 per cent to </w:t>
      </w:r>
      <w:r w:rsidRPr="00C41524">
        <w:rPr>
          <w:rFonts w:ascii="Times New Roman" w:eastAsia="Palatino Linotype" w:hAnsi="Times New Roman"/>
          <w:sz w:val="22"/>
          <w:szCs w:val="22"/>
        </w:rPr>
        <w:t>₹</w:t>
      </w:r>
      <w:r w:rsidRPr="00C41524">
        <w:rPr>
          <w:rFonts w:ascii="Palatino Linotype" w:eastAsia="Palatino Linotype" w:hAnsi="Palatino Linotype" w:cs="Tahoma"/>
          <w:sz w:val="22"/>
          <w:szCs w:val="22"/>
        </w:rPr>
        <w:t xml:space="preserve"> </w:t>
      </w:r>
      <w:r w:rsidRPr="00C41524">
        <w:rPr>
          <w:rFonts w:ascii="Palatino Linotype" w:eastAsia="Palatino Linotype" w:hAnsi="Palatino Linotype" w:cs="Palatino Linotype"/>
          <w:sz w:val="22"/>
          <w:szCs w:val="22"/>
        </w:rPr>
        <w:t xml:space="preserve">49.3 lakh crore compared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49 lakh crore in </w:t>
      </w:r>
      <w:r w:rsidRPr="00C41524">
        <w:rPr>
          <w:rFonts w:ascii="Palatino Linotype" w:eastAsia="Tahoma" w:hAnsi="Palatino Linotype"/>
          <w:sz w:val="22"/>
          <w:szCs w:val="22"/>
        </w:rPr>
        <w:t>December</w:t>
      </w:r>
      <w:r w:rsidRPr="00C41524">
        <w:rPr>
          <w:rFonts w:ascii="Palatino Linotype" w:eastAsia="Palatino Linotype" w:hAnsi="Palatino Linotype" w:cs="Palatino Linotype"/>
          <w:sz w:val="22"/>
          <w:szCs w:val="22"/>
        </w:rPr>
        <w:t xml:space="preserve"> 2020.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As at</w:t>
      </w:r>
      <w:r w:rsidRPr="00C41524">
        <w:rPr>
          <w:rFonts w:ascii="Palatino Linotype" w:eastAsia="Tahoma" w:hAnsi="Palatino Linotype"/>
          <w:sz w:val="22"/>
          <w:szCs w:val="22"/>
        </w:rPr>
        <w:t xml:space="preserve"> the end of January 2021, the open interest in terms of value at BSE stood at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 430 crore compared to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 175.6 crore as at the end of December 2020, registering an increase of 144.9 per cent.</w:t>
      </w:r>
    </w:p>
    <w:p w:rsidR="00B25705" w:rsidRPr="00C41524"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B25705" w:rsidRPr="00C41524" w:rsidRDefault="00B25705" w:rsidP="00B25705">
      <w:pPr>
        <w:tabs>
          <w:tab w:val="left" w:pos="3135"/>
        </w:tabs>
        <w:spacing w:line="276" w:lineRule="auto"/>
        <w:rPr>
          <w:rFonts w:ascii="Palatino Linotype" w:eastAsia="Palatino Linotype" w:hAnsi="Palatino Linotype" w:cs="Palatino Linotype"/>
          <w:b/>
          <w:sz w:val="22"/>
          <w:szCs w:val="22"/>
          <w:u w:val="single"/>
        </w:rPr>
      </w:pPr>
      <w:r w:rsidRPr="00C41524">
        <w:rPr>
          <w:rFonts w:ascii="Palatino Linotype" w:eastAsia="Palatino Linotype" w:hAnsi="Palatino Linotype" w:cs="Palatino Linotype"/>
          <w:b/>
          <w:sz w:val="22"/>
          <w:szCs w:val="22"/>
          <w:u w:val="single"/>
        </w:rPr>
        <w:t xml:space="preserve">NSE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The monthly notional turnover in the equity derivatives segment at NSE increased by 6.9 per cent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719.1 lakh crore in January 2021 from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672.6 lakh crore in December 2020. </w:t>
      </w:r>
    </w:p>
    <w:p w:rsidR="009F7467" w:rsidRPr="00D22F0B" w:rsidRDefault="00B25705" w:rsidP="00B25705">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During the above period, </w:t>
      </w:r>
    </w:p>
    <w:p w:rsidR="009F7467" w:rsidRDefault="00B25705" w:rsidP="00D22F0B">
      <w:pPr>
        <w:pBdr>
          <w:top w:val="nil"/>
          <w:left w:val="nil"/>
          <w:bottom w:val="nil"/>
          <w:right w:val="nil"/>
          <w:between w:val="nil"/>
        </w:pBdr>
        <w:spacing w:line="276" w:lineRule="auto"/>
        <w:ind w:left="720"/>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(i) the notional turnover of index options increased by 6.1 per cent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661.3 lakh crore from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623.5 lakh crore, and accounted for 92 per cent of the total equity </w:t>
      </w:r>
      <w:r w:rsidRPr="00C41524">
        <w:rPr>
          <w:rFonts w:ascii="Palatino Linotype" w:eastAsia="Tahoma" w:hAnsi="Palatino Linotype"/>
          <w:sz w:val="22"/>
          <w:szCs w:val="22"/>
        </w:rPr>
        <w:t xml:space="preserve">derivatives turnover of NSE; </w:t>
      </w:r>
    </w:p>
    <w:p w:rsidR="009F7467" w:rsidRDefault="00B25705" w:rsidP="00D22F0B">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 xml:space="preserve">(ii) the notional turnover of stock options increased by 24.8 per cent to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32.9 lakh crore from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26.3 lakh crore; </w:t>
      </w:r>
    </w:p>
    <w:p w:rsidR="009F7467" w:rsidRDefault="00B25705" w:rsidP="00D22F0B">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 xml:space="preserve">(iii) the notional turnover of index futures increased by 6 per cent to </w:t>
      </w:r>
      <w:r w:rsidRPr="00C41524">
        <w:rPr>
          <w:rFonts w:ascii="Times New Roman" w:eastAsia="Tahoma" w:hAnsi="Times New Roman"/>
          <w:sz w:val="22"/>
          <w:szCs w:val="22"/>
        </w:rPr>
        <w:t>₹</w:t>
      </w:r>
      <w:r w:rsidRPr="00C41524">
        <w:rPr>
          <w:rFonts w:ascii="Palatino Linotype" w:eastAsia="Tahoma" w:hAnsi="Palatino Linotype"/>
          <w:sz w:val="22"/>
          <w:szCs w:val="22"/>
        </w:rPr>
        <w:t>7.3</w:t>
      </w:r>
      <w:r>
        <w:rPr>
          <w:rFonts w:ascii="Palatino Linotype" w:eastAsia="Tahoma" w:hAnsi="Palatino Linotype"/>
          <w:sz w:val="22"/>
          <w:szCs w:val="22"/>
        </w:rPr>
        <w:t xml:space="preserve"> </w:t>
      </w:r>
      <w:r w:rsidRPr="00C41524">
        <w:rPr>
          <w:rFonts w:ascii="Palatino Linotype" w:eastAsia="Tahoma" w:hAnsi="Palatino Linotype"/>
          <w:sz w:val="22"/>
          <w:szCs w:val="22"/>
        </w:rPr>
        <w:t xml:space="preserve">lakh crore from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6.9 lakh crore; and </w:t>
      </w:r>
    </w:p>
    <w:p w:rsidR="00B25705" w:rsidRPr="00C41524" w:rsidRDefault="00B25705" w:rsidP="00D22F0B">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 xml:space="preserve">(iv) the notional turnover of stock futures increased by 11.2 per cent to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17.7 lakh crore from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15.9 lakh crore.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As at end of January 2021, the open interest in terms of value at NSE stood at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3,78,480 crore compared to </w:t>
      </w:r>
      <w:r w:rsidRPr="00C41524">
        <w:rPr>
          <w:rFonts w:ascii="Rupee Foradian" w:eastAsia="Palatino Linotype" w:hAnsi="Rupee Foradian" w:cs="Palatino Linotype"/>
          <w:b/>
          <w:sz w:val="20"/>
          <w:szCs w:val="22"/>
        </w:rPr>
        <w:t>`</w:t>
      </w:r>
      <w:r w:rsidRPr="00C41524">
        <w:rPr>
          <w:rFonts w:ascii="Palatino Linotype" w:eastAsia="Palatino Linotype" w:hAnsi="Palatino Linotype" w:cs="Palatino Linotype"/>
          <w:sz w:val="22"/>
          <w:szCs w:val="22"/>
        </w:rPr>
        <w:t xml:space="preserve"> 3,26,309 crore in December 2020, indicating an increase of 16 per cent.</w:t>
      </w:r>
    </w:p>
    <w:p w:rsidR="00B25705" w:rsidRPr="002357A9" w:rsidRDefault="00B25705" w:rsidP="00B25705">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rsidR="00B25705" w:rsidRPr="002357A9" w:rsidRDefault="00B25705" w:rsidP="00B25705">
      <w:pPr>
        <w:pBdr>
          <w:top w:val="nil"/>
          <w:left w:val="nil"/>
          <w:bottom w:val="nil"/>
          <w:right w:val="nil"/>
          <w:between w:val="nil"/>
        </w:pBdr>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6: Trends of Average Daily Notional Turnover at BSE and NSE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B25705" w:rsidRPr="002357A9" w:rsidRDefault="00B25705" w:rsidP="00B25705">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2357A9">
        <w:rPr>
          <w:rFonts w:ascii="Palatino Linotype" w:hAnsi="Palatino Linotype"/>
          <w:noProof/>
          <w:sz w:val="22"/>
          <w:szCs w:val="22"/>
          <w:lang w:val="en-IN" w:eastAsia="en-IN" w:bidi="hi-IN"/>
        </w:rPr>
        <w:drawing>
          <wp:inline distT="0" distB="0" distL="0" distR="0" wp14:anchorId="47F1B528" wp14:editId="1EBF8EE2">
            <wp:extent cx="5962650" cy="2790825"/>
            <wp:effectExtent l="0" t="0" r="0" b="9525"/>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B25705" w:rsidRPr="00C41524" w:rsidRDefault="00B25705" w:rsidP="00B25705">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Note: AD</w:t>
      </w:r>
      <w:r>
        <w:rPr>
          <w:rFonts w:ascii="Palatino Linotype" w:eastAsia="Palatino Linotype" w:hAnsi="Palatino Linotype" w:cs="Palatino Linotype"/>
          <w:b/>
          <w:sz w:val="18"/>
          <w:szCs w:val="18"/>
        </w:rPr>
        <w:t>N</w:t>
      </w:r>
      <w:r w:rsidRPr="00C41524">
        <w:rPr>
          <w:rFonts w:ascii="Palatino Linotype" w:eastAsia="Palatino Linotype" w:hAnsi="Palatino Linotype" w:cs="Palatino Linotype"/>
          <w:b/>
          <w:sz w:val="18"/>
          <w:szCs w:val="18"/>
        </w:rPr>
        <w:t xml:space="preserve">V implies Average Daily </w:t>
      </w:r>
      <w:r>
        <w:rPr>
          <w:rFonts w:ascii="Palatino Linotype" w:eastAsia="Palatino Linotype" w:hAnsi="Palatino Linotype" w:cs="Palatino Linotype"/>
          <w:b/>
          <w:sz w:val="18"/>
          <w:szCs w:val="18"/>
        </w:rPr>
        <w:t>Notional</w:t>
      </w:r>
      <w:r w:rsidRPr="00C41524">
        <w:rPr>
          <w:rFonts w:ascii="Palatino Linotype" w:eastAsia="Palatino Linotype" w:hAnsi="Palatino Linotype" w:cs="Palatino Linotype"/>
          <w:b/>
          <w:sz w:val="18"/>
          <w:szCs w:val="18"/>
        </w:rPr>
        <w:t xml:space="preserve"> Turnover</w:t>
      </w:r>
    </w:p>
    <w:p w:rsidR="00B25705" w:rsidRPr="00C41524" w:rsidRDefault="00B25705" w:rsidP="00B25705">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BSE and NSE</w:t>
      </w:r>
    </w:p>
    <w:p w:rsidR="00B25705" w:rsidRPr="002357A9" w:rsidRDefault="00B25705" w:rsidP="00B25705">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B25705" w:rsidRPr="00C41524" w:rsidRDefault="00B25705" w:rsidP="00B25705">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C41524">
        <w:rPr>
          <w:rFonts w:ascii="Palatino Linotype" w:eastAsia="Palatino Linotype" w:hAnsi="Palatino Linotype" w:cs="Palatino Linotype"/>
          <w:sz w:val="22"/>
          <w:szCs w:val="22"/>
        </w:rPr>
        <w:t>During January 2021, the percentage share of weekly options (BSE and NSE together) to the total index options notional turnover (BSE and NSE Together) stood at 72.8 per cent compared to 79 per cent in December 2020. The percentage share of monthly options</w:t>
      </w:r>
      <w:r w:rsidR="00B113CC">
        <w:rPr>
          <w:rFonts w:ascii="Palatino Linotype" w:eastAsia="Palatino Linotype" w:hAnsi="Palatino Linotype" w:cs="Palatino Linotype"/>
          <w:sz w:val="22"/>
          <w:szCs w:val="22"/>
        </w:rPr>
        <w:t xml:space="preserve"> for both the exchanges</w:t>
      </w:r>
      <w:r w:rsidRPr="00C41524">
        <w:rPr>
          <w:rFonts w:ascii="Palatino Linotype" w:eastAsia="Palatino Linotype" w:hAnsi="Palatino Linotype" w:cs="Palatino Linotype"/>
          <w:sz w:val="22"/>
          <w:szCs w:val="22"/>
        </w:rPr>
        <w:t xml:space="preserve"> to total index options notional turnover increased to 26.6 per cent in January 2021 from 20.5</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per cent in December 2020.  </w:t>
      </w:r>
    </w:p>
    <w:p w:rsidR="00B25705"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B25705"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B25705"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B25705" w:rsidRPr="002357A9"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B25705" w:rsidRPr="002357A9" w:rsidRDefault="00B25705" w:rsidP="00B25705">
      <w:pPr>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7: Maturity-wise percentage Share of Total Index Options Turnover (per cent)</w:t>
      </w:r>
    </w:p>
    <w:p w:rsidR="00B25705" w:rsidRPr="002357A9" w:rsidRDefault="00B25705" w:rsidP="00B25705">
      <w:pPr>
        <w:spacing w:line="276" w:lineRule="auto"/>
        <w:jc w:val="center"/>
        <w:rPr>
          <w:rFonts w:ascii="Palatino Linotype" w:eastAsia="Palatino Linotype" w:hAnsi="Palatino Linotype" w:cs="Palatino Linotype"/>
          <w:b/>
          <w:sz w:val="22"/>
          <w:szCs w:val="22"/>
          <w:highlight w:val="yellow"/>
        </w:rPr>
      </w:pPr>
      <w:r w:rsidRPr="002357A9">
        <w:rPr>
          <w:rFonts w:ascii="Palatino Linotype" w:hAnsi="Palatino Linotype"/>
          <w:noProof/>
          <w:sz w:val="22"/>
          <w:szCs w:val="22"/>
          <w:lang w:val="en-IN" w:eastAsia="en-IN" w:bidi="hi-IN"/>
        </w:rPr>
        <w:drawing>
          <wp:inline distT="0" distB="0" distL="0" distR="0" wp14:anchorId="35D9354A" wp14:editId="68DE32C5">
            <wp:extent cx="5810250" cy="2743200"/>
            <wp:effectExtent l="0" t="0" r="0"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B25705" w:rsidRDefault="00B25705" w:rsidP="00B25705">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BSE and NSE</w:t>
      </w:r>
    </w:p>
    <w:p w:rsidR="00B25705" w:rsidRPr="00C41524" w:rsidRDefault="00B25705" w:rsidP="00B25705">
      <w:pPr>
        <w:spacing w:line="276" w:lineRule="auto"/>
        <w:rPr>
          <w:rFonts w:ascii="Palatino Linotype" w:eastAsia="Palatino Linotype" w:hAnsi="Palatino Linotype" w:cs="Palatino Linotype"/>
          <w:b/>
          <w:sz w:val="18"/>
          <w:szCs w:val="18"/>
        </w:rPr>
      </w:pPr>
    </w:p>
    <w:p w:rsidR="00B25705" w:rsidRPr="002357A9" w:rsidRDefault="00B25705" w:rsidP="00B25705">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Currency Derivatives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January 2021, the monthly notional turnover of currency derivatives in India (NSE, BSE and MSEI together) stood at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14,55,030 crore as compared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16,71,870 crore in December 2020, registering a decrease of 13 per cent during the period under consideration.</w:t>
      </w:r>
    </w:p>
    <w:p w:rsidR="00B25705" w:rsidRPr="002357A9" w:rsidRDefault="00B25705" w:rsidP="00B25705">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B25705" w:rsidRPr="002357A9" w:rsidRDefault="00B25705" w:rsidP="00B25705">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8: Trends of Currency Derivatives at NSE, MSEI and BSE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B25705" w:rsidRPr="002357A9" w:rsidRDefault="00B25705" w:rsidP="00B25705">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p>
    <w:p w:rsidR="00B25705" w:rsidRPr="002357A9" w:rsidRDefault="00B25705" w:rsidP="00B25705">
      <w:pPr>
        <w:widowControl w:val="0"/>
        <w:spacing w:line="276" w:lineRule="auto"/>
        <w:ind w:left="567"/>
        <w:jc w:val="both"/>
        <w:rPr>
          <w:rFonts w:ascii="Palatino Linotype" w:eastAsia="Palatino Linotype" w:hAnsi="Palatino Linotype" w:cs="Palatino Linotype"/>
          <w:b/>
          <w:sz w:val="22"/>
          <w:szCs w:val="22"/>
          <w:highlight w:val="yellow"/>
        </w:rPr>
      </w:pPr>
      <w:r w:rsidRPr="002357A9">
        <w:rPr>
          <w:rFonts w:ascii="Palatino Linotype" w:hAnsi="Palatino Linotype"/>
          <w:noProof/>
          <w:sz w:val="22"/>
          <w:szCs w:val="22"/>
          <w:lang w:val="en-IN" w:eastAsia="en-IN" w:bidi="hi-IN"/>
        </w:rPr>
        <w:drawing>
          <wp:inline distT="0" distB="0" distL="0" distR="0" wp14:anchorId="2F4E9612" wp14:editId="74DFF698">
            <wp:extent cx="5715000" cy="2747645"/>
            <wp:effectExtent l="0" t="0" r="0" b="1460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B25705" w:rsidRDefault="00B25705" w:rsidP="00B25705">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BSE, NSE and MSEI </w:t>
      </w:r>
    </w:p>
    <w:p w:rsidR="00B25705" w:rsidRDefault="00B25705" w:rsidP="00B25705">
      <w:pPr>
        <w:spacing w:line="276" w:lineRule="auto"/>
        <w:rPr>
          <w:rFonts w:ascii="Palatino Linotype" w:eastAsia="Palatino Linotype" w:hAnsi="Palatino Linotype" w:cs="Palatino Linotype"/>
          <w:b/>
          <w:sz w:val="18"/>
          <w:szCs w:val="18"/>
        </w:rPr>
      </w:pPr>
    </w:p>
    <w:p w:rsidR="00B25705" w:rsidRDefault="00B25705" w:rsidP="00B25705">
      <w:pPr>
        <w:spacing w:line="276" w:lineRule="auto"/>
        <w:rPr>
          <w:rFonts w:ascii="Palatino Linotype" w:eastAsia="Palatino Linotype" w:hAnsi="Palatino Linotype" w:cs="Palatino Linotype"/>
          <w:b/>
          <w:sz w:val="18"/>
          <w:szCs w:val="18"/>
        </w:rPr>
      </w:pPr>
    </w:p>
    <w:p w:rsidR="00B113CC" w:rsidRDefault="00B113CC" w:rsidP="00B25705">
      <w:pPr>
        <w:spacing w:line="276" w:lineRule="auto"/>
        <w:rPr>
          <w:rFonts w:ascii="Palatino Linotype" w:eastAsia="Palatino Linotype" w:hAnsi="Palatino Linotype" w:cs="Palatino Linotype"/>
          <w:b/>
          <w:sz w:val="18"/>
          <w:szCs w:val="18"/>
        </w:rPr>
      </w:pPr>
    </w:p>
    <w:p w:rsidR="00B113CC" w:rsidRPr="00C41524" w:rsidRDefault="00B113CC" w:rsidP="00B25705">
      <w:pPr>
        <w:spacing w:line="276" w:lineRule="auto"/>
        <w:rPr>
          <w:rFonts w:ascii="Palatino Linotype" w:eastAsia="Palatino Linotype" w:hAnsi="Palatino Linotype" w:cs="Palatino Linotype"/>
          <w:b/>
          <w:sz w:val="18"/>
          <w:szCs w:val="18"/>
        </w:rPr>
      </w:pPr>
    </w:p>
    <w:p w:rsidR="00B25705" w:rsidRPr="002357A9" w:rsidRDefault="00B25705" w:rsidP="00B25705">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Interest Rate Derivatives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January 2021, the monthly notional turnover of interest rate derivatives at NSE decreased by 25.1 per cent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4,094 crore from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5,464 crore during December 2020.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The monthly notional turnover of interest rate </w:t>
      </w:r>
      <w:r w:rsidR="00B113CC">
        <w:rPr>
          <w:rFonts w:ascii="Palatino Linotype" w:eastAsia="Palatino Linotype" w:hAnsi="Palatino Linotype" w:cs="Palatino Linotype"/>
          <w:sz w:val="22"/>
          <w:szCs w:val="22"/>
        </w:rPr>
        <w:t>futures</w:t>
      </w:r>
      <w:r w:rsidR="00B113CC" w:rsidRPr="00C41524">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at BSE increased by 1.2 per cent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1,101 crore from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1,087 crore during the same period. </w:t>
      </w:r>
    </w:p>
    <w:p w:rsidR="00B25705" w:rsidRPr="002357A9" w:rsidRDefault="00B25705" w:rsidP="00B25705">
      <w:pPr>
        <w:rPr>
          <w:rFonts w:ascii="Palatino Linotype" w:eastAsia="Palatino Linotype" w:hAnsi="Palatino Linotype" w:cs="Palatino Linotype"/>
          <w:b/>
          <w:color w:val="2E74B5"/>
          <w:sz w:val="22"/>
          <w:szCs w:val="22"/>
          <w:highlight w:val="yellow"/>
        </w:rPr>
      </w:pPr>
    </w:p>
    <w:p w:rsidR="00B25705" w:rsidRPr="002357A9" w:rsidRDefault="00B25705" w:rsidP="00B25705">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9: Trends of Interest Rate Futures at NSE and BSE</w:t>
      </w:r>
    </w:p>
    <w:p w:rsidR="00B25705" w:rsidRPr="002357A9" w:rsidRDefault="00B25705" w:rsidP="00B25705">
      <w:pPr>
        <w:widowControl w:val="0"/>
        <w:spacing w:line="276" w:lineRule="auto"/>
        <w:ind w:left="567"/>
        <w:rPr>
          <w:rFonts w:ascii="Palatino Linotype" w:eastAsia="Palatino Linotype" w:hAnsi="Palatino Linotype" w:cs="Palatino Linotype"/>
          <w:b/>
          <w:sz w:val="22"/>
          <w:szCs w:val="22"/>
        </w:rPr>
      </w:pPr>
      <w:r w:rsidRPr="002357A9">
        <w:rPr>
          <w:rFonts w:ascii="Palatino Linotype" w:hAnsi="Palatino Linotype"/>
          <w:noProof/>
          <w:sz w:val="22"/>
          <w:szCs w:val="22"/>
          <w:lang w:val="en-IN" w:eastAsia="en-IN" w:bidi="hi-IN"/>
        </w:rPr>
        <w:drawing>
          <wp:inline distT="0" distB="0" distL="0" distR="0" wp14:anchorId="4F041F0D" wp14:editId="6C281D0C">
            <wp:extent cx="5686425" cy="2557145"/>
            <wp:effectExtent l="0" t="0" r="9525" b="1460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B25705" w:rsidRDefault="00B25705" w:rsidP="00B25705">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 Source: BSE</w:t>
      </w:r>
      <w:r>
        <w:rPr>
          <w:rFonts w:ascii="Palatino Linotype" w:eastAsia="Palatino Linotype" w:hAnsi="Palatino Linotype" w:cs="Palatino Linotype"/>
          <w:b/>
          <w:sz w:val="18"/>
          <w:szCs w:val="18"/>
        </w:rPr>
        <w:t xml:space="preserve"> and</w:t>
      </w:r>
      <w:r w:rsidRPr="00C41524">
        <w:rPr>
          <w:rFonts w:ascii="Palatino Linotype" w:eastAsia="Palatino Linotype" w:hAnsi="Palatino Linotype" w:cs="Palatino Linotype"/>
          <w:b/>
          <w:sz w:val="18"/>
          <w:szCs w:val="18"/>
        </w:rPr>
        <w:t xml:space="preserve"> NSE </w:t>
      </w:r>
    </w:p>
    <w:p w:rsidR="00B25705" w:rsidRDefault="00B25705" w:rsidP="00B25705">
      <w:pPr>
        <w:rPr>
          <w:rFonts w:ascii="Palatino Linotype" w:eastAsia="Palatino Linotype" w:hAnsi="Palatino Linotype" w:cs="Palatino Linotype"/>
          <w:b/>
          <w:sz w:val="18"/>
          <w:szCs w:val="18"/>
        </w:rPr>
      </w:pPr>
    </w:p>
    <w:p w:rsidR="00B25705" w:rsidRPr="002357A9" w:rsidRDefault="00B25705" w:rsidP="00B25705">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Trading in Corporate Debt Market</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January 2021, BSE registered 5,537 trades of corporate debt with traded value of </w:t>
      </w:r>
      <w:r w:rsidRPr="00C41524">
        <w:rPr>
          <w:rFonts w:ascii="Times New Roman" w:eastAsia="Palatino Linotype" w:hAnsi="Times New Roman"/>
          <w:sz w:val="22"/>
          <w:szCs w:val="22"/>
        </w:rPr>
        <w:t>₹</w:t>
      </w:r>
      <w:r w:rsidRPr="00C41524">
        <w:rPr>
          <w:rFonts w:ascii="Palatino Linotype" w:hAnsi="Palatino Linotype"/>
          <w:sz w:val="22"/>
          <w:szCs w:val="22"/>
        </w:rPr>
        <w:t xml:space="preserve"> </w:t>
      </w:r>
      <w:r w:rsidRPr="00C41524">
        <w:rPr>
          <w:rFonts w:ascii="Palatino Linotype" w:eastAsia="Palatino Linotype" w:hAnsi="Palatino Linotype" w:cs="Palatino Linotype"/>
          <w:sz w:val="22"/>
          <w:szCs w:val="22"/>
        </w:rPr>
        <w:t xml:space="preserve">48,385 crore, as compared to 6,496 trades of corporate debt with a traded value of </w:t>
      </w:r>
      <w:r w:rsidRPr="00C41524">
        <w:rPr>
          <w:rFonts w:ascii="Times New Roman" w:eastAsia="Palatino Linotype" w:hAnsi="Times New Roman"/>
          <w:sz w:val="22"/>
          <w:szCs w:val="22"/>
        </w:rPr>
        <w:t>₹</w:t>
      </w:r>
      <w:r w:rsidRPr="00C41524">
        <w:rPr>
          <w:rFonts w:ascii="Palatino Linotype" w:hAnsi="Palatino Linotype"/>
          <w:sz w:val="22"/>
          <w:szCs w:val="22"/>
        </w:rPr>
        <w:t xml:space="preserve"> </w:t>
      </w:r>
      <w:r w:rsidRPr="00C41524">
        <w:rPr>
          <w:rFonts w:ascii="Palatino Linotype" w:eastAsia="Palatino Linotype" w:hAnsi="Palatino Linotype" w:cs="Palatino Linotype"/>
          <w:sz w:val="22"/>
          <w:szCs w:val="22"/>
        </w:rPr>
        <w:t xml:space="preserve">34,626 crore in the previous month.  </w:t>
      </w:r>
    </w:p>
    <w:p w:rsidR="00B25705" w:rsidRPr="00C41524"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At NSE, 5,221 trades were recorded with a traded value of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83,618 crore in January 2021 as compared to 5,719 trades were recorded with a traded value of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76,874 crore in December 2020. </w:t>
      </w:r>
    </w:p>
    <w:p w:rsidR="00B25705" w:rsidRPr="002357A9" w:rsidRDefault="00B25705" w:rsidP="00B25705">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10: Trends in Reported Turnover of Corporate Bonds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2357A9">
        <w:rPr>
          <w:rFonts w:ascii="Palatino Linotype" w:hAnsi="Palatino Linotype"/>
          <w:noProof/>
          <w:sz w:val="22"/>
          <w:szCs w:val="22"/>
          <w:lang w:val="en-IN" w:eastAsia="en-IN" w:bidi="hi-IN"/>
        </w:rPr>
        <w:drawing>
          <wp:inline distT="0" distB="0" distL="0" distR="0" wp14:anchorId="59EF41B4" wp14:editId="4AB88968">
            <wp:extent cx="6229350" cy="2743200"/>
            <wp:effectExtent l="0" t="0" r="0"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B25705" w:rsidRDefault="00B25705" w:rsidP="00B25705">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Source: BSE</w:t>
      </w:r>
      <w:r>
        <w:rPr>
          <w:rFonts w:ascii="Palatino Linotype" w:eastAsia="Palatino Linotype" w:hAnsi="Palatino Linotype" w:cs="Palatino Linotype"/>
          <w:b/>
          <w:sz w:val="18"/>
          <w:szCs w:val="18"/>
        </w:rPr>
        <w:t xml:space="preserve"> and</w:t>
      </w:r>
      <w:r w:rsidRPr="00C41524">
        <w:rPr>
          <w:rFonts w:ascii="Palatino Linotype" w:eastAsia="Palatino Linotype" w:hAnsi="Palatino Linotype" w:cs="Palatino Linotype"/>
          <w:b/>
          <w:sz w:val="18"/>
          <w:szCs w:val="18"/>
        </w:rPr>
        <w:t xml:space="preserve"> NSE </w:t>
      </w: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B25705" w:rsidRDefault="00B25705" w:rsidP="00B25705">
      <w:pPr>
        <w:widowControl w:val="0"/>
        <w:spacing w:line="276" w:lineRule="auto"/>
        <w:ind w:left="720"/>
        <w:contextualSpacing/>
        <w:jc w:val="both"/>
        <w:rPr>
          <w:rFonts w:ascii="Palatino Linotype" w:hAnsi="Palatino Linotype"/>
          <w:b/>
          <w:color w:val="2E74B5"/>
          <w:sz w:val="22"/>
          <w:szCs w:val="22"/>
        </w:rPr>
      </w:pPr>
    </w:p>
    <w:p w:rsidR="00B25705" w:rsidRDefault="00B25705" w:rsidP="00B25705">
      <w:pPr>
        <w:widowControl w:val="0"/>
        <w:spacing w:line="276" w:lineRule="auto"/>
        <w:ind w:left="720"/>
        <w:contextualSpacing/>
        <w:jc w:val="both"/>
        <w:rPr>
          <w:rFonts w:ascii="Palatino Linotype" w:hAnsi="Palatino Linotype"/>
          <w:b/>
          <w:color w:val="2E74B5"/>
          <w:sz w:val="22"/>
          <w:szCs w:val="22"/>
        </w:rPr>
      </w:pPr>
    </w:p>
    <w:p w:rsidR="00B25705" w:rsidRDefault="00B25705" w:rsidP="00B25705">
      <w:pPr>
        <w:widowControl w:val="0"/>
        <w:spacing w:line="276" w:lineRule="auto"/>
        <w:ind w:left="720"/>
        <w:contextualSpacing/>
        <w:jc w:val="both"/>
        <w:rPr>
          <w:rFonts w:ascii="Palatino Linotype" w:hAnsi="Palatino Linotype"/>
          <w:b/>
          <w:color w:val="2E74B5"/>
          <w:sz w:val="22"/>
          <w:szCs w:val="22"/>
        </w:rPr>
      </w:pPr>
    </w:p>
    <w:p w:rsidR="00B25705" w:rsidRDefault="00B25705" w:rsidP="00B25705">
      <w:pPr>
        <w:widowControl w:val="0"/>
        <w:spacing w:line="276" w:lineRule="auto"/>
        <w:ind w:left="720"/>
        <w:contextualSpacing/>
        <w:jc w:val="both"/>
        <w:rPr>
          <w:rFonts w:ascii="Palatino Linotype" w:hAnsi="Palatino Linotype"/>
          <w:b/>
          <w:color w:val="2E74B5"/>
          <w:sz w:val="22"/>
          <w:szCs w:val="22"/>
        </w:rPr>
      </w:pPr>
    </w:p>
    <w:p w:rsidR="00B25705" w:rsidRPr="002357A9" w:rsidRDefault="00B25705" w:rsidP="00B25705">
      <w:pPr>
        <w:widowControl w:val="0"/>
        <w:spacing w:line="276" w:lineRule="auto"/>
        <w:ind w:left="720"/>
        <w:contextualSpacing/>
        <w:jc w:val="both"/>
        <w:rPr>
          <w:rFonts w:ascii="Palatino Linotype" w:hAnsi="Palatino Linotype"/>
          <w:b/>
          <w:color w:val="2E74B5"/>
          <w:sz w:val="22"/>
          <w:szCs w:val="22"/>
        </w:rPr>
      </w:pPr>
    </w:p>
    <w:p w:rsidR="00B25705" w:rsidRPr="002357A9" w:rsidRDefault="00B25705" w:rsidP="00B25705">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Institutional Investments</w:t>
      </w:r>
    </w:p>
    <w:p w:rsidR="00B25705" w:rsidRPr="002357A9" w:rsidRDefault="00B25705" w:rsidP="00B25705">
      <w:pPr>
        <w:widowControl w:val="0"/>
        <w:spacing w:line="276" w:lineRule="auto"/>
        <w:ind w:left="720"/>
        <w:jc w:val="both"/>
        <w:rPr>
          <w:rFonts w:ascii="Palatino Linotype" w:eastAsia="Palatino Linotype" w:hAnsi="Palatino Linotype" w:cs="Palatino Linotype"/>
          <w:b/>
          <w:sz w:val="22"/>
          <w:szCs w:val="22"/>
          <w:highlight w:val="yellow"/>
        </w:rPr>
      </w:pPr>
    </w:p>
    <w:p w:rsidR="00B25705" w:rsidRPr="002357A9" w:rsidRDefault="00B25705" w:rsidP="00B25705">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Fund Mobilisation/Transactions by Mutual Funds</w:t>
      </w: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Times New Roman" w:hAnsi="Palatino Linotype" w:cs="Tahoma"/>
          <w:sz w:val="22"/>
          <w:szCs w:val="22"/>
          <w:lang w:val="en-IN" w:eastAsia="en-IN"/>
        </w:rPr>
        <w:t> </w:t>
      </w:r>
      <w:r w:rsidRPr="002357A9">
        <w:rPr>
          <w:rFonts w:ascii="Palatino Linotype" w:eastAsia="Times New Roman" w:hAnsi="Palatino Linotype" w:cs="Tahoma"/>
          <w:sz w:val="22"/>
          <w:szCs w:val="22"/>
          <w:lang w:eastAsia="en-IN"/>
        </w:rPr>
        <w:t xml:space="preserve">As at </w:t>
      </w:r>
      <w:r w:rsidRPr="002357A9">
        <w:rPr>
          <w:rFonts w:ascii="Palatino Linotype" w:eastAsia="Palatino Linotype" w:hAnsi="Palatino Linotype" w:cs="Palatino Linotype"/>
          <w:sz w:val="22"/>
          <w:szCs w:val="22"/>
        </w:rPr>
        <w:t xml:space="preserve">end of January 2021, there were a total of 1,728 mutual fund schemes in the market, of which 999 were open-ended schemes, 706 were close-ended schemes and 23 were interval schemes. </w:t>
      </w:r>
    </w:p>
    <w:p w:rsidR="00B25705" w:rsidRPr="00D22F0B"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The mutual fund industry saw a net outflow of </w:t>
      </w:r>
      <w:r w:rsidRPr="002357A9">
        <w:rPr>
          <w:rFonts w:ascii="Times New Roman" w:eastAsia="Palatino Linotype" w:hAnsi="Times New Roman"/>
          <w:sz w:val="22"/>
          <w:szCs w:val="22"/>
        </w:rPr>
        <w:t>₹</w:t>
      </w:r>
      <w:r w:rsidRPr="002357A9">
        <w:rPr>
          <w:rFonts w:ascii="Palatino Linotype" w:eastAsia="Palatino Linotype" w:hAnsi="Palatino Linotype" w:cs="Tahoma"/>
          <w:sz w:val="22"/>
          <w:szCs w:val="22"/>
        </w:rPr>
        <w:t xml:space="preserve"> </w:t>
      </w:r>
      <w:r w:rsidRPr="002357A9">
        <w:rPr>
          <w:rFonts w:ascii="Palatino Linotype" w:eastAsia="Palatino Linotype" w:hAnsi="Palatino Linotype" w:cs="Palatino Linotype"/>
          <w:sz w:val="22"/>
          <w:szCs w:val="22"/>
        </w:rPr>
        <w:t xml:space="preserve">35,587 crore during January 2021, against the </w:t>
      </w:r>
      <w:r w:rsidRPr="00D22F0B">
        <w:rPr>
          <w:rFonts w:ascii="Palatino Linotype" w:eastAsia="Palatino Linotype" w:hAnsi="Palatino Linotype" w:cs="Palatino Linotype"/>
          <w:sz w:val="22"/>
          <w:szCs w:val="22"/>
        </w:rPr>
        <w:t xml:space="preserve">net inflow of </w:t>
      </w:r>
      <w:r w:rsidRPr="00D22F0B">
        <w:rPr>
          <w:rFonts w:ascii="Times New Roman" w:eastAsia="Palatino Linotype" w:hAnsi="Times New Roman"/>
          <w:sz w:val="22"/>
          <w:szCs w:val="22"/>
        </w:rPr>
        <w:t>₹</w:t>
      </w:r>
      <w:r w:rsidRPr="00D22F0B">
        <w:rPr>
          <w:rFonts w:ascii="Palatino Linotype" w:eastAsia="Palatino Linotype" w:hAnsi="Palatino Linotype" w:cs="Tahoma"/>
          <w:sz w:val="22"/>
          <w:szCs w:val="22"/>
        </w:rPr>
        <w:t xml:space="preserve"> </w:t>
      </w:r>
      <w:r w:rsidRPr="00D22F0B">
        <w:rPr>
          <w:rFonts w:ascii="Palatino Linotype" w:eastAsia="Palatino Linotype" w:hAnsi="Palatino Linotype" w:cs="Palatino Linotype"/>
          <w:sz w:val="22"/>
          <w:szCs w:val="22"/>
        </w:rPr>
        <w:t>2,968 crore during December 2020.</w:t>
      </w:r>
    </w:p>
    <w:p w:rsidR="00B25705" w:rsidRPr="00D22F0B"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22F0B">
        <w:rPr>
          <w:rFonts w:ascii="Palatino Linotype" w:eastAsia="Palatino Linotype" w:hAnsi="Palatino Linotype" w:cs="Palatino Linotype"/>
          <w:sz w:val="22"/>
          <w:szCs w:val="22"/>
        </w:rPr>
        <w:t>The</w:t>
      </w:r>
      <w:r w:rsidRPr="002357A9">
        <w:rPr>
          <w:rFonts w:ascii="Palatino Linotype" w:eastAsia="Palatino Linotype" w:hAnsi="Palatino Linotype" w:cs="Palatino Linotype"/>
          <w:sz w:val="22"/>
          <w:szCs w:val="22"/>
        </w:rPr>
        <w:t xml:space="preserve"> funds mobilised by open-ended schemes during January 2021 was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6,47,286 crore against redemption/repurchase of </w:t>
      </w:r>
      <w:r w:rsidRPr="002357A9">
        <w:rPr>
          <w:rFonts w:ascii="Times New Roman" w:eastAsia="Palatino Linotype" w:hAnsi="Times New Roman"/>
          <w:sz w:val="22"/>
          <w:szCs w:val="22"/>
        </w:rPr>
        <w:t>₹</w:t>
      </w:r>
      <w:r w:rsidRPr="002357A9">
        <w:rPr>
          <w:rFonts w:ascii="Palatino Linotype" w:eastAsia="Palatino Linotype" w:hAnsi="Palatino Linotype" w:cs="Tahoma"/>
          <w:sz w:val="22"/>
          <w:szCs w:val="22"/>
        </w:rPr>
        <w:t xml:space="preserve"> </w:t>
      </w:r>
      <w:r w:rsidRPr="002357A9">
        <w:rPr>
          <w:rFonts w:ascii="Palatino Linotype" w:eastAsia="Palatino Linotype" w:hAnsi="Palatino Linotype" w:cs="Palatino Linotype"/>
          <w:sz w:val="22"/>
          <w:szCs w:val="22"/>
        </w:rPr>
        <w:t xml:space="preserve">6,79,836 crore, resulting in a net outflow of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32,550 crore from open-ended schemes. </w:t>
      </w:r>
      <w:r w:rsidRPr="00D22F0B">
        <w:rPr>
          <w:rFonts w:ascii="Palatino Linotype" w:eastAsia="Palatino Linotype" w:hAnsi="Palatino Linotype" w:cs="Palatino Linotype"/>
          <w:sz w:val="22"/>
          <w:szCs w:val="22"/>
        </w:rPr>
        <w:t xml:space="preserve">Of the total funds mobilised by the open-ended schemes during the month under consideration, </w:t>
      </w:r>
      <w:r w:rsidRPr="00D22F0B">
        <w:rPr>
          <w:rFonts w:ascii="Times New Roman" w:eastAsia="Palatino Linotype" w:hAnsi="Times New Roman"/>
          <w:sz w:val="22"/>
          <w:szCs w:val="22"/>
        </w:rPr>
        <w:t>₹</w:t>
      </w:r>
      <w:r w:rsidRPr="00D22F0B">
        <w:rPr>
          <w:rFonts w:ascii="Palatino Linotype" w:eastAsia="Palatino Linotype" w:hAnsi="Palatino Linotype" w:cs="Palatino Linotype"/>
          <w:sz w:val="22"/>
          <w:szCs w:val="22"/>
        </w:rPr>
        <w:t xml:space="preserve">5,95,284 crore was mobilised through income/debt oriented schemes, </w:t>
      </w:r>
      <w:r w:rsidRPr="00D22F0B">
        <w:rPr>
          <w:rFonts w:ascii="Times New Roman" w:eastAsia="Palatino Linotype" w:hAnsi="Times New Roman"/>
          <w:sz w:val="22"/>
          <w:szCs w:val="22"/>
        </w:rPr>
        <w:t>₹</w:t>
      </w:r>
      <w:r w:rsidRPr="00D22F0B">
        <w:rPr>
          <w:rFonts w:ascii="Palatino Linotype" w:eastAsia="Palatino Linotype" w:hAnsi="Palatino Linotype" w:cs="Palatino Linotype"/>
          <w:sz w:val="22"/>
          <w:szCs w:val="22"/>
        </w:rPr>
        <w:t xml:space="preserve">24,130 crore through growth/equity oriented schemes, </w:t>
      </w:r>
      <w:r w:rsidRPr="00D22F0B">
        <w:rPr>
          <w:rFonts w:ascii="Times New Roman" w:eastAsia="Palatino Linotype" w:hAnsi="Times New Roman"/>
          <w:sz w:val="22"/>
          <w:szCs w:val="22"/>
        </w:rPr>
        <w:t>₹</w:t>
      </w:r>
      <w:r w:rsidRPr="00D22F0B">
        <w:rPr>
          <w:rFonts w:ascii="Palatino Linotype" w:eastAsia="Palatino Linotype" w:hAnsi="Palatino Linotype" w:cs="Palatino Linotype"/>
          <w:sz w:val="22"/>
          <w:szCs w:val="22"/>
        </w:rPr>
        <w:t xml:space="preserve">14,736 crore through hybrid schemes, </w:t>
      </w:r>
      <w:r w:rsidRPr="00D22F0B">
        <w:rPr>
          <w:rFonts w:ascii="Times New Roman" w:eastAsia="Palatino Linotype" w:hAnsi="Times New Roman"/>
          <w:sz w:val="22"/>
          <w:szCs w:val="22"/>
        </w:rPr>
        <w:t>₹</w:t>
      </w:r>
      <w:r w:rsidRPr="00D22F0B">
        <w:rPr>
          <w:rFonts w:ascii="Palatino Linotype" w:eastAsia="Palatino Linotype" w:hAnsi="Palatino Linotype" w:cs="Palatino Linotype"/>
          <w:sz w:val="22"/>
          <w:szCs w:val="22"/>
        </w:rPr>
        <w:t xml:space="preserve">236 crore through solution oriented schemes and </w:t>
      </w:r>
      <w:r w:rsidRPr="00D22F0B">
        <w:rPr>
          <w:rFonts w:ascii="Times New Roman" w:eastAsia="Palatino Linotype" w:hAnsi="Times New Roman"/>
          <w:sz w:val="22"/>
          <w:szCs w:val="22"/>
        </w:rPr>
        <w:t>₹</w:t>
      </w:r>
      <w:r w:rsidRPr="00D22F0B">
        <w:rPr>
          <w:rFonts w:ascii="Palatino Linotype" w:eastAsia="Palatino Linotype" w:hAnsi="Palatino Linotype" w:cs="Palatino Linotype"/>
          <w:sz w:val="22"/>
          <w:szCs w:val="22"/>
        </w:rPr>
        <w:t xml:space="preserve">12,899 crore through other schemes. </w:t>
      </w: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January 2021, close-ended schemes worth </w:t>
      </w:r>
      <w:r w:rsidRPr="002357A9">
        <w:rPr>
          <w:rFonts w:ascii="Times New Roman" w:eastAsia="Palatino Linotype" w:hAnsi="Times New Roman"/>
          <w:sz w:val="22"/>
          <w:szCs w:val="22"/>
        </w:rPr>
        <w:t>₹</w:t>
      </w:r>
      <w:r w:rsidRPr="002357A9">
        <w:rPr>
          <w:rFonts w:ascii="Palatino Linotype" w:hAnsi="Palatino Linotype"/>
          <w:sz w:val="22"/>
          <w:szCs w:val="22"/>
        </w:rPr>
        <w:t xml:space="preserve"> </w:t>
      </w:r>
      <w:r w:rsidRPr="002357A9">
        <w:rPr>
          <w:rFonts w:ascii="Palatino Linotype" w:eastAsia="Palatino Linotype" w:hAnsi="Palatino Linotype" w:cs="Palatino Linotype"/>
          <w:sz w:val="22"/>
          <w:szCs w:val="22"/>
        </w:rPr>
        <w:t>3,035 crore were matured/ repurchased</w:t>
      </w:r>
      <w:r w:rsidRPr="002357A9">
        <w:rPr>
          <w:rFonts w:ascii="Palatino Linotype" w:eastAsia="Palatino Linotype" w:hAnsi="Palatino Linotype" w:cs="Palatino Linotype"/>
          <w:sz w:val="22"/>
          <w:szCs w:val="22"/>
          <w:vertAlign w:val="superscript"/>
        </w:rPr>
        <w:footnoteReference w:id="1"/>
      </w:r>
      <w:r w:rsidRPr="002357A9">
        <w:rPr>
          <w:rFonts w:ascii="Palatino Linotype" w:eastAsia="Palatino Linotype" w:hAnsi="Palatino Linotype" w:cs="Palatino Linotype"/>
          <w:sz w:val="22"/>
          <w:szCs w:val="22"/>
        </w:rPr>
        <w:t xml:space="preserve">.  Also, interval schemes worth </w:t>
      </w:r>
      <w:r w:rsidRPr="002357A9">
        <w:rPr>
          <w:rFonts w:ascii="Times New Roman" w:eastAsia="Palatino Linotype" w:hAnsi="Times New Roman"/>
          <w:sz w:val="22"/>
          <w:szCs w:val="22"/>
        </w:rPr>
        <w:t>₹</w:t>
      </w:r>
      <w:r w:rsidRPr="002357A9">
        <w:rPr>
          <w:rFonts w:ascii="Palatino Linotype" w:eastAsia="Palatino Linotype" w:hAnsi="Palatino Linotype" w:cs="Tahoma"/>
          <w:sz w:val="22"/>
          <w:szCs w:val="22"/>
        </w:rPr>
        <w:t xml:space="preserve"> 3</w:t>
      </w:r>
      <w:r w:rsidRPr="002357A9">
        <w:rPr>
          <w:rFonts w:ascii="Palatino Linotype" w:eastAsia="Palatino Linotype" w:hAnsi="Palatino Linotype" w:cs="Palatino Linotype"/>
          <w:sz w:val="22"/>
          <w:szCs w:val="22"/>
        </w:rPr>
        <w:t xml:space="preserve"> crore were matured/redeemed during the period.  </w:t>
      </w: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The net assets under management of mutual funds stood at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30.5 lakh crore as at the end of January 2021, down from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31 lakh crore as at the end of December 2020. </w:t>
      </w:r>
    </w:p>
    <w:p w:rsidR="00B25705" w:rsidRPr="002357A9"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B25705" w:rsidRPr="002357A9"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In the secondary market transactions, during January 2021, mutual funds liquidated </w:t>
      </w:r>
      <w:r w:rsidRPr="002357A9">
        <w:rPr>
          <w:rFonts w:ascii="Times New Roman" w:eastAsia="Palatino Linotype" w:hAnsi="Times New Roman"/>
          <w:sz w:val="22"/>
          <w:szCs w:val="22"/>
        </w:rPr>
        <w:t>₹</w:t>
      </w:r>
      <w:r w:rsidRPr="002357A9">
        <w:rPr>
          <w:rFonts w:ascii="Palatino Linotype" w:eastAsia="Palatino Linotype" w:hAnsi="Palatino Linotype" w:cs="Tahoma"/>
          <w:sz w:val="22"/>
          <w:szCs w:val="22"/>
        </w:rPr>
        <w:t xml:space="preserve"> 13,032</w:t>
      </w:r>
      <w:r w:rsidRPr="002357A9">
        <w:rPr>
          <w:rFonts w:ascii="Palatino Linotype" w:eastAsia="Palatino Linotype" w:hAnsi="Palatino Linotype" w:cs="Palatino Linotype"/>
          <w:sz w:val="22"/>
          <w:szCs w:val="22"/>
        </w:rPr>
        <w:t xml:space="preserve">  crore from equity schemes and deployed </w:t>
      </w:r>
      <w:r w:rsidRPr="002357A9">
        <w:rPr>
          <w:rFonts w:ascii="Times New Roman" w:eastAsia="Palatino Linotype" w:hAnsi="Times New Roman"/>
          <w:sz w:val="22"/>
          <w:szCs w:val="22"/>
        </w:rPr>
        <w:t>₹</w:t>
      </w:r>
      <w:r w:rsidRPr="002357A9">
        <w:rPr>
          <w:rFonts w:ascii="Palatino Linotype" w:eastAsia="Palatino Linotype" w:hAnsi="Palatino Linotype" w:cs="Tahoma"/>
          <w:sz w:val="22"/>
          <w:szCs w:val="22"/>
        </w:rPr>
        <w:t xml:space="preserve"> </w:t>
      </w:r>
      <w:r w:rsidRPr="002357A9">
        <w:rPr>
          <w:rFonts w:ascii="Palatino Linotype" w:eastAsia="Palatino Linotype" w:hAnsi="Palatino Linotype" w:cs="Palatino Linotype"/>
          <w:sz w:val="22"/>
          <w:szCs w:val="22"/>
        </w:rPr>
        <w:t xml:space="preserve">11,832 crore in debt schemes. </w:t>
      </w:r>
    </w:p>
    <w:p w:rsidR="00B25705" w:rsidRPr="002357A9" w:rsidRDefault="00B25705" w:rsidP="00B25705">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11: Trends in Mutual Funds Transactions in Secondary Market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hAnsi="Palatino Linotype"/>
          <w:noProof/>
          <w:sz w:val="22"/>
          <w:szCs w:val="22"/>
          <w:lang w:val="en-IN" w:eastAsia="en-IN" w:bidi="hi-IN"/>
        </w:rPr>
        <w:drawing>
          <wp:inline distT="0" distB="0" distL="0" distR="0" wp14:anchorId="247C2DA7" wp14:editId="4AF03576">
            <wp:extent cx="5715000" cy="2819400"/>
            <wp:effectExtent l="0" t="0" r="0"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B25705"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B25705"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B25705" w:rsidRPr="002357A9" w:rsidRDefault="00B25705" w:rsidP="00B25705">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Investments by the Foreign Portfolio Investors (FPIs)</w:t>
      </w:r>
    </w:p>
    <w:p w:rsidR="00B25705" w:rsidRPr="002357A9" w:rsidRDefault="00B25705" w:rsidP="00B25705">
      <w:pPr>
        <w:widowControl w:val="0"/>
        <w:tabs>
          <w:tab w:val="left" w:pos="0"/>
        </w:tabs>
        <w:spacing w:line="276" w:lineRule="auto"/>
        <w:ind w:left="360"/>
        <w:jc w:val="both"/>
        <w:rPr>
          <w:rFonts w:ascii="Palatino Linotype" w:eastAsia="Palatino Linotype" w:hAnsi="Palatino Linotype" w:cs="Palatino Linotype"/>
          <w:b/>
          <w:sz w:val="22"/>
          <w:szCs w:val="22"/>
        </w:rPr>
      </w:pPr>
    </w:p>
    <w:p w:rsidR="00B25705" w:rsidRPr="002357A9" w:rsidRDefault="00B25705" w:rsidP="00E263F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January 2021, FPIs invested a total of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14,631 crore in the Indian securities market compared to an investment of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71,046 crore in December 2020. During January 2021, FPIs invested only in Equity of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19,473 crore, however, FPIs withdraw of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2,518 crore from Debt Securities,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2,306 crore from Debt-</w:t>
      </w:r>
      <w:r w:rsidR="00E263F0" w:rsidRPr="00E263F0">
        <w:rPr>
          <w:rFonts w:ascii="Palatino Linotype" w:eastAsia="Palatino Linotype" w:hAnsi="Palatino Linotype" w:cs="Palatino Linotype"/>
          <w:sz w:val="22"/>
          <w:szCs w:val="22"/>
        </w:rPr>
        <w:t>Voluntary Retention Route</w:t>
      </w:r>
      <w:r w:rsidR="00E263F0">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VRR</w:t>
      </w:r>
      <w:r w:rsidR="00E263F0">
        <w:rPr>
          <w:rFonts w:ascii="Palatino Linotype" w:eastAsia="Palatino Linotype" w:hAnsi="Palatino Linotype" w:cs="Palatino Linotype"/>
          <w:sz w:val="22"/>
          <w:szCs w:val="22"/>
        </w:rPr>
        <w:t>)</w:t>
      </w:r>
      <w:r w:rsidRPr="002357A9">
        <w:rPr>
          <w:rFonts w:ascii="Palatino Linotype" w:eastAsia="Palatino Linotype" w:hAnsi="Palatino Linotype" w:cs="Palatino Linotype"/>
          <w:sz w:val="22"/>
          <w:szCs w:val="22"/>
        </w:rPr>
        <w:t xml:space="preserve"> and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17 crore from Hybrid securities. On the other hand, FPIs invested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62,016 crore in Equity,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4,079 crore in Debt,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2,463 crore in Debt-VRR and </w:t>
      </w:r>
      <w:r w:rsidRPr="002357A9">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2,489 crore in Hybrid securities during December 2020.</w:t>
      </w:r>
    </w:p>
    <w:p w:rsidR="00B25705" w:rsidRPr="002357A9"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B25705" w:rsidRPr="00B748D8"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B748D8">
        <w:rPr>
          <w:rFonts w:ascii="Palatino Linotype" w:eastAsia="Palatino Linotype" w:hAnsi="Palatino Linotype" w:cs="Palatino Linotype"/>
          <w:sz w:val="22"/>
          <w:szCs w:val="22"/>
        </w:rPr>
        <w:t>The assets of FPIs in India, as reported by custodians, as at the end of January 2021 was</w:t>
      </w:r>
      <w:r>
        <w:rPr>
          <w:rFonts w:ascii="Palatino Linotype" w:eastAsia="Palatino Linotype" w:hAnsi="Palatino Linotype" w:cs="Palatino Linotype"/>
          <w:sz w:val="22"/>
          <w:szCs w:val="22"/>
        </w:rPr>
        <w:t xml:space="preserve"> </w:t>
      </w:r>
      <w:r w:rsidRPr="00B748D8">
        <w:rPr>
          <w:rFonts w:ascii="Times New Roman" w:eastAsia="Palatino Linotype" w:hAnsi="Times New Roman"/>
          <w:sz w:val="22"/>
          <w:szCs w:val="22"/>
        </w:rPr>
        <w:t>₹</w:t>
      </w:r>
      <w:r w:rsidRPr="00B748D8">
        <w:rPr>
          <w:rFonts w:ascii="Palatino Linotype" w:eastAsia="Palatino Linotype" w:hAnsi="Palatino Linotype" w:cs="Palatino Linotype"/>
          <w:sz w:val="22"/>
          <w:szCs w:val="22"/>
        </w:rPr>
        <w:t xml:space="preserve">41,15,463 crore, out of which the notional value of offshore derivative instruments (ODIs) (including ODIs on derivatives) was </w:t>
      </w:r>
      <w:r w:rsidRPr="00B748D8">
        <w:rPr>
          <w:rFonts w:ascii="Times New Roman" w:eastAsia="Palatino Linotype" w:hAnsi="Times New Roman"/>
          <w:sz w:val="22"/>
          <w:szCs w:val="22"/>
        </w:rPr>
        <w:t>₹</w:t>
      </w:r>
      <w:r w:rsidRPr="00B748D8">
        <w:rPr>
          <w:rFonts w:ascii="Palatino Linotype" w:eastAsia="Palatino Linotype" w:hAnsi="Palatino Linotype" w:cs="Palatino Linotype"/>
          <w:sz w:val="22"/>
          <w:szCs w:val="22"/>
        </w:rPr>
        <w:t xml:space="preserve"> 84,976 crore which is 2.1 per cent of total assets of FPIs.  </w:t>
      </w:r>
    </w:p>
    <w:p w:rsidR="00B25705" w:rsidRDefault="00B25705" w:rsidP="00B25705">
      <w:pPr>
        <w:pStyle w:val="ListParagraph"/>
        <w:rPr>
          <w:rFonts w:ascii="Palatino Linotype" w:eastAsia="Palatino Linotype" w:hAnsi="Palatino Linotype" w:cs="Palatino Linotype"/>
          <w:b/>
          <w:sz w:val="22"/>
          <w:szCs w:val="22"/>
        </w:rPr>
      </w:pPr>
    </w:p>
    <w:p w:rsidR="00B25705" w:rsidRPr="00E0006F" w:rsidRDefault="00B25705" w:rsidP="00B25705">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E0006F">
        <w:rPr>
          <w:rFonts w:ascii="Palatino Linotype" w:eastAsia="Palatino Linotype" w:hAnsi="Palatino Linotype" w:cs="Palatino Linotype"/>
          <w:b/>
          <w:sz w:val="22"/>
          <w:szCs w:val="22"/>
        </w:rPr>
        <w:t>Figure 12: Trends in FPIs’ Investments</w:t>
      </w:r>
    </w:p>
    <w:p w:rsidR="00B25705" w:rsidRPr="002357A9" w:rsidRDefault="00B25705" w:rsidP="00B2570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2357A9">
        <w:rPr>
          <w:rFonts w:ascii="Palatino Linotype" w:hAnsi="Palatino Linotype"/>
          <w:noProof/>
          <w:sz w:val="22"/>
          <w:szCs w:val="22"/>
          <w:lang w:val="en-IN" w:eastAsia="en-IN" w:bidi="hi-IN"/>
        </w:rPr>
        <w:drawing>
          <wp:inline distT="0" distB="0" distL="0" distR="0" wp14:anchorId="7C3FC8E1" wp14:editId="360A57D9">
            <wp:extent cx="6278880" cy="2826385"/>
            <wp:effectExtent l="0" t="0" r="7620" b="1206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B25705" w:rsidRDefault="00B25705" w:rsidP="00B25705">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CDSL and NSDL</w:t>
      </w:r>
    </w:p>
    <w:p w:rsidR="00B25705" w:rsidRPr="002357A9" w:rsidRDefault="00B25705" w:rsidP="00B25705">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B25705" w:rsidRPr="002357A9" w:rsidRDefault="00B25705" w:rsidP="00B25705">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1" w:name="_30j0zll" w:colFirst="0" w:colLast="0"/>
      <w:bookmarkEnd w:id="1"/>
    </w:p>
    <w:p w:rsidR="00B25705" w:rsidRPr="002357A9" w:rsidRDefault="00B25705" w:rsidP="00B25705">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Trends in Portfolio Management Services (PMS)</w:t>
      </w:r>
    </w:p>
    <w:p w:rsidR="00B25705" w:rsidRPr="00144A65"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44A65">
        <w:rPr>
          <w:rFonts w:ascii="Palatino Linotype" w:eastAsia="Palatino Linotype" w:hAnsi="Palatino Linotype" w:cs="Palatino Linotype"/>
          <w:sz w:val="22"/>
          <w:szCs w:val="22"/>
        </w:rPr>
        <w:t xml:space="preserve">As at end of October 2020, AUM of the portfolio management industry stood at </w:t>
      </w:r>
      <w:r w:rsidRPr="00144A65">
        <w:rPr>
          <w:rFonts w:ascii="Times New Roman" w:eastAsia="Palatino Linotype" w:hAnsi="Times New Roman"/>
          <w:sz w:val="22"/>
          <w:szCs w:val="22"/>
        </w:rPr>
        <w:t>₹</w:t>
      </w:r>
      <w:r w:rsidRPr="00144A65">
        <w:rPr>
          <w:rFonts w:ascii="Palatino Linotype" w:eastAsia="Palatino Linotype" w:hAnsi="Palatino Linotype" w:cs="Palatino Linotype"/>
          <w:sz w:val="22"/>
          <w:szCs w:val="22"/>
        </w:rPr>
        <w:t xml:space="preserve">19.2 lakh crore. Of the total AUM, funds from EPFO/PFs account for </w:t>
      </w:r>
      <w:r w:rsidRPr="00144A65">
        <w:rPr>
          <w:rFonts w:ascii="Times New Roman" w:eastAsia="Palatino Linotype" w:hAnsi="Times New Roman"/>
          <w:sz w:val="22"/>
          <w:szCs w:val="22"/>
        </w:rPr>
        <w:t>₹</w:t>
      </w:r>
      <w:r w:rsidRPr="00144A65">
        <w:rPr>
          <w:rFonts w:ascii="Palatino Linotype" w:eastAsia="Palatino Linotype" w:hAnsi="Palatino Linotype" w:cs="Palatino Linotype"/>
          <w:sz w:val="22"/>
          <w:szCs w:val="22"/>
        </w:rPr>
        <w:t xml:space="preserve">14.6 lakh crore. </w:t>
      </w:r>
    </w:p>
    <w:p w:rsidR="00B25705" w:rsidRPr="00144A65" w:rsidRDefault="00B25705" w:rsidP="00B2570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44A65">
        <w:rPr>
          <w:rFonts w:ascii="Palatino Linotype" w:eastAsia="Palatino Linotype" w:hAnsi="Palatino Linotype" w:cs="Palatino Linotype"/>
          <w:sz w:val="22"/>
          <w:szCs w:val="22"/>
        </w:rPr>
        <w:t xml:space="preserve">There were 1,55,796 total clients in PMS industry as at the end of October 2020, of which 1,45,404 clients belong to discretionary services category, 8,409 clients belong to non-discretionary services category and 1,983 clients belong to advisory services category of portfolio management services.   </w:t>
      </w:r>
    </w:p>
    <w:p w:rsidR="00B25705"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B25705" w:rsidRPr="002357A9"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B25705" w:rsidRPr="002357A9" w:rsidRDefault="00B25705" w:rsidP="00B25705">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Trends in Substantial Acquisition of Shares and Takeovers</w:t>
      </w:r>
    </w:p>
    <w:p w:rsidR="00B25705" w:rsidRPr="002357A9" w:rsidRDefault="00B25705" w:rsidP="00B25705">
      <w:pPr>
        <w:jc w:val="both"/>
        <w:rPr>
          <w:rFonts w:ascii="Palatino Linotype" w:eastAsia="Palatino Linotype" w:hAnsi="Palatino Linotype" w:cs="Palatino Linotype"/>
          <w:sz w:val="22"/>
          <w:szCs w:val="22"/>
        </w:rPr>
      </w:pPr>
    </w:p>
    <w:p w:rsidR="00B25705" w:rsidRPr="002357A9" w:rsidRDefault="00B25705" w:rsidP="00B25705">
      <w:pPr>
        <w:jc w:val="both"/>
        <w:rPr>
          <w:rFonts w:ascii="Palatino Linotype" w:eastAsia="Times New Roman" w:hAnsi="Palatino Linotype" w:cs="Garamond"/>
          <w:sz w:val="22"/>
          <w:szCs w:val="22"/>
        </w:rPr>
      </w:pPr>
      <w:r w:rsidRPr="00E0006F">
        <w:rPr>
          <w:rFonts w:ascii="Palatino Linotype" w:eastAsia="Palatino Linotype" w:hAnsi="Palatino Linotype" w:cs="Palatino Linotype"/>
          <w:sz w:val="22"/>
          <w:szCs w:val="22"/>
        </w:rPr>
        <w:t xml:space="preserve">During January 2021, three open offers with offer value of </w:t>
      </w:r>
      <w:r w:rsidRPr="00E0006F">
        <w:rPr>
          <w:rFonts w:ascii="Times New Roman" w:eastAsia="Palatino Linotype" w:hAnsi="Times New Roman"/>
          <w:sz w:val="22"/>
          <w:szCs w:val="22"/>
        </w:rPr>
        <w:t>₹</w:t>
      </w:r>
      <w:r w:rsidRPr="00E0006F">
        <w:rPr>
          <w:rFonts w:ascii="Palatino Linotype" w:eastAsia="Palatino Linotype" w:hAnsi="Palatino Linotype" w:cs="Palatino Linotype"/>
          <w:sz w:val="22"/>
          <w:szCs w:val="22"/>
        </w:rPr>
        <w:t xml:space="preserve">141 crore were closed </w:t>
      </w:r>
      <w:r w:rsidRPr="00E0006F">
        <w:rPr>
          <w:rFonts w:ascii="Palatino Linotype" w:eastAsia="Palatino Linotype" w:hAnsi="Palatino Linotype" w:cs="Palatino Linotype"/>
          <w:color w:val="222A35"/>
          <w:sz w:val="22"/>
          <w:szCs w:val="22"/>
        </w:rPr>
        <w:t xml:space="preserve">under SEBI (Substantial Acquisition of Shares and Takeover) Regulations, 2011 (SAST Regulations) </w:t>
      </w:r>
      <w:r w:rsidRPr="00E0006F">
        <w:rPr>
          <w:rFonts w:ascii="Palatino Linotype" w:eastAsia="Palatino Linotype" w:hAnsi="Palatino Linotype" w:cs="Palatino Linotype"/>
          <w:sz w:val="22"/>
          <w:szCs w:val="22"/>
        </w:rPr>
        <w:t xml:space="preserve">as against four open offer with offer value of </w:t>
      </w:r>
      <w:r w:rsidRPr="00E0006F">
        <w:rPr>
          <w:rFonts w:ascii="Times New Roman" w:eastAsia="Tahoma" w:hAnsi="Times New Roman"/>
          <w:sz w:val="22"/>
          <w:szCs w:val="22"/>
        </w:rPr>
        <w:t>₹</w:t>
      </w:r>
      <w:r w:rsidRPr="00E0006F">
        <w:rPr>
          <w:rFonts w:ascii="Palatino Linotype" w:eastAsia="Palatino Linotype" w:hAnsi="Palatino Linotype" w:cs="Palatino Linotype"/>
          <w:sz w:val="22"/>
          <w:szCs w:val="22"/>
        </w:rPr>
        <w:t xml:space="preserve"> 48 crore were closed in December 2020</w:t>
      </w:r>
      <w:r w:rsidRPr="00E0006F">
        <w:rPr>
          <w:rFonts w:ascii="Palatino Linotype" w:eastAsia="Palatino Linotype" w:hAnsi="Palatino Linotype" w:cs="Palatino Linotype"/>
          <w:color w:val="222A35"/>
          <w:sz w:val="22"/>
          <w:szCs w:val="22"/>
        </w:rPr>
        <w:t xml:space="preserve">. </w:t>
      </w:r>
      <w:r w:rsidRPr="00E0006F">
        <w:rPr>
          <w:rFonts w:ascii="Palatino Linotype" w:eastAsia="Times New Roman" w:hAnsi="Palatino Linotype" w:cs="Garamond"/>
          <w:sz w:val="22"/>
          <w:szCs w:val="22"/>
        </w:rPr>
        <w:t>Of the three offers, one open offer was for change in control of management and two were made under Substantial Acquisition.</w:t>
      </w:r>
      <w:r w:rsidRPr="002357A9">
        <w:rPr>
          <w:rFonts w:ascii="Palatino Linotype" w:eastAsia="Times New Roman" w:hAnsi="Palatino Linotype" w:cs="Garamond"/>
          <w:sz w:val="22"/>
          <w:szCs w:val="22"/>
        </w:rPr>
        <w:t xml:space="preserve"> </w:t>
      </w:r>
    </w:p>
    <w:p w:rsidR="00B25705" w:rsidRPr="002357A9"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B25705" w:rsidRPr="002357A9" w:rsidRDefault="00B25705" w:rsidP="00B25705">
      <w:pPr>
        <w:jc w:val="center"/>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Figure 13: Details of Open Offers Closed under the SEBI (SAST) Regulations</w:t>
      </w:r>
    </w:p>
    <w:p w:rsidR="00B25705" w:rsidRPr="002357A9" w:rsidRDefault="00B25705" w:rsidP="00B25705">
      <w:pPr>
        <w:spacing w:line="276" w:lineRule="auto"/>
        <w:jc w:val="center"/>
        <w:rPr>
          <w:rFonts w:ascii="Palatino Linotype" w:eastAsia="Palatino Linotype" w:hAnsi="Palatino Linotype" w:cs="Palatino Linotype"/>
          <w:b/>
          <w:color w:val="222A35"/>
          <w:sz w:val="22"/>
          <w:szCs w:val="22"/>
          <w:highlight w:val="yellow"/>
        </w:rPr>
      </w:pPr>
      <w:r w:rsidRPr="002357A9">
        <w:rPr>
          <w:rFonts w:ascii="Palatino Linotype" w:hAnsi="Palatino Linotype"/>
          <w:noProof/>
          <w:sz w:val="22"/>
          <w:szCs w:val="22"/>
          <w:lang w:val="en-IN" w:eastAsia="en-IN" w:bidi="hi-IN"/>
        </w:rPr>
        <w:drawing>
          <wp:inline distT="0" distB="0" distL="0" distR="0" wp14:anchorId="45D90044" wp14:editId="30EC01C7">
            <wp:extent cx="5867400" cy="2657475"/>
            <wp:effectExtent l="0" t="0" r="0" b="9525"/>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B25705" w:rsidRPr="002357A9" w:rsidRDefault="00B25705" w:rsidP="00B25705">
      <w:pPr>
        <w:widowControl w:val="0"/>
        <w:spacing w:line="276" w:lineRule="auto"/>
        <w:contextualSpacing/>
        <w:jc w:val="both"/>
        <w:rPr>
          <w:rFonts w:ascii="Palatino Linotype" w:eastAsia="Palatino Linotype" w:hAnsi="Palatino Linotype" w:cs="Palatino Linotype"/>
          <w:color w:val="2E74B5"/>
          <w:sz w:val="22"/>
          <w:szCs w:val="22"/>
          <w:highlight w:val="yellow"/>
          <w:lang w:val="en-US"/>
        </w:rPr>
      </w:pPr>
    </w:p>
    <w:p w:rsidR="00B25705" w:rsidRPr="002357A9" w:rsidRDefault="00B25705" w:rsidP="00B25705">
      <w:pPr>
        <w:widowControl w:val="0"/>
        <w:ind w:left="-284"/>
        <w:jc w:val="both"/>
        <w:rPr>
          <w:rFonts w:ascii="Palatino Linotype" w:eastAsia="Times New Roman" w:hAnsi="Palatino Linotype"/>
          <w:b/>
          <w:color w:val="0F0684"/>
          <w:sz w:val="22"/>
          <w:szCs w:val="22"/>
        </w:rPr>
      </w:pPr>
      <w:r w:rsidRPr="002357A9">
        <w:rPr>
          <w:rFonts w:ascii="Palatino Linotype" w:hAnsi="Palatino Linotype"/>
          <w:b/>
          <w:color w:val="0F0684"/>
          <w:sz w:val="22"/>
          <w:szCs w:val="22"/>
        </w:rPr>
        <w:t>IX.     Commodity Derivatives Markets</w:t>
      </w:r>
    </w:p>
    <w:p w:rsidR="00B25705" w:rsidRPr="002357A9" w:rsidRDefault="00B25705" w:rsidP="00B25705">
      <w:pPr>
        <w:pStyle w:val="ListParagraph"/>
        <w:spacing w:after="0" w:line="240" w:lineRule="auto"/>
        <w:jc w:val="both"/>
        <w:rPr>
          <w:rFonts w:ascii="Palatino Linotype" w:eastAsia="Times New Roman" w:hAnsi="Palatino Linotype"/>
          <w:b/>
          <w:color w:val="000000"/>
          <w:sz w:val="22"/>
          <w:szCs w:val="22"/>
        </w:rPr>
      </w:pPr>
    </w:p>
    <w:p w:rsidR="00B25705" w:rsidRPr="002357A9" w:rsidRDefault="00B25705" w:rsidP="00B25705">
      <w:pPr>
        <w:pStyle w:val="ListParagraph"/>
        <w:numPr>
          <w:ilvl w:val="0"/>
          <w:numId w:val="27"/>
        </w:numPr>
        <w:spacing w:after="0" w:line="240" w:lineRule="auto"/>
        <w:ind w:left="-284" w:firstLine="0"/>
        <w:jc w:val="both"/>
        <w:rPr>
          <w:rFonts w:ascii="Palatino Linotype" w:eastAsia="Times New Roman" w:hAnsi="Palatino Linotype"/>
          <w:b/>
          <w:color w:val="000000"/>
          <w:sz w:val="22"/>
          <w:szCs w:val="22"/>
        </w:rPr>
      </w:pPr>
      <w:r w:rsidRPr="002357A9">
        <w:rPr>
          <w:rFonts w:ascii="Palatino Linotype" w:eastAsia="Times New Roman" w:hAnsi="Palatino Linotype"/>
          <w:b/>
          <w:color w:val="000000"/>
          <w:sz w:val="22"/>
          <w:szCs w:val="22"/>
        </w:rPr>
        <w:t xml:space="preserve">      Market Trends</w:t>
      </w:r>
    </w:p>
    <w:p w:rsidR="00B25705" w:rsidRPr="002357A9" w:rsidRDefault="00B25705" w:rsidP="00B25705">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B25705" w:rsidRPr="00E708EE" w:rsidRDefault="00B25705" w:rsidP="00B25705">
      <w:pPr>
        <w:pStyle w:val="ListParagraph"/>
        <w:numPr>
          <w:ilvl w:val="0"/>
          <w:numId w:val="35"/>
        </w:numPr>
        <w:rPr>
          <w:rFonts w:ascii="Palatino Linotype" w:eastAsia="Palatino Linotype" w:hAnsi="Palatino Linotype" w:cs="Palatino Linotype"/>
          <w:sz w:val="22"/>
          <w:szCs w:val="22"/>
          <w:lang w:val="en-GB"/>
        </w:rPr>
      </w:pPr>
      <w:r w:rsidRPr="00E708EE">
        <w:rPr>
          <w:rFonts w:ascii="Palatino Linotype" w:eastAsia="Palatino Linotype" w:hAnsi="Palatino Linotype" w:cs="Palatino Linotype"/>
          <w:sz w:val="22"/>
          <w:szCs w:val="22"/>
          <w:lang w:val="en-GB"/>
        </w:rPr>
        <w:t xml:space="preserve">During January 2021, MCX iCOMDEX composite index, witnessed an increase of 1.3 per cent (M-o-M) driven by increase in futures prices of energy, base metals (lead and nickel), bullion (silver) and cotton contracts of agri. segments. On Y-o-Y basis, MCX iCOMDEX composite index increased by 5.3 per cent. </w:t>
      </w:r>
    </w:p>
    <w:p w:rsidR="00B25705" w:rsidRPr="00E708EE" w:rsidRDefault="00B25705" w:rsidP="00B25705">
      <w:pPr>
        <w:pStyle w:val="ListParagraph"/>
        <w:numPr>
          <w:ilvl w:val="0"/>
          <w:numId w:val="35"/>
        </w:numPr>
        <w:rPr>
          <w:rFonts w:ascii="Palatino Linotype" w:eastAsia="Palatino Linotype" w:hAnsi="Palatino Linotype" w:cs="Palatino Linotype"/>
          <w:sz w:val="22"/>
          <w:szCs w:val="22"/>
          <w:lang w:val="en-GB"/>
        </w:rPr>
      </w:pPr>
      <w:r w:rsidRPr="00E708EE">
        <w:rPr>
          <w:rFonts w:ascii="Palatino Linotype" w:eastAsia="Palatino Linotype" w:hAnsi="Palatino Linotype" w:cs="Palatino Linotype"/>
          <w:sz w:val="22"/>
          <w:szCs w:val="22"/>
          <w:lang w:val="en-GB"/>
        </w:rPr>
        <w:t>During the month, MCX iCOMDEX crude oil index increased by 8.0 per cent on account of increase in futures price of crude oil by 8.4 per cent. MCX iCOMDEX base metal index increased by 0.4 per cent as the futures prices of lead and nickel increased by 2.4 per cent and 3.5 per cent respectively during the month. However, futures prices of other base metals viz. aluminium, copper and zinc decreased in January 2021. MCX iCOMDEX bullion index decreased by 0.9 per cent due to decrease in futures prices of gold by 2.1 per cent. In the agri. segment, futures prices of all the traded commodities except cotton decreased during the month. Cardamom contracts was not traded during th</w:t>
      </w:r>
      <w:r>
        <w:rPr>
          <w:rFonts w:ascii="Palatino Linotype" w:eastAsia="Palatino Linotype" w:hAnsi="Palatino Linotype" w:cs="Palatino Linotype"/>
          <w:sz w:val="22"/>
          <w:szCs w:val="22"/>
          <w:lang w:val="en-GB"/>
        </w:rPr>
        <w:t>e</w:t>
      </w:r>
      <w:r w:rsidRPr="00E708EE">
        <w:rPr>
          <w:rFonts w:ascii="Palatino Linotype" w:eastAsia="Palatino Linotype" w:hAnsi="Palatino Linotype" w:cs="Palatino Linotype"/>
          <w:sz w:val="22"/>
          <w:szCs w:val="22"/>
          <w:lang w:val="en-GB"/>
        </w:rPr>
        <w:t xml:space="preserve"> month also. </w:t>
      </w:r>
    </w:p>
    <w:p w:rsidR="00B25705" w:rsidRPr="00E708EE" w:rsidRDefault="00B25705" w:rsidP="00B25705">
      <w:pPr>
        <w:pStyle w:val="ListParagraph"/>
        <w:numPr>
          <w:ilvl w:val="0"/>
          <w:numId w:val="35"/>
        </w:numPr>
        <w:rPr>
          <w:rFonts w:ascii="Palatino Linotype" w:eastAsia="Palatino Linotype" w:hAnsi="Palatino Linotype" w:cs="Palatino Linotype"/>
          <w:sz w:val="22"/>
          <w:szCs w:val="22"/>
          <w:lang w:val="en-GB"/>
        </w:rPr>
      </w:pPr>
      <w:r w:rsidRPr="00E708EE">
        <w:rPr>
          <w:rFonts w:ascii="Palatino Linotype" w:eastAsia="Palatino Linotype" w:hAnsi="Palatino Linotype" w:cs="Palatino Linotype"/>
          <w:sz w:val="22"/>
          <w:szCs w:val="22"/>
          <w:lang w:val="en-GB"/>
        </w:rPr>
        <w:t xml:space="preserve">NKrishi index increased by 1.1 per cent (M-o-M) as futures prices of eight out of 10 constituent commodities of the index viz. guarseed, soybean, chana, turmeric, cottonseed oilcake, jeera, coriander and barley witnessed an upend. On Y-o-Y basis NKrishi index increased by 13.8 per cent. On account of rebalancing, refined soy oil </w:t>
      </w:r>
      <w:r>
        <w:rPr>
          <w:rFonts w:ascii="Palatino Linotype" w:eastAsia="Palatino Linotype" w:hAnsi="Palatino Linotype" w:cs="Palatino Linotype"/>
          <w:sz w:val="22"/>
          <w:szCs w:val="22"/>
          <w:lang w:val="en-GB"/>
        </w:rPr>
        <w:t>has been</w:t>
      </w:r>
      <w:r w:rsidRPr="00E708EE">
        <w:rPr>
          <w:rFonts w:ascii="Palatino Linotype" w:eastAsia="Palatino Linotype" w:hAnsi="Palatino Linotype" w:cs="Palatino Linotype"/>
          <w:sz w:val="22"/>
          <w:szCs w:val="22"/>
          <w:lang w:val="en-GB"/>
        </w:rPr>
        <w:t xml:space="preserve"> replaced by soybean in NKrishi index for the period 1st Jan. 2021 to 31st March, 2021.</w:t>
      </w:r>
    </w:p>
    <w:p w:rsidR="00B25705" w:rsidRPr="00E708EE" w:rsidRDefault="00B25705" w:rsidP="00B25705">
      <w:pPr>
        <w:pStyle w:val="ListParagraph"/>
        <w:numPr>
          <w:ilvl w:val="0"/>
          <w:numId w:val="35"/>
        </w:numPr>
        <w:rPr>
          <w:rFonts w:ascii="Palatino Linotype" w:eastAsia="Palatino Linotype" w:hAnsi="Palatino Linotype" w:cs="Palatino Linotype"/>
          <w:sz w:val="22"/>
          <w:szCs w:val="22"/>
          <w:lang w:val="en-GB"/>
        </w:rPr>
      </w:pPr>
      <w:r w:rsidRPr="00E708EE">
        <w:rPr>
          <w:rFonts w:ascii="Palatino Linotype" w:eastAsia="Palatino Linotype" w:hAnsi="Palatino Linotype" w:cs="Palatino Linotype"/>
          <w:sz w:val="22"/>
          <w:szCs w:val="22"/>
          <w:lang w:val="en-GB"/>
        </w:rPr>
        <w:t>Monthly trends in MCX iCOMDEX composite Index and NKrishi Index are  provided in Table 64.</w:t>
      </w:r>
    </w:p>
    <w:p w:rsidR="00B25705" w:rsidRPr="002357A9" w:rsidRDefault="00B25705" w:rsidP="00B25705">
      <w:pPr>
        <w:pStyle w:val="ListParagraph"/>
        <w:spacing w:after="0" w:line="240" w:lineRule="auto"/>
        <w:ind w:left="142" w:hanging="142"/>
        <w:jc w:val="center"/>
        <w:rPr>
          <w:rFonts w:ascii="Palatino Linotype" w:eastAsia="Times New Roman" w:hAnsi="Palatino Linotype"/>
          <w:b/>
          <w:sz w:val="22"/>
          <w:szCs w:val="22"/>
        </w:rPr>
      </w:pPr>
      <w:r w:rsidRPr="002357A9">
        <w:rPr>
          <w:rFonts w:ascii="Palatino Linotype" w:eastAsia="Times New Roman" w:hAnsi="Palatino Linotype"/>
          <w:b/>
          <w:sz w:val="22"/>
          <w:szCs w:val="22"/>
          <w:highlight w:val="yellow"/>
        </w:rPr>
        <w:br w:type="page"/>
      </w:r>
      <w:r w:rsidRPr="002357A9">
        <w:rPr>
          <w:rFonts w:ascii="Palatino Linotype" w:eastAsia="Times New Roman" w:hAnsi="Palatino Linotype"/>
          <w:b/>
          <w:sz w:val="22"/>
          <w:szCs w:val="22"/>
        </w:rPr>
        <w:t>Figure 14: Movement of Commodity Derivatives Market Indices during Dec-2020</w:t>
      </w:r>
    </w:p>
    <w:p w:rsidR="00B25705" w:rsidRPr="002357A9" w:rsidRDefault="00B25705" w:rsidP="00B25705">
      <w:pPr>
        <w:pStyle w:val="ListParagraph"/>
        <w:spacing w:after="0" w:line="240" w:lineRule="auto"/>
        <w:ind w:left="142" w:hanging="142"/>
        <w:jc w:val="center"/>
        <w:rPr>
          <w:rFonts w:ascii="Palatino Linotype" w:eastAsia="Times New Roman" w:hAnsi="Palatino Linotype"/>
          <w:b/>
          <w:color w:val="2E74B5"/>
          <w:sz w:val="22"/>
          <w:szCs w:val="22"/>
        </w:rPr>
      </w:pPr>
    </w:p>
    <w:p w:rsidR="00B25705" w:rsidRPr="002357A9" w:rsidRDefault="00B25705" w:rsidP="00B25705">
      <w:pPr>
        <w:pStyle w:val="ListParagraph"/>
        <w:spacing w:after="0" w:line="240" w:lineRule="auto"/>
        <w:ind w:left="142" w:hanging="142"/>
        <w:jc w:val="center"/>
        <w:rPr>
          <w:rFonts w:ascii="Palatino Linotype" w:eastAsia="Times New Roman" w:hAnsi="Palatino Linotype"/>
          <w:b/>
          <w:color w:val="2E74B5"/>
          <w:sz w:val="22"/>
          <w:szCs w:val="22"/>
        </w:rPr>
      </w:pPr>
      <w:r>
        <w:rPr>
          <w:noProof/>
          <w:lang w:val="en-IN" w:eastAsia="en-IN" w:bidi="hi-IN"/>
        </w:rPr>
        <w:drawing>
          <wp:inline distT="0" distB="0" distL="0" distR="0" wp14:anchorId="690CF74C" wp14:editId="31780DCE">
            <wp:extent cx="5572125" cy="2675255"/>
            <wp:effectExtent l="0" t="0" r="9525" b="10795"/>
            <wp:docPr id="37" name="Chart 37">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B25705" w:rsidRPr="0099071E" w:rsidRDefault="00B25705" w:rsidP="00B25705">
      <w:pPr>
        <w:pStyle w:val="ListParagraph"/>
        <w:spacing w:after="0" w:line="480" w:lineRule="auto"/>
        <w:ind w:left="-426"/>
        <w:rPr>
          <w:rFonts w:ascii="Palatino Linotype" w:hAnsi="Palatino Linotype" w:cs="Arial"/>
          <w:b/>
          <w:bCs/>
          <w:sz w:val="18"/>
          <w:szCs w:val="18"/>
        </w:rPr>
      </w:pPr>
      <w:r w:rsidRPr="0099071E">
        <w:rPr>
          <w:rFonts w:ascii="Palatino Linotype" w:hAnsi="Palatino Linotype" w:cs="Arial"/>
          <w:b/>
          <w:bCs/>
          <w:sz w:val="18"/>
          <w:szCs w:val="18"/>
        </w:rPr>
        <w:t xml:space="preserve">                          Source: MCX and NCDEX</w:t>
      </w:r>
    </w:p>
    <w:p w:rsidR="00B25705" w:rsidRPr="002357A9" w:rsidRDefault="00B25705" w:rsidP="00B25705">
      <w:pPr>
        <w:ind w:left="-426"/>
        <w:jc w:val="both"/>
        <w:rPr>
          <w:rFonts w:ascii="Palatino Linotype" w:hAnsi="Palatino Linotype"/>
          <w:sz w:val="22"/>
          <w:szCs w:val="22"/>
          <w:highlight w:val="yellow"/>
        </w:rPr>
      </w:pPr>
      <w:r w:rsidRPr="002357A9">
        <w:rPr>
          <w:rFonts w:ascii="Palatino Linotype" w:hAnsi="Palatino Linotype" w:cs="Arial"/>
          <w:b/>
          <w:bCs/>
          <w:sz w:val="22"/>
          <w:szCs w:val="22"/>
          <w:highlight w:val="yellow"/>
        </w:rPr>
        <w:t xml:space="preserve">           </w:t>
      </w:r>
    </w:p>
    <w:p w:rsidR="00B25705" w:rsidRPr="002357A9" w:rsidRDefault="00B25705" w:rsidP="00B25705">
      <w:pPr>
        <w:pStyle w:val="ListParagraph"/>
        <w:spacing w:after="0" w:line="240" w:lineRule="auto"/>
        <w:rPr>
          <w:rFonts w:ascii="Palatino Linotype" w:hAnsi="Palatino Linotype" w:cs="Arial"/>
          <w:b/>
          <w:bCs/>
          <w:sz w:val="22"/>
          <w:szCs w:val="22"/>
        </w:rPr>
      </w:pPr>
      <w:r w:rsidRPr="002357A9">
        <w:rPr>
          <w:rFonts w:ascii="Palatino Linotype" w:hAnsi="Palatino Linotype" w:cs="Arial"/>
          <w:b/>
          <w:bCs/>
          <w:sz w:val="22"/>
          <w:szCs w:val="22"/>
        </w:rPr>
        <w:t>Table 4: Snapshot of Indian Commodity Derivative Markets</w:t>
      </w:r>
    </w:p>
    <w:tbl>
      <w:tblPr>
        <w:tblpPr w:leftFromText="180" w:rightFromText="180" w:vertAnchor="text" w:tblpXSpec="center" w:tblpY="1"/>
        <w:tblOverlap w:val="never"/>
        <w:tblW w:w="9158" w:type="dxa"/>
        <w:jc w:val="center"/>
        <w:tblLook w:val="04A0" w:firstRow="1" w:lastRow="0" w:firstColumn="1" w:lastColumn="0" w:noHBand="0" w:noVBand="1"/>
      </w:tblPr>
      <w:tblGrid>
        <w:gridCol w:w="3410"/>
        <w:gridCol w:w="1176"/>
        <w:gridCol w:w="1288"/>
        <w:gridCol w:w="1375"/>
        <w:gridCol w:w="1909"/>
      </w:tblGrid>
      <w:tr w:rsidR="00B25705" w:rsidRPr="002357A9" w:rsidTr="00B25705">
        <w:trPr>
          <w:trHeight w:val="573"/>
          <w:jc w:val="center"/>
        </w:trPr>
        <w:tc>
          <w:tcPr>
            <w:tcW w:w="341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hideMark/>
          </w:tcPr>
          <w:p w:rsidR="00B25705" w:rsidRPr="00DF31BD" w:rsidRDefault="00B25705" w:rsidP="00B25705">
            <w:pPr>
              <w:jc w:val="center"/>
              <w:rPr>
                <w:rFonts w:ascii="Palatino Linotype" w:hAnsi="Palatino Linotype" w:cs="Arial"/>
                <w:b/>
                <w:bCs/>
                <w:sz w:val="18"/>
                <w:szCs w:val="18"/>
              </w:rPr>
            </w:pPr>
            <w:r w:rsidRPr="00DF31BD">
              <w:rPr>
                <w:rFonts w:ascii="Palatino Linotype" w:hAnsi="Palatino Linotype" w:cs="Arial"/>
                <w:b/>
                <w:bCs/>
                <w:sz w:val="18"/>
                <w:szCs w:val="18"/>
              </w:rPr>
              <w:t>Items</w:t>
            </w:r>
          </w:p>
        </w:tc>
        <w:tc>
          <w:tcPr>
            <w:tcW w:w="11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hideMark/>
          </w:tcPr>
          <w:p w:rsidR="00B25705" w:rsidRPr="00DF31BD" w:rsidRDefault="00B25705" w:rsidP="00B25705">
            <w:pPr>
              <w:jc w:val="center"/>
              <w:rPr>
                <w:rFonts w:ascii="Palatino Linotype" w:hAnsi="Palatino Linotype" w:cs="Arial"/>
                <w:b/>
                <w:bCs/>
                <w:sz w:val="18"/>
                <w:szCs w:val="18"/>
              </w:rPr>
            </w:pPr>
            <w:r w:rsidRPr="00DF31BD">
              <w:rPr>
                <w:rFonts w:ascii="Palatino Linotype" w:hAnsi="Palatino Linotype" w:cs="Arial"/>
                <w:b/>
                <w:bCs/>
                <w:sz w:val="18"/>
                <w:szCs w:val="18"/>
              </w:rPr>
              <w:t>2019-20</w:t>
            </w:r>
          </w:p>
        </w:tc>
        <w:tc>
          <w:tcPr>
            <w:tcW w:w="1288" w:type="dxa"/>
            <w:tcBorders>
              <w:top w:val="single" w:sz="4" w:space="0" w:color="auto"/>
              <w:left w:val="single" w:sz="4" w:space="0" w:color="auto"/>
              <w:right w:val="single" w:sz="4" w:space="0" w:color="auto"/>
            </w:tcBorders>
            <w:shd w:val="clear" w:color="auto" w:fill="C5E0B3" w:themeFill="accent6" w:themeFillTint="66"/>
          </w:tcPr>
          <w:p w:rsidR="00B25705" w:rsidRPr="00DF31BD" w:rsidRDefault="00B25705" w:rsidP="00B25705">
            <w:pPr>
              <w:jc w:val="center"/>
              <w:rPr>
                <w:rFonts w:ascii="Palatino Linotype" w:hAnsi="Palatino Linotype" w:cs="Arial"/>
                <w:b/>
                <w:bCs/>
                <w:sz w:val="18"/>
                <w:szCs w:val="18"/>
              </w:rPr>
            </w:pPr>
            <w:r>
              <w:rPr>
                <w:rFonts w:ascii="Palatino Linotype" w:hAnsi="Palatino Linotype" w:cs="Arial"/>
                <w:b/>
                <w:bCs/>
                <w:sz w:val="18"/>
                <w:szCs w:val="18"/>
              </w:rPr>
              <w:t>Dec</w:t>
            </w:r>
            <w:r w:rsidRPr="00DF31BD">
              <w:rPr>
                <w:rFonts w:ascii="Palatino Linotype" w:hAnsi="Palatino Linotype" w:cs="Arial"/>
                <w:b/>
                <w:bCs/>
                <w:sz w:val="18"/>
                <w:szCs w:val="18"/>
              </w:rPr>
              <w:t>- 2020</w:t>
            </w:r>
          </w:p>
        </w:tc>
        <w:tc>
          <w:tcPr>
            <w:tcW w:w="1375"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hideMark/>
          </w:tcPr>
          <w:p w:rsidR="00B25705" w:rsidRPr="00DF31BD" w:rsidRDefault="00B25705" w:rsidP="00B25705">
            <w:pPr>
              <w:jc w:val="center"/>
              <w:rPr>
                <w:rFonts w:ascii="Palatino Linotype" w:hAnsi="Palatino Linotype" w:cs="Arial"/>
                <w:b/>
                <w:bCs/>
                <w:sz w:val="18"/>
                <w:szCs w:val="18"/>
              </w:rPr>
            </w:pPr>
            <w:r>
              <w:rPr>
                <w:rFonts w:ascii="Palatino Linotype" w:hAnsi="Palatino Linotype" w:cs="Arial"/>
                <w:b/>
                <w:bCs/>
                <w:sz w:val="18"/>
                <w:szCs w:val="18"/>
              </w:rPr>
              <w:t>Jan</w:t>
            </w:r>
            <w:r w:rsidRPr="00DF31BD">
              <w:rPr>
                <w:rFonts w:ascii="Palatino Linotype" w:hAnsi="Palatino Linotype" w:cs="Arial"/>
                <w:b/>
                <w:bCs/>
                <w:sz w:val="18"/>
                <w:szCs w:val="18"/>
              </w:rPr>
              <w:t xml:space="preserve"> -202</w:t>
            </w:r>
            <w:r>
              <w:rPr>
                <w:rFonts w:ascii="Palatino Linotype" w:hAnsi="Palatino Linotype" w:cs="Arial"/>
                <w:b/>
                <w:bCs/>
                <w:sz w:val="18"/>
                <w:szCs w:val="18"/>
              </w:rPr>
              <w:t>1</w:t>
            </w:r>
          </w:p>
        </w:tc>
        <w:tc>
          <w:tcPr>
            <w:tcW w:w="1908" w:type="dxa"/>
            <w:tcBorders>
              <w:top w:val="single" w:sz="4" w:space="0" w:color="auto"/>
              <w:left w:val="single" w:sz="4" w:space="0" w:color="auto"/>
              <w:bottom w:val="single" w:sz="4" w:space="0" w:color="000000"/>
              <w:right w:val="single" w:sz="4" w:space="0" w:color="auto"/>
            </w:tcBorders>
            <w:shd w:val="clear" w:color="auto" w:fill="C5E0B3" w:themeFill="accent6" w:themeFillTint="66"/>
            <w:hideMark/>
          </w:tcPr>
          <w:p w:rsidR="00B25705" w:rsidRDefault="00B25705" w:rsidP="00B25705">
            <w:pPr>
              <w:jc w:val="center"/>
              <w:rPr>
                <w:rFonts w:ascii="Palatino Linotype" w:hAnsi="Palatino Linotype" w:cs="Arial"/>
                <w:b/>
                <w:bCs/>
                <w:sz w:val="18"/>
                <w:szCs w:val="18"/>
              </w:rPr>
            </w:pPr>
            <w:r w:rsidRPr="00DF31BD">
              <w:rPr>
                <w:rFonts w:ascii="Palatino Linotype" w:hAnsi="Palatino Linotype" w:cs="Arial"/>
                <w:b/>
                <w:bCs/>
                <w:sz w:val="18"/>
                <w:szCs w:val="18"/>
              </w:rPr>
              <w:t>Percentage variation</w:t>
            </w:r>
          </w:p>
          <w:p w:rsidR="00B25705" w:rsidRPr="00DF31BD" w:rsidRDefault="00B25705" w:rsidP="00B25705">
            <w:pPr>
              <w:jc w:val="center"/>
              <w:rPr>
                <w:rFonts w:ascii="Palatino Linotype" w:hAnsi="Palatino Linotype" w:cs="Arial"/>
                <w:b/>
                <w:bCs/>
                <w:sz w:val="18"/>
                <w:szCs w:val="18"/>
              </w:rPr>
            </w:pPr>
            <w:r w:rsidRPr="00DF31BD">
              <w:rPr>
                <w:rFonts w:ascii="Palatino Linotype" w:hAnsi="Palatino Linotype" w:cs="Arial"/>
                <w:b/>
                <w:bCs/>
                <w:sz w:val="18"/>
                <w:szCs w:val="18"/>
              </w:rPr>
              <w:t>M-o-M</w:t>
            </w:r>
          </w:p>
        </w:tc>
      </w:tr>
      <w:tr w:rsidR="00B25705" w:rsidRPr="002357A9" w:rsidTr="00B25705">
        <w:trPr>
          <w:trHeight w:val="300"/>
          <w:jc w:val="center"/>
        </w:trPr>
        <w:tc>
          <w:tcPr>
            <w:tcW w:w="9158" w:type="dxa"/>
            <w:gridSpan w:val="5"/>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pStyle w:val="ListParagraph"/>
              <w:numPr>
                <w:ilvl w:val="0"/>
                <w:numId w:val="11"/>
              </w:numPr>
              <w:spacing w:after="0" w:line="240" w:lineRule="auto"/>
              <w:ind w:left="317" w:hanging="284"/>
              <w:rPr>
                <w:rFonts w:ascii="Palatino Linotype" w:hAnsi="Palatino Linotype" w:cs="Arial"/>
                <w:b/>
                <w:bCs/>
                <w:sz w:val="18"/>
                <w:szCs w:val="18"/>
              </w:rPr>
            </w:pPr>
            <w:r w:rsidRPr="00DF31BD">
              <w:rPr>
                <w:rFonts w:ascii="Palatino Linotype" w:hAnsi="Palatino Linotype" w:cs="Arial"/>
                <w:b/>
                <w:bCs/>
                <w:sz w:val="18"/>
                <w:szCs w:val="18"/>
              </w:rPr>
              <w:t>Indices</w:t>
            </w:r>
          </w:p>
        </w:tc>
      </w:tr>
      <w:tr w:rsidR="00B25705" w:rsidRPr="002357A9" w:rsidTr="00B25705">
        <w:trPr>
          <w:trHeight w:val="183"/>
          <w:jc w:val="center"/>
        </w:trPr>
        <w:tc>
          <w:tcPr>
            <w:tcW w:w="3410" w:type="dxa"/>
            <w:tcBorders>
              <w:top w:val="nil"/>
              <w:left w:val="single" w:sz="4" w:space="0" w:color="auto"/>
              <w:bottom w:val="single" w:sz="4" w:space="0" w:color="auto"/>
              <w:right w:val="single" w:sz="4" w:space="0" w:color="auto"/>
            </w:tcBorders>
            <w:shd w:val="clear" w:color="auto" w:fill="auto"/>
            <w:noWrap/>
            <w:hideMark/>
          </w:tcPr>
          <w:p w:rsidR="00B25705" w:rsidRPr="00DF31BD" w:rsidRDefault="00B25705" w:rsidP="00B25705">
            <w:pPr>
              <w:rPr>
                <w:rFonts w:ascii="Palatino Linotype" w:hAnsi="Palatino Linotype" w:cs="Arial"/>
                <w:bCs/>
                <w:sz w:val="18"/>
                <w:szCs w:val="18"/>
              </w:rPr>
            </w:pPr>
            <w:r w:rsidRPr="00DF31BD">
              <w:rPr>
                <w:rFonts w:ascii="Palatino Linotype" w:hAnsi="Palatino Linotype" w:cs="Arial"/>
                <w:bCs/>
                <w:sz w:val="18"/>
                <w:szCs w:val="18"/>
              </w:rPr>
              <w:t>Nkrishi</w:t>
            </w:r>
          </w:p>
        </w:tc>
        <w:tc>
          <w:tcPr>
            <w:tcW w:w="1176" w:type="dxa"/>
            <w:tcBorders>
              <w:top w:val="nil"/>
              <w:left w:val="nil"/>
              <w:bottom w:val="single" w:sz="4" w:space="0" w:color="auto"/>
              <w:right w:val="single" w:sz="4" w:space="0" w:color="auto"/>
            </w:tcBorders>
            <w:shd w:val="clear" w:color="auto" w:fill="auto"/>
            <w:noWrap/>
            <w:hideMark/>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 3,179.9</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3,666.0</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3,708.0</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1.1</w:t>
            </w:r>
          </w:p>
        </w:tc>
      </w:tr>
      <w:tr w:rsidR="00B25705" w:rsidRPr="002357A9" w:rsidTr="00B25705">
        <w:trPr>
          <w:trHeight w:val="183"/>
          <w:jc w:val="center"/>
        </w:trPr>
        <w:tc>
          <w:tcPr>
            <w:tcW w:w="3410"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rPr>
                <w:rFonts w:ascii="Palatino Linotype" w:hAnsi="Palatino Linotype" w:cs="Arial"/>
                <w:bCs/>
                <w:sz w:val="18"/>
                <w:szCs w:val="18"/>
              </w:rPr>
            </w:pPr>
            <w:r w:rsidRPr="00DF31BD">
              <w:rPr>
                <w:rFonts w:ascii="Palatino Linotype" w:hAnsi="Palatino Linotype" w:cs="Arial"/>
                <w:bCs/>
                <w:sz w:val="18"/>
                <w:szCs w:val="18"/>
              </w:rPr>
              <w:t>MCX iCOMDEX</w:t>
            </w:r>
          </w:p>
        </w:tc>
        <w:tc>
          <w:tcPr>
            <w:tcW w:w="1176"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8,255.5</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10,503.8</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10,638.0</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1.3</w:t>
            </w:r>
          </w:p>
        </w:tc>
      </w:tr>
      <w:tr w:rsidR="00B25705" w:rsidRPr="002357A9" w:rsidTr="00B25705">
        <w:trPr>
          <w:trHeight w:val="183"/>
          <w:jc w:val="center"/>
        </w:trPr>
        <w:tc>
          <w:tcPr>
            <w:tcW w:w="9158" w:type="dxa"/>
            <w:gridSpan w:val="5"/>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pStyle w:val="ListParagraph"/>
              <w:numPr>
                <w:ilvl w:val="0"/>
                <w:numId w:val="11"/>
              </w:numPr>
              <w:spacing w:after="0" w:line="240" w:lineRule="auto"/>
              <w:ind w:left="317" w:hanging="317"/>
              <w:rPr>
                <w:rFonts w:ascii="Palatino Linotype" w:hAnsi="Palatino Linotype" w:cs="Arial"/>
                <w:bCs/>
                <w:sz w:val="18"/>
                <w:szCs w:val="18"/>
              </w:rPr>
            </w:pPr>
            <w:r w:rsidRPr="00DF31BD">
              <w:rPr>
                <w:rFonts w:ascii="Palatino Linotype" w:hAnsi="Palatino Linotype" w:cs="Arial"/>
                <w:b/>
                <w:bCs/>
                <w:sz w:val="18"/>
                <w:szCs w:val="18"/>
              </w:rPr>
              <w:t>Turnover (</w:t>
            </w:r>
            <w:r w:rsidRPr="00DF31BD">
              <w:rPr>
                <w:rFonts w:ascii="Times New Roman" w:hAnsi="Times New Roman"/>
                <w:b/>
                <w:bCs/>
                <w:sz w:val="18"/>
                <w:szCs w:val="18"/>
              </w:rPr>
              <w:t>₹</w:t>
            </w:r>
            <w:r w:rsidRPr="00DF31BD">
              <w:rPr>
                <w:rFonts w:ascii="Palatino Linotype" w:hAnsi="Palatino Linotype" w:cs="Arial"/>
                <w:b/>
                <w:bCs/>
                <w:sz w:val="18"/>
                <w:szCs w:val="18"/>
              </w:rPr>
              <w:t>crore)</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hideMark/>
          </w:tcPr>
          <w:p w:rsidR="00B25705" w:rsidRPr="00DF31BD" w:rsidRDefault="00B25705" w:rsidP="00B25705">
            <w:pPr>
              <w:rPr>
                <w:rFonts w:ascii="Palatino Linotype" w:hAnsi="Palatino Linotype" w:cs="Arial"/>
                <w:b/>
                <w:bCs/>
                <w:sz w:val="18"/>
                <w:szCs w:val="18"/>
              </w:rPr>
            </w:pPr>
            <w:r w:rsidRPr="00DF31BD">
              <w:rPr>
                <w:rFonts w:ascii="Palatino Linotype" w:hAnsi="Palatino Linotype" w:cs="Arial"/>
                <w:b/>
                <w:bCs/>
                <w:sz w:val="18"/>
                <w:szCs w:val="18"/>
              </w:rPr>
              <w:t>All-India</w:t>
            </w:r>
          </w:p>
        </w:tc>
        <w:tc>
          <w:tcPr>
            <w:tcW w:w="1176" w:type="dxa"/>
            <w:tcBorders>
              <w:top w:val="nil"/>
              <w:left w:val="single" w:sz="4" w:space="0" w:color="auto"/>
              <w:bottom w:val="single" w:sz="4" w:space="0" w:color="auto"/>
              <w:right w:val="single" w:sz="4" w:space="0" w:color="auto"/>
            </w:tcBorders>
            <w:shd w:val="clear" w:color="auto" w:fill="auto"/>
            <w:noWrap/>
            <w:hideMark/>
          </w:tcPr>
          <w:p w:rsidR="00B25705" w:rsidRPr="00DF31BD" w:rsidRDefault="00B25705" w:rsidP="00B25705">
            <w:pPr>
              <w:jc w:val="right"/>
              <w:rPr>
                <w:rFonts w:ascii="Palatino Linotype" w:hAnsi="Palatino Linotype" w:cs="Arial"/>
                <w:b/>
                <w:bCs/>
                <w:sz w:val="18"/>
                <w:szCs w:val="18"/>
              </w:rPr>
            </w:pPr>
            <w:r w:rsidRPr="00DF31BD">
              <w:rPr>
                <w:rFonts w:ascii="Palatino Linotype" w:hAnsi="Palatino Linotype" w:cs="Arial"/>
                <w:b/>
                <w:bCs/>
                <w:sz w:val="18"/>
                <w:szCs w:val="18"/>
              </w:rPr>
              <w:t>92,24,8</w:t>
            </w:r>
            <w:r>
              <w:rPr>
                <w:rFonts w:ascii="Palatino Linotype" w:hAnsi="Palatino Linotype" w:cs="Arial"/>
                <w:b/>
                <w:bCs/>
                <w:sz w:val="18"/>
                <w:szCs w:val="18"/>
              </w:rPr>
              <w:t>39.9</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7,79,471.3</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7,67,726.7</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-1.5</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
                <w:bCs/>
                <w:sz w:val="18"/>
                <w:szCs w:val="18"/>
              </w:rPr>
            </w:pPr>
            <w:r w:rsidRPr="00DF31BD">
              <w:rPr>
                <w:rFonts w:ascii="Palatino Linotype" w:hAnsi="Palatino Linotype" w:cs="Arial"/>
                <w:b/>
                <w:bCs/>
                <w:sz w:val="18"/>
                <w:szCs w:val="18"/>
              </w:rPr>
              <w:t>MCX, of which</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tabs>
                <w:tab w:val="right" w:pos="912"/>
              </w:tabs>
              <w:rPr>
                <w:rFonts w:ascii="Palatino Linotype" w:hAnsi="Palatino Linotype" w:cs="Arial"/>
                <w:b/>
                <w:bCs/>
                <w:sz w:val="18"/>
                <w:szCs w:val="18"/>
              </w:rPr>
            </w:pPr>
            <w:r>
              <w:rPr>
                <w:rFonts w:ascii="Palatino Linotype" w:hAnsi="Palatino Linotype" w:cs="Arial"/>
                <w:b/>
                <w:bCs/>
                <w:sz w:val="18"/>
                <w:szCs w:val="18"/>
              </w:rPr>
              <w:t xml:space="preserve"> 86,89,517.6</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 xml:space="preserve"> 6,75,292.2</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6,69,693.7</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-0.8</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sidRPr="00DF31BD">
              <w:rPr>
                <w:rFonts w:ascii="Palatino Linotype" w:hAnsi="Palatino Linotype" w:cs="Arial"/>
                <w:bCs/>
                <w:sz w:val="18"/>
                <w:szCs w:val="18"/>
              </w:rPr>
              <w:t>83,97,775</w:t>
            </w:r>
            <w:r>
              <w:rPr>
                <w:rFonts w:ascii="Palatino Linotype" w:hAnsi="Palatino Linotype" w:cs="Arial"/>
                <w:bCs/>
                <w:sz w:val="18"/>
                <w:szCs w:val="18"/>
              </w:rPr>
              <w:t>.0</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6,60,033.7</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6,43,734.6</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-2.5</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 xml:space="preserve">  2,91,742..7</w:t>
            </w:r>
            <w:r w:rsidRPr="00DF31BD">
              <w:rPr>
                <w:rFonts w:ascii="Palatino Linotype" w:hAnsi="Palatino Linotype" w:cs="Arial"/>
                <w:bCs/>
                <w:sz w:val="18"/>
                <w:szCs w:val="18"/>
              </w:rPr>
              <w:t xml:space="preserve"> </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15,258.5</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25,959.1</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70.1</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
                <w:bCs/>
                <w:sz w:val="18"/>
                <w:szCs w:val="18"/>
              </w:rPr>
              <w:t>BSE, of which</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
                <w:bCs/>
                <w:sz w:val="18"/>
                <w:szCs w:val="18"/>
              </w:rPr>
              <w:t>46,438.7</w:t>
            </w:r>
            <w:r w:rsidRPr="00DF31BD">
              <w:rPr>
                <w:rFonts w:ascii="Palatino Linotype" w:hAnsi="Palatino Linotype" w:cs="Arial"/>
                <w:b/>
                <w:bCs/>
                <w:sz w:val="18"/>
                <w:szCs w:val="18"/>
              </w:rPr>
              <w:t xml:space="preserve">     </w:t>
            </w:r>
          </w:p>
        </w:tc>
        <w:tc>
          <w:tcPr>
            <w:tcW w:w="1288" w:type="dxa"/>
            <w:tcBorders>
              <w:top w:val="single" w:sz="4" w:space="0" w:color="auto"/>
              <w:left w:val="single" w:sz="4" w:space="0" w:color="auto"/>
              <w:bottom w:val="single" w:sz="4" w:space="0" w:color="auto"/>
              <w:right w:val="single" w:sz="4" w:space="0" w:color="auto"/>
            </w:tcBorders>
          </w:tcPr>
          <w:p w:rsidR="00B25705" w:rsidRPr="00184B26" w:rsidRDefault="00B25705" w:rsidP="00B25705">
            <w:pPr>
              <w:jc w:val="right"/>
              <w:rPr>
                <w:rFonts w:ascii="Palatino Linotype" w:hAnsi="Palatino Linotype" w:cs="Arial"/>
                <w:b/>
                <w:sz w:val="18"/>
                <w:szCs w:val="18"/>
              </w:rPr>
            </w:pPr>
            <w:r w:rsidRPr="00184B26">
              <w:rPr>
                <w:rFonts w:ascii="Palatino Linotype" w:hAnsi="Palatino Linotype" w:cs="Arial"/>
                <w:b/>
                <w:sz w:val="18"/>
                <w:szCs w:val="18"/>
              </w:rPr>
              <w:t>66,922.5</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184B26" w:rsidRDefault="00B25705" w:rsidP="00B25705">
            <w:pPr>
              <w:jc w:val="right"/>
              <w:rPr>
                <w:rFonts w:ascii="Palatino Linotype" w:hAnsi="Palatino Linotype" w:cs="Arial"/>
                <w:b/>
                <w:sz w:val="18"/>
                <w:szCs w:val="18"/>
              </w:rPr>
            </w:pPr>
            <w:r w:rsidRPr="00184B26">
              <w:rPr>
                <w:rFonts w:ascii="Palatino Linotype" w:hAnsi="Palatino Linotype" w:cs="Arial"/>
                <w:b/>
                <w:sz w:val="18"/>
                <w:szCs w:val="18"/>
              </w:rPr>
              <w:t>62,537.6</w:t>
            </w:r>
          </w:p>
        </w:tc>
        <w:tc>
          <w:tcPr>
            <w:tcW w:w="1908" w:type="dxa"/>
            <w:tcBorders>
              <w:top w:val="nil"/>
              <w:left w:val="nil"/>
              <w:bottom w:val="single" w:sz="4" w:space="0" w:color="auto"/>
              <w:right w:val="single" w:sz="4" w:space="0" w:color="auto"/>
            </w:tcBorders>
            <w:shd w:val="clear" w:color="auto" w:fill="auto"/>
            <w:noWrap/>
          </w:tcPr>
          <w:p w:rsidR="00B25705" w:rsidRPr="008219E0" w:rsidRDefault="00B25705" w:rsidP="00B25705">
            <w:pPr>
              <w:jc w:val="right"/>
              <w:rPr>
                <w:rFonts w:ascii="Palatino Linotype" w:hAnsi="Palatino Linotype" w:cs="Arial"/>
                <w:b/>
                <w:sz w:val="18"/>
                <w:szCs w:val="18"/>
              </w:rPr>
            </w:pPr>
            <w:r w:rsidRPr="008219E0">
              <w:rPr>
                <w:rFonts w:ascii="Palatino Linotype" w:hAnsi="Palatino Linotype" w:cs="Arial"/>
                <w:b/>
                <w:sz w:val="18"/>
                <w:szCs w:val="18"/>
              </w:rPr>
              <w:t>-6.6</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sz w:val="18"/>
                <w:szCs w:val="18"/>
              </w:rPr>
              <w:t>46,438.7</w:t>
            </w:r>
            <w:r w:rsidRPr="00DF31BD">
              <w:rPr>
                <w:rFonts w:ascii="Palatino Linotype" w:hAnsi="Palatino Linotype" w:cs="Arial"/>
                <w:sz w:val="18"/>
                <w:szCs w:val="18"/>
              </w:rPr>
              <w:t xml:space="preserve">     </w:t>
            </w:r>
          </w:p>
        </w:tc>
        <w:tc>
          <w:tcPr>
            <w:tcW w:w="1288" w:type="dxa"/>
            <w:tcBorders>
              <w:top w:val="single" w:sz="4" w:space="0" w:color="auto"/>
              <w:left w:val="single" w:sz="4" w:space="0" w:color="auto"/>
              <w:bottom w:val="single" w:sz="4" w:space="0" w:color="auto"/>
              <w:right w:val="single" w:sz="4" w:space="0" w:color="auto"/>
            </w:tcBorders>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121.4</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96.7</w:t>
            </w:r>
          </w:p>
        </w:tc>
        <w:tc>
          <w:tcPr>
            <w:tcW w:w="1908" w:type="dxa"/>
            <w:tcBorders>
              <w:top w:val="nil"/>
              <w:left w:val="nil"/>
              <w:bottom w:val="single" w:sz="4" w:space="0" w:color="auto"/>
              <w:right w:val="single" w:sz="4" w:space="0" w:color="auto"/>
            </w:tcBorders>
            <w:shd w:val="clear" w:color="auto" w:fill="auto"/>
            <w:noWrap/>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-20.4</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sidRPr="00DF31BD">
              <w:rPr>
                <w:rFonts w:ascii="Palatino Linotype" w:hAnsi="Palatino Linotype" w:cs="Arial"/>
                <w:b/>
                <w:bCs/>
                <w:sz w:val="18"/>
                <w:szCs w:val="18"/>
              </w:rPr>
              <w:t>-</w:t>
            </w:r>
          </w:p>
        </w:tc>
        <w:tc>
          <w:tcPr>
            <w:tcW w:w="1288" w:type="dxa"/>
            <w:tcBorders>
              <w:top w:val="single" w:sz="4" w:space="0" w:color="auto"/>
              <w:left w:val="single" w:sz="4" w:space="0" w:color="auto"/>
              <w:bottom w:val="single" w:sz="4" w:space="0" w:color="auto"/>
              <w:right w:val="single" w:sz="4" w:space="0" w:color="auto"/>
            </w:tcBorders>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66,801.0</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62,440.9</w:t>
            </w:r>
          </w:p>
        </w:tc>
        <w:tc>
          <w:tcPr>
            <w:tcW w:w="1908" w:type="dxa"/>
            <w:tcBorders>
              <w:top w:val="nil"/>
              <w:left w:val="nil"/>
              <w:bottom w:val="single" w:sz="4" w:space="0" w:color="auto"/>
              <w:right w:val="single" w:sz="4" w:space="0" w:color="auto"/>
            </w:tcBorders>
            <w:shd w:val="clear" w:color="auto" w:fill="auto"/>
            <w:noWrap/>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-6.5</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
                <w:bCs/>
                <w:sz w:val="18"/>
                <w:szCs w:val="18"/>
              </w:rPr>
            </w:pPr>
            <w:r w:rsidRPr="00DF31BD">
              <w:rPr>
                <w:rFonts w:ascii="Palatino Linotype" w:hAnsi="Palatino Linotype" w:cs="Arial"/>
                <w:b/>
                <w:bCs/>
                <w:sz w:val="18"/>
                <w:szCs w:val="18"/>
              </w:rPr>
              <w:t>NCDEX, of which</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
                <w:bCs/>
                <w:sz w:val="18"/>
                <w:szCs w:val="18"/>
              </w:rPr>
            </w:pPr>
            <w:r w:rsidRPr="00DF31BD">
              <w:rPr>
                <w:rFonts w:ascii="Palatino Linotype" w:hAnsi="Palatino Linotype" w:cs="Arial"/>
                <w:b/>
                <w:bCs/>
                <w:sz w:val="18"/>
                <w:szCs w:val="18"/>
              </w:rPr>
              <w:t>4,42,009</w:t>
            </w:r>
            <w:r>
              <w:rPr>
                <w:rFonts w:ascii="Palatino Linotype" w:hAnsi="Palatino Linotype" w:cs="Arial"/>
                <w:b/>
                <w:bCs/>
                <w:sz w:val="18"/>
                <w:szCs w:val="18"/>
              </w:rPr>
              <w:t>.1</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34,267.0</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32,731.4</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-4.5</w:t>
            </w:r>
          </w:p>
        </w:tc>
      </w:tr>
      <w:tr w:rsidR="00B25705" w:rsidRPr="002357A9" w:rsidTr="00B25705">
        <w:trPr>
          <w:trHeight w:val="254"/>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sidRPr="00DF31BD">
              <w:rPr>
                <w:rFonts w:ascii="Palatino Linotype" w:hAnsi="Palatino Linotype" w:cs="Arial"/>
                <w:bCs/>
                <w:sz w:val="18"/>
                <w:szCs w:val="18"/>
              </w:rPr>
              <w:t xml:space="preserve"> 4,41,967</w:t>
            </w:r>
            <w:r>
              <w:rPr>
                <w:rFonts w:ascii="Palatino Linotype" w:hAnsi="Palatino Linotype" w:cs="Arial"/>
                <w:bCs/>
                <w:sz w:val="18"/>
                <w:szCs w:val="18"/>
              </w:rPr>
              <w:t>.0</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34,253.6</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32,730.1</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-4.4</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sidRPr="00DF31BD">
              <w:rPr>
                <w:rFonts w:ascii="Palatino Linotype" w:hAnsi="Palatino Linotype" w:cs="Arial"/>
                <w:bCs/>
                <w:sz w:val="18"/>
                <w:szCs w:val="18"/>
              </w:rPr>
              <w:t xml:space="preserve">      </w:t>
            </w:r>
            <w:r>
              <w:rPr>
                <w:rFonts w:ascii="Palatino Linotype" w:hAnsi="Palatino Linotype" w:cs="Arial"/>
                <w:bCs/>
                <w:sz w:val="18"/>
                <w:szCs w:val="18"/>
              </w:rPr>
              <w:t xml:space="preserve">  </w:t>
            </w:r>
            <w:r w:rsidRPr="00DF31BD">
              <w:rPr>
                <w:rFonts w:ascii="Palatino Linotype" w:hAnsi="Palatino Linotype" w:cs="Arial"/>
                <w:bCs/>
                <w:sz w:val="18"/>
                <w:szCs w:val="18"/>
              </w:rPr>
              <w:t xml:space="preserve">   </w:t>
            </w:r>
            <w:r>
              <w:rPr>
                <w:rFonts w:ascii="Palatino Linotype" w:hAnsi="Palatino Linotype" w:cs="Arial"/>
                <w:bCs/>
                <w:sz w:val="18"/>
                <w:szCs w:val="18"/>
              </w:rPr>
              <w:t xml:space="preserve"> </w:t>
            </w:r>
            <w:r w:rsidRPr="00DF31BD">
              <w:rPr>
                <w:rFonts w:ascii="Palatino Linotype" w:hAnsi="Palatino Linotype" w:cs="Arial"/>
                <w:bCs/>
                <w:sz w:val="18"/>
                <w:szCs w:val="18"/>
              </w:rPr>
              <w:t xml:space="preserve">42.2 </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13.4</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1.2</w:t>
            </w:r>
          </w:p>
        </w:tc>
        <w:tc>
          <w:tcPr>
            <w:tcW w:w="1908" w:type="dxa"/>
            <w:tcBorders>
              <w:top w:val="nil"/>
              <w:left w:val="nil"/>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Pr>
                <w:rFonts w:ascii="Palatino Linotype" w:hAnsi="Palatino Linotype" w:cs="Arial"/>
                <w:bCs/>
                <w:sz w:val="18"/>
                <w:szCs w:val="18"/>
              </w:rPr>
              <w:t>-90.8</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
                <w:bCs/>
                <w:sz w:val="18"/>
                <w:szCs w:val="18"/>
              </w:rPr>
              <w:t>NSE, of which</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sidRPr="00DF31BD">
              <w:rPr>
                <w:rFonts w:ascii="Palatino Linotype" w:hAnsi="Palatino Linotype" w:cs="Arial"/>
                <w:b/>
                <w:bCs/>
                <w:sz w:val="18"/>
                <w:szCs w:val="18"/>
              </w:rPr>
              <w:t xml:space="preserve">       6,362</w:t>
            </w:r>
            <w:r>
              <w:rPr>
                <w:rFonts w:ascii="Palatino Linotype" w:hAnsi="Palatino Linotype" w:cs="Arial"/>
                <w:b/>
                <w:bCs/>
                <w:sz w:val="18"/>
                <w:szCs w:val="18"/>
              </w:rPr>
              <w:t>.0</w:t>
            </w:r>
            <w:r w:rsidRPr="00DF31BD">
              <w:rPr>
                <w:rFonts w:ascii="Palatino Linotype" w:hAnsi="Palatino Linotype" w:cs="Arial"/>
                <w:b/>
                <w:bCs/>
                <w:sz w:val="18"/>
                <w:szCs w:val="18"/>
              </w:rPr>
              <w:t xml:space="preserve"> </w:t>
            </w:r>
          </w:p>
        </w:tc>
        <w:tc>
          <w:tcPr>
            <w:tcW w:w="1288" w:type="dxa"/>
            <w:tcBorders>
              <w:top w:val="single" w:sz="4" w:space="0" w:color="auto"/>
              <w:left w:val="single" w:sz="4" w:space="0" w:color="auto"/>
              <w:bottom w:val="single" w:sz="4" w:space="0" w:color="auto"/>
              <w:right w:val="single" w:sz="4" w:space="0" w:color="auto"/>
            </w:tcBorders>
          </w:tcPr>
          <w:p w:rsidR="00B25705" w:rsidRDefault="00B25705" w:rsidP="00B25705">
            <w:pPr>
              <w:jc w:val="right"/>
              <w:rPr>
                <w:rFonts w:ascii="Palatino Linotype" w:hAnsi="Palatino Linotype" w:cs="Arial"/>
                <w:bCs/>
                <w:sz w:val="18"/>
                <w:szCs w:val="18"/>
              </w:rPr>
            </w:pPr>
            <w:r>
              <w:rPr>
                <w:rFonts w:ascii="Palatino Linotype" w:hAnsi="Palatino Linotype" w:cs="Arial"/>
                <w:b/>
                <w:sz w:val="18"/>
                <w:szCs w:val="18"/>
              </w:rPr>
              <w:t>2,986.9</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B46A54" w:rsidRDefault="00B25705" w:rsidP="00B25705">
            <w:pPr>
              <w:tabs>
                <w:tab w:val="left" w:pos="252"/>
                <w:tab w:val="center" w:pos="551"/>
              </w:tabs>
              <w:jc w:val="right"/>
              <w:rPr>
                <w:rFonts w:ascii="Palatino Linotype" w:hAnsi="Palatino Linotype" w:cs="Arial"/>
                <w:b/>
                <w:sz w:val="18"/>
                <w:szCs w:val="18"/>
              </w:rPr>
            </w:pPr>
            <w:r>
              <w:rPr>
                <w:rFonts w:ascii="Palatino Linotype" w:hAnsi="Palatino Linotype" w:cs="Arial"/>
                <w:b/>
                <w:sz w:val="18"/>
                <w:szCs w:val="18"/>
              </w:rPr>
              <w:t>2,751.0</w:t>
            </w:r>
          </w:p>
        </w:tc>
        <w:tc>
          <w:tcPr>
            <w:tcW w:w="1908" w:type="dxa"/>
            <w:tcBorders>
              <w:top w:val="nil"/>
              <w:left w:val="nil"/>
              <w:bottom w:val="single" w:sz="4" w:space="0" w:color="auto"/>
              <w:right w:val="single" w:sz="4" w:space="0" w:color="auto"/>
            </w:tcBorders>
            <w:shd w:val="clear" w:color="auto" w:fill="auto"/>
            <w:noWrap/>
          </w:tcPr>
          <w:p w:rsidR="00B25705" w:rsidRPr="008219E0" w:rsidRDefault="00B25705" w:rsidP="00B25705">
            <w:pPr>
              <w:jc w:val="right"/>
              <w:rPr>
                <w:rFonts w:ascii="Palatino Linotype" w:hAnsi="Palatino Linotype" w:cs="Arial"/>
                <w:b/>
                <w:sz w:val="18"/>
                <w:szCs w:val="18"/>
              </w:rPr>
            </w:pPr>
            <w:r w:rsidRPr="008219E0">
              <w:rPr>
                <w:rFonts w:ascii="Palatino Linotype" w:hAnsi="Palatino Linotype" w:cs="Arial"/>
                <w:b/>
                <w:sz w:val="18"/>
                <w:szCs w:val="18"/>
              </w:rPr>
              <w:t>-7.9</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sidRPr="00DF31BD">
              <w:rPr>
                <w:rFonts w:ascii="Palatino Linotype" w:hAnsi="Palatino Linotype" w:cs="Arial"/>
                <w:sz w:val="18"/>
                <w:szCs w:val="18"/>
              </w:rPr>
              <w:t xml:space="preserve">       6,362</w:t>
            </w:r>
            <w:r>
              <w:rPr>
                <w:rFonts w:ascii="Palatino Linotype" w:hAnsi="Palatino Linotype" w:cs="Arial"/>
                <w:sz w:val="18"/>
                <w:szCs w:val="18"/>
              </w:rPr>
              <w:t>.0</w:t>
            </w:r>
          </w:p>
        </w:tc>
        <w:tc>
          <w:tcPr>
            <w:tcW w:w="1288" w:type="dxa"/>
            <w:tcBorders>
              <w:top w:val="single" w:sz="4" w:space="0" w:color="auto"/>
              <w:left w:val="single" w:sz="4" w:space="0" w:color="auto"/>
              <w:bottom w:val="single" w:sz="4" w:space="0" w:color="auto"/>
              <w:right w:val="single" w:sz="4" w:space="0" w:color="auto"/>
            </w:tcBorders>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1,449.1</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Default="00B25705" w:rsidP="00B25705">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837.2</w:t>
            </w:r>
          </w:p>
        </w:tc>
        <w:tc>
          <w:tcPr>
            <w:tcW w:w="1908" w:type="dxa"/>
            <w:tcBorders>
              <w:top w:val="nil"/>
              <w:left w:val="nil"/>
              <w:bottom w:val="single" w:sz="4" w:space="0" w:color="auto"/>
              <w:right w:val="single" w:sz="4" w:space="0" w:color="auto"/>
            </w:tcBorders>
            <w:shd w:val="clear" w:color="auto" w:fill="auto"/>
            <w:noWrap/>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-42.2</w:t>
            </w:r>
          </w:p>
        </w:tc>
      </w:tr>
      <w:tr w:rsidR="00B25705" w:rsidRPr="002357A9" w:rsidTr="00B25705">
        <w:trPr>
          <w:trHeight w:val="252"/>
          <w:jc w:val="center"/>
        </w:trPr>
        <w:tc>
          <w:tcPr>
            <w:tcW w:w="3410" w:type="dxa"/>
            <w:tcBorders>
              <w:top w:val="nil"/>
              <w:left w:val="single" w:sz="4" w:space="0" w:color="auto"/>
              <w:bottom w:val="single" w:sz="4" w:space="0" w:color="auto"/>
              <w:right w:val="nil"/>
            </w:tcBorders>
            <w:shd w:val="clear" w:color="auto" w:fill="auto"/>
            <w:noWrap/>
          </w:tcPr>
          <w:p w:rsidR="00B25705" w:rsidRPr="00DF31BD" w:rsidRDefault="00B25705" w:rsidP="00B25705">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76" w:type="dxa"/>
            <w:tcBorders>
              <w:top w:val="nil"/>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Cs/>
                <w:sz w:val="18"/>
                <w:szCs w:val="18"/>
              </w:rPr>
            </w:pPr>
            <w:r w:rsidRPr="00DF31BD">
              <w:rPr>
                <w:rFonts w:ascii="Palatino Linotype" w:hAnsi="Palatino Linotype" w:cs="Arial"/>
                <w:b/>
                <w:bCs/>
                <w:sz w:val="18"/>
                <w:szCs w:val="18"/>
              </w:rPr>
              <w:t>-</w:t>
            </w:r>
          </w:p>
        </w:tc>
        <w:tc>
          <w:tcPr>
            <w:tcW w:w="1288" w:type="dxa"/>
            <w:tcBorders>
              <w:top w:val="single" w:sz="4" w:space="0" w:color="auto"/>
              <w:left w:val="single" w:sz="4" w:space="0" w:color="auto"/>
              <w:bottom w:val="single" w:sz="4" w:space="0" w:color="auto"/>
              <w:right w:val="single" w:sz="4" w:space="0" w:color="auto"/>
            </w:tcBorders>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1,537.8</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Default="00B25705" w:rsidP="00B25705">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1,913.8</w:t>
            </w:r>
          </w:p>
        </w:tc>
        <w:tc>
          <w:tcPr>
            <w:tcW w:w="1908" w:type="dxa"/>
            <w:tcBorders>
              <w:top w:val="nil"/>
              <w:left w:val="nil"/>
              <w:bottom w:val="single" w:sz="4" w:space="0" w:color="auto"/>
              <w:right w:val="single" w:sz="4" w:space="0" w:color="auto"/>
            </w:tcBorders>
            <w:shd w:val="clear" w:color="auto" w:fill="auto"/>
            <w:noWrap/>
          </w:tcPr>
          <w:p w:rsidR="00B25705" w:rsidRDefault="00B25705" w:rsidP="00B25705">
            <w:pPr>
              <w:jc w:val="right"/>
              <w:rPr>
                <w:rFonts w:ascii="Palatino Linotype" w:hAnsi="Palatino Linotype" w:cs="Arial"/>
                <w:bCs/>
                <w:sz w:val="18"/>
                <w:szCs w:val="18"/>
              </w:rPr>
            </w:pPr>
            <w:r>
              <w:rPr>
                <w:rFonts w:ascii="Palatino Linotype" w:hAnsi="Palatino Linotype" w:cs="Arial"/>
                <w:bCs/>
                <w:sz w:val="18"/>
                <w:szCs w:val="18"/>
              </w:rPr>
              <w:t>24.4</w:t>
            </w:r>
          </w:p>
        </w:tc>
      </w:tr>
      <w:tr w:rsidR="00B25705" w:rsidRPr="002357A9" w:rsidTr="00B25705">
        <w:trPr>
          <w:trHeight w:val="183"/>
          <w:jc w:val="center"/>
        </w:trPr>
        <w:tc>
          <w:tcPr>
            <w:tcW w:w="3410" w:type="dxa"/>
            <w:tcBorders>
              <w:top w:val="nil"/>
              <w:left w:val="single" w:sz="4" w:space="0" w:color="auto"/>
              <w:bottom w:val="single" w:sz="4" w:space="0" w:color="auto"/>
              <w:right w:val="single" w:sz="4" w:space="0" w:color="auto"/>
            </w:tcBorders>
            <w:shd w:val="clear" w:color="auto" w:fill="auto"/>
            <w:hideMark/>
          </w:tcPr>
          <w:p w:rsidR="00B25705" w:rsidRPr="00DF31BD" w:rsidRDefault="00B25705" w:rsidP="00B25705">
            <w:pPr>
              <w:rPr>
                <w:rFonts w:ascii="Palatino Linotype" w:hAnsi="Palatino Linotype" w:cs="Arial"/>
                <w:b/>
                <w:bCs/>
                <w:sz w:val="18"/>
                <w:szCs w:val="18"/>
              </w:rPr>
            </w:pPr>
            <w:r w:rsidRPr="00DF31BD">
              <w:rPr>
                <w:rFonts w:ascii="Palatino Linotype" w:hAnsi="Palatino Linotype" w:cs="Arial"/>
                <w:b/>
                <w:bCs/>
                <w:sz w:val="18"/>
                <w:szCs w:val="18"/>
              </w:rPr>
              <w:t>ICEX (Futures)</w:t>
            </w:r>
          </w:p>
        </w:tc>
        <w:tc>
          <w:tcPr>
            <w:tcW w:w="1176" w:type="dxa"/>
            <w:tcBorders>
              <w:top w:val="nil"/>
              <w:left w:val="nil"/>
              <w:bottom w:val="single" w:sz="4" w:space="0" w:color="auto"/>
              <w:right w:val="single" w:sz="4" w:space="0" w:color="auto"/>
            </w:tcBorders>
            <w:shd w:val="clear" w:color="auto" w:fill="auto"/>
            <w:noWrap/>
            <w:hideMark/>
          </w:tcPr>
          <w:p w:rsidR="00B25705" w:rsidRPr="00DF31BD" w:rsidRDefault="00B25705" w:rsidP="00B25705">
            <w:pPr>
              <w:jc w:val="right"/>
              <w:rPr>
                <w:rFonts w:ascii="Palatino Linotype" w:hAnsi="Palatino Linotype" w:cs="Arial"/>
                <w:b/>
                <w:bCs/>
                <w:sz w:val="18"/>
                <w:szCs w:val="18"/>
              </w:rPr>
            </w:pPr>
            <w:r w:rsidRPr="00DF31BD">
              <w:rPr>
                <w:rFonts w:ascii="Palatino Linotype" w:hAnsi="Palatino Linotype" w:cs="Arial"/>
                <w:b/>
                <w:bCs/>
                <w:sz w:val="18"/>
                <w:szCs w:val="18"/>
              </w:rPr>
              <w:t>40,511</w:t>
            </w:r>
            <w:r>
              <w:rPr>
                <w:rFonts w:ascii="Palatino Linotype" w:hAnsi="Palatino Linotype" w:cs="Arial"/>
                <w:b/>
                <w:bCs/>
                <w:sz w:val="18"/>
                <w:szCs w:val="18"/>
              </w:rPr>
              <w:t>.3</w:t>
            </w:r>
            <w:r w:rsidRPr="00DF31BD">
              <w:rPr>
                <w:rFonts w:ascii="Palatino Linotype" w:hAnsi="Palatino Linotype" w:cs="Arial"/>
                <w:b/>
                <w:bCs/>
                <w:sz w:val="18"/>
                <w:szCs w:val="18"/>
              </w:rPr>
              <w:t xml:space="preserve"> </w:t>
            </w:r>
          </w:p>
        </w:tc>
        <w:tc>
          <w:tcPr>
            <w:tcW w:w="1288" w:type="dxa"/>
            <w:tcBorders>
              <w:top w:val="single" w:sz="4" w:space="0" w:color="auto"/>
              <w:left w:val="single" w:sz="4" w:space="0" w:color="auto"/>
              <w:bottom w:val="single" w:sz="4" w:space="0" w:color="auto"/>
              <w:right w:val="single" w:sz="4" w:space="0" w:color="auto"/>
            </w:tcBorders>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2.8</w:t>
            </w:r>
          </w:p>
        </w:tc>
        <w:tc>
          <w:tcPr>
            <w:tcW w:w="1375" w:type="dxa"/>
            <w:tcBorders>
              <w:top w:val="single" w:sz="4" w:space="0" w:color="auto"/>
              <w:left w:val="single" w:sz="4" w:space="0" w:color="auto"/>
              <w:bottom w:val="single" w:sz="4" w:space="0" w:color="auto"/>
              <w:right w:val="single" w:sz="4" w:space="0" w:color="auto"/>
            </w:tcBorders>
            <w:shd w:val="clear" w:color="auto" w:fill="auto"/>
            <w:noWrap/>
          </w:tcPr>
          <w:p w:rsidR="00B25705" w:rsidRPr="00DF31BD" w:rsidRDefault="00B25705" w:rsidP="00B25705">
            <w:pPr>
              <w:jc w:val="right"/>
              <w:rPr>
                <w:rFonts w:ascii="Palatino Linotype" w:hAnsi="Palatino Linotype" w:cs="Arial"/>
                <w:b/>
                <w:bCs/>
                <w:sz w:val="18"/>
                <w:szCs w:val="18"/>
              </w:rPr>
            </w:pPr>
            <w:r>
              <w:rPr>
                <w:rFonts w:ascii="Palatino Linotype" w:hAnsi="Palatino Linotype" w:cs="Arial"/>
                <w:b/>
                <w:bCs/>
                <w:sz w:val="18"/>
                <w:szCs w:val="18"/>
              </w:rPr>
              <w:t>13.2</w:t>
            </w:r>
          </w:p>
        </w:tc>
        <w:tc>
          <w:tcPr>
            <w:tcW w:w="1908" w:type="dxa"/>
            <w:tcBorders>
              <w:top w:val="nil"/>
              <w:left w:val="nil"/>
              <w:bottom w:val="single" w:sz="4" w:space="0" w:color="auto"/>
              <w:right w:val="single" w:sz="4" w:space="0" w:color="auto"/>
            </w:tcBorders>
            <w:shd w:val="clear" w:color="auto" w:fill="auto"/>
            <w:noWrap/>
          </w:tcPr>
          <w:p w:rsidR="00B25705" w:rsidRPr="008219E0" w:rsidRDefault="00B25705" w:rsidP="00B25705">
            <w:pPr>
              <w:jc w:val="right"/>
              <w:rPr>
                <w:rFonts w:ascii="Palatino Linotype" w:hAnsi="Palatino Linotype" w:cs="Arial"/>
                <w:b/>
                <w:bCs/>
                <w:sz w:val="18"/>
                <w:szCs w:val="18"/>
              </w:rPr>
            </w:pPr>
            <w:r w:rsidRPr="008219E0">
              <w:rPr>
                <w:rFonts w:ascii="Palatino Linotype" w:hAnsi="Palatino Linotype" w:cs="Arial"/>
                <w:b/>
                <w:bCs/>
                <w:sz w:val="18"/>
                <w:szCs w:val="18"/>
              </w:rPr>
              <w:t>376.2</w:t>
            </w:r>
          </w:p>
        </w:tc>
      </w:tr>
    </w:tbl>
    <w:p w:rsidR="00B25705" w:rsidRPr="00DF31BD" w:rsidRDefault="00B25705" w:rsidP="00B25705">
      <w:pPr>
        <w:jc w:val="both"/>
        <w:rPr>
          <w:rFonts w:ascii="Palatino Linotype" w:hAnsi="Palatino Linotype" w:cs="Arial"/>
          <w:b/>
          <w:bCs/>
          <w:sz w:val="18"/>
          <w:szCs w:val="18"/>
        </w:rPr>
      </w:pPr>
      <w:r>
        <w:rPr>
          <w:rFonts w:ascii="Palatino Linotype" w:hAnsi="Palatino Linotype" w:cs="Arial"/>
          <w:b/>
          <w:bCs/>
          <w:sz w:val="18"/>
          <w:szCs w:val="18"/>
        </w:rPr>
        <w:t xml:space="preserve">      </w:t>
      </w:r>
      <w:r w:rsidRPr="00DF31BD">
        <w:rPr>
          <w:rFonts w:ascii="Palatino Linotype" w:hAnsi="Palatino Linotype" w:cs="Arial"/>
          <w:b/>
          <w:bCs/>
          <w:sz w:val="18"/>
          <w:szCs w:val="18"/>
        </w:rPr>
        <w:t xml:space="preserve">Source: </w:t>
      </w:r>
      <w:r>
        <w:rPr>
          <w:rFonts w:ascii="Palatino Linotype" w:hAnsi="Palatino Linotype" w:cs="Arial"/>
          <w:b/>
          <w:bCs/>
          <w:sz w:val="18"/>
          <w:szCs w:val="18"/>
        </w:rPr>
        <w:t>MCX, BSE, NCDEX, NSE, ICEX</w:t>
      </w:r>
      <w:r w:rsidRPr="00DF31BD">
        <w:rPr>
          <w:rFonts w:ascii="Palatino Linotype" w:hAnsi="Palatino Linotype" w:cs="Arial"/>
          <w:b/>
          <w:bCs/>
          <w:sz w:val="18"/>
          <w:szCs w:val="18"/>
        </w:rPr>
        <w:t>.</w:t>
      </w:r>
    </w:p>
    <w:p w:rsidR="00B25705" w:rsidRPr="002357A9" w:rsidRDefault="00B25705" w:rsidP="00B25705">
      <w:pPr>
        <w:jc w:val="both"/>
        <w:rPr>
          <w:rFonts w:ascii="Palatino Linotype" w:hAnsi="Palatino Linotype" w:cs="Arial"/>
          <w:b/>
          <w:bCs/>
          <w:sz w:val="22"/>
          <w:szCs w:val="22"/>
          <w:highlight w:val="yellow"/>
        </w:rPr>
      </w:pPr>
    </w:p>
    <w:p w:rsidR="00B25705" w:rsidRPr="002357A9" w:rsidRDefault="00B25705" w:rsidP="00B25705">
      <w:pPr>
        <w:jc w:val="both"/>
        <w:rPr>
          <w:rFonts w:ascii="Palatino Linotype" w:hAnsi="Palatino Linotype" w:cs="Arial"/>
          <w:b/>
          <w:bCs/>
          <w:sz w:val="22"/>
          <w:szCs w:val="22"/>
        </w:rPr>
      </w:pPr>
    </w:p>
    <w:p w:rsidR="00B25705" w:rsidRDefault="00B25705" w:rsidP="00B25705">
      <w:pPr>
        <w:ind w:left="-284"/>
        <w:jc w:val="both"/>
        <w:rPr>
          <w:rFonts w:ascii="Palatino Linotype" w:hAnsi="Palatino Linotype" w:cs="Arial"/>
          <w:b/>
          <w:bCs/>
          <w:sz w:val="22"/>
          <w:szCs w:val="22"/>
        </w:rPr>
      </w:pPr>
      <w:r w:rsidRPr="002357A9">
        <w:rPr>
          <w:rFonts w:ascii="Palatino Linotype" w:hAnsi="Palatino Linotype" w:cs="Arial"/>
          <w:b/>
          <w:bCs/>
          <w:sz w:val="22"/>
          <w:szCs w:val="22"/>
        </w:rPr>
        <w:t>B.       Turnover</w:t>
      </w:r>
    </w:p>
    <w:p w:rsidR="00B25705" w:rsidRPr="002357A9" w:rsidRDefault="00B25705" w:rsidP="00B25705">
      <w:pPr>
        <w:ind w:left="-284"/>
        <w:jc w:val="both"/>
        <w:rPr>
          <w:rFonts w:ascii="Palatino Linotype" w:hAnsi="Palatino Linotype" w:cs="Arial"/>
          <w:bCs/>
          <w:sz w:val="22"/>
          <w:szCs w:val="22"/>
        </w:rPr>
      </w:pPr>
    </w:p>
    <w:p w:rsidR="00B25705" w:rsidRPr="00D63EDD" w:rsidRDefault="00B25705" w:rsidP="00B25705">
      <w:pPr>
        <w:pStyle w:val="ListParagraph"/>
        <w:numPr>
          <w:ilvl w:val="0"/>
          <w:numId w:val="36"/>
        </w:numPr>
        <w:spacing w:after="0" w:line="240" w:lineRule="auto"/>
        <w:jc w:val="both"/>
        <w:rPr>
          <w:rFonts w:ascii="Palatino Linotype" w:hAnsi="Palatino Linotype" w:cs="Arial"/>
          <w:bCs/>
          <w:sz w:val="22"/>
          <w:szCs w:val="22"/>
        </w:rPr>
      </w:pPr>
      <w:r w:rsidRPr="00D63EDD">
        <w:rPr>
          <w:rFonts w:ascii="Palatino Linotype" w:hAnsi="Palatino Linotype" w:cs="Arial"/>
          <w:bCs/>
          <w:sz w:val="22"/>
          <w:szCs w:val="22"/>
        </w:rPr>
        <w:t xml:space="preserve">During </w:t>
      </w:r>
      <w:r>
        <w:rPr>
          <w:rFonts w:ascii="Palatino Linotype" w:hAnsi="Palatino Linotype" w:cs="Arial"/>
          <w:bCs/>
          <w:sz w:val="22"/>
          <w:szCs w:val="22"/>
        </w:rPr>
        <w:t>January</w:t>
      </w:r>
      <w:r w:rsidRPr="00D63EDD">
        <w:rPr>
          <w:rFonts w:ascii="Palatino Linotype" w:hAnsi="Palatino Linotype" w:cs="Arial"/>
          <w:bCs/>
          <w:sz w:val="22"/>
          <w:szCs w:val="22"/>
        </w:rPr>
        <w:t xml:space="preserve"> 202</w:t>
      </w:r>
      <w:r>
        <w:rPr>
          <w:rFonts w:ascii="Palatino Linotype" w:hAnsi="Palatino Linotype" w:cs="Arial"/>
          <w:bCs/>
          <w:sz w:val="22"/>
          <w:szCs w:val="22"/>
        </w:rPr>
        <w:t>1</w:t>
      </w:r>
      <w:r w:rsidRPr="00D63EDD">
        <w:rPr>
          <w:rFonts w:ascii="Palatino Linotype" w:hAnsi="Palatino Linotype" w:cs="Arial"/>
          <w:bCs/>
          <w:sz w:val="22"/>
          <w:szCs w:val="22"/>
        </w:rPr>
        <w:t xml:space="preserve">, pan- India turnover of the commodity derivatives </w:t>
      </w:r>
      <w:r>
        <w:rPr>
          <w:rFonts w:ascii="Palatino Linotype" w:hAnsi="Palatino Linotype" w:cs="Arial"/>
          <w:bCs/>
          <w:sz w:val="22"/>
          <w:szCs w:val="22"/>
        </w:rPr>
        <w:t>de</w:t>
      </w:r>
      <w:r w:rsidRPr="00D63EDD">
        <w:rPr>
          <w:rFonts w:ascii="Palatino Linotype" w:hAnsi="Palatino Linotype" w:cs="Arial"/>
          <w:bCs/>
          <w:sz w:val="22"/>
          <w:szCs w:val="22"/>
        </w:rPr>
        <w:t xml:space="preserve">creased by </w:t>
      </w:r>
      <w:r>
        <w:rPr>
          <w:rFonts w:ascii="Palatino Linotype" w:hAnsi="Palatino Linotype" w:cs="Arial"/>
          <w:bCs/>
          <w:sz w:val="22"/>
          <w:szCs w:val="22"/>
        </w:rPr>
        <w:t>1.5</w:t>
      </w:r>
      <w:r w:rsidRPr="00D63EDD">
        <w:rPr>
          <w:rFonts w:ascii="Palatino Linotype" w:hAnsi="Palatino Linotype" w:cs="Arial"/>
          <w:bCs/>
          <w:sz w:val="22"/>
          <w:szCs w:val="22"/>
        </w:rPr>
        <w:t xml:space="preserve"> per cent to </w:t>
      </w:r>
      <w:r w:rsidRPr="00D63EDD">
        <w:rPr>
          <w:rFonts w:ascii="Times New Roman" w:hAnsi="Times New Roman"/>
          <w:bCs/>
          <w:sz w:val="22"/>
          <w:szCs w:val="22"/>
        </w:rPr>
        <w:t>₹</w:t>
      </w:r>
      <w:r w:rsidRPr="00C93B88">
        <w:rPr>
          <w:rFonts w:ascii="Palatino Linotype" w:hAnsi="Palatino Linotype" w:cs="Arial"/>
          <w:bCs/>
          <w:sz w:val="22"/>
          <w:szCs w:val="22"/>
        </w:rPr>
        <w:t>7,67,726.7</w:t>
      </w:r>
      <w:r w:rsidRPr="00D63EDD">
        <w:rPr>
          <w:rFonts w:ascii="Palatino Linotype" w:hAnsi="Palatino Linotype" w:cs="Arial"/>
          <w:bCs/>
          <w:sz w:val="22"/>
          <w:szCs w:val="22"/>
        </w:rPr>
        <w:t xml:space="preserve"> crore </w:t>
      </w:r>
      <w:r>
        <w:rPr>
          <w:rFonts w:ascii="Palatino Linotype" w:hAnsi="Palatino Linotype" w:cs="Arial"/>
          <w:bCs/>
          <w:sz w:val="22"/>
          <w:szCs w:val="22"/>
        </w:rPr>
        <w:t>driven by decrease</w:t>
      </w:r>
      <w:r w:rsidRPr="00D63EDD">
        <w:rPr>
          <w:rFonts w:ascii="Palatino Linotype" w:hAnsi="Palatino Linotype" w:cs="Arial"/>
          <w:bCs/>
          <w:sz w:val="22"/>
          <w:szCs w:val="22"/>
        </w:rPr>
        <w:t xml:space="preserve"> in turnover at </w:t>
      </w:r>
      <w:r>
        <w:rPr>
          <w:rFonts w:ascii="Palatino Linotype" w:hAnsi="Palatino Linotype" w:cs="Arial"/>
          <w:bCs/>
          <w:sz w:val="22"/>
          <w:szCs w:val="22"/>
        </w:rPr>
        <w:t xml:space="preserve">all exchanges except ICEX during the month. </w:t>
      </w:r>
      <w:r w:rsidRPr="00D63EDD">
        <w:rPr>
          <w:rFonts w:ascii="Palatino Linotype" w:hAnsi="Palatino Linotype" w:cs="Arial"/>
          <w:bCs/>
          <w:sz w:val="22"/>
          <w:szCs w:val="22"/>
        </w:rPr>
        <w:t xml:space="preserve">The agricultural segment contributed </w:t>
      </w:r>
      <w:r>
        <w:rPr>
          <w:rFonts w:ascii="Palatino Linotype" w:hAnsi="Palatino Linotype" w:cs="Arial"/>
          <w:bCs/>
          <w:sz w:val="22"/>
          <w:szCs w:val="22"/>
        </w:rPr>
        <w:t>6.0</w:t>
      </w:r>
      <w:r w:rsidRPr="00D63EDD">
        <w:rPr>
          <w:rFonts w:ascii="Palatino Linotype" w:hAnsi="Palatino Linotype" w:cs="Arial"/>
          <w:bCs/>
          <w:sz w:val="22"/>
          <w:szCs w:val="22"/>
        </w:rPr>
        <w:t xml:space="preserve"> per cent to the total turnover, while non-agricultural segment accounted for </w:t>
      </w:r>
      <w:r>
        <w:rPr>
          <w:rFonts w:ascii="Palatino Linotype" w:hAnsi="Palatino Linotype" w:cs="Arial"/>
          <w:bCs/>
          <w:sz w:val="22"/>
          <w:szCs w:val="22"/>
        </w:rPr>
        <w:t>94.0</w:t>
      </w:r>
      <w:r w:rsidRPr="00D63EDD">
        <w:rPr>
          <w:rFonts w:ascii="Palatino Linotype" w:hAnsi="Palatino Linotype" w:cs="Arial"/>
          <w:bCs/>
          <w:sz w:val="22"/>
          <w:szCs w:val="22"/>
        </w:rPr>
        <w:t xml:space="preserve"> per cent. </w:t>
      </w:r>
    </w:p>
    <w:p w:rsidR="00B25705" w:rsidRDefault="00B25705" w:rsidP="00B25705">
      <w:pPr>
        <w:pStyle w:val="ListParagraph"/>
        <w:numPr>
          <w:ilvl w:val="0"/>
          <w:numId w:val="36"/>
        </w:numPr>
        <w:spacing w:after="0" w:line="240" w:lineRule="auto"/>
        <w:jc w:val="both"/>
        <w:rPr>
          <w:rFonts w:ascii="Palatino Linotype" w:hAnsi="Palatino Linotype" w:cs="Arial"/>
          <w:bCs/>
          <w:sz w:val="22"/>
          <w:szCs w:val="22"/>
        </w:rPr>
      </w:pPr>
      <w:r w:rsidRPr="00DA1314">
        <w:rPr>
          <w:rFonts w:ascii="Palatino Linotype" w:hAnsi="Palatino Linotype" w:cs="Arial"/>
          <w:bCs/>
          <w:sz w:val="22"/>
          <w:szCs w:val="22"/>
        </w:rPr>
        <w:t xml:space="preserve">The total turnover at MCX </w:t>
      </w:r>
      <w:r>
        <w:rPr>
          <w:rFonts w:ascii="Palatino Linotype" w:hAnsi="Palatino Linotype" w:cs="Arial"/>
          <w:bCs/>
          <w:sz w:val="22"/>
          <w:szCs w:val="22"/>
        </w:rPr>
        <w:t>de</w:t>
      </w:r>
      <w:r w:rsidRPr="00DA1314">
        <w:rPr>
          <w:rFonts w:ascii="Palatino Linotype" w:hAnsi="Palatino Linotype" w:cs="Arial"/>
          <w:bCs/>
          <w:sz w:val="22"/>
          <w:szCs w:val="22"/>
        </w:rPr>
        <w:t xml:space="preserve">creased by </w:t>
      </w:r>
      <w:r>
        <w:rPr>
          <w:rFonts w:ascii="Palatino Linotype" w:hAnsi="Palatino Linotype" w:cs="Arial"/>
          <w:bCs/>
          <w:sz w:val="22"/>
          <w:szCs w:val="22"/>
        </w:rPr>
        <w:t>0.8</w:t>
      </w:r>
      <w:r w:rsidRPr="00DA1314">
        <w:rPr>
          <w:rFonts w:ascii="Palatino Linotype" w:hAnsi="Palatino Linotype" w:cs="Arial"/>
          <w:bCs/>
          <w:sz w:val="22"/>
          <w:szCs w:val="22"/>
        </w:rPr>
        <w:t xml:space="preserve"> per cent to </w:t>
      </w:r>
      <w:r w:rsidRPr="00DA1314">
        <w:rPr>
          <w:rFonts w:ascii="Times New Roman" w:hAnsi="Times New Roman"/>
          <w:bCs/>
          <w:sz w:val="22"/>
          <w:szCs w:val="22"/>
        </w:rPr>
        <w:t>₹</w:t>
      </w:r>
      <w:r w:rsidRPr="00331A04">
        <w:rPr>
          <w:rFonts w:ascii="Palatino Linotype" w:hAnsi="Palatino Linotype" w:cs="Arial"/>
          <w:bCs/>
          <w:sz w:val="22"/>
          <w:szCs w:val="22"/>
        </w:rPr>
        <w:t>6,</w:t>
      </w:r>
      <w:r>
        <w:rPr>
          <w:rFonts w:ascii="Palatino Linotype" w:hAnsi="Palatino Linotype" w:cs="Arial"/>
          <w:bCs/>
          <w:sz w:val="22"/>
          <w:szCs w:val="22"/>
        </w:rPr>
        <w:t>69,693.7</w:t>
      </w:r>
      <w:r w:rsidRPr="00DA1314">
        <w:rPr>
          <w:rFonts w:ascii="Palatino Linotype" w:hAnsi="Palatino Linotype" w:cs="Arial"/>
          <w:bCs/>
          <w:sz w:val="22"/>
          <w:szCs w:val="22"/>
        </w:rPr>
        <w:t xml:space="preserve"> crore during </w:t>
      </w:r>
      <w:r>
        <w:rPr>
          <w:rFonts w:ascii="Palatino Linotype" w:hAnsi="Palatino Linotype" w:cs="Arial"/>
          <w:bCs/>
          <w:sz w:val="22"/>
          <w:szCs w:val="22"/>
        </w:rPr>
        <w:t>January</w:t>
      </w:r>
      <w:r w:rsidRPr="00DA1314">
        <w:rPr>
          <w:rFonts w:ascii="Palatino Linotype" w:hAnsi="Palatino Linotype" w:cs="Arial"/>
          <w:bCs/>
          <w:sz w:val="22"/>
          <w:szCs w:val="22"/>
        </w:rPr>
        <w:t xml:space="preserve"> 202</w:t>
      </w:r>
      <w:r>
        <w:rPr>
          <w:rFonts w:ascii="Palatino Linotype" w:hAnsi="Palatino Linotype" w:cs="Arial"/>
          <w:bCs/>
          <w:sz w:val="22"/>
          <w:szCs w:val="22"/>
        </w:rPr>
        <w:t>1</w:t>
      </w:r>
      <w:r w:rsidRPr="00DA1314">
        <w:rPr>
          <w:rFonts w:ascii="Palatino Linotype" w:hAnsi="Palatino Linotype" w:cs="Arial"/>
          <w:bCs/>
          <w:sz w:val="22"/>
          <w:szCs w:val="22"/>
        </w:rPr>
        <w:t xml:space="preserve"> driven by </w:t>
      </w:r>
      <w:r>
        <w:rPr>
          <w:rFonts w:ascii="Palatino Linotype" w:hAnsi="Palatino Linotype" w:cs="Arial"/>
          <w:bCs/>
          <w:sz w:val="22"/>
          <w:szCs w:val="22"/>
        </w:rPr>
        <w:t>de</w:t>
      </w:r>
      <w:r w:rsidRPr="00DA1314">
        <w:rPr>
          <w:rFonts w:ascii="Palatino Linotype" w:hAnsi="Palatino Linotype" w:cs="Arial"/>
          <w:bCs/>
          <w:sz w:val="22"/>
          <w:szCs w:val="22"/>
        </w:rPr>
        <w:t>crease in traded value of bullion</w:t>
      </w:r>
      <w:r>
        <w:rPr>
          <w:rFonts w:ascii="Palatino Linotype" w:hAnsi="Palatino Linotype" w:cs="Arial"/>
          <w:bCs/>
          <w:sz w:val="22"/>
          <w:szCs w:val="22"/>
        </w:rPr>
        <w:t xml:space="preserve">, metal </w:t>
      </w:r>
      <w:r w:rsidRPr="00DA1314">
        <w:rPr>
          <w:rFonts w:ascii="Palatino Linotype" w:hAnsi="Palatino Linotype" w:cs="Arial"/>
          <w:bCs/>
          <w:sz w:val="22"/>
          <w:szCs w:val="22"/>
        </w:rPr>
        <w:t>and energy futures</w:t>
      </w:r>
      <w:r>
        <w:rPr>
          <w:rFonts w:ascii="Palatino Linotype" w:hAnsi="Palatino Linotype" w:cs="Arial"/>
          <w:bCs/>
          <w:sz w:val="22"/>
          <w:szCs w:val="22"/>
        </w:rPr>
        <w:t xml:space="preserve"> by 2.4 per cent, 5.5 per cent and 0.1 per cent respectively</w:t>
      </w:r>
      <w:r w:rsidRPr="00DA1314">
        <w:rPr>
          <w:rFonts w:ascii="Palatino Linotype" w:hAnsi="Palatino Linotype" w:cs="Arial"/>
          <w:bCs/>
          <w:sz w:val="22"/>
          <w:szCs w:val="22"/>
        </w:rPr>
        <w:t xml:space="preserve">. However, turnover in </w:t>
      </w:r>
      <w:r>
        <w:rPr>
          <w:rFonts w:ascii="Palatino Linotype" w:hAnsi="Palatino Linotype" w:cs="Arial"/>
          <w:bCs/>
          <w:sz w:val="22"/>
          <w:szCs w:val="22"/>
        </w:rPr>
        <w:t>agri. futures in</w:t>
      </w:r>
      <w:r w:rsidRPr="00DA1314">
        <w:rPr>
          <w:rFonts w:ascii="Palatino Linotype" w:hAnsi="Palatino Linotype" w:cs="Arial"/>
          <w:bCs/>
          <w:sz w:val="22"/>
          <w:szCs w:val="22"/>
        </w:rPr>
        <w:t xml:space="preserve">creased by </w:t>
      </w:r>
      <w:r>
        <w:rPr>
          <w:rFonts w:ascii="Palatino Linotype" w:hAnsi="Palatino Linotype" w:cs="Arial"/>
          <w:bCs/>
          <w:sz w:val="22"/>
          <w:szCs w:val="22"/>
        </w:rPr>
        <w:t>17.7 per cent</w:t>
      </w:r>
      <w:r w:rsidRPr="00DA1314">
        <w:rPr>
          <w:rFonts w:ascii="Palatino Linotype" w:hAnsi="Palatino Linotype" w:cs="Arial"/>
          <w:bCs/>
          <w:sz w:val="22"/>
          <w:szCs w:val="22"/>
        </w:rPr>
        <w:t xml:space="preserve">. </w:t>
      </w:r>
      <w:r w:rsidRPr="00D85AD5">
        <w:rPr>
          <w:rFonts w:ascii="Palatino Linotype" w:hAnsi="Palatino Linotype" w:cs="Arial"/>
          <w:bCs/>
          <w:sz w:val="22"/>
          <w:szCs w:val="22"/>
        </w:rPr>
        <w:t>The turnover in iCOMDEX bullion</w:t>
      </w:r>
      <w:r>
        <w:rPr>
          <w:rFonts w:ascii="Palatino Linotype" w:hAnsi="Palatino Linotype" w:cs="Arial"/>
          <w:bCs/>
          <w:sz w:val="22"/>
          <w:szCs w:val="22"/>
        </w:rPr>
        <w:t xml:space="preserve"> and iCOMDEX metal </w:t>
      </w:r>
      <w:r w:rsidRPr="00D85AD5">
        <w:rPr>
          <w:rFonts w:ascii="Palatino Linotype" w:hAnsi="Palatino Linotype" w:cs="Arial"/>
          <w:bCs/>
          <w:sz w:val="22"/>
          <w:szCs w:val="22"/>
        </w:rPr>
        <w:t>ind</w:t>
      </w:r>
      <w:r>
        <w:rPr>
          <w:rFonts w:ascii="Palatino Linotype" w:hAnsi="Palatino Linotype" w:cs="Arial"/>
          <w:bCs/>
          <w:sz w:val="22"/>
          <w:szCs w:val="22"/>
        </w:rPr>
        <w:t>ex futures</w:t>
      </w:r>
      <w:r w:rsidRPr="00D85AD5">
        <w:rPr>
          <w:rFonts w:ascii="Palatino Linotype" w:hAnsi="Palatino Linotype" w:cs="Arial"/>
          <w:bCs/>
          <w:sz w:val="22"/>
          <w:szCs w:val="22"/>
        </w:rPr>
        <w:t xml:space="preserve"> </w:t>
      </w:r>
      <w:r>
        <w:rPr>
          <w:rFonts w:ascii="Palatino Linotype" w:hAnsi="Palatino Linotype" w:cs="Arial"/>
          <w:bCs/>
          <w:sz w:val="22"/>
          <w:szCs w:val="22"/>
        </w:rPr>
        <w:t>de</w:t>
      </w:r>
      <w:r w:rsidRPr="00D85AD5">
        <w:rPr>
          <w:rFonts w:ascii="Palatino Linotype" w:hAnsi="Palatino Linotype" w:cs="Arial"/>
          <w:bCs/>
          <w:sz w:val="22"/>
          <w:szCs w:val="22"/>
        </w:rPr>
        <w:t xml:space="preserve">creased by </w:t>
      </w:r>
      <w:r>
        <w:rPr>
          <w:rFonts w:ascii="Palatino Linotype" w:hAnsi="Palatino Linotype" w:cs="Arial"/>
          <w:bCs/>
          <w:sz w:val="22"/>
          <w:szCs w:val="22"/>
        </w:rPr>
        <w:t>17.9</w:t>
      </w:r>
      <w:r w:rsidRPr="00D85AD5">
        <w:rPr>
          <w:rFonts w:ascii="Palatino Linotype" w:hAnsi="Palatino Linotype" w:cs="Arial"/>
          <w:bCs/>
          <w:sz w:val="22"/>
          <w:szCs w:val="22"/>
        </w:rPr>
        <w:t xml:space="preserve"> per cent</w:t>
      </w:r>
      <w:r>
        <w:rPr>
          <w:rFonts w:ascii="Palatino Linotype" w:hAnsi="Palatino Linotype" w:cs="Arial"/>
          <w:bCs/>
          <w:sz w:val="22"/>
          <w:szCs w:val="22"/>
        </w:rPr>
        <w:t xml:space="preserve"> and 8.7 per cent </w:t>
      </w:r>
      <w:r w:rsidRPr="00D85AD5">
        <w:rPr>
          <w:rFonts w:ascii="Palatino Linotype" w:hAnsi="Palatino Linotype" w:cs="Arial"/>
          <w:bCs/>
          <w:sz w:val="22"/>
          <w:szCs w:val="22"/>
        </w:rPr>
        <w:t xml:space="preserve">to </w:t>
      </w:r>
      <w:r w:rsidRPr="00D85AD5">
        <w:rPr>
          <w:rFonts w:ascii="Tahoma" w:hAnsi="Tahoma" w:cs="Tahoma"/>
          <w:bCs/>
          <w:sz w:val="22"/>
          <w:szCs w:val="22"/>
        </w:rPr>
        <w:t>₹</w:t>
      </w:r>
      <w:r w:rsidRPr="00D85AD5">
        <w:rPr>
          <w:rFonts w:ascii="Palatino Linotype" w:hAnsi="Palatino Linotype" w:cs="Arial"/>
          <w:bCs/>
          <w:sz w:val="22"/>
          <w:szCs w:val="22"/>
        </w:rPr>
        <w:t xml:space="preserve"> </w:t>
      </w:r>
      <w:r>
        <w:rPr>
          <w:rFonts w:ascii="Palatino Linotype" w:hAnsi="Palatino Linotype" w:cs="Arial"/>
          <w:bCs/>
          <w:sz w:val="22"/>
          <w:szCs w:val="22"/>
        </w:rPr>
        <w:t xml:space="preserve">5,679.3 crore and </w:t>
      </w:r>
      <w:r w:rsidRPr="00D85AD5">
        <w:rPr>
          <w:rFonts w:ascii="Tahoma" w:hAnsi="Tahoma" w:cs="Tahoma"/>
          <w:bCs/>
          <w:sz w:val="22"/>
          <w:szCs w:val="22"/>
        </w:rPr>
        <w:t>₹</w:t>
      </w:r>
      <w:r>
        <w:rPr>
          <w:rFonts w:ascii="Tahoma" w:hAnsi="Tahoma" w:cs="Tahoma"/>
          <w:bCs/>
          <w:sz w:val="22"/>
          <w:szCs w:val="22"/>
        </w:rPr>
        <w:t xml:space="preserve"> </w:t>
      </w:r>
      <w:r w:rsidRPr="009A25B4">
        <w:rPr>
          <w:rFonts w:ascii="Palatino Linotype" w:hAnsi="Palatino Linotype" w:cs="Arial"/>
          <w:bCs/>
          <w:sz w:val="22"/>
          <w:szCs w:val="22"/>
        </w:rPr>
        <w:t>1,</w:t>
      </w:r>
      <w:r>
        <w:rPr>
          <w:rFonts w:ascii="Palatino Linotype" w:hAnsi="Palatino Linotype" w:cs="Arial"/>
          <w:bCs/>
          <w:sz w:val="22"/>
          <w:szCs w:val="22"/>
        </w:rPr>
        <w:t>181.5</w:t>
      </w:r>
      <w:r w:rsidRPr="009A25B4">
        <w:rPr>
          <w:rFonts w:ascii="Palatino Linotype" w:hAnsi="Palatino Linotype" w:cs="Arial"/>
          <w:bCs/>
          <w:sz w:val="22"/>
          <w:szCs w:val="22"/>
        </w:rPr>
        <w:t xml:space="preserve"> crore respectively</w:t>
      </w:r>
      <w:r>
        <w:rPr>
          <w:rFonts w:ascii="Palatino Linotype" w:hAnsi="Palatino Linotype" w:cs="Arial"/>
          <w:bCs/>
          <w:sz w:val="22"/>
          <w:szCs w:val="22"/>
        </w:rPr>
        <w:t xml:space="preserve"> during the month.</w:t>
      </w:r>
    </w:p>
    <w:p w:rsidR="00B25705" w:rsidRDefault="00B25705" w:rsidP="00B25705">
      <w:pPr>
        <w:pStyle w:val="ListParagraph"/>
        <w:numPr>
          <w:ilvl w:val="0"/>
          <w:numId w:val="36"/>
        </w:numPr>
        <w:spacing w:after="0" w:line="240" w:lineRule="auto"/>
        <w:jc w:val="both"/>
        <w:rPr>
          <w:rFonts w:ascii="Palatino Linotype" w:hAnsi="Palatino Linotype" w:cs="Arial"/>
          <w:bCs/>
          <w:sz w:val="22"/>
          <w:szCs w:val="22"/>
        </w:rPr>
      </w:pPr>
      <w:r w:rsidRPr="00DA1314">
        <w:rPr>
          <w:rFonts w:ascii="Palatino Linotype" w:hAnsi="Palatino Linotype" w:cs="Arial"/>
          <w:bCs/>
          <w:sz w:val="22"/>
          <w:szCs w:val="22"/>
        </w:rPr>
        <w:t xml:space="preserve">The notional turnover of options segment at MCX </w:t>
      </w:r>
      <w:r>
        <w:rPr>
          <w:rFonts w:ascii="Palatino Linotype" w:hAnsi="Palatino Linotype" w:cs="Arial"/>
          <w:bCs/>
          <w:sz w:val="22"/>
          <w:szCs w:val="22"/>
        </w:rPr>
        <w:t>in</w:t>
      </w:r>
      <w:r w:rsidRPr="00DA1314">
        <w:rPr>
          <w:rFonts w:ascii="Palatino Linotype" w:hAnsi="Palatino Linotype" w:cs="Arial"/>
          <w:bCs/>
          <w:sz w:val="22"/>
          <w:szCs w:val="22"/>
        </w:rPr>
        <w:t xml:space="preserve">creased by </w:t>
      </w:r>
      <w:r>
        <w:rPr>
          <w:rFonts w:ascii="Palatino Linotype" w:hAnsi="Palatino Linotype" w:cs="Arial"/>
          <w:bCs/>
          <w:sz w:val="22"/>
          <w:szCs w:val="22"/>
        </w:rPr>
        <w:t>70.1</w:t>
      </w:r>
      <w:r w:rsidRPr="00DA1314">
        <w:rPr>
          <w:rFonts w:ascii="Palatino Linotype" w:hAnsi="Palatino Linotype" w:cs="Arial"/>
          <w:bCs/>
          <w:sz w:val="22"/>
          <w:szCs w:val="22"/>
        </w:rPr>
        <w:t xml:space="preserve"> per cent during the month </w:t>
      </w:r>
      <w:r>
        <w:rPr>
          <w:rFonts w:ascii="Palatino Linotype" w:hAnsi="Palatino Linotype" w:cs="Arial"/>
          <w:bCs/>
          <w:sz w:val="22"/>
          <w:szCs w:val="22"/>
        </w:rPr>
        <w:t xml:space="preserve">owing to </w:t>
      </w:r>
      <w:r w:rsidRPr="00DA1314">
        <w:rPr>
          <w:rFonts w:ascii="Palatino Linotype" w:hAnsi="Palatino Linotype" w:cs="Arial"/>
          <w:bCs/>
          <w:sz w:val="22"/>
          <w:szCs w:val="22"/>
        </w:rPr>
        <w:t xml:space="preserve">increase in </w:t>
      </w:r>
      <w:r>
        <w:rPr>
          <w:rFonts w:ascii="Palatino Linotype" w:hAnsi="Palatino Linotype" w:cs="Arial"/>
          <w:bCs/>
          <w:sz w:val="22"/>
          <w:szCs w:val="22"/>
        </w:rPr>
        <w:t xml:space="preserve">traded value in </w:t>
      </w:r>
      <w:r w:rsidRPr="00DA1314">
        <w:rPr>
          <w:rFonts w:ascii="Palatino Linotype" w:hAnsi="Palatino Linotype" w:cs="Arial"/>
          <w:bCs/>
          <w:sz w:val="22"/>
          <w:szCs w:val="22"/>
        </w:rPr>
        <w:t xml:space="preserve">bullion </w:t>
      </w:r>
      <w:r>
        <w:rPr>
          <w:rFonts w:ascii="Palatino Linotype" w:hAnsi="Palatino Linotype" w:cs="Arial"/>
          <w:bCs/>
          <w:sz w:val="22"/>
          <w:szCs w:val="22"/>
        </w:rPr>
        <w:t xml:space="preserve">and energy </w:t>
      </w:r>
      <w:r w:rsidRPr="00DA1314">
        <w:rPr>
          <w:rFonts w:ascii="Palatino Linotype" w:hAnsi="Palatino Linotype" w:cs="Arial"/>
          <w:bCs/>
          <w:sz w:val="22"/>
          <w:szCs w:val="22"/>
        </w:rPr>
        <w:t>segment</w:t>
      </w:r>
      <w:r>
        <w:rPr>
          <w:rFonts w:ascii="Palatino Linotype" w:hAnsi="Palatino Linotype" w:cs="Arial"/>
          <w:bCs/>
          <w:sz w:val="22"/>
          <w:szCs w:val="22"/>
        </w:rPr>
        <w:t xml:space="preserve">s by 84.9 per cent and 1.8 per cent respectively. </w:t>
      </w:r>
      <w:r w:rsidRPr="00DA1314">
        <w:rPr>
          <w:rFonts w:ascii="Palatino Linotype" w:hAnsi="Palatino Linotype" w:cs="Arial"/>
          <w:bCs/>
          <w:sz w:val="22"/>
          <w:szCs w:val="22"/>
        </w:rPr>
        <w:t xml:space="preserve">The options contracts contributed </w:t>
      </w:r>
      <w:r>
        <w:rPr>
          <w:rFonts w:ascii="Palatino Linotype" w:hAnsi="Palatino Linotype" w:cs="Arial"/>
          <w:bCs/>
          <w:sz w:val="22"/>
          <w:szCs w:val="22"/>
        </w:rPr>
        <w:t>3.9</w:t>
      </w:r>
      <w:r w:rsidRPr="00DA1314">
        <w:rPr>
          <w:rFonts w:ascii="Palatino Linotype" w:hAnsi="Palatino Linotype" w:cs="Arial"/>
          <w:bCs/>
          <w:sz w:val="22"/>
          <w:szCs w:val="22"/>
        </w:rPr>
        <w:t xml:space="preserve"> per cent to the total turnover at MCX.</w:t>
      </w:r>
    </w:p>
    <w:p w:rsidR="00B25705" w:rsidRPr="00B748D8" w:rsidRDefault="00B25705" w:rsidP="00B25705">
      <w:pPr>
        <w:pStyle w:val="ListParagraph"/>
        <w:numPr>
          <w:ilvl w:val="0"/>
          <w:numId w:val="36"/>
        </w:numPr>
        <w:spacing w:after="0" w:line="240" w:lineRule="auto"/>
        <w:jc w:val="both"/>
        <w:rPr>
          <w:rFonts w:ascii="Palatino Linotype" w:hAnsi="Palatino Linotype" w:cs="Arial"/>
          <w:bCs/>
          <w:sz w:val="22"/>
          <w:szCs w:val="22"/>
        </w:rPr>
      </w:pPr>
      <w:r w:rsidRPr="00B748D8">
        <w:rPr>
          <w:rFonts w:ascii="Palatino Linotype" w:hAnsi="Palatino Linotype" w:cs="Arial"/>
          <w:bCs/>
          <w:sz w:val="22"/>
          <w:szCs w:val="22"/>
        </w:rPr>
        <w:t xml:space="preserve">The total turnover at BSE decreased by 6.6 per cent to </w:t>
      </w:r>
      <w:r w:rsidRPr="00B748D8">
        <w:rPr>
          <w:rFonts w:ascii="Tahoma" w:hAnsi="Tahoma" w:cs="Tahoma"/>
          <w:bCs/>
          <w:sz w:val="22"/>
          <w:szCs w:val="22"/>
        </w:rPr>
        <w:t>₹</w:t>
      </w:r>
      <w:r w:rsidRPr="00B748D8">
        <w:rPr>
          <w:rFonts w:ascii="Palatino Linotype" w:hAnsi="Palatino Linotype" w:cs="Arial"/>
          <w:bCs/>
          <w:sz w:val="22"/>
          <w:szCs w:val="22"/>
        </w:rPr>
        <w:t xml:space="preserve"> 62,537.6 crore driven by decrease in turnover in bullion options by 6.5 per cent. Turnover in futures contracts of bullion and agri.  also declined by 12.3 per cent and 21.2 per cent respectively.  </w:t>
      </w:r>
    </w:p>
    <w:p w:rsidR="00B25705" w:rsidRPr="00E254DB" w:rsidRDefault="00B25705" w:rsidP="00B25705">
      <w:pPr>
        <w:pStyle w:val="ListParagraph"/>
        <w:numPr>
          <w:ilvl w:val="0"/>
          <w:numId w:val="36"/>
        </w:numPr>
        <w:spacing w:after="0" w:line="240" w:lineRule="auto"/>
        <w:jc w:val="both"/>
        <w:rPr>
          <w:rFonts w:ascii="Palatino Linotype" w:hAnsi="Palatino Linotype" w:cs="Arial"/>
          <w:bCs/>
        </w:rPr>
      </w:pPr>
      <w:r w:rsidRPr="00E254DB">
        <w:rPr>
          <w:rFonts w:ascii="Palatino Linotype" w:hAnsi="Palatino Linotype" w:cs="Arial"/>
          <w:bCs/>
          <w:sz w:val="22"/>
          <w:szCs w:val="22"/>
        </w:rPr>
        <w:t xml:space="preserve">During the month, the total turnover at NCDEX decreased by 4.5 per cent to </w:t>
      </w:r>
      <w:r w:rsidRPr="00E254DB">
        <w:rPr>
          <w:rFonts w:ascii="Times New Roman" w:hAnsi="Times New Roman"/>
          <w:bCs/>
          <w:sz w:val="22"/>
          <w:szCs w:val="22"/>
        </w:rPr>
        <w:t>₹</w:t>
      </w:r>
      <w:r w:rsidRPr="00E254DB">
        <w:rPr>
          <w:rFonts w:ascii="Palatino Linotype" w:hAnsi="Palatino Linotype" w:cs="Arial"/>
          <w:bCs/>
          <w:sz w:val="22"/>
          <w:szCs w:val="22"/>
        </w:rPr>
        <w:t xml:space="preserve">32,731.4 crore, due to decrease in traded </w:t>
      </w:r>
      <w:r w:rsidRPr="00C37442">
        <w:rPr>
          <w:rFonts w:ascii="Palatino Linotype" w:hAnsi="Palatino Linotype" w:cs="Arial"/>
          <w:bCs/>
          <w:sz w:val="22"/>
          <w:szCs w:val="22"/>
        </w:rPr>
        <w:t xml:space="preserve">volume and value of eleven out of total 16 traded commodities. Turnover in Agridex futures indices increased to </w:t>
      </w:r>
      <w:r w:rsidRPr="00E254DB">
        <w:rPr>
          <w:rFonts w:ascii="Times New Roman" w:hAnsi="Times New Roman"/>
          <w:bCs/>
          <w:sz w:val="22"/>
          <w:szCs w:val="22"/>
        </w:rPr>
        <w:t>₹</w:t>
      </w:r>
      <w:r w:rsidRPr="00E254DB">
        <w:rPr>
          <w:rFonts w:ascii="Palatino Linotype" w:hAnsi="Palatino Linotype" w:cs="Arial"/>
          <w:bCs/>
          <w:sz w:val="22"/>
          <w:szCs w:val="22"/>
        </w:rPr>
        <w:t>12.7 crore, an increase of 50.0 per cent during January 2021.</w:t>
      </w:r>
    </w:p>
    <w:p w:rsidR="00B25705" w:rsidRPr="00D651BF" w:rsidRDefault="00B25705" w:rsidP="00B25705">
      <w:pPr>
        <w:pStyle w:val="ListParagraph"/>
        <w:numPr>
          <w:ilvl w:val="0"/>
          <w:numId w:val="36"/>
        </w:numPr>
        <w:spacing w:after="0" w:line="240" w:lineRule="auto"/>
        <w:jc w:val="both"/>
        <w:rPr>
          <w:rFonts w:ascii="Palatino Linotype" w:hAnsi="Palatino Linotype" w:cs="Arial"/>
          <w:bCs/>
          <w:sz w:val="22"/>
          <w:szCs w:val="22"/>
        </w:rPr>
      </w:pPr>
      <w:r>
        <w:rPr>
          <w:rFonts w:ascii="Palatino Linotype" w:hAnsi="Palatino Linotype" w:cs="Arial"/>
          <w:bCs/>
          <w:sz w:val="22"/>
          <w:szCs w:val="22"/>
        </w:rPr>
        <w:t>NCDEX relaunched futures trading in gur and steel long contracts (metal segment- non-agri.) on 15</w:t>
      </w:r>
      <w:r w:rsidRPr="00D651BF">
        <w:rPr>
          <w:rFonts w:ascii="Palatino Linotype" w:hAnsi="Palatino Linotype" w:cs="Arial"/>
          <w:bCs/>
          <w:sz w:val="22"/>
          <w:szCs w:val="22"/>
          <w:vertAlign w:val="superscript"/>
        </w:rPr>
        <w:t>th</w:t>
      </w:r>
      <w:r>
        <w:rPr>
          <w:rFonts w:ascii="Palatino Linotype" w:hAnsi="Palatino Linotype" w:cs="Arial"/>
          <w:bCs/>
          <w:sz w:val="22"/>
          <w:szCs w:val="22"/>
        </w:rPr>
        <w:t xml:space="preserve"> December, 2020 and 18</w:t>
      </w:r>
      <w:r w:rsidRPr="00D651BF">
        <w:rPr>
          <w:rFonts w:ascii="Palatino Linotype" w:hAnsi="Palatino Linotype" w:cs="Arial"/>
          <w:bCs/>
          <w:sz w:val="22"/>
          <w:szCs w:val="22"/>
          <w:vertAlign w:val="superscript"/>
        </w:rPr>
        <w:t>th</w:t>
      </w:r>
      <w:r>
        <w:rPr>
          <w:rFonts w:ascii="Palatino Linotype" w:hAnsi="Palatino Linotype" w:cs="Arial"/>
          <w:bCs/>
          <w:sz w:val="22"/>
          <w:szCs w:val="22"/>
        </w:rPr>
        <w:t xml:space="preserve"> January, 2021 respectively. While the gur contracts registered a total turnover of  </w:t>
      </w:r>
      <w:r w:rsidRPr="009454C6">
        <w:rPr>
          <w:rFonts w:ascii="Times New Roman" w:hAnsi="Times New Roman"/>
          <w:bCs/>
          <w:sz w:val="22"/>
          <w:szCs w:val="22"/>
        </w:rPr>
        <w:t>₹</w:t>
      </w:r>
      <w:r w:rsidRPr="00D651BF">
        <w:rPr>
          <w:rFonts w:ascii="Palatino Linotype" w:hAnsi="Palatino Linotype" w:cs="Arial"/>
          <w:bCs/>
          <w:sz w:val="22"/>
          <w:szCs w:val="22"/>
        </w:rPr>
        <w:t xml:space="preserve">10.6 crore and </w:t>
      </w:r>
      <w:r w:rsidRPr="009454C6">
        <w:rPr>
          <w:rFonts w:ascii="Times New Roman" w:hAnsi="Times New Roman"/>
          <w:bCs/>
          <w:sz w:val="22"/>
          <w:szCs w:val="22"/>
        </w:rPr>
        <w:t>₹</w:t>
      </w:r>
      <w:r w:rsidRPr="00D651BF">
        <w:rPr>
          <w:rFonts w:ascii="Palatino Linotype" w:hAnsi="Palatino Linotype" w:cs="Arial"/>
          <w:bCs/>
          <w:sz w:val="22"/>
          <w:szCs w:val="22"/>
        </w:rPr>
        <w:t xml:space="preserve">6.6 crore in December 2020 and January 2021 respectively, steel long </w:t>
      </w:r>
      <w:r>
        <w:rPr>
          <w:rFonts w:ascii="Palatino Linotype" w:hAnsi="Palatino Linotype" w:cs="Arial"/>
          <w:bCs/>
          <w:sz w:val="22"/>
          <w:szCs w:val="22"/>
        </w:rPr>
        <w:t xml:space="preserve">contracts recorded a total turnover of </w:t>
      </w:r>
      <w:r w:rsidRPr="00D651BF">
        <w:rPr>
          <w:rFonts w:ascii="Tahoma" w:hAnsi="Tahoma" w:cs="Tahoma"/>
          <w:bCs/>
          <w:sz w:val="22"/>
          <w:szCs w:val="22"/>
        </w:rPr>
        <w:t>₹</w:t>
      </w:r>
      <w:r w:rsidRPr="00D651BF">
        <w:rPr>
          <w:rFonts w:ascii="Palatino Linotype" w:hAnsi="Palatino Linotype" w:cs="Arial"/>
          <w:bCs/>
          <w:sz w:val="22"/>
          <w:szCs w:val="22"/>
        </w:rPr>
        <w:t>24.2 crore in January 2021.</w:t>
      </w:r>
      <w:r>
        <w:rPr>
          <w:rFonts w:ascii="Times New Roman" w:hAnsi="Times New Roman"/>
          <w:bCs/>
          <w:sz w:val="22"/>
          <w:szCs w:val="22"/>
        </w:rPr>
        <w:t xml:space="preserve"> </w:t>
      </w:r>
    </w:p>
    <w:p w:rsidR="00B25705" w:rsidRDefault="00B25705" w:rsidP="00B25705">
      <w:pPr>
        <w:pStyle w:val="ListParagraph"/>
        <w:numPr>
          <w:ilvl w:val="0"/>
          <w:numId w:val="36"/>
        </w:numPr>
        <w:spacing w:after="0" w:line="240" w:lineRule="auto"/>
        <w:jc w:val="both"/>
        <w:rPr>
          <w:rFonts w:ascii="Palatino Linotype" w:hAnsi="Palatino Linotype" w:cs="Arial"/>
          <w:bCs/>
          <w:sz w:val="22"/>
          <w:szCs w:val="22"/>
        </w:rPr>
      </w:pPr>
      <w:r>
        <w:rPr>
          <w:rFonts w:ascii="Palatino Linotype" w:hAnsi="Palatino Linotype" w:cs="Arial"/>
          <w:bCs/>
          <w:sz w:val="22"/>
          <w:szCs w:val="22"/>
        </w:rPr>
        <w:t>The total turnover at NSE de</w:t>
      </w:r>
      <w:r w:rsidRPr="009454C6">
        <w:rPr>
          <w:rFonts w:ascii="Palatino Linotype" w:hAnsi="Palatino Linotype" w:cs="Arial"/>
          <w:bCs/>
          <w:sz w:val="22"/>
          <w:szCs w:val="22"/>
        </w:rPr>
        <w:t xml:space="preserve">creased by </w:t>
      </w:r>
      <w:r>
        <w:rPr>
          <w:rFonts w:ascii="Palatino Linotype" w:hAnsi="Palatino Linotype" w:cs="Arial"/>
          <w:bCs/>
          <w:sz w:val="22"/>
          <w:szCs w:val="22"/>
        </w:rPr>
        <w:t>7.9</w:t>
      </w:r>
      <w:r w:rsidRPr="009454C6">
        <w:rPr>
          <w:rFonts w:ascii="Palatino Linotype" w:hAnsi="Palatino Linotype" w:cs="Arial"/>
          <w:bCs/>
          <w:sz w:val="22"/>
          <w:szCs w:val="22"/>
        </w:rPr>
        <w:t xml:space="preserve"> per cent to </w:t>
      </w:r>
      <w:r w:rsidRPr="009454C6">
        <w:rPr>
          <w:rFonts w:ascii="Times New Roman" w:hAnsi="Times New Roman"/>
          <w:bCs/>
          <w:sz w:val="22"/>
          <w:szCs w:val="22"/>
        </w:rPr>
        <w:t>₹</w:t>
      </w:r>
      <w:r w:rsidRPr="009454C6">
        <w:rPr>
          <w:rFonts w:ascii="Palatino Linotype" w:hAnsi="Palatino Linotype" w:cs="Arial"/>
          <w:bCs/>
          <w:sz w:val="22"/>
          <w:szCs w:val="22"/>
        </w:rPr>
        <w:t>2,</w:t>
      </w:r>
      <w:r>
        <w:rPr>
          <w:rFonts w:ascii="Palatino Linotype" w:hAnsi="Palatino Linotype" w:cs="Arial"/>
          <w:bCs/>
          <w:sz w:val="22"/>
          <w:szCs w:val="22"/>
        </w:rPr>
        <w:t>751.0</w:t>
      </w:r>
      <w:r w:rsidRPr="009454C6">
        <w:rPr>
          <w:rFonts w:ascii="Palatino Linotype" w:hAnsi="Palatino Linotype" w:cs="Arial"/>
          <w:bCs/>
          <w:sz w:val="22"/>
          <w:szCs w:val="22"/>
        </w:rPr>
        <w:t xml:space="preserve"> crore during the month on account of</w:t>
      </w:r>
      <w:r>
        <w:rPr>
          <w:rFonts w:ascii="Palatino Linotype" w:hAnsi="Palatino Linotype" w:cs="Arial"/>
          <w:bCs/>
          <w:sz w:val="22"/>
          <w:szCs w:val="22"/>
        </w:rPr>
        <w:t xml:space="preserve"> decline in turnover in bullion and agri. futures by 27.1 per cent and 42.4 per cent respectively </w:t>
      </w:r>
      <w:r w:rsidRPr="009454C6">
        <w:rPr>
          <w:rFonts w:ascii="Palatino Linotype" w:hAnsi="Palatino Linotype" w:cs="Arial"/>
          <w:bCs/>
          <w:sz w:val="22"/>
          <w:szCs w:val="22"/>
        </w:rPr>
        <w:t xml:space="preserve">in </w:t>
      </w:r>
      <w:r>
        <w:rPr>
          <w:rFonts w:ascii="Palatino Linotype" w:hAnsi="Palatino Linotype" w:cs="Arial"/>
          <w:bCs/>
          <w:sz w:val="22"/>
          <w:szCs w:val="22"/>
        </w:rPr>
        <w:t>January 2021</w:t>
      </w:r>
      <w:r w:rsidRPr="009454C6">
        <w:rPr>
          <w:rFonts w:ascii="Palatino Linotype" w:hAnsi="Palatino Linotype" w:cs="Arial"/>
          <w:bCs/>
          <w:sz w:val="22"/>
          <w:szCs w:val="22"/>
        </w:rPr>
        <w:t>. Turnover in bullion options</w:t>
      </w:r>
      <w:r>
        <w:rPr>
          <w:rFonts w:ascii="Palatino Linotype" w:hAnsi="Palatino Linotype" w:cs="Arial"/>
          <w:bCs/>
          <w:sz w:val="22"/>
          <w:szCs w:val="22"/>
        </w:rPr>
        <w:t>,</w:t>
      </w:r>
      <w:r w:rsidRPr="009454C6">
        <w:rPr>
          <w:rFonts w:ascii="Palatino Linotype" w:hAnsi="Palatino Linotype" w:cs="Arial"/>
          <w:bCs/>
          <w:sz w:val="22"/>
          <w:szCs w:val="22"/>
        </w:rPr>
        <w:t xml:space="preserve"> however</w:t>
      </w:r>
      <w:r>
        <w:rPr>
          <w:rFonts w:ascii="Palatino Linotype" w:hAnsi="Palatino Linotype" w:cs="Arial"/>
          <w:bCs/>
          <w:sz w:val="22"/>
          <w:szCs w:val="22"/>
        </w:rPr>
        <w:t>,</w:t>
      </w:r>
      <w:r w:rsidRPr="009454C6">
        <w:rPr>
          <w:rFonts w:ascii="Palatino Linotype" w:hAnsi="Palatino Linotype" w:cs="Arial"/>
          <w:bCs/>
          <w:sz w:val="22"/>
          <w:szCs w:val="22"/>
        </w:rPr>
        <w:t xml:space="preserve"> </w:t>
      </w:r>
      <w:r>
        <w:rPr>
          <w:rFonts w:ascii="Palatino Linotype" w:hAnsi="Palatino Linotype" w:cs="Arial"/>
          <w:bCs/>
          <w:sz w:val="22"/>
          <w:szCs w:val="22"/>
        </w:rPr>
        <w:t>increased</w:t>
      </w:r>
      <w:r w:rsidRPr="009454C6">
        <w:rPr>
          <w:rFonts w:ascii="Palatino Linotype" w:hAnsi="Palatino Linotype" w:cs="Arial"/>
          <w:bCs/>
          <w:sz w:val="22"/>
          <w:szCs w:val="22"/>
        </w:rPr>
        <w:t xml:space="preserve"> by </w:t>
      </w:r>
      <w:r>
        <w:rPr>
          <w:rFonts w:ascii="Palatino Linotype" w:hAnsi="Palatino Linotype" w:cs="Arial"/>
          <w:bCs/>
          <w:sz w:val="22"/>
          <w:szCs w:val="22"/>
        </w:rPr>
        <w:t>24.4</w:t>
      </w:r>
      <w:r w:rsidRPr="009454C6">
        <w:rPr>
          <w:rFonts w:ascii="Palatino Linotype" w:hAnsi="Palatino Linotype" w:cs="Arial"/>
          <w:bCs/>
          <w:sz w:val="22"/>
          <w:szCs w:val="22"/>
        </w:rPr>
        <w:t xml:space="preserve"> per cent</w:t>
      </w:r>
      <w:r>
        <w:rPr>
          <w:rFonts w:ascii="Palatino Linotype" w:hAnsi="Palatino Linotype" w:cs="Arial"/>
          <w:bCs/>
          <w:sz w:val="22"/>
          <w:szCs w:val="22"/>
        </w:rPr>
        <w:t xml:space="preserve"> during the month. </w:t>
      </w:r>
      <w:r w:rsidRPr="009454C6">
        <w:rPr>
          <w:rFonts w:ascii="Palatino Linotype" w:hAnsi="Palatino Linotype" w:cs="Arial"/>
          <w:bCs/>
          <w:sz w:val="22"/>
          <w:szCs w:val="22"/>
        </w:rPr>
        <w:t xml:space="preserve"> </w:t>
      </w:r>
    </w:p>
    <w:p w:rsidR="00B25705" w:rsidRPr="00B748D8" w:rsidRDefault="00B25705" w:rsidP="00B25705">
      <w:pPr>
        <w:pStyle w:val="ListParagraph"/>
        <w:numPr>
          <w:ilvl w:val="0"/>
          <w:numId w:val="36"/>
        </w:numPr>
        <w:spacing w:after="0" w:line="240" w:lineRule="auto"/>
        <w:jc w:val="both"/>
      </w:pPr>
      <w:r w:rsidRPr="00C37442">
        <w:rPr>
          <w:rFonts w:ascii="Palatino Linotype" w:hAnsi="Palatino Linotype" w:cs="Arial"/>
          <w:bCs/>
          <w:sz w:val="22"/>
          <w:szCs w:val="22"/>
        </w:rPr>
        <w:t xml:space="preserve">In January 2021, </w:t>
      </w:r>
      <w:r w:rsidRPr="00B748D8">
        <w:rPr>
          <w:rFonts w:ascii="Palatino Linotype" w:hAnsi="Palatino Linotype" w:cs="Arial"/>
          <w:bCs/>
          <w:sz w:val="22"/>
          <w:szCs w:val="22"/>
        </w:rPr>
        <w:t xml:space="preserve">the total turnover at ICEX, increased </w:t>
      </w:r>
      <w:r w:rsidRPr="00C37442">
        <w:rPr>
          <w:rFonts w:ascii="Palatino Linotype" w:hAnsi="Palatino Linotype" w:cs="Arial"/>
          <w:bCs/>
          <w:sz w:val="22"/>
          <w:szCs w:val="22"/>
        </w:rPr>
        <w:t xml:space="preserve">to </w:t>
      </w:r>
      <w:r w:rsidRPr="00C37442">
        <w:rPr>
          <w:rFonts w:ascii="Times New Roman" w:hAnsi="Times New Roman"/>
          <w:bCs/>
          <w:sz w:val="22"/>
          <w:szCs w:val="22"/>
        </w:rPr>
        <w:t>₹</w:t>
      </w:r>
      <w:r w:rsidRPr="00B748D8">
        <w:rPr>
          <w:rFonts w:ascii="Palatino Linotype" w:hAnsi="Palatino Linotype" w:cs="Arial"/>
          <w:bCs/>
          <w:sz w:val="22"/>
          <w:szCs w:val="22"/>
        </w:rPr>
        <w:t xml:space="preserve">13.2 crore </w:t>
      </w:r>
      <w:r>
        <w:rPr>
          <w:rFonts w:ascii="Palatino Linotype" w:hAnsi="Palatino Linotype" w:cs="Arial"/>
          <w:bCs/>
          <w:sz w:val="22"/>
          <w:szCs w:val="22"/>
        </w:rPr>
        <w:t xml:space="preserve">from </w:t>
      </w:r>
      <w:r w:rsidRPr="00C37442">
        <w:rPr>
          <w:rFonts w:ascii="Times New Roman" w:hAnsi="Times New Roman"/>
          <w:bCs/>
          <w:sz w:val="22"/>
          <w:szCs w:val="22"/>
        </w:rPr>
        <w:t>₹</w:t>
      </w:r>
      <w:r>
        <w:rPr>
          <w:rFonts w:ascii="Palatino Linotype" w:hAnsi="Palatino Linotype" w:cs="Arial"/>
          <w:bCs/>
          <w:sz w:val="22"/>
          <w:szCs w:val="22"/>
        </w:rPr>
        <w:t>2.8</w:t>
      </w:r>
      <w:r w:rsidRPr="00451F88">
        <w:rPr>
          <w:rFonts w:ascii="Palatino Linotype" w:hAnsi="Palatino Linotype" w:cs="Arial"/>
          <w:bCs/>
          <w:sz w:val="22"/>
          <w:szCs w:val="22"/>
        </w:rPr>
        <w:t xml:space="preserve"> crore </w:t>
      </w:r>
      <w:r>
        <w:rPr>
          <w:rFonts w:ascii="Palatino Linotype" w:hAnsi="Palatino Linotype" w:cs="Arial"/>
          <w:bCs/>
          <w:sz w:val="22"/>
          <w:szCs w:val="22"/>
        </w:rPr>
        <w:t>recorded in December 2020.</w:t>
      </w:r>
    </w:p>
    <w:p w:rsidR="00B25705" w:rsidRPr="00184B26" w:rsidRDefault="00B25705" w:rsidP="00B25705">
      <w:pPr>
        <w:pStyle w:val="ListParagraph"/>
        <w:numPr>
          <w:ilvl w:val="0"/>
          <w:numId w:val="36"/>
        </w:numPr>
        <w:spacing w:after="0" w:line="240" w:lineRule="auto"/>
        <w:jc w:val="both"/>
      </w:pPr>
      <w:r w:rsidRPr="00C37442">
        <w:rPr>
          <w:rFonts w:ascii="Palatino Linotype" w:hAnsi="Palatino Linotype" w:cs="Arial"/>
          <w:bCs/>
          <w:sz w:val="22"/>
          <w:szCs w:val="22"/>
        </w:rPr>
        <w:t>The turnover of agricultural and non-agricultural commodities at exchanges is shown in Figures 15, 16 and 17 and the details are given in Tables 65 to 69.</w:t>
      </w:r>
    </w:p>
    <w:p w:rsidR="00B25705" w:rsidRPr="002357A9" w:rsidRDefault="00B25705" w:rsidP="00B25705">
      <w:pPr>
        <w:jc w:val="both"/>
        <w:rPr>
          <w:rFonts w:ascii="Palatino Linotype" w:hAnsi="Palatino Linotype" w:cs="Arial"/>
          <w:bCs/>
          <w:sz w:val="22"/>
          <w:szCs w:val="22"/>
          <w:highlight w:val="yellow"/>
        </w:rPr>
      </w:pPr>
    </w:p>
    <w:p w:rsidR="00B25705" w:rsidRPr="002357A9" w:rsidRDefault="00B25705" w:rsidP="00B25705">
      <w:pPr>
        <w:pStyle w:val="ListParagraph"/>
        <w:spacing w:after="0" w:line="240" w:lineRule="auto"/>
        <w:jc w:val="center"/>
        <w:rPr>
          <w:rFonts w:ascii="Palatino Linotype" w:hAnsi="Palatino Linotype" w:cs="Arial"/>
          <w:b/>
          <w:bCs/>
          <w:sz w:val="22"/>
          <w:szCs w:val="22"/>
        </w:rPr>
      </w:pPr>
      <w:r w:rsidRPr="002357A9">
        <w:rPr>
          <w:rFonts w:ascii="Palatino Linotype" w:hAnsi="Palatino Linotype" w:cs="Arial"/>
          <w:b/>
          <w:bCs/>
          <w:sz w:val="22"/>
          <w:szCs w:val="22"/>
        </w:rPr>
        <w:t xml:space="preserve">Figure 15: Trends in Turnover of Agricultural Commodity Derivatives </w:t>
      </w:r>
    </w:p>
    <w:p w:rsidR="00B25705" w:rsidRPr="002357A9" w:rsidRDefault="00B25705" w:rsidP="00B25705">
      <w:pPr>
        <w:pStyle w:val="ListParagraph"/>
        <w:spacing w:after="0" w:line="240" w:lineRule="auto"/>
        <w:ind w:left="0"/>
        <w:jc w:val="center"/>
        <w:rPr>
          <w:rFonts w:ascii="Palatino Linotype" w:hAnsi="Palatino Linotype" w:cs="Arial"/>
          <w:b/>
          <w:bCs/>
          <w:color w:val="2E74B5"/>
          <w:sz w:val="22"/>
          <w:szCs w:val="22"/>
          <w:highlight w:val="yellow"/>
        </w:rPr>
      </w:pPr>
      <w:r>
        <w:rPr>
          <w:noProof/>
          <w:lang w:val="en-IN" w:eastAsia="en-IN" w:bidi="hi-IN"/>
        </w:rPr>
        <w:drawing>
          <wp:inline distT="0" distB="0" distL="0" distR="0" wp14:anchorId="65B66097" wp14:editId="20A46902">
            <wp:extent cx="5940425" cy="2990850"/>
            <wp:effectExtent l="0" t="0" r="3175" b="0"/>
            <wp:docPr id="38" name="Chart 38">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B25705" w:rsidRPr="0099071E" w:rsidRDefault="00B25705" w:rsidP="00B25705">
      <w:pPr>
        <w:rPr>
          <w:rFonts w:ascii="Palatino Linotype" w:hAnsi="Palatino Linotype"/>
          <w:b/>
          <w:color w:val="0D0D0D"/>
          <w:sz w:val="18"/>
          <w:szCs w:val="18"/>
        </w:rPr>
      </w:pPr>
      <w:r>
        <w:rPr>
          <w:rFonts w:ascii="Palatino Linotype" w:hAnsi="Palatino Linotype"/>
          <w:b/>
          <w:color w:val="0D0D0D"/>
          <w:sz w:val="18"/>
          <w:szCs w:val="18"/>
        </w:rPr>
        <w:t xml:space="preserve">  </w:t>
      </w:r>
      <w:r w:rsidRPr="0099071E">
        <w:rPr>
          <w:rFonts w:ascii="Palatino Linotype" w:hAnsi="Palatino Linotype"/>
          <w:b/>
          <w:color w:val="0D0D0D"/>
          <w:sz w:val="18"/>
          <w:szCs w:val="18"/>
        </w:rPr>
        <w:t xml:space="preserve">    Source: MCX, NCDEX, BSE &amp; ICEX</w:t>
      </w:r>
    </w:p>
    <w:p w:rsidR="00B25705" w:rsidRPr="002357A9" w:rsidRDefault="00B25705" w:rsidP="00B25705">
      <w:pPr>
        <w:rPr>
          <w:rFonts w:ascii="Palatino Linotype" w:hAnsi="Palatino Linotype"/>
          <w:b/>
          <w:color w:val="365F91"/>
          <w:sz w:val="22"/>
          <w:szCs w:val="22"/>
          <w:highlight w:val="yellow"/>
        </w:rPr>
      </w:pPr>
    </w:p>
    <w:p w:rsidR="00B25705" w:rsidRPr="002357A9" w:rsidRDefault="00B25705" w:rsidP="00B25705">
      <w:pPr>
        <w:pStyle w:val="ListParagraph"/>
        <w:spacing w:after="0" w:line="240" w:lineRule="auto"/>
        <w:jc w:val="center"/>
        <w:rPr>
          <w:rFonts w:ascii="Palatino Linotype" w:hAnsi="Palatino Linotype" w:cs="Arial"/>
          <w:b/>
          <w:bCs/>
          <w:sz w:val="22"/>
          <w:szCs w:val="22"/>
          <w:highlight w:val="yellow"/>
        </w:rPr>
      </w:pPr>
      <w:r w:rsidRPr="002357A9">
        <w:rPr>
          <w:rFonts w:ascii="Palatino Linotype" w:hAnsi="Palatino Linotype" w:cs="Arial"/>
          <w:b/>
          <w:bCs/>
          <w:sz w:val="22"/>
          <w:szCs w:val="22"/>
          <w:highlight w:val="yellow"/>
        </w:rPr>
        <w:t xml:space="preserve">  </w:t>
      </w:r>
    </w:p>
    <w:p w:rsidR="00B25705" w:rsidRDefault="00B25705" w:rsidP="00B25705">
      <w:pPr>
        <w:pStyle w:val="ListParagraph"/>
        <w:spacing w:after="0" w:line="240" w:lineRule="auto"/>
        <w:jc w:val="center"/>
        <w:rPr>
          <w:rFonts w:ascii="Palatino Linotype" w:hAnsi="Palatino Linotype" w:cs="Arial"/>
          <w:b/>
          <w:bCs/>
          <w:sz w:val="22"/>
          <w:szCs w:val="22"/>
          <w:highlight w:val="yellow"/>
        </w:rPr>
      </w:pPr>
    </w:p>
    <w:p w:rsidR="00B25705" w:rsidRDefault="00B25705" w:rsidP="00B25705">
      <w:pPr>
        <w:pStyle w:val="ListParagraph"/>
        <w:spacing w:after="0" w:line="240" w:lineRule="auto"/>
        <w:jc w:val="center"/>
        <w:rPr>
          <w:rFonts w:ascii="Palatino Linotype" w:hAnsi="Palatino Linotype" w:cs="Arial"/>
          <w:b/>
          <w:bCs/>
          <w:sz w:val="22"/>
          <w:szCs w:val="22"/>
          <w:highlight w:val="yellow"/>
        </w:rPr>
      </w:pPr>
    </w:p>
    <w:p w:rsidR="00B25705" w:rsidRPr="002357A9" w:rsidRDefault="00B25705" w:rsidP="00B25705">
      <w:pPr>
        <w:pStyle w:val="ListParagraph"/>
        <w:spacing w:after="0" w:line="240" w:lineRule="auto"/>
        <w:jc w:val="center"/>
        <w:rPr>
          <w:rFonts w:ascii="Palatino Linotype" w:hAnsi="Palatino Linotype" w:cs="Arial"/>
          <w:b/>
          <w:bCs/>
          <w:sz w:val="22"/>
          <w:szCs w:val="22"/>
          <w:highlight w:val="yellow"/>
        </w:rPr>
      </w:pPr>
    </w:p>
    <w:p w:rsidR="00B25705" w:rsidRPr="002357A9" w:rsidRDefault="00B25705" w:rsidP="00B25705">
      <w:pPr>
        <w:pStyle w:val="ListParagraph"/>
        <w:spacing w:after="0" w:line="240" w:lineRule="auto"/>
        <w:jc w:val="center"/>
        <w:rPr>
          <w:rFonts w:ascii="Palatino Linotype" w:hAnsi="Palatino Linotype" w:cs="Arial"/>
          <w:b/>
          <w:bCs/>
          <w:sz w:val="22"/>
          <w:szCs w:val="22"/>
        </w:rPr>
      </w:pPr>
    </w:p>
    <w:p w:rsidR="00B25705" w:rsidRPr="002357A9" w:rsidRDefault="00B25705" w:rsidP="00B25705">
      <w:pPr>
        <w:pStyle w:val="ListParagraph"/>
        <w:spacing w:after="0" w:line="240" w:lineRule="auto"/>
        <w:jc w:val="center"/>
        <w:rPr>
          <w:rFonts w:ascii="Palatino Linotype" w:hAnsi="Palatino Linotype" w:cs="Arial"/>
          <w:b/>
          <w:bCs/>
          <w:sz w:val="22"/>
          <w:szCs w:val="22"/>
        </w:rPr>
      </w:pPr>
    </w:p>
    <w:p w:rsidR="00B25705" w:rsidRPr="002357A9" w:rsidRDefault="00B25705" w:rsidP="00B25705">
      <w:pPr>
        <w:pStyle w:val="ListParagraph"/>
        <w:spacing w:after="0" w:line="240" w:lineRule="auto"/>
        <w:jc w:val="center"/>
        <w:rPr>
          <w:rFonts w:ascii="Palatino Linotype" w:hAnsi="Palatino Linotype" w:cs="Arial"/>
          <w:b/>
          <w:bCs/>
          <w:sz w:val="22"/>
          <w:szCs w:val="22"/>
        </w:rPr>
      </w:pPr>
      <w:r w:rsidRPr="002357A9">
        <w:rPr>
          <w:rFonts w:ascii="Palatino Linotype" w:hAnsi="Palatino Linotype" w:cs="Arial"/>
          <w:b/>
          <w:bCs/>
          <w:sz w:val="22"/>
          <w:szCs w:val="22"/>
        </w:rPr>
        <w:t xml:space="preserve"> Figure 16: Trends in Turnover of Non-Agricultural Futures contracts </w:t>
      </w:r>
    </w:p>
    <w:p w:rsidR="00B25705" w:rsidRPr="002357A9" w:rsidRDefault="00B25705" w:rsidP="00B25705">
      <w:pPr>
        <w:pStyle w:val="ListParagraph"/>
        <w:spacing w:after="0" w:line="240" w:lineRule="auto"/>
        <w:ind w:left="0"/>
        <w:jc w:val="center"/>
        <w:rPr>
          <w:rFonts w:ascii="Palatino Linotype" w:hAnsi="Palatino Linotype" w:cs="Arial"/>
          <w:b/>
          <w:bCs/>
          <w:sz w:val="22"/>
          <w:szCs w:val="22"/>
        </w:rPr>
      </w:pPr>
      <w:r>
        <w:rPr>
          <w:noProof/>
          <w:lang w:val="en-IN" w:eastAsia="en-IN" w:bidi="hi-IN"/>
        </w:rPr>
        <w:drawing>
          <wp:inline distT="0" distB="0" distL="0" distR="0" wp14:anchorId="5E5D37A2" wp14:editId="392C2DC0">
            <wp:extent cx="6305550" cy="3181350"/>
            <wp:effectExtent l="0" t="0" r="0" b="0"/>
            <wp:docPr id="39" name="Chart 39">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B25705" w:rsidRDefault="00B25705" w:rsidP="00B25705">
      <w:pPr>
        <w:spacing w:line="259" w:lineRule="auto"/>
        <w:rPr>
          <w:rFonts w:ascii="Palatino Linotype" w:hAnsi="Palatino Linotype"/>
          <w:b/>
          <w:color w:val="0D0D0D"/>
          <w:sz w:val="18"/>
          <w:szCs w:val="18"/>
        </w:rPr>
      </w:pPr>
      <w:r w:rsidRPr="0099071E">
        <w:rPr>
          <w:rFonts w:ascii="Palatino Linotype" w:hAnsi="Palatino Linotype"/>
          <w:b/>
          <w:color w:val="0D0D0D"/>
          <w:sz w:val="18"/>
          <w:szCs w:val="18"/>
        </w:rPr>
        <w:t xml:space="preserve">     Source: MCX, ICEX, BSE &amp; NSE. </w:t>
      </w:r>
    </w:p>
    <w:p w:rsidR="00B25705" w:rsidRPr="0099071E" w:rsidRDefault="00B25705" w:rsidP="00B25705">
      <w:pPr>
        <w:spacing w:line="259" w:lineRule="auto"/>
        <w:rPr>
          <w:rFonts w:ascii="Palatino Linotype" w:hAnsi="Palatino Linotype"/>
          <w:b/>
          <w:color w:val="0D0D0D"/>
          <w:sz w:val="18"/>
          <w:szCs w:val="18"/>
        </w:rPr>
      </w:pPr>
    </w:p>
    <w:p w:rsidR="00B25705" w:rsidRDefault="00B25705" w:rsidP="00B25705">
      <w:pPr>
        <w:spacing w:line="259" w:lineRule="auto"/>
        <w:rPr>
          <w:rFonts w:ascii="Palatino Linotype" w:hAnsi="Palatino Linotype" w:cs="Arial"/>
          <w:bCs/>
          <w:sz w:val="22"/>
          <w:szCs w:val="22"/>
        </w:rPr>
      </w:pPr>
      <w:r w:rsidRPr="002357A9">
        <w:rPr>
          <w:rFonts w:ascii="Palatino Linotype" w:hAnsi="Palatino Linotype" w:cs="Arial"/>
          <w:bCs/>
          <w:sz w:val="22"/>
          <w:szCs w:val="22"/>
        </w:rPr>
        <w:t xml:space="preserve">                                                                </w:t>
      </w:r>
    </w:p>
    <w:p w:rsidR="00B25705" w:rsidRPr="002357A9" w:rsidRDefault="00B25705" w:rsidP="00B25705">
      <w:pPr>
        <w:spacing w:line="259" w:lineRule="auto"/>
        <w:jc w:val="center"/>
        <w:rPr>
          <w:rFonts w:ascii="Palatino Linotype" w:hAnsi="Palatino Linotype" w:cs="Arial"/>
          <w:b/>
          <w:bCs/>
          <w:sz w:val="22"/>
          <w:szCs w:val="22"/>
        </w:rPr>
      </w:pPr>
      <w:r w:rsidRPr="002357A9">
        <w:rPr>
          <w:rFonts w:ascii="Palatino Linotype" w:hAnsi="Palatino Linotype" w:cs="Arial"/>
          <w:b/>
          <w:bCs/>
          <w:sz w:val="22"/>
          <w:szCs w:val="22"/>
        </w:rPr>
        <w:t>Figure 17: Trends in Turnover of Non-Agricultural Options contracts</w:t>
      </w:r>
    </w:p>
    <w:p w:rsidR="00B25705" w:rsidRPr="002357A9" w:rsidRDefault="00B25705" w:rsidP="00B25705">
      <w:pPr>
        <w:pStyle w:val="ListParagraph"/>
        <w:spacing w:after="0" w:line="240" w:lineRule="auto"/>
        <w:ind w:left="0"/>
        <w:jc w:val="center"/>
        <w:rPr>
          <w:rFonts w:ascii="Palatino Linotype" w:hAnsi="Palatino Linotype" w:cs="Arial"/>
          <w:b/>
          <w:bCs/>
          <w:sz w:val="22"/>
          <w:szCs w:val="22"/>
        </w:rPr>
      </w:pPr>
      <w:r>
        <w:rPr>
          <w:noProof/>
          <w:lang w:val="en-IN" w:eastAsia="en-IN" w:bidi="hi-IN"/>
        </w:rPr>
        <w:drawing>
          <wp:inline distT="0" distB="0" distL="0" distR="0" wp14:anchorId="6EE3E7CD" wp14:editId="3840A77F">
            <wp:extent cx="6200775" cy="3067050"/>
            <wp:effectExtent l="0" t="0" r="9525" b="0"/>
            <wp:docPr id="40" name="Chart 40">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B25705" w:rsidRPr="0099071E" w:rsidRDefault="00B25705" w:rsidP="00B25705">
      <w:pPr>
        <w:spacing w:line="259" w:lineRule="auto"/>
        <w:rPr>
          <w:rFonts w:ascii="Palatino Linotype" w:hAnsi="Palatino Linotype" w:cs="Arial"/>
          <w:bCs/>
          <w:sz w:val="18"/>
          <w:szCs w:val="18"/>
        </w:rPr>
      </w:pPr>
      <w:r w:rsidRPr="0099071E">
        <w:rPr>
          <w:rFonts w:ascii="Palatino Linotype" w:hAnsi="Palatino Linotype"/>
          <w:b/>
          <w:color w:val="0D0D0D"/>
          <w:sz w:val="18"/>
          <w:szCs w:val="18"/>
        </w:rPr>
        <w:t xml:space="preserve">   Source: MCX, BSE &amp; NSE.</w:t>
      </w: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2F3AF7" w:rsidRPr="003067B3"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g</w:t>
      </w:r>
      <w:r w:rsidRPr="003067B3">
        <w:rPr>
          <w:rFonts w:ascii="Palatino Linotype" w:eastAsia="Times New Roman" w:hAnsi="Palatino Linotype"/>
          <w:sz w:val="22"/>
          <w:szCs w:val="22"/>
          <w:lang w:val="en-US"/>
        </w:rPr>
        <w:t xml:space="preserve">lobal economic expansion </w:t>
      </w:r>
      <w:r>
        <w:rPr>
          <w:rFonts w:ascii="Palatino Linotype" w:eastAsia="Times New Roman" w:hAnsi="Palatino Linotype"/>
          <w:sz w:val="22"/>
          <w:szCs w:val="22"/>
          <w:lang w:val="en-US"/>
        </w:rPr>
        <w:t xml:space="preserve">rate </w:t>
      </w:r>
      <w:r w:rsidRPr="003067B3">
        <w:rPr>
          <w:rFonts w:ascii="Palatino Linotype" w:eastAsia="Times New Roman" w:hAnsi="Palatino Linotype"/>
          <w:sz w:val="22"/>
          <w:szCs w:val="22"/>
          <w:lang w:val="en-US"/>
        </w:rPr>
        <w:t>eased for the third</w:t>
      </w:r>
      <w:r>
        <w:rPr>
          <w:rFonts w:ascii="Palatino Linotype" w:eastAsia="Times New Roman" w:hAnsi="Palatino Linotype"/>
          <w:sz w:val="22"/>
          <w:szCs w:val="22"/>
          <w:lang w:val="en-US"/>
        </w:rPr>
        <w:t xml:space="preserve"> </w:t>
      </w:r>
      <w:r w:rsidRPr="003067B3">
        <w:rPr>
          <w:rFonts w:ascii="Palatino Linotype" w:eastAsia="Times New Roman" w:hAnsi="Palatino Linotype"/>
          <w:sz w:val="22"/>
          <w:szCs w:val="22"/>
          <w:lang w:val="en-US"/>
        </w:rPr>
        <w:t>month in a row during January</w:t>
      </w:r>
      <w:r>
        <w:rPr>
          <w:rFonts w:ascii="Palatino Linotype" w:eastAsia="Times New Roman" w:hAnsi="Palatino Linotype"/>
          <w:sz w:val="22"/>
          <w:szCs w:val="22"/>
          <w:lang w:val="en-US"/>
        </w:rPr>
        <w:t xml:space="preserve"> 2021</w:t>
      </w:r>
      <w:r w:rsidRPr="003067B3">
        <w:rPr>
          <w:rFonts w:ascii="Palatino Linotype" w:eastAsia="Times New Roman" w:hAnsi="Palatino Linotype"/>
          <w:sz w:val="22"/>
          <w:szCs w:val="22"/>
          <w:lang w:val="en-US"/>
        </w:rPr>
        <w:t>. The JPMorgan Global Composite Purchasing Managers’ Index (PMI), co</w:t>
      </w:r>
      <w:r>
        <w:rPr>
          <w:rFonts w:ascii="Palatino Linotype" w:eastAsia="Times New Roman" w:hAnsi="Palatino Linotype"/>
          <w:sz w:val="22"/>
          <w:szCs w:val="22"/>
          <w:lang w:val="en-US"/>
        </w:rPr>
        <w:t xml:space="preserve">mpiled by IHS Markit, decreased </w:t>
      </w:r>
      <w:r w:rsidRPr="003067B3">
        <w:rPr>
          <w:rFonts w:ascii="Palatino Linotype" w:eastAsia="Times New Roman" w:hAnsi="Palatino Linotype"/>
          <w:sz w:val="22"/>
          <w:szCs w:val="22"/>
          <w:lang w:val="en-US"/>
        </w:rPr>
        <w:t>to 52.3 in January 202</w:t>
      </w:r>
      <w:r>
        <w:rPr>
          <w:rFonts w:ascii="Palatino Linotype" w:eastAsia="Times New Roman" w:hAnsi="Palatino Linotype"/>
          <w:sz w:val="22"/>
          <w:szCs w:val="22"/>
          <w:lang w:val="en-US"/>
        </w:rPr>
        <w:t>1</w:t>
      </w:r>
      <w:r w:rsidRPr="003067B3">
        <w:rPr>
          <w:rFonts w:ascii="Palatino Linotype" w:eastAsia="Times New Roman" w:hAnsi="Palatino Linotype"/>
          <w:sz w:val="22"/>
          <w:szCs w:val="22"/>
          <w:lang w:val="en-US"/>
        </w:rPr>
        <w:t xml:space="preserve"> from 52.7 in December 2020. A reading of PMI above 50 means growth or </w:t>
      </w:r>
      <w:r>
        <w:rPr>
          <w:rFonts w:ascii="Palatino Linotype" w:eastAsia="Times New Roman" w:hAnsi="Palatino Linotype"/>
          <w:sz w:val="22"/>
          <w:szCs w:val="22"/>
          <w:lang w:val="en-US"/>
        </w:rPr>
        <w:t xml:space="preserve">expansion in economic activity. </w:t>
      </w:r>
    </w:p>
    <w:p w:rsidR="002F3AF7" w:rsidRPr="008B505F" w:rsidRDefault="002F3AF7" w:rsidP="002F3AF7">
      <w:pPr>
        <w:pStyle w:val="ListParagraph"/>
        <w:shd w:val="clear" w:color="auto" w:fill="FFFFFF"/>
        <w:spacing w:before="150" w:after="150" w:line="345" w:lineRule="atLeast"/>
        <w:ind w:left="360" w:right="107"/>
        <w:jc w:val="both"/>
        <w:rPr>
          <w:rFonts w:ascii="Palatino Linotype" w:eastAsia="Times New Roman" w:hAnsi="Palatino Linotype"/>
          <w:sz w:val="22"/>
          <w:szCs w:val="22"/>
        </w:rPr>
      </w:pPr>
    </w:p>
    <w:p w:rsidR="002F3AF7" w:rsidRDefault="002F3AF7" w:rsidP="002F3AF7">
      <w:pPr>
        <w:pStyle w:val="ListParagraph"/>
        <w:numPr>
          <w:ilvl w:val="0"/>
          <w:numId w:val="23"/>
        </w:numPr>
        <w:shd w:val="clear" w:color="auto" w:fill="FFFFFF"/>
        <w:spacing w:before="150" w:after="150" w:line="345" w:lineRule="atLeast"/>
        <w:ind w:right="107"/>
        <w:jc w:val="both"/>
        <w:rPr>
          <w:rFonts w:ascii="Palatino Linotype" w:eastAsia="Times New Roman" w:hAnsi="Palatino Linotype"/>
          <w:sz w:val="22"/>
          <w:szCs w:val="22"/>
        </w:rPr>
      </w:pPr>
      <w:r w:rsidRPr="00BE485C">
        <w:rPr>
          <w:rFonts w:ascii="Palatino Linotype" w:eastAsia="Times New Roman" w:hAnsi="Palatino Linotype"/>
          <w:sz w:val="22"/>
          <w:szCs w:val="22"/>
        </w:rPr>
        <w:t>In its latest January 2021, Global Economic Prospects report, the World Bank informed that the global economy has contracted by 4.3 per cent in 2020, representing the fourth most severe global recession in the past 150 years. As per the report, although the global economy is expected to recover from the COVID-19 induced recession, progress will be slow and subdued. While global growth is projected at 4.0 per cent in 2021, but another spike in COVID-19 cases could reduce it to 1.6 per cent. The report flags that the expected slower pace of vaccinations in developing countries relative to advanced economies represents a substantial headwind to activity.</w:t>
      </w:r>
    </w:p>
    <w:p w:rsidR="002F3AF7" w:rsidRDefault="002F3AF7" w:rsidP="002F3AF7">
      <w:pPr>
        <w:pStyle w:val="ListParagraph"/>
        <w:rPr>
          <w:rFonts w:ascii="Palatino Linotype" w:eastAsia="Times New Roman" w:hAnsi="Palatino Linotype"/>
          <w:sz w:val="22"/>
          <w:szCs w:val="22"/>
        </w:rPr>
      </w:pPr>
    </w:p>
    <w:p w:rsidR="002F3AF7" w:rsidRPr="00BE485C" w:rsidRDefault="002F3AF7" w:rsidP="002F3AF7">
      <w:pPr>
        <w:pStyle w:val="ListParagraph"/>
        <w:numPr>
          <w:ilvl w:val="0"/>
          <w:numId w:val="23"/>
        </w:numPr>
        <w:shd w:val="clear" w:color="auto" w:fill="FFFFFF"/>
        <w:spacing w:before="150" w:after="150" w:line="345" w:lineRule="atLeast"/>
        <w:ind w:right="107"/>
        <w:jc w:val="both"/>
        <w:rPr>
          <w:rFonts w:ascii="Palatino Linotype" w:eastAsia="Times New Roman" w:hAnsi="Palatino Linotype"/>
          <w:sz w:val="22"/>
          <w:szCs w:val="22"/>
        </w:rPr>
      </w:pPr>
      <w:r w:rsidRPr="00FD2BE6">
        <w:rPr>
          <w:rFonts w:ascii="Palatino Linotype" w:eastAsia="Times New Roman" w:hAnsi="Palatino Linotype"/>
          <w:sz w:val="22"/>
          <w:szCs w:val="22"/>
        </w:rPr>
        <w:t xml:space="preserve">In </w:t>
      </w:r>
      <w:r w:rsidRPr="0051737A">
        <w:rPr>
          <w:rFonts w:ascii="Palatino Linotype" w:eastAsia="Times New Roman" w:hAnsi="Palatino Linotype"/>
          <w:sz w:val="22"/>
          <w:szCs w:val="22"/>
        </w:rPr>
        <w:t xml:space="preserve">the </w:t>
      </w:r>
      <w:r>
        <w:rPr>
          <w:rFonts w:ascii="Palatino Linotype" w:eastAsia="Times New Roman" w:hAnsi="Palatino Linotype"/>
          <w:sz w:val="22"/>
          <w:szCs w:val="22"/>
        </w:rPr>
        <w:t>January 2021</w:t>
      </w:r>
      <w:r w:rsidRPr="00FD2BE6">
        <w:rPr>
          <w:rFonts w:ascii="Palatino Linotype" w:eastAsia="Times New Roman" w:hAnsi="Palatino Linotype"/>
          <w:sz w:val="22"/>
          <w:szCs w:val="22"/>
        </w:rPr>
        <w:t xml:space="preserve"> World Economic Outlook update</w:t>
      </w:r>
      <w:r>
        <w:rPr>
          <w:rFonts w:ascii="Palatino Linotype" w:eastAsia="Times New Roman" w:hAnsi="Palatino Linotype"/>
          <w:sz w:val="22"/>
          <w:szCs w:val="22"/>
        </w:rPr>
        <w:t>,</w:t>
      </w:r>
      <w:r w:rsidRPr="00FD2BE6">
        <w:rPr>
          <w:rFonts w:ascii="Palatino Linotype" w:eastAsia="Times New Roman" w:hAnsi="Palatino Linotype"/>
          <w:sz w:val="22"/>
          <w:szCs w:val="22"/>
        </w:rPr>
        <w:t xml:space="preserve"> IMF </w:t>
      </w:r>
      <w:r>
        <w:rPr>
          <w:rFonts w:ascii="Palatino Linotype" w:eastAsia="Times New Roman" w:hAnsi="Palatino Linotype"/>
          <w:sz w:val="22"/>
          <w:szCs w:val="22"/>
        </w:rPr>
        <w:t>estimated</w:t>
      </w:r>
      <w:r w:rsidRPr="00FD2BE6">
        <w:rPr>
          <w:rFonts w:ascii="Palatino Linotype" w:eastAsia="Times New Roman" w:hAnsi="Palatino Linotype"/>
          <w:sz w:val="22"/>
          <w:szCs w:val="22"/>
        </w:rPr>
        <w:t xml:space="preserve"> the world economy  grow</w:t>
      </w:r>
      <w:r>
        <w:rPr>
          <w:rFonts w:ascii="Palatino Linotype" w:eastAsia="Times New Roman" w:hAnsi="Palatino Linotype"/>
          <w:sz w:val="22"/>
          <w:szCs w:val="22"/>
        </w:rPr>
        <w:t>th rates</w:t>
      </w:r>
      <w:r w:rsidRPr="00FD2BE6">
        <w:rPr>
          <w:rFonts w:ascii="Palatino Linotype" w:eastAsia="Times New Roman" w:hAnsi="Palatino Linotype"/>
          <w:sz w:val="22"/>
          <w:szCs w:val="22"/>
        </w:rPr>
        <w:t xml:space="preserve"> at -3.5, 5.5 per cent and 4.2 per cent for year 2020, 2021 and 2022</w:t>
      </w:r>
      <w:r>
        <w:rPr>
          <w:rFonts w:ascii="Palatino Linotype" w:eastAsia="Times New Roman" w:hAnsi="Palatino Linotype"/>
          <w:sz w:val="22"/>
          <w:szCs w:val="22"/>
        </w:rPr>
        <w:t xml:space="preserve"> </w:t>
      </w:r>
      <w:r w:rsidRPr="00FD2BE6">
        <w:rPr>
          <w:rFonts w:ascii="Palatino Linotype" w:eastAsia="Times New Roman" w:hAnsi="Palatino Linotype"/>
          <w:sz w:val="22"/>
          <w:szCs w:val="22"/>
        </w:rPr>
        <w:t xml:space="preserve">respectively. There was an upward revision for 2021 by 30 bps. </w:t>
      </w:r>
      <w:r>
        <w:rPr>
          <w:rFonts w:ascii="Palatino Linotype" w:eastAsia="Times New Roman" w:hAnsi="Palatino Linotype"/>
          <w:sz w:val="22"/>
          <w:szCs w:val="22"/>
        </w:rPr>
        <w:t>Estimated growth rates f</w:t>
      </w:r>
      <w:r w:rsidRPr="00FD2BE6">
        <w:rPr>
          <w:rFonts w:ascii="Palatino Linotype" w:eastAsia="Times New Roman" w:hAnsi="Palatino Linotype"/>
          <w:sz w:val="22"/>
          <w:szCs w:val="22"/>
        </w:rPr>
        <w:t xml:space="preserve">or India </w:t>
      </w:r>
      <w:r>
        <w:rPr>
          <w:rFonts w:ascii="Palatino Linotype" w:eastAsia="Times New Roman" w:hAnsi="Palatino Linotype"/>
          <w:sz w:val="22"/>
          <w:szCs w:val="22"/>
        </w:rPr>
        <w:t>are</w:t>
      </w:r>
      <w:r w:rsidRPr="00FD2BE6">
        <w:rPr>
          <w:rFonts w:ascii="Palatino Linotype" w:eastAsia="Times New Roman" w:hAnsi="Palatino Linotype"/>
          <w:sz w:val="22"/>
          <w:szCs w:val="22"/>
        </w:rPr>
        <w:t xml:space="preserve"> -8.0, 11.5 and 6.8 per cent for year 2020, 2021 and 2022</w:t>
      </w:r>
      <w:r>
        <w:rPr>
          <w:rFonts w:ascii="Palatino Linotype" w:eastAsia="Times New Roman" w:hAnsi="Palatino Linotype"/>
          <w:sz w:val="22"/>
          <w:szCs w:val="22"/>
        </w:rPr>
        <w:t xml:space="preserve"> </w:t>
      </w:r>
      <w:r w:rsidRPr="00FD2BE6">
        <w:rPr>
          <w:rFonts w:ascii="Palatino Linotype" w:eastAsia="Times New Roman" w:hAnsi="Palatino Linotype"/>
          <w:sz w:val="22"/>
          <w:szCs w:val="22"/>
        </w:rPr>
        <w:t xml:space="preserve">respectively. </w:t>
      </w:r>
      <w:r>
        <w:rPr>
          <w:rFonts w:ascii="Palatino Linotype" w:eastAsia="Times New Roman" w:hAnsi="Palatino Linotype"/>
          <w:sz w:val="22"/>
          <w:szCs w:val="22"/>
        </w:rPr>
        <w:t>G</w:t>
      </w:r>
      <w:r w:rsidRPr="00FD2BE6">
        <w:rPr>
          <w:rFonts w:ascii="Palatino Linotype" w:eastAsia="Times New Roman" w:hAnsi="Palatino Linotype"/>
          <w:sz w:val="22"/>
          <w:szCs w:val="22"/>
        </w:rPr>
        <w:t>rowth</w:t>
      </w:r>
      <w:r>
        <w:rPr>
          <w:rFonts w:ascii="Palatino Linotype" w:eastAsia="Times New Roman" w:hAnsi="Palatino Linotype"/>
          <w:sz w:val="22"/>
          <w:szCs w:val="22"/>
        </w:rPr>
        <w:t xml:space="preserve"> rates</w:t>
      </w:r>
      <w:r w:rsidRPr="00FD2BE6">
        <w:rPr>
          <w:rFonts w:ascii="Palatino Linotype" w:eastAsia="Times New Roman" w:hAnsi="Palatino Linotype"/>
          <w:sz w:val="22"/>
          <w:szCs w:val="22"/>
        </w:rPr>
        <w:t xml:space="preserve"> for China was kept at 2.3, 8.1 and 5.6 respectively for the same years.</w:t>
      </w:r>
    </w:p>
    <w:p w:rsidR="002F3AF7" w:rsidRPr="00607F13"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trike/>
          <w:sz w:val="22"/>
          <w:szCs w:val="22"/>
          <w:lang w:val="en-US"/>
        </w:rPr>
      </w:pPr>
      <w:r w:rsidRPr="00BE485C">
        <w:rPr>
          <w:rFonts w:ascii="Palatino Linotype" w:eastAsia="Times New Roman" w:hAnsi="Palatino Linotype"/>
          <w:sz w:val="22"/>
          <w:szCs w:val="22"/>
          <w:lang w:val="en-US"/>
        </w:rPr>
        <w:t xml:space="preserve">The emerging equity markets outperformed advanced markets in </w:t>
      </w:r>
      <w:r>
        <w:rPr>
          <w:rFonts w:ascii="Palatino Linotype" w:eastAsia="Times New Roman" w:hAnsi="Palatino Linotype"/>
          <w:sz w:val="22"/>
          <w:szCs w:val="22"/>
          <w:lang w:val="en-US"/>
        </w:rPr>
        <w:t>January</w:t>
      </w:r>
      <w:r w:rsidRPr="00BE485C">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BE485C">
        <w:rPr>
          <w:rFonts w:ascii="Palatino Linotype" w:eastAsia="Times New Roman" w:hAnsi="Palatino Linotype"/>
          <w:sz w:val="22"/>
          <w:szCs w:val="22"/>
          <w:lang w:val="en-US"/>
        </w:rPr>
        <w:t xml:space="preserve">. MSCI Emerging Market (EM) index increased by </w:t>
      </w:r>
      <w:r>
        <w:rPr>
          <w:rFonts w:ascii="Palatino Linotype" w:eastAsia="Times New Roman" w:hAnsi="Palatino Linotype"/>
          <w:sz w:val="22"/>
          <w:szCs w:val="22"/>
          <w:lang w:val="en-US"/>
        </w:rPr>
        <w:t>3.0</w:t>
      </w:r>
      <w:r w:rsidRPr="00BE485C">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January</w:t>
      </w:r>
      <w:r w:rsidRPr="00BE485C">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BE485C">
        <w:rPr>
          <w:rFonts w:ascii="Palatino Linotype" w:eastAsia="Times New Roman" w:hAnsi="Palatino Linotype"/>
          <w:sz w:val="22"/>
          <w:szCs w:val="22"/>
          <w:lang w:val="en-US"/>
        </w:rPr>
        <w:t xml:space="preserve"> over the previous month, while MSCI World index </w:t>
      </w:r>
      <w:r>
        <w:rPr>
          <w:rFonts w:ascii="Palatino Linotype" w:eastAsia="Times New Roman" w:hAnsi="Palatino Linotype"/>
          <w:sz w:val="22"/>
          <w:szCs w:val="22"/>
          <w:lang w:val="en-US"/>
        </w:rPr>
        <w:t>decreased</w:t>
      </w:r>
      <w:r w:rsidRPr="00BE485C">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-1.1</w:t>
      </w:r>
      <w:r w:rsidRPr="00BE485C">
        <w:rPr>
          <w:rFonts w:ascii="Palatino Linotype" w:eastAsia="Times New Roman" w:hAnsi="Palatino Linotype"/>
          <w:sz w:val="22"/>
          <w:szCs w:val="22"/>
          <w:lang w:val="en-US"/>
        </w:rPr>
        <w:t xml:space="preserve"> per cent during same period. </w:t>
      </w:r>
    </w:p>
    <w:p w:rsidR="002F3AF7" w:rsidRPr="008B505F"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9246E7"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9246E7">
        <w:rPr>
          <w:rFonts w:ascii="Palatino Linotype" w:eastAsia="Times New Roman" w:hAnsi="Palatino Linotype"/>
          <w:sz w:val="22"/>
          <w:szCs w:val="22"/>
          <w:lang w:val="en-US"/>
        </w:rPr>
        <w:t xml:space="preserve">The volatility in the equity markets remained moderate during </w:t>
      </w:r>
      <w:r>
        <w:rPr>
          <w:rFonts w:ascii="Palatino Linotype" w:eastAsia="Times New Roman" w:hAnsi="Palatino Linotype"/>
          <w:sz w:val="22"/>
          <w:szCs w:val="22"/>
          <w:lang w:val="en-US"/>
        </w:rPr>
        <w:t>January</w:t>
      </w:r>
      <w:r w:rsidRPr="009246E7">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9246E7">
        <w:rPr>
          <w:rFonts w:ascii="Palatino Linotype" w:eastAsia="Times New Roman" w:hAnsi="Palatino Linotype"/>
          <w:sz w:val="22"/>
          <w:szCs w:val="22"/>
          <w:lang w:val="en-US"/>
        </w:rPr>
        <w:t xml:space="preserve">. The CBOE VIX index rose to </w:t>
      </w:r>
      <w:r>
        <w:rPr>
          <w:rFonts w:ascii="Palatino Linotype" w:eastAsia="Times New Roman" w:hAnsi="Palatino Linotype"/>
          <w:sz w:val="22"/>
          <w:szCs w:val="22"/>
          <w:lang w:val="en-US"/>
        </w:rPr>
        <w:t>33.1</w:t>
      </w:r>
      <w:r w:rsidRPr="009246E7">
        <w:rPr>
          <w:rFonts w:ascii="Palatino Linotype" w:eastAsia="Times New Roman" w:hAnsi="Palatino Linotype"/>
          <w:sz w:val="22"/>
          <w:szCs w:val="22"/>
          <w:lang w:val="en-US"/>
        </w:rPr>
        <w:t xml:space="preserve"> as on </w:t>
      </w:r>
      <w:r>
        <w:rPr>
          <w:rFonts w:ascii="Palatino Linotype" w:eastAsia="Times New Roman" w:hAnsi="Palatino Linotype"/>
          <w:sz w:val="22"/>
          <w:szCs w:val="22"/>
          <w:lang w:val="en-US"/>
        </w:rPr>
        <w:t>31 January</w:t>
      </w:r>
      <w:r w:rsidRPr="009246E7">
        <w:rPr>
          <w:rFonts w:ascii="Palatino Linotype" w:eastAsia="Times New Roman" w:hAnsi="Palatino Linotype"/>
          <w:sz w:val="22"/>
          <w:szCs w:val="22"/>
          <w:lang w:val="en-US"/>
        </w:rPr>
        <w:t>, 202</w:t>
      </w:r>
      <w:r>
        <w:rPr>
          <w:rFonts w:ascii="Palatino Linotype" w:eastAsia="Times New Roman" w:hAnsi="Palatino Linotype"/>
          <w:sz w:val="22"/>
          <w:szCs w:val="22"/>
          <w:lang w:val="en-US"/>
        </w:rPr>
        <w:t>1</w:t>
      </w:r>
      <w:r w:rsidRPr="009246E7">
        <w:rPr>
          <w:rFonts w:ascii="Palatino Linotype" w:eastAsia="Times New Roman" w:hAnsi="Palatino Linotype"/>
          <w:sz w:val="22"/>
          <w:szCs w:val="22"/>
          <w:lang w:val="en-US"/>
        </w:rPr>
        <w:t xml:space="preserve"> from </w:t>
      </w:r>
      <w:r>
        <w:rPr>
          <w:rFonts w:ascii="Palatino Linotype" w:eastAsia="Times New Roman" w:hAnsi="Palatino Linotype"/>
          <w:sz w:val="22"/>
          <w:szCs w:val="22"/>
          <w:lang w:val="en-US"/>
        </w:rPr>
        <w:t>22.8</w:t>
      </w:r>
      <w:r w:rsidRPr="009246E7">
        <w:rPr>
          <w:rFonts w:ascii="Palatino Linotype" w:eastAsia="Times New Roman" w:hAnsi="Palatino Linotype"/>
          <w:sz w:val="22"/>
          <w:szCs w:val="22"/>
          <w:lang w:val="en-US"/>
        </w:rPr>
        <w:t xml:space="preserve"> as on </w:t>
      </w:r>
      <w:r>
        <w:rPr>
          <w:rFonts w:ascii="Palatino Linotype" w:eastAsia="Times New Roman" w:hAnsi="Palatino Linotype"/>
          <w:sz w:val="22"/>
          <w:szCs w:val="22"/>
          <w:lang w:val="en-US"/>
        </w:rPr>
        <w:t>the end of last month</w:t>
      </w:r>
      <w:r w:rsidRPr="009246E7">
        <w:rPr>
          <w:rFonts w:ascii="Palatino Linotype" w:eastAsia="Times New Roman" w:hAnsi="Palatino Linotype"/>
          <w:sz w:val="22"/>
          <w:szCs w:val="22"/>
          <w:lang w:val="en-US"/>
        </w:rPr>
        <w:t>.</w:t>
      </w:r>
    </w:p>
    <w:p w:rsidR="002F3AF7" w:rsidRPr="00F623B1"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607F13"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trike/>
          <w:sz w:val="22"/>
          <w:szCs w:val="22"/>
          <w:lang w:val="en-US"/>
        </w:rPr>
      </w:pPr>
      <w:r w:rsidRPr="00F623B1">
        <w:rPr>
          <w:rFonts w:ascii="Palatino Linotype" w:eastAsia="Times New Roman" w:hAnsi="Palatino Linotype"/>
          <w:sz w:val="22"/>
          <w:szCs w:val="22"/>
          <w:lang w:val="en-US"/>
        </w:rPr>
        <w:t xml:space="preserve">The bond markets remained mostly flat during December 2020. While the US 10-year government bond yield increased by </w:t>
      </w:r>
      <w:r>
        <w:rPr>
          <w:rFonts w:ascii="Palatino Linotype" w:eastAsia="Times New Roman" w:hAnsi="Palatino Linotype"/>
          <w:sz w:val="22"/>
          <w:szCs w:val="22"/>
          <w:lang w:val="en-US"/>
        </w:rPr>
        <w:t>18</w:t>
      </w:r>
      <w:r w:rsidRPr="00F623B1">
        <w:rPr>
          <w:rFonts w:ascii="Palatino Linotype" w:eastAsia="Times New Roman" w:hAnsi="Palatino Linotype"/>
          <w:sz w:val="22"/>
          <w:szCs w:val="22"/>
          <w:lang w:val="en-US"/>
        </w:rPr>
        <w:t xml:space="preserve"> bps to </w:t>
      </w:r>
      <w:r>
        <w:rPr>
          <w:rFonts w:ascii="Palatino Linotype" w:eastAsia="Times New Roman" w:hAnsi="Palatino Linotype"/>
          <w:sz w:val="22"/>
          <w:szCs w:val="22"/>
          <w:lang w:val="en-US"/>
        </w:rPr>
        <w:t>1.09</w:t>
      </w:r>
      <w:r w:rsidRPr="00F623B1">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 xml:space="preserve">January 2020. </w:t>
      </w:r>
      <w:r w:rsidRPr="00F623B1">
        <w:rPr>
          <w:rFonts w:ascii="Palatino Linotype" w:eastAsia="Times New Roman" w:hAnsi="Palatino Linotype"/>
          <w:sz w:val="22"/>
          <w:szCs w:val="22"/>
          <w:lang w:val="en-US"/>
        </w:rPr>
        <w:t xml:space="preserve">The 10-year government bond yield of India declined by </w:t>
      </w:r>
      <w:r>
        <w:rPr>
          <w:rFonts w:ascii="Palatino Linotype" w:eastAsia="Times New Roman" w:hAnsi="Palatino Linotype"/>
          <w:sz w:val="22"/>
          <w:szCs w:val="22"/>
          <w:lang w:val="en-US"/>
        </w:rPr>
        <w:t>8</w:t>
      </w:r>
      <w:r w:rsidRPr="00F623B1">
        <w:rPr>
          <w:rFonts w:ascii="Palatino Linotype" w:eastAsia="Times New Roman" w:hAnsi="Palatino Linotype"/>
          <w:sz w:val="22"/>
          <w:szCs w:val="22"/>
          <w:lang w:val="en-US"/>
        </w:rPr>
        <w:t xml:space="preserve"> bps to </w:t>
      </w:r>
      <w:r>
        <w:rPr>
          <w:rFonts w:ascii="Palatino Linotype" w:eastAsia="Times New Roman" w:hAnsi="Palatino Linotype"/>
          <w:sz w:val="22"/>
          <w:szCs w:val="22"/>
          <w:lang w:val="en-US"/>
        </w:rPr>
        <w:t>5.95</w:t>
      </w:r>
      <w:r w:rsidRPr="00F623B1">
        <w:rPr>
          <w:rFonts w:ascii="Palatino Linotype" w:eastAsia="Times New Roman" w:hAnsi="Palatino Linotype"/>
          <w:sz w:val="22"/>
          <w:szCs w:val="22"/>
          <w:lang w:val="en-US"/>
        </w:rPr>
        <w:t xml:space="preserve"> per cent as on </w:t>
      </w:r>
      <w:r>
        <w:rPr>
          <w:rFonts w:ascii="Palatino Linotype" w:eastAsia="Times New Roman" w:hAnsi="Palatino Linotype"/>
          <w:sz w:val="22"/>
          <w:szCs w:val="22"/>
          <w:lang w:val="en-US"/>
        </w:rPr>
        <w:t>31 January</w:t>
      </w:r>
      <w:r w:rsidRPr="00F623B1">
        <w:rPr>
          <w:rFonts w:ascii="Palatino Linotype" w:eastAsia="Times New Roman" w:hAnsi="Palatino Linotype"/>
          <w:sz w:val="22"/>
          <w:szCs w:val="22"/>
          <w:lang w:val="en-US"/>
        </w:rPr>
        <w:t>, 202</w:t>
      </w:r>
      <w:r>
        <w:rPr>
          <w:rFonts w:ascii="Palatino Linotype" w:eastAsia="Times New Roman" w:hAnsi="Palatino Linotype"/>
          <w:sz w:val="22"/>
          <w:szCs w:val="22"/>
          <w:lang w:val="en-US"/>
        </w:rPr>
        <w:t>1</w:t>
      </w:r>
      <w:r w:rsidRPr="00F623B1">
        <w:rPr>
          <w:rFonts w:ascii="Palatino Linotype" w:eastAsia="Times New Roman" w:hAnsi="Palatino Linotype"/>
          <w:sz w:val="22"/>
          <w:szCs w:val="22"/>
          <w:lang w:val="en-US"/>
        </w:rPr>
        <w:t>, compared to end of the previous month.</w:t>
      </w:r>
    </w:p>
    <w:p w:rsidR="002F3AF7" w:rsidRPr="008B505F"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8B505F"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8B505F">
        <w:rPr>
          <w:rFonts w:ascii="Palatino Linotype" w:eastAsia="Times New Roman" w:hAnsi="Palatino Linotype"/>
          <w:sz w:val="22"/>
          <w:szCs w:val="22"/>
          <w:lang w:val="en-US"/>
        </w:rPr>
        <w:t>The crude oil prices increased by USD 3.</w:t>
      </w:r>
      <w:r>
        <w:rPr>
          <w:rFonts w:ascii="Palatino Linotype" w:eastAsia="Times New Roman" w:hAnsi="Palatino Linotype"/>
          <w:sz w:val="22"/>
          <w:szCs w:val="22"/>
          <w:lang w:val="en-US"/>
        </w:rPr>
        <w:t>8</w:t>
      </w:r>
      <w:r w:rsidRPr="008B505F">
        <w:rPr>
          <w:rFonts w:ascii="Palatino Linotype" w:eastAsia="Times New Roman" w:hAnsi="Palatino Linotype"/>
          <w:sz w:val="22"/>
          <w:szCs w:val="22"/>
          <w:lang w:val="en-US"/>
        </w:rPr>
        <w:t xml:space="preserve"> per barrel (or by 7.</w:t>
      </w:r>
      <w:r>
        <w:rPr>
          <w:rFonts w:ascii="Palatino Linotype" w:eastAsia="Times New Roman" w:hAnsi="Palatino Linotype"/>
          <w:sz w:val="22"/>
          <w:szCs w:val="22"/>
          <w:lang w:val="en-US"/>
        </w:rPr>
        <w:t>6</w:t>
      </w:r>
      <w:r w:rsidRPr="008B505F">
        <w:rPr>
          <w:rFonts w:ascii="Palatino Linotype" w:eastAsia="Times New Roman" w:hAnsi="Palatino Linotype"/>
          <w:sz w:val="22"/>
          <w:szCs w:val="22"/>
          <w:lang w:val="en-US"/>
        </w:rPr>
        <w:t xml:space="preserve"> per cent) to USD </w:t>
      </w:r>
      <w:r>
        <w:rPr>
          <w:rFonts w:ascii="Palatino Linotype" w:eastAsia="Times New Roman" w:hAnsi="Palatino Linotype"/>
          <w:sz w:val="22"/>
          <w:szCs w:val="22"/>
          <w:lang w:val="en-US"/>
        </w:rPr>
        <w:t>52.2</w:t>
      </w:r>
      <w:r w:rsidRPr="008B505F">
        <w:rPr>
          <w:rFonts w:ascii="Palatino Linotype" w:eastAsia="Times New Roman" w:hAnsi="Palatino Linotype"/>
          <w:sz w:val="22"/>
          <w:szCs w:val="22"/>
          <w:lang w:val="en-US"/>
        </w:rPr>
        <w:t xml:space="preserve"> per barrel in </w:t>
      </w:r>
      <w:r>
        <w:rPr>
          <w:rFonts w:ascii="Palatino Linotype" w:eastAsia="Times New Roman" w:hAnsi="Palatino Linotype"/>
          <w:sz w:val="22"/>
          <w:szCs w:val="22"/>
          <w:lang w:val="en-US"/>
        </w:rPr>
        <w:t>January</w:t>
      </w:r>
      <w:r w:rsidRPr="008B505F">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8B505F">
        <w:rPr>
          <w:rFonts w:ascii="Palatino Linotype" w:eastAsia="Times New Roman" w:hAnsi="Palatino Linotype"/>
          <w:sz w:val="22"/>
          <w:szCs w:val="22"/>
          <w:lang w:val="en-US"/>
        </w:rPr>
        <w:t xml:space="preserve">. Gold prices, </w:t>
      </w:r>
      <w:r>
        <w:rPr>
          <w:rFonts w:ascii="Palatino Linotype" w:eastAsia="Times New Roman" w:hAnsi="Palatino Linotype"/>
          <w:sz w:val="22"/>
          <w:szCs w:val="22"/>
          <w:lang w:val="en-US"/>
        </w:rPr>
        <w:t>decreased</w:t>
      </w:r>
      <w:r w:rsidRPr="008B505F">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2.7 per cent</w:t>
      </w:r>
      <w:r w:rsidRPr="008B505F">
        <w:rPr>
          <w:rFonts w:ascii="Palatino Linotype" w:eastAsia="Times New Roman" w:hAnsi="Palatino Linotype"/>
          <w:sz w:val="22"/>
          <w:szCs w:val="22"/>
          <w:lang w:val="en-US"/>
        </w:rPr>
        <w:t xml:space="preserve"> during </w:t>
      </w:r>
      <w:r>
        <w:rPr>
          <w:rFonts w:ascii="Palatino Linotype" w:eastAsia="Times New Roman" w:hAnsi="Palatino Linotype"/>
          <w:sz w:val="22"/>
          <w:szCs w:val="22"/>
          <w:lang w:val="en-US"/>
        </w:rPr>
        <w:t>January</w:t>
      </w:r>
      <w:r w:rsidRPr="008B505F">
        <w:rPr>
          <w:rFonts w:ascii="Palatino Linotype" w:eastAsia="Times New Roman" w:hAnsi="Palatino Linotype"/>
          <w:sz w:val="22"/>
          <w:szCs w:val="22"/>
          <w:lang w:val="en-US"/>
        </w:rPr>
        <w:t xml:space="preserve"> to USD 1,8</w:t>
      </w:r>
      <w:r>
        <w:rPr>
          <w:rFonts w:ascii="Palatino Linotype" w:eastAsia="Times New Roman" w:hAnsi="Palatino Linotype"/>
          <w:sz w:val="22"/>
          <w:szCs w:val="22"/>
          <w:lang w:val="en-US"/>
        </w:rPr>
        <w:t>47.7</w:t>
      </w:r>
      <w:r w:rsidRPr="008B505F">
        <w:rPr>
          <w:rFonts w:ascii="Palatino Linotype" w:eastAsia="Times New Roman" w:hAnsi="Palatino Linotype"/>
          <w:sz w:val="22"/>
          <w:szCs w:val="22"/>
          <w:lang w:val="en-US"/>
        </w:rPr>
        <w:t xml:space="preserve"> on </w:t>
      </w:r>
      <w:r>
        <w:rPr>
          <w:rFonts w:ascii="Palatino Linotype" w:eastAsia="Times New Roman" w:hAnsi="Palatino Linotype"/>
          <w:sz w:val="22"/>
          <w:szCs w:val="22"/>
          <w:lang w:val="en-US"/>
        </w:rPr>
        <w:t>31 January</w:t>
      </w:r>
      <w:r w:rsidRPr="008B505F">
        <w:rPr>
          <w:rFonts w:ascii="Palatino Linotype" w:eastAsia="Times New Roman" w:hAnsi="Palatino Linotype"/>
          <w:sz w:val="22"/>
          <w:szCs w:val="22"/>
          <w:lang w:val="en-US"/>
        </w:rPr>
        <w:t>, 202</w:t>
      </w:r>
      <w:r>
        <w:rPr>
          <w:rFonts w:ascii="Palatino Linotype" w:eastAsia="Times New Roman" w:hAnsi="Palatino Linotype"/>
          <w:sz w:val="22"/>
          <w:szCs w:val="22"/>
          <w:lang w:val="en-US"/>
        </w:rPr>
        <w:t>1</w:t>
      </w:r>
      <w:r w:rsidRPr="008B505F">
        <w:rPr>
          <w:rFonts w:ascii="Palatino Linotype" w:eastAsia="Times New Roman" w:hAnsi="Palatino Linotype"/>
          <w:sz w:val="22"/>
          <w:szCs w:val="22"/>
          <w:lang w:val="en-US"/>
        </w:rPr>
        <w:t xml:space="preserve"> from USD 1,</w:t>
      </w:r>
      <w:r>
        <w:rPr>
          <w:rFonts w:ascii="Palatino Linotype" w:eastAsia="Times New Roman" w:hAnsi="Palatino Linotype"/>
          <w:sz w:val="22"/>
          <w:szCs w:val="22"/>
          <w:lang w:val="en-US"/>
        </w:rPr>
        <w:t>894.4</w:t>
      </w:r>
      <w:r w:rsidRPr="008B505F">
        <w:rPr>
          <w:rFonts w:ascii="Palatino Linotype" w:eastAsia="Times New Roman" w:hAnsi="Palatino Linotype"/>
          <w:sz w:val="22"/>
          <w:szCs w:val="22"/>
          <w:lang w:val="en-US"/>
        </w:rPr>
        <w:t xml:space="preserve"> on </w:t>
      </w:r>
      <w:r>
        <w:rPr>
          <w:rFonts w:ascii="Palatino Linotype" w:eastAsia="Times New Roman" w:hAnsi="Palatino Linotype"/>
          <w:sz w:val="22"/>
          <w:szCs w:val="22"/>
          <w:lang w:val="en-US"/>
        </w:rPr>
        <w:t>31 December</w:t>
      </w:r>
      <w:r w:rsidRPr="008B505F">
        <w:rPr>
          <w:rFonts w:ascii="Palatino Linotype" w:eastAsia="Times New Roman" w:hAnsi="Palatino Linotype"/>
          <w:sz w:val="22"/>
          <w:szCs w:val="22"/>
          <w:lang w:val="en-US"/>
        </w:rPr>
        <w:t>, 2020. </w:t>
      </w:r>
    </w:p>
    <w:p w:rsidR="002F3AF7" w:rsidRPr="004D033F"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607F13"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trike/>
          <w:sz w:val="22"/>
          <w:szCs w:val="22"/>
          <w:lang w:val="en-US"/>
        </w:rPr>
      </w:pPr>
      <w:r w:rsidRPr="004D033F">
        <w:rPr>
          <w:rFonts w:ascii="Palatino Linotype" w:eastAsia="Times New Roman" w:hAnsi="Palatino Linotype"/>
          <w:sz w:val="22"/>
          <w:szCs w:val="22"/>
          <w:lang w:val="en-US"/>
        </w:rPr>
        <w:t xml:space="preserve">As per the </w:t>
      </w:r>
      <w:r>
        <w:rPr>
          <w:rFonts w:ascii="Palatino Linotype" w:eastAsia="Times New Roman" w:hAnsi="Palatino Linotype"/>
          <w:sz w:val="22"/>
          <w:szCs w:val="22"/>
          <w:lang w:val="en-US"/>
        </w:rPr>
        <w:t>latest</w:t>
      </w:r>
      <w:r w:rsidRPr="004D033F">
        <w:rPr>
          <w:rFonts w:ascii="Palatino Linotype" w:eastAsia="Times New Roman" w:hAnsi="Palatino Linotype"/>
          <w:sz w:val="22"/>
          <w:szCs w:val="22"/>
          <w:lang w:val="en-US"/>
        </w:rPr>
        <w:t xml:space="preserve"> estimate, the US economy expanded by </w:t>
      </w:r>
      <w:r>
        <w:rPr>
          <w:rFonts w:ascii="Palatino Linotype" w:eastAsia="Times New Roman" w:hAnsi="Palatino Linotype"/>
          <w:sz w:val="22"/>
          <w:szCs w:val="22"/>
          <w:lang w:val="en-US"/>
        </w:rPr>
        <w:t>4.0</w:t>
      </w:r>
      <w:r w:rsidRPr="004D033F">
        <w:rPr>
          <w:rFonts w:ascii="Palatino Linotype" w:eastAsia="Times New Roman" w:hAnsi="Palatino Linotype"/>
          <w:sz w:val="22"/>
          <w:szCs w:val="22"/>
          <w:lang w:val="en-US"/>
        </w:rPr>
        <w:t xml:space="preserve"> per </w:t>
      </w:r>
      <w:r>
        <w:rPr>
          <w:rFonts w:ascii="Palatino Linotype" w:eastAsia="Times New Roman" w:hAnsi="Palatino Linotype"/>
          <w:sz w:val="22"/>
          <w:szCs w:val="22"/>
          <w:lang w:val="en-US"/>
        </w:rPr>
        <w:t xml:space="preserve">cent Q-o-Q in annualised terms </w:t>
      </w:r>
      <w:r w:rsidRPr="004D033F">
        <w:rPr>
          <w:rFonts w:ascii="Palatino Linotype" w:eastAsia="Times New Roman" w:hAnsi="Palatino Linotype"/>
          <w:sz w:val="22"/>
          <w:szCs w:val="22"/>
          <w:lang w:val="en-US"/>
        </w:rPr>
        <w:t>in the Q</w:t>
      </w:r>
      <w:r>
        <w:rPr>
          <w:rFonts w:ascii="Palatino Linotype" w:eastAsia="Times New Roman" w:hAnsi="Palatino Linotype"/>
          <w:sz w:val="22"/>
          <w:szCs w:val="22"/>
          <w:lang w:val="en-US"/>
        </w:rPr>
        <w:t>4 of 2020, compared to</w:t>
      </w:r>
      <w:r w:rsidRPr="004D033F">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33.4</w:t>
      </w:r>
      <w:r w:rsidRPr="004D033F">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increase Q-o-Q in annualised terms during the previous quarter</w:t>
      </w:r>
      <w:r w:rsidRPr="004D033F">
        <w:rPr>
          <w:rFonts w:ascii="Palatino Linotype" w:eastAsia="Times New Roman" w:hAnsi="Palatino Linotype"/>
          <w:sz w:val="22"/>
          <w:szCs w:val="22"/>
          <w:lang w:val="en-US"/>
        </w:rPr>
        <w:t>. The US unemployment rate remained unchanged at 6.</w:t>
      </w:r>
      <w:r>
        <w:rPr>
          <w:rFonts w:ascii="Palatino Linotype" w:eastAsia="Times New Roman" w:hAnsi="Palatino Linotype"/>
          <w:sz w:val="22"/>
          <w:szCs w:val="22"/>
          <w:lang w:val="en-US"/>
        </w:rPr>
        <w:t>3</w:t>
      </w:r>
      <w:r w:rsidRPr="004D033F">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January</w:t>
      </w:r>
      <w:r w:rsidRPr="004D033F">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4D033F">
        <w:rPr>
          <w:rFonts w:ascii="Palatino Linotype" w:eastAsia="Times New Roman" w:hAnsi="Palatino Linotype"/>
          <w:sz w:val="22"/>
          <w:szCs w:val="22"/>
          <w:lang w:val="en-US"/>
        </w:rPr>
        <w:t xml:space="preserve"> from 6.</w:t>
      </w:r>
      <w:r>
        <w:rPr>
          <w:rFonts w:ascii="Palatino Linotype" w:eastAsia="Times New Roman" w:hAnsi="Palatino Linotype"/>
          <w:sz w:val="22"/>
          <w:szCs w:val="22"/>
          <w:lang w:val="en-US"/>
        </w:rPr>
        <w:t>7</w:t>
      </w:r>
      <w:r w:rsidRPr="004D033F">
        <w:rPr>
          <w:rFonts w:ascii="Palatino Linotype" w:eastAsia="Times New Roman" w:hAnsi="Palatino Linotype"/>
          <w:sz w:val="22"/>
          <w:szCs w:val="22"/>
          <w:lang w:val="en-US"/>
        </w:rPr>
        <w:t xml:space="preserve"> per cent in the previous month. The US PMI data also indicate rising economic activity. The IHS Market’s US Composite PMI rose to </w:t>
      </w:r>
      <w:r>
        <w:rPr>
          <w:rFonts w:ascii="Palatino Linotype" w:eastAsia="Times New Roman" w:hAnsi="Palatino Linotype"/>
          <w:sz w:val="22"/>
          <w:szCs w:val="22"/>
          <w:lang w:val="en-US"/>
        </w:rPr>
        <w:t>58.0</w:t>
      </w:r>
      <w:r w:rsidRPr="004D033F">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January</w:t>
      </w:r>
      <w:r w:rsidRPr="004D033F">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4D033F">
        <w:rPr>
          <w:rFonts w:ascii="Palatino Linotype" w:eastAsia="Times New Roman" w:hAnsi="Palatino Linotype"/>
          <w:sz w:val="22"/>
          <w:szCs w:val="22"/>
          <w:lang w:val="en-US"/>
        </w:rPr>
        <w:t xml:space="preserve"> from 5</w:t>
      </w:r>
      <w:r>
        <w:rPr>
          <w:rFonts w:ascii="Palatino Linotype" w:eastAsia="Times New Roman" w:hAnsi="Palatino Linotype"/>
          <w:sz w:val="22"/>
          <w:szCs w:val="22"/>
          <w:lang w:val="en-US"/>
        </w:rPr>
        <w:t>5.3</w:t>
      </w:r>
      <w:r w:rsidRPr="004D033F">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December</w:t>
      </w:r>
      <w:r w:rsidRPr="004D033F">
        <w:rPr>
          <w:rFonts w:ascii="Palatino Linotype" w:eastAsia="Times New Roman" w:hAnsi="Palatino Linotype"/>
          <w:sz w:val="22"/>
          <w:szCs w:val="22"/>
          <w:lang w:val="en-US"/>
        </w:rPr>
        <w:t xml:space="preserve"> 2020.</w:t>
      </w:r>
    </w:p>
    <w:p w:rsidR="002F3AF7" w:rsidRPr="00413CBD" w:rsidRDefault="002F3AF7" w:rsidP="002F3AF7">
      <w:pPr>
        <w:spacing w:after="200" w:line="276" w:lineRule="auto"/>
        <w:ind w:left="720" w:right="107"/>
        <w:contextualSpacing/>
        <w:rPr>
          <w:rFonts w:ascii="Palatino Linotype" w:eastAsia="Times New Roman" w:hAnsi="Palatino Linotype"/>
          <w:sz w:val="22"/>
          <w:szCs w:val="22"/>
          <w:lang w:val="en-US"/>
        </w:rPr>
      </w:pPr>
    </w:p>
    <w:p w:rsidR="002F3AF7" w:rsidRPr="00413CBD"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413CBD">
        <w:rPr>
          <w:rFonts w:ascii="Palatino Linotype" w:eastAsia="Times New Roman" w:hAnsi="Palatino Linotype"/>
          <w:sz w:val="22"/>
          <w:szCs w:val="22"/>
          <w:lang w:val="en-US"/>
        </w:rPr>
        <w:t xml:space="preserve">The UK economy grew by </w:t>
      </w:r>
      <w:r>
        <w:rPr>
          <w:rFonts w:ascii="Palatino Linotype" w:eastAsia="Times New Roman" w:hAnsi="Palatino Linotype"/>
          <w:sz w:val="22"/>
          <w:szCs w:val="22"/>
          <w:lang w:val="en-US"/>
        </w:rPr>
        <w:t>1.0</w:t>
      </w:r>
      <w:r w:rsidRPr="00413CBD">
        <w:rPr>
          <w:rFonts w:ascii="Palatino Linotype" w:eastAsia="Times New Roman" w:hAnsi="Palatino Linotype"/>
          <w:sz w:val="22"/>
          <w:szCs w:val="22"/>
          <w:lang w:val="en-US"/>
        </w:rPr>
        <w:t xml:space="preserve"> per cent Q-o-Q in Q</w:t>
      </w:r>
      <w:r>
        <w:rPr>
          <w:rFonts w:ascii="Palatino Linotype" w:eastAsia="Times New Roman" w:hAnsi="Palatino Linotype"/>
          <w:sz w:val="22"/>
          <w:szCs w:val="22"/>
          <w:lang w:val="en-US"/>
        </w:rPr>
        <w:t>4</w:t>
      </w:r>
      <w:r w:rsidRPr="00413CBD">
        <w:rPr>
          <w:rFonts w:ascii="Palatino Linotype" w:eastAsia="Times New Roman" w:hAnsi="Palatino Linotype"/>
          <w:sz w:val="22"/>
          <w:szCs w:val="22"/>
          <w:lang w:val="en-US"/>
        </w:rPr>
        <w:t xml:space="preserve"> of 2020, </w:t>
      </w:r>
      <w:r>
        <w:rPr>
          <w:rFonts w:ascii="Palatino Linotype" w:eastAsia="Times New Roman" w:hAnsi="Palatino Linotype"/>
          <w:sz w:val="22"/>
          <w:szCs w:val="22"/>
          <w:lang w:val="en-US"/>
        </w:rPr>
        <w:t>against</w:t>
      </w:r>
      <w:r w:rsidRPr="0051737A">
        <w:rPr>
          <w:rFonts w:ascii="Palatino Linotype" w:eastAsia="Times New Roman" w:hAnsi="Palatino Linotype"/>
          <w:sz w:val="22"/>
          <w:szCs w:val="22"/>
          <w:lang w:val="en-US"/>
        </w:rPr>
        <w:t xml:space="preserve"> 16.1 per</w:t>
      </w:r>
      <w:r>
        <w:rPr>
          <w:rFonts w:ascii="Palatino Linotype" w:eastAsia="Times New Roman" w:hAnsi="Palatino Linotype"/>
          <w:sz w:val="22"/>
          <w:szCs w:val="22"/>
          <w:lang w:val="en-US"/>
        </w:rPr>
        <w:t xml:space="preserve"> cent expansion of the previous quarter</w:t>
      </w:r>
      <w:r w:rsidRPr="00413CBD">
        <w:rPr>
          <w:rFonts w:ascii="Palatino Linotype" w:eastAsia="Times New Roman" w:hAnsi="Palatino Linotype"/>
          <w:sz w:val="22"/>
          <w:szCs w:val="22"/>
          <w:lang w:val="en-US"/>
        </w:rPr>
        <w:t>. The economic activity</w:t>
      </w:r>
      <w:r>
        <w:rPr>
          <w:rFonts w:ascii="Palatino Linotype" w:eastAsia="Times New Roman" w:hAnsi="Palatino Linotype"/>
          <w:sz w:val="22"/>
          <w:szCs w:val="22"/>
          <w:lang w:val="en-US"/>
        </w:rPr>
        <w:t xml:space="preserve"> recorded steepest fall since May 2020 as third national lockdown hit the UK economy. The </w:t>
      </w:r>
      <w:r w:rsidRPr="00413CBD">
        <w:rPr>
          <w:rFonts w:ascii="Palatino Linotype" w:eastAsia="Times New Roman" w:hAnsi="Palatino Linotype"/>
          <w:sz w:val="22"/>
          <w:szCs w:val="22"/>
          <w:lang w:val="en-US"/>
        </w:rPr>
        <w:t>IHS Markit UK composite PM</w:t>
      </w:r>
      <w:r w:rsidRPr="0051737A">
        <w:rPr>
          <w:rFonts w:ascii="Palatino Linotype" w:eastAsia="Times New Roman" w:hAnsi="Palatino Linotype"/>
          <w:sz w:val="22"/>
          <w:szCs w:val="22"/>
          <w:lang w:val="en-US"/>
        </w:rPr>
        <w:t>I observed at 40.6 i</w:t>
      </w:r>
      <w:r w:rsidRPr="00413CBD">
        <w:rPr>
          <w:rFonts w:ascii="Palatino Linotype" w:eastAsia="Times New Roman" w:hAnsi="Palatino Linotype"/>
          <w:sz w:val="22"/>
          <w:szCs w:val="22"/>
          <w:lang w:val="en-US"/>
        </w:rPr>
        <w:t xml:space="preserve">n </w:t>
      </w:r>
      <w:r>
        <w:rPr>
          <w:rFonts w:ascii="Palatino Linotype" w:eastAsia="Times New Roman" w:hAnsi="Palatino Linotype"/>
          <w:sz w:val="22"/>
          <w:szCs w:val="22"/>
          <w:lang w:val="en-US"/>
        </w:rPr>
        <w:t>January</w:t>
      </w:r>
      <w:r w:rsidRPr="00413CBD">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413CBD">
        <w:rPr>
          <w:rFonts w:ascii="Palatino Linotype" w:eastAsia="Times New Roman" w:hAnsi="Palatino Linotype"/>
          <w:sz w:val="22"/>
          <w:szCs w:val="22"/>
          <w:lang w:val="en-US"/>
        </w:rPr>
        <w:t xml:space="preserve"> from 50.</w:t>
      </w:r>
      <w:r>
        <w:rPr>
          <w:rFonts w:ascii="Palatino Linotype" w:eastAsia="Times New Roman" w:hAnsi="Palatino Linotype"/>
          <w:sz w:val="22"/>
          <w:szCs w:val="22"/>
          <w:lang w:val="en-US"/>
        </w:rPr>
        <w:t>4</w:t>
      </w:r>
      <w:r w:rsidRPr="00413CBD">
        <w:rPr>
          <w:rFonts w:ascii="Palatino Linotype" w:eastAsia="Times New Roman" w:hAnsi="Palatino Linotype"/>
          <w:sz w:val="22"/>
          <w:szCs w:val="22"/>
          <w:lang w:val="en-US"/>
        </w:rPr>
        <w:t xml:space="preserve"> in previous month. </w:t>
      </w:r>
    </w:p>
    <w:p w:rsidR="002F3AF7" w:rsidRPr="00B96AC4"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51737A"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trike/>
          <w:sz w:val="22"/>
          <w:szCs w:val="22"/>
          <w:lang w:val="en-US"/>
        </w:rPr>
      </w:pPr>
      <w:r w:rsidRPr="00B96AC4">
        <w:rPr>
          <w:rFonts w:ascii="Palatino Linotype" w:eastAsia="Times New Roman" w:hAnsi="Palatino Linotype"/>
          <w:sz w:val="22"/>
          <w:szCs w:val="22"/>
          <w:lang w:val="en-US"/>
        </w:rPr>
        <w:t xml:space="preserve">According to the data published by Eurostat, the Eurozone economy </w:t>
      </w:r>
      <w:r>
        <w:rPr>
          <w:rFonts w:ascii="Palatino Linotype" w:eastAsia="Times New Roman" w:hAnsi="Palatino Linotype"/>
          <w:sz w:val="22"/>
          <w:szCs w:val="22"/>
          <w:lang w:val="en-US"/>
        </w:rPr>
        <w:t>shrank</w:t>
      </w:r>
      <w:r w:rsidRPr="00B96AC4">
        <w:rPr>
          <w:rFonts w:ascii="Palatino Linotype" w:eastAsia="Times New Roman" w:hAnsi="Palatino Linotype"/>
          <w:sz w:val="22"/>
          <w:szCs w:val="22"/>
          <w:lang w:val="en-US"/>
        </w:rPr>
        <w:t xml:space="preserve"> by</w:t>
      </w:r>
      <w:r>
        <w:rPr>
          <w:rFonts w:ascii="Palatino Linotype" w:eastAsia="Times New Roman" w:hAnsi="Palatino Linotype"/>
          <w:sz w:val="22"/>
          <w:szCs w:val="22"/>
          <w:lang w:val="en-US"/>
        </w:rPr>
        <w:t xml:space="preserve"> 0.6</w:t>
      </w:r>
      <w:r w:rsidRPr="00B96AC4">
        <w:rPr>
          <w:rFonts w:ascii="Palatino Linotype" w:eastAsia="Times New Roman" w:hAnsi="Palatino Linotype"/>
          <w:sz w:val="22"/>
          <w:szCs w:val="22"/>
          <w:lang w:val="en-US"/>
        </w:rPr>
        <w:t xml:space="preserve"> per cent Q-o-Q in Q</w:t>
      </w:r>
      <w:r>
        <w:rPr>
          <w:rFonts w:ascii="Palatino Linotype" w:eastAsia="Times New Roman" w:hAnsi="Palatino Linotype"/>
          <w:sz w:val="22"/>
          <w:szCs w:val="22"/>
          <w:lang w:val="en-US"/>
        </w:rPr>
        <w:t>4</w:t>
      </w:r>
      <w:r w:rsidRPr="00B96AC4">
        <w:rPr>
          <w:rFonts w:ascii="Palatino Linotype" w:eastAsia="Times New Roman" w:hAnsi="Palatino Linotype"/>
          <w:sz w:val="22"/>
          <w:szCs w:val="22"/>
          <w:lang w:val="en-US"/>
        </w:rPr>
        <w:t xml:space="preserve"> of 2020, after </w:t>
      </w:r>
      <w:r>
        <w:rPr>
          <w:rFonts w:ascii="Palatino Linotype" w:eastAsia="Times New Roman" w:hAnsi="Palatino Linotype"/>
          <w:sz w:val="22"/>
          <w:szCs w:val="22"/>
          <w:lang w:val="en-US"/>
        </w:rPr>
        <w:t>growing</w:t>
      </w:r>
      <w:r w:rsidRPr="00B96AC4">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by 12.4</w:t>
      </w:r>
      <w:r w:rsidRPr="00B96AC4">
        <w:rPr>
          <w:rFonts w:ascii="Palatino Linotype" w:eastAsia="Times New Roman" w:hAnsi="Palatino Linotype"/>
          <w:sz w:val="22"/>
          <w:szCs w:val="22"/>
          <w:lang w:val="en-US"/>
        </w:rPr>
        <w:t xml:space="preserve"> per cent in Q</w:t>
      </w:r>
      <w:r>
        <w:rPr>
          <w:rFonts w:ascii="Palatino Linotype" w:eastAsia="Times New Roman" w:hAnsi="Palatino Linotype"/>
          <w:sz w:val="22"/>
          <w:szCs w:val="22"/>
          <w:lang w:val="en-US"/>
        </w:rPr>
        <w:t>3</w:t>
      </w:r>
      <w:r w:rsidRPr="00B96AC4">
        <w:rPr>
          <w:rFonts w:ascii="Palatino Linotype" w:eastAsia="Times New Roman" w:hAnsi="Palatino Linotype"/>
          <w:sz w:val="22"/>
          <w:szCs w:val="22"/>
          <w:lang w:val="en-US"/>
        </w:rPr>
        <w:t xml:space="preserve"> of 2020. All major economies in the Eurozone posted</w:t>
      </w:r>
      <w:r>
        <w:rPr>
          <w:rFonts w:ascii="Palatino Linotype" w:eastAsia="Times New Roman" w:hAnsi="Palatino Linotype"/>
          <w:sz w:val="22"/>
          <w:szCs w:val="22"/>
          <w:lang w:val="en-US"/>
        </w:rPr>
        <w:t xml:space="preserve"> decrease</w:t>
      </w:r>
      <w:r w:rsidRPr="00B96AC4">
        <w:rPr>
          <w:rFonts w:ascii="Palatino Linotype" w:eastAsia="Times New Roman" w:hAnsi="Palatino Linotype"/>
          <w:sz w:val="22"/>
          <w:szCs w:val="22"/>
          <w:lang w:val="en-US"/>
        </w:rPr>
        <w:t xml:space="preserve"> in GDP in Q</w:t>
      </w:r>
      <w:r>
        <w:rPr>
          <w:rFonts w:ascii="Palatino Linotype" w:eastAsia="Times New Roman" w:hAnsi="Palatino Linotype"/>
          <w:sz w:val="22"/>
          <w:szCs w:val="22"/>
          <w:lang w:val="en-US"/>
        </w:rPr>
        <w:t>4</w:t>
      </w:r>
      <w:r w:rsidRPr="00B96AC4">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 xml:space="preserve">Among the largest economies of Eurozone Decrease in </w:t>
      </w:r>
      <w:r w:rsidRPr="00B96AC4">
        <w:rPr>
          <w:rFonts w:ascii="Palatino Linotype" w:eastAsia="Times New Roman" w:hAnsi="Palatino Linotype"/>
          <w:sz w:val="22"/>
          <w:szCs w:val="22"/>
          <w:lang w:val="en-US"/>
        </w:rPr>
        <w:t xml:space="preserve">France </w:t>
      </w:r>
      <w:r>
        <w:rPr>
          <w:rFonts w:ascii="Palatino Linotype" w:eastAsia="Times New Roman" w:hAnsi="Palatino Linotype"/>
          <w:sz w:val="22"/>
          <w:szCs w:val="22"/>
          <w:lang w:val="en-US"/>
        </w:rPr>
        <w:t xml:space="preserve"> was -1.3</w:t>
      </w:r>
      <w:r w:rsidRPr="00B96AC4">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 xml:space="preserve">in </w:t>
      </w:r>
      <w:r w:rsidRPr="00FF23F8">
        <w:rPr>
          <w:rFonts w:ascii="Palatino Linotype" w:eastAsia="Times New Roman" w:hAnsi="Palatino Linotype"/>
          <w:sz w:val="22"/>
          <w:szCs w:val="22"/>
          <w:lang w:val="en-US"/>
        </w:rPr>
        <w:t>Netherlands</w:t>
      </w:r>
      <w:r>
        <w:rPr>
          <w:rFonts w:ascii="Palatino Linotype" w:eastAsia="Times New Roman" w:hAnsi="Palatino Linotype"/>
          <w:sz w:val="22"/>
          <w:szCs w:val="22"/>
          <w:lang w:val="en-US"/>
        </w:rPr>
        <w:t>, it was -0.1</w:t>
      </w:r>
      <w:r w:rsidRPr="00B96AC4">
        <w:rPr>
          <w:rFonts w:ascii="Palatino Linotype" w:eastAsia="Times New Roman" w:hAnsi="Palatino Linotype"/>
          <w:sz w:val="22"/>
          <w:szCs w:val="22"/>
          <w:lang w:val="en-US"/>
        </w:rPr>
        <w:t xml:space="preserve"> per cent and </w:t>
      </w:r>
      <w:r>
        <w:rPr>
          <w:rFonts w:ascii="Palatino Linotype" w:eastAsia="Times New Roman" w:hAnsi="Palatino Linotype"/>
          <w:sz w:val="22"/>
          <w:szCs w:val="22"/>
          <w:lang w:val="en-US"/>
        </w:rPr>
        <w:t xml:space="preserve">in </w:t>
      </w:r>
      <w:r w:rsidRPr="00B96AC4">
        <w:rPr>
          <w:rFonts w:ascii="Palatino Linotype" w:eastAsia="Times New Roman" w:hAnsi="Palatino Linotype"/>
          <w:sz w:val="22"/>
          <w:szCs w:val="22"/>
          <w:lang w:val="en-US"/>
        </w:rPr>
        <w:t>Italy</w:t>
      </w:r>
      <w:r>
        <w:rPr>
          <w:rFonts w:ascii="Palatino Linotype" w:eastAsia="Times New Roman" w:hAnsi="Palatino Linotype"/>
          <w:sz w:val="22"/>
          <w:szCs w:val="22"/>
          <w:lang w:val="en-US"/>
        </w:rPr>
        <w:t>, it was-2.0</w:t>
      </w:r>
      <w:r w:rsidRPr="00B96AC4">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as</w:t>
      </w:r>
      <w:r w:rsidRPr="00B96AC4">
        <w:rPr>
          <w:rFonts w:ascii="Palatino Linotype" w:eastAsia="Times New Roman" w:hAnsi="Palatino Linotype"/>
          <w:sz w:val="22"/>
          <w:szCs w:val="22"/>
          <w:lang w:val="en-US"/>
        </w:rPr>
        <w:t xml:space="preserve"> co</w:t>
      </w:r>
      <w:r>
        <w:rPr>
          <w:rFonts w:ascii="Palatino Linotype" w:eastAsia="Times New Roman" w:hAnsi="Palatino Linotype"/>
          <w:sz w:val="22"/>
          <w:szCs w:val="22"/>
          <w:lang w:val="en-US"/>
        </w:rPr>
        <w:t>mpared to the previous quarter. GDP growth in Germany and Spain reflected a positive growth of 0.1 and 0.4 respectively.</w:t>
      </w:r>
    </w:p>
    <w:p w:rsidR="002F3AF7" w:rsidRPr="00673AE8"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673AE8"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2A01BA">
        <w:rPr>
          <w:rFonts w:ascii="Palatino Linotype" w:eastAsia="Times New Roman" w:hAnsi="Palatino Linotype"/>
          <w:sz w:val="22"/>
          <w:szCs w:val="22"/>
          <w:lang w:val="en-US"/>
        </w:rPr>
        <w:t>GDP growth of China rebounded strongly by 2.6 per cent year-on-year in Q4 of 2020, compared to growth rate of 3.0 per cent in Q3 of 2020. According to IMF projections, the Chinese economy is expected to slow down to 2.3 per cent in 2020 before recovering to strong growth of 8.1 per cent in 2021.</w:t>
      </w:r>
      <w:r w:rsidRPr="00673AE8">
        <w:rPr>
          <w:rFonts w:ascii="Palatino Linotype" w:eastAsia="Times New Roman" w:hAnsi="Palatino Linotype"/>
          <w:sz w:val="22"/>
          <w:szCs w:val="22"/>
          <w:lang w:val="en-US"/>
        </w:rPr>
        <w:t xml:space="preserve"> </w:t>
      </w:r>
    </w:p>
    <w:p w:rsidR="002F3AF7" w:rsidRPr="00607F13" w:rsidRDefault="002F3AF7" w:rsidP="002F3AF7">
      <w:pPr>
        <w:spacing w:before="100" w:beforeAutospacing="1" w:line="276" w:lineRule="auto"/>
        <w:ind w:left="360" w:right="107"/>
        <w:contextualSpacing/>
        <w:jc w:val="both"/>
        <w:rPr>
          <w:rFonts w:ascii="Palatino Linotype" w:eastAsia="Times New Roman" w:hAnsi="Palatino Linotype"/>
          <w:strike/>
          <w:sz w:val="22"/>
          <w:szCs w:val="22"/>
          <w:lang w:val="en-US"/>
        </w:rPr>
      </w:pPr>
    </w:p>
    <w:p w:rsidR="002F3AF7" w:rsidRPr="00BD360B"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BD360B">
        <w:rPr>
          <w:rFonts w:ascii="Palatino Linotype" w:eastAsia="Times New Roman" w:hAnsi="Palatino Linotype"/>
          <w:sz w:val="22"/>
          <w:szCs w:val="22"/>
          <w:lang w:val="en-US"/>
        </w:rPr>
        <w:t xml:space="preserve">India’s GDP growth contracted by 7.5 per cent Y-o-Y during Q2 of 2020-21 compared to -23.9 per cent growth Y-o-Y in Q1 of 2020-21. The business activity in hotels and transportation declined by 15.6 per cent and manufacturing declined by 39.3 per cent. There was a decline in </w:t>
      </w:r>
      <w:r>
        <w:rPr>
          <w:rFonts w:ascii="Palatino Linotype" w:eastAsia="Times New Roman" w:hAnsi="Palatino Linotype"/>
          <w:sz w:val="22"/>
          <w:szCs w:val="22"/>
          <w:lang w:val="en-US"/>
        </w:rPr>
        <w:t xml:space="preserve">growth rates of </w:t>
      </w:r>
      <w:r w:rsidRPr="00BD360B">
        <w:rPr>
          <w:rFonts w:ascii="Palatino Linotype" w:eastAsia="Times New Roman" w:hAnsi="Palatino Linotype"/>
          <w:sz w:val="22"/>
          <w:szCs w:val="22"/>
          <w:lang w:val="en-US"/>
        </w:rPr>
        <w:t>public administration services (-12.2 per cent), mining and quarrying (-9.1 per cent) and construction</w:t>
      </w:r>
      <w:r>
        <w:rPr>
          <w:rFonts w:ascii="Palatino Linotype" w:eastAsia="Times New Roman" w:hAnsi="Palatino Linotype"/>
          <w:sz w:val="22"/>
          <w:szCs w:val="22"/>
          <w:lang w:val="en-US"/>
        </w:rPr>
        <w:t xml:space="preserve"> </w:t>
      </w:r>
      <w:r w:rsidRPr="00BD360B">
        <w:rPr>
          <w:rFonts w:ascii="Palatino Linotype" w:eastAsia="Times New Roman" w:hAnsi="Palatino Linotype"/>
          <w:sz w:val="22"/>
          <w:szCs w:val="22"/>
          <w:lang w:val="en-US"/>
        </w:rPr>
        <w:t xml:space="preserve"> (-8.6 per cent) sectors. </w:t>
      </w:r>
    </w:p>
    <w:p w:rsidR="002F3AF7" w:rsidRPr="00BD360B"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607F13"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trike/>
          <w:sz w:val="22"/>
          <w:szCs w:val="22"/>
          <w:lang w:val="en-US"/>
        </w:rPr>
      </w:pPr>
      <w:r w:rsidRPr="00BD360B">
        <w:rPr>
          <w:rFonts w:ascii="Palatino Linotype" w:eastAsia="Times New Roman" w:hAnsi="Palatino Linotype"/>
          <w:sz w:val="22"/>
          <w:szCs w:val="22"/>
          <w:lang w:val="en-US"/>
        </w:rPr>
        <w:t xml:space="preserve">According to the First Advance Estimate released by MOSPI, GDP of India is estimated to fall by 7.7 per cent during the full Financial Year 2020-21, compared to 4.2 per cent expansion in 2019-20. World Bank estimates India’s GDP to grow by -9.6 per cent in 2020. According to IMF projections, the Indian economy is expected to grow by 11.5 per cent in 2021. IMF also revised its India GDP growth estimate for 2020 to -8.0 per cent </w:t>
      </w:r>
      <w:r>
        <w:rPr>
          <w:rFonts w:ascii="Palatino Linotype" w:eastAsia="Times New Roman" w:hAnsi="Palatino Linotype"/>
          <w:sz w:val="22"/>
          <w:szCs w:val="22"/>
          <w:lang w:val="en-US"/>
        </w:rPr>
        <w:t>changing it by 2.7 per cent</w:t>
      </w:r>
      <w:r w:rsidRPr="00BD360B">
        <w:rPr>
          <w:rFonts w:ascii="Palatino Linotype" w:eastAsia="Times New Roman" w:hAnsi="Palatino Linotype"/>
          <w:sz w:val="22"/>
          <w:szCs w:val="22"/>
          <w:lang w:val="en-US"/>
        </w:rPr>
        <w:t>.</w:t>
      </w:r>
    </w:p>
    <w:p w:rsidR="002F3AF7" w:rsidRPr="00D320E7" w:rsidRDefault="002F3AF7" w:rsidP="002F3AF7">
      <w:pPr>
        <w:spacing w:before="100" w:beforeAutospacing="1" w:line="276" w:lineRule="auto"/>
        <w:ind w:left="360" w:right="107"/>
        <w:contextualSpacing/>
        <w:jc w:val="both"/>
        <w:rPr>
          <w:rFonts w:ascii="Palatino Linotype" w:eastAsia="Times New Roman" w:hAnsi="Palatino Linotype"/>
          <w:sz w:val="22"/>
          <w:szCs w:val="22"/>
          <w:lang w:val="en-US"/>
        </w:rPr>
      </w:pPr>
    </w:p>
    <w:p w:rsidR="002F3AF7" w:rsidRPr="00D320E7" w:rsidRDefault="002F3AF7" w:rsidP="002F3AF7">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D320E7">
        <w:rPr>
          <w:rFonts w:ascii="Palatino Linotype" w:eastAsia="Times New Roman" w:hAnsi="Palatino Linotype"/>
          <w:sz w:val="22"/>
          <w:szCs w:val="22"/>
          <w:lang w:val="en-US"/>
        </w:rPr>
        <w:t xml:space="preserve">Retail inflation (CPI Inflation) in India </w:t>
      </w:r>
      <w:r>
        <w:rPr>
          <w:rFonts w:ascii="Palatino Linotype" w:eastAsia="Times New Roman" w:hAnsi="Palatino Linotype"/>
          <w:sz w:val="22"/>
          <w:szCs w:val="22"/>
          <w:lang w:val="en-US"/>
        </w:rPr>
        <w:t>observed</w:t>
      </w:r>
      <w:r w:rsidRPr="00D320E7">
        <w:rPr>
          <w:rFonts w:ascii="Palatino Linotype" w:eastAsia="Times New Roman" w:hAnsi="Palatino Linotype"/>
          <w:sz w:val="22"/>
          <w:szCs w:val="22"/>
          <w:lang w:val="en-US"/>
        </w:rPr>
        <w:t xml:space="preserve"> to </w:t>
      </w:r>
      <w:r>
        <w:rPr>
          <w:rFonts w:ascii="Palatino Linotype" w:eastAsia="Times New Roman" w:hAnsi="Palatino Linotype"/>
          <w:sz w:val="22"/>
          <w:szCs w:val="22"/>
          <w:lang w:val="en-US"/>
        </w:rPr>
        <w:t xml:space="preserve">be 5.1 </w:t>
      </w:r>
      <w:r w:rsidRPr="00D320E7">
        <w:rPr>
          <w:rFonts w:ascii="Palatino Linotype" w:eastAsia="Times New Roman" w:hAnsi="Palatino Linotype"/>
          <w:sz w:val="22"/>
          <w:szCs w:val="22"/>
          <w:lang w:val="en-US"/>
        </w:rPr>
        <w:t xml:space="preserve">per cent in </w:t>
      </w:r>
      <w:r>
        <w:rPr>
          <w:rFonts w:ascii="Palatino Linotype" w:eastAsia="Times New Roman" w:hAnsi="Palatino Linotype"/>
          <w:sz w:val="22"/>
          <w:szCs w:val="22"/>
          <w:lang w:val="en-US"/>
        </w:rPr>
        <w:t>January 2021</w:t>
      </w:r>
      <w:r w:rsidRPr="00D320E7">
        <w:rPr>
          <w:rFonts w:ascii="Palatino Linotype" w:eastAsia="Times New Roman" w:hAnsi="Palatino Linotype"/>
          <w:sz w:val="22"/>
          <w:szCs w:val="22"/>
          <w:lang w:val="en-US"/>
        </w:rPr>
        <w:t xml:space="preserve">, compared to </w:t>
      </w:r>
      <w:r>
        <w:rPr>
          <w:rFonts w:ascii="Palatino Linotype" w:eastAsia="Times New Roman" w:hAnsi="Palatino Linotype"/>
          <w:sz w:val="22"/>
          <w:szCs w:val="22"/>
          <w:lang w:val="en-US"/>
        </w:rPr>
        <w:t>5.2</w:t>
      </w:r>
      <w:r w:rsidRPr="00D320E7">
        <w:rPr>
          <w:rFonts w:ascii="Palatino Linotype" w:eastAsia="Times New Roman" w:hAnsi="Palatino Linotype"/>
          <w:sz w:val="22"/>
          <w:szCs w:val="22"/>
          <w:lang w:val="en-US"/>
        </w:rPr>
        <w:t xml:space="preserve"> per cent in</w:t>
      </w:r>
      <w:r>
        <w:rPr>
          <w:rFonts w:ascii="Palatino Linotype" w:eastAsia="Times New Roman" w:hAnsi="Palatino Linotype"/>
          <w:sz w:val="22"/>
          <w:szCs w:val="22"/>
          <w:lang w:val="en-US"/>
        </w:rPr>
        <w:t xml:space="preserve"> a month earlier</w:t>
      </w:r>
      <w:r w:rsidRPr="00D320E7">
        <w:rPr>
          <w:rFonts w:ascii="Palatino Linotype" w:eastAsia="Times New Roman" w:hAnsi="Palatino Linotype"/>
          <w:sz w:val="22"/>
          <w:szCs w:val="22"/>
          <w:lang w:val="en-US"/>
        </w:rPr>
        <w:t xml:space="preserve">. Index of Industrial Production (IIP) </w:t>
      </w:r>
      <w:r>
        <w:rPr>
          <w:rFonts w:ascii="Palatino Linotype" w:eastAsia="Times New Roman" w:hAnsi="Palatino Linotype"/>
          <w:sz w:val="22"/>
          <w:szCs w:val="22"/>
          <w:lang w:val="en-US"/>
        </w:rPr>
        <w:t>grew</w:t>
      </w:r>
      <w:r w:rsidRPr="00D320E7">
        <w:rPr>
          <w:rFonts w:ascii="Palatino Linotype" w:eastAsia="Times New Roman" w:hAnsi="Palatino Linotype"/>
          <w:sz w:val="22"/>
          <w:szCs w:val="22"/>
          <w:lang w:val="en-US"/>
        </w:rPr>
        <w:t xml:space="preserve"> by 1</w:t>
      </w:r>
      <w:r>
        <w:rPr>
          <w:rFonts w:ascii="Palatino Linotype" w:eastAsia="Times New Roman" w:hAnsi="Palatino Linotype"/>
          <w:sz w:val="22"/>
          <w:szCs w:val="22"/>
          <w:lang w:val="en-US"/>
        </w:rPr>
        <w:t>.0</w:t>
      </w:r>
      <w:r w:rsidRPr="00D320E7">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December</w:t>
      </w:r>
      <w:r w:rsidRPr="00D320E7">
        <w:rPr>
          <w:rFonts w:ascii="Palatino Linotype" w:eastAsia="Times New Roman" w:hAnsi="Palatino Linotype"/>
          <w:sz w:val="22"/>
          <w:szCs w:val="22"/>
          <w:lang w:val="en-US"/>
        </w:rPr>
        <w:t xml:space="preserve"> 2020, compared to </w:t>
      </w:r>
      <w:r>
        <w:rPr>
          <w:rFonts w:ascii="Palatino Linotype" w:eastAsia="Times New Roman" w:hAnsi="Palatino Linotype"/>
          <w:sz w:val="22"/>
          <w:szCs w:val="22"/>
          <w:lang w:val="en-US"/>
        </w:rPr>
        <w:t>1.9</w:t>
      </w:r>
      <w:r w:rsidRPr="00D320E7">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contraction</w:t>
      </w:r>
      <w:r w:rsidRPr="00D320E7">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November</w:t>
      </w:r>
      <w:r w:rsidRPr="00D320E7">
        <w:rPr>
          <w:rFonts w:ascii="Palatino Linotype" w:eastAsia="Times New Roman" w:hAnsi="Palatino Linotype"/>
          <w:sz w:val="22"/>
          <w:szCs w:val="22"/>
          <w:lang w:val="en-US"/>
        </w:rPr>
        <w:t xml:space="preserve"> 2020. The </w:t>
      </w:r>
      <w:r>
        <w:rPr>
          <w:rFonts w:ascii="Palatino Linotype" w:eastAsia="Times New Roman" w:hAnsi="Palatino Linotype"/>
          <w:sz w:val="22"/>
          <w:szCs w:val="22"/>
          <w:lang w:val="en-US"/>
        </w:rPr>
        <w:t>mining</w:t>
      </w:r>
      <w:r w:rsidRPr="00D320E7">
        <w:rPr>
          <w:rFonts w:ascii="Palatino Linotype" w:eastAsia="Times New Roman" w:hAnsi="Palatino Linotype"/>
          <w:sz w:val="22"/>
          <w:szCs w:val="22"/>
          <w:lang w:val="en-US"/>
        </w:rPr>
        <w:t xml:space="preserve"> sector witnessed contraction of </w:t>
      </w:r>
      <w:r>
        <w:rPr>
          <w:rFonts w:ascii="Palatino Linotype" w:eastAsia="Times New Roman" w:hAnsi="Palatino Linotype"/>
          <w:sz w:val="22"/>
          <w:szCs w:val="22"/>
          <w:lang w:val="en-US"/>
        </w:rPr>
        <w:t>4.8</w:t>
      </w:r>
      <w:r w:rsidRPr="00D320E7">
        <w:rPr>
          <w:rFonts w:ascii="Palatino Linotype" w:eastAsia="Times New Roman" w:hAnsi="Palatino Linotype"/>
          <w:sz w:val="22"/>
          <w:szCs w:val="22"/>
          <w:lang w:val="en-US"/>
        </w:rPr>
        <w:t xml:space="preserve"> per cent as compared to growth of </w:t>
      </w:r>
      <w:r>
        <w:rPr>
          <w:rFonts w:ascii="Palatino Linotype" w:eastAsia="Times New Roman" w:hAnsi="Palatino Linotype"/>
          <w:sz w:val="22"/>
          <w:szCs w:val="22"/>
          <w:lang w:val="en-US"/>
        </w:rPr>
        <w:t>5.7</w:t>
      </w:r>
      <w:r w:rsidRPr="00D320E7">
        <w:rPr>
          <w:rFonts w:ascii="Palatino Linotype" w:eastAsia="Times New Roman" w:hAnsi="Palatino Linotype"/>
          <w:sz w:val="22"/>
          <w:szCs w:val="22"/>
          <w:lang w:val="en-US"/>
        </w:rPr>
        <w:t xml:space="preserve"> per cent a year ago, while the </w:t>
      </w:r>
      <w:r>
        <w:rPr>
          <w:rFonts w:ascii="Palatino Linotype" w:eastAsia="Times New Roman" w:hAnsi="Palatino Linotype"/>
          <w:sz w:val="22"/>
          <w:szCs w:val="22"/>
          <w:lang w:val="en-US"/>
        </w:rPr>
        <w:t>manufacturing</w:t>
      </w:r>
      <w:r w:rsidRPr="00D320E7">
        <w:rPr>
          <w:rFonts w:ascii="Palatino Linotype" w:eastAsia="Times New Roman" w:hAnsi="Palatino Linotype"/>
          <w:sz w:val="22"/>
          <w:szCs w:val="22"/>
          <w:lang w:val="en-US"/>
        </w:rPr>
        <w:t xml:space="preserve"> sector </w:t>
      </w:r>
      <w:r>
        <w:rPr>
          <w:rFonts w:ascii="Palatino Linotype" w:eastAsia="Times New Roman" w:hAnsi="Palatino Linotype"/>
          <w:sz w:val="22"/>
          <w:szCs w:val="22"/>
          <w:lang w:val="en-US"/>
        </w:rPr>
        <w:t>grew by</w:t>
      </w:r>
      <w:r w:rsidRPr="00D320E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1.6</w:t>
      </w:r>
      <w:r w:rsidRPr="00D320E7">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December</w:t>
      </w:r>
      <w:r w:rsidRPr="00D320E7">
        <w:rPr>
          <w:rFonts w:ascii="Palatino Linotype" w:eastAsia="Times New Roman" w:hAnsi="Palatino Linotype"/>
          <w:sz w:val="22"/>
          <w:szCs w:val="22"/>
          <w:lang w:val="en-US"/>
        </w:rPr>
        <w:t xml:space="preserve"> 2020 as against </w:t>
      </w:r>
      <w:r>
        <w:rPr>
          <w:rFonts w:ascii="Palatino Linotype" w:eastAsia="Times New Roman" w:hAnsi="Palatino Linotype"/>
          <w:sz w:val="22"/>
          <w:szCs w:val="22"/>
          <w:lang w:val="en-US"/>
        </w:rPr>
        <w:t>a contraction of</w:t>
      </w:r>
      <w:r w:rsidRPr="00D320E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0.3</w:t>
      </w:r>
      <w:r w:rsidRPr="00D320E7">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December</w:t>
      </w:r>
      <w:r w:rsidRPr="00D320E7">
        <w:rPr>
          <w:rFonts w:ascii="Palatino Linotype" w:eastAsia="Times New Roman" w:hAnsi="Palatino Linotype"/>
          <w:sz w:val="22"/>
          <w:szCs w:val="22"/>
          <w:lang w:val="en-US"/>
        </w:rPr>
        <w:t xml:space="preserve"> 2019.</w:t>
      </w:r>
      <w:r w:rsidRPr="00D320E7">
        <w:rPr>
          <w:color w:val="212121"/>
          <w:sz w:val="27"/>
          <w:szCs w:val="27"/>
          <w:shd w:val="clear" w:color="auto" w:fill="FFFFFF"/>
        </w:rPr>
        <w:t> </w:t>
      </w:r>
      <w:r w:rsidRPr="00D320E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 xml:space="preserve">India’s </w:t>
      </w:r>
      <w:r w:rsidRPr="00D320E7">
        <w:rPr>
          <w:rFonts w:ascii="Palatino Linotype" w:eastAsia="Times New Roman" w:hAnsi="Palatino Linotype"/>
          <w:sz w:val="22"/>
          <w:szCs w:val="22"/>
          <w:lang w:val="en-US"/>
        </w:rPr>
        <w:t xml:space="preserve">manufacturing PMI for </w:t>
      </w:r>
      <w:r>
        <w:rPr>
          <w:rFonts w:ascii="Palatino Linotype" w:eastAsia="Times New Roman" w:hAnsi="Palatino Linotype"/>
          <w:sz w:val="22"/>
          <w:szCs w:val="22"/>
          <w:lang w:val="en-US"/>
        </w:rPr>
        <w:t>January</w:t>
      </w:r>
      <w:r w:rsidRPr="00D320E7">
        <w:rPr>
          <w:rFonts w:ascii="Palatino Linotype" w:eastAsia="Times New Roman" w:hAnsi="Palatino Linotype"/>
          <w:sz w:val="22"/>
          <w:szCs w:val="22"/>
          <w:lang w:val="en-US"/>
        </w:rPr>
        <w:t xml:space="preserve"> remained </w:t>
      </w:r>
      <w:r>
        <w:rPr>
          <w:rFonts w:ascii="Palatino Linotype" w:eastAsia="Times New Roman" w:hAnsi="Palatino Linotype"/>
          <w:sz w:val="22"/>
          <w:szCs w:val="22"/>
          <w:lang w:val="en-US"/>
        </w:rPr>
        <w:t>was observed to be</w:t>
      </w:r>
      <w:r w:rsidRPr="00D320E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57.7 in January 2021 against 56.4 of the previous month</w:t>
      </w:r>
      <w:r w:rsidRPr="00D320E7">
        <w:rPr>
          <w:rFonts w:ascii="Palatino Linotype" w:eastAsia="Times New Roman" w:hAnsi="Palatino Linotype"/>
          <w:sz w:val="22"/>
          <w:szCs w:val="22"/>
          <w:lang w:val="en-US"/>
        </w:rPr>
        <w:t xml:space="preserve">. The services PMI </w:t>
      </w:r>
      <w:r>
        <w:rPr>
          <w:rFonts w:ascii="Palatino Linotype" w:eastAsia="Times New Roman" w:hAnsi="Palatino Linotype"/>
          <w:sz w:val="22"/>
          <w:szCs w:val="22"/>
          <w:lang w:val="en-US"/>
        </w:rPr>
        <w:t>was observed to be 52.8</w:t>
      </w:r>
      <w:r w:rsidRPr="00D320E7">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January 2021</w:t>
      </w:r>
      <w:r w:rsidRPr="00D320E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against 52.3 of the previous month.</w:t>
      </w:r>
    </w:p>
    <w:p w:rsidR="002F3AF7" w:rsidRPr="00802AB9" w:rsidRDefault="002F3AF7" w:rsidP="002F3AF7">
      <w:pPr>
        <w:spacing w:line="23" w:lineRule="atLeast"/>
        <w:ind w:left="720"/>
        <w:contextualSpacing/>
        <w:rPr>
          <w:rFonts w:ascii="Garamond" w:eastAsia="Times New Roman" w:hAnsi="Garamond"/>
          <w:b/>
          <w:strike/>
          <w:lang w:val="en-US" w:eastAsia="en-GB"/>
        </w:rPr>
      </w:pPr>
    </w:p>
    <w:p w:rsidR="002F3AF7" w:rsidRPr="00272724" w:rsidRDefault="002F3AF7" w:rsidP="002F3AF7">
      <w:pPr>
        <w:spacing w:line="23" w:lineRule="atLeast"/>
        <w:ind w:left="720"/>
        <w:contextualSpacing/>
        <w:rPr>
          <w:rFonts w:ascii="Garamond" w:eastAsia="Times New Roman" w:hAnsi="Garamond"/>
          <w:b/>
          <w:strike/>
          <w:sz w:val="22"/>
          <w:szCs w:val="22"/>
          <w:lang w:val="en-US" w:eastAsia="en-GB"/>
        </w:rPr>
      </w:pPr>
    </w:p>
    <w:p w:rsidR="002F3AF7" w:rsidRPr="00272724" w:rsidRDefault="002F3AF7" w:rsidP="002F3AF7">
      <w:pPr>
        <w:spacing w:line="23" w:lineRule="atLeast"/>
        <w:ind w:left="18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lang w:val="en-US" w:eastAsia="en-GB"/>
        </w:rPr>
        <w:t>Market Trends</w:t>
      </w:r>
      <w:r w:rsidRPr="00272724">
        <w:rPr>
          <w:rFonts w:ascii="Palatino Linotype" w:eastAsia="Times New Roman" w:hAnsi="Palatino Linotype"/>
          <w:b/>
          <w:sz w:val="22"/>
          <w:szCs w:val="22"/>
          <w:vertAlign w:val="superscript"/>
          <w:lang w:val="en-US" w:eastAsia="en-GB"/>
        </w:rPr>
        <w:footnoteReference w:id="2"/>
      </w:r>
      <w:r w:rsidRPr="00272724">
        <w:rPr>
          <w:rFonts w:ascii="Palatino Linotype" w:eastAsia="Times New Roman" w:hAnsi="Palatino Linotype"/>
          <w:b/>
          <w:sz w:val="22"/>
          <w:szCs w:val="22"/>
          <w:lang w:val="en-US" w:eastAsia="en-GB"/>
        </w:rPr>
        <w:t xml:space="preserve"> – </w:t>
      </w:r>
    </w:p>
    <w:p w:rsidR="002F3AF7" w:rsidRPr="00272724" w:rsidRDefault="002F3AF7" w:rsidP="002F3AF7">
      <w:pPr>
        <w:spacing w:line="23" w:lineRule="atLeast"/>
        <w:ind w:left="180"/>
        <w:contextualSpacing/>
        <w:rPr>
          <w:rFonts w:ascii="Palatino Linotype" w:eastAsia="Times New Roman" w:hAnsi="Palatino Linotype"/>
          <w:b/>
          <w:sz w:val="22"/>
          <w:szCs w:val="22"/>
          <w:lang w:val="en-US" w:eastAsia="en-GB"/>
        </w:rPr>
      </w:pPr>
    </w:p>
    <w:p w:rsidR="002F3AF7" w:rsidRPr="00272724" w:rsidRDefault="002F3AF7" w:rsidP="002F3AF7">
      <w:pPr>
        <w:spacing w:line="360" w:lineRule="auto"/>
        <w:ind w:left="72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eastAsia="en-GB"/>
        </w:rPr>
        <w:t>Equity Markets (Figures 1-2, Table A1)</w:t>
      </w:r>
      <w:r w:rsidRPr="00272724">
        <w:rPr>
          <w:rFonts w:ascii="Palatino Linotype" w:eastAsia="Times New Roman" w:hAnsi="Palatino Linotype"/>
          <w:b/>
          <w:sz w:val="22"/>
          <w:szCs w:val="22"/>
          <w:lang w:val="en-US" w:eastAsia="en-GB"/>
        </w:rPr>
        <w:t>-</w:t>
      </w:r>
    </w:p>
    <w:p w:rsidR="002F3AF7" w:rsidRPr="00272724" w:rsidRDefault="002F3AF7" w:rsidP="002F3AF7">
      <w:pPr>
        <w:numPr>
          <w:ilvl w:val="0"/>
          <w:numId w:val="16"/>
        </w:numPr>
        <w:spacing w:line="276" w:lineRule="auto"/>
        <w:jc w:val="both"/>
        <w:rPr>
          <w:rFonts w:ascii="Palatino Linotype" w:eastAsia="Times New Roman" w:hAnsi="Palatino Linotype"/>
          <w:bCs/>
          <w:color w:val="FF0000"/>
          <w:sz w:val="22"/>
          <w:szCs w:val="22"/>
          <w:lang w:val="en-US" w:eastAsia="en-GB"/>
        </w:rPr>
      </w:pPr>
      <w:r w:rsidRPr="00272724">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January</w:t>
      </w:r>
      <w:r w:rsidRPr="00272724">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72724">
        <w:rPr>
          <w:rFonts w:ascii="Palatino Linotype" w:eastAsia="Times New Roman" w:hAnsi="Palatino Linotype"/>
          <w:bCs/>
          <w:sz w:val="22"/>
          <w:szCs w:val="22"/>
          <w:lang w:val="en-US" w:eastAsia="en-GB"/>
        </w:rPr>
        <w:t>, highest annualized monthly volatility amongst the BRICS countries was observed in Russian Traded (</w:t>
      </w:r>
      <w:r w:rsidRPr="003664A8">
        <w:rPr>
          <w:rFonts w:ascii="Palatino Linotype" w:eastAsia="Times New Roman" w:hAnsi="Palatino Linotype"/>
          <w:bCs/>
          <w:sz w:val="22"/>
          <w:szCs w:val="22"/>
          <w:lang w:val="en-US" w:eastAsia="en-GB"/>
        </w:rPr>
        <w:t>75.5</w:t>
      </w:r>
      <w:r w:rsidRPr="00272724">
        <w:rPr>
          <w:rFonts w:ascii="Palatino Linotype" w:eastAsia="Times New Roman" w:hAnsi="Palatino Linotype"/>
          <w:bCs/>
          <w:sz w:val="22"/>
          <w:szCs w:val="22"/>
          <w:lang w:val="en-US" w:eastAsia="en-GB"/>
        </w:rPr>
        <w:t xml:space="preserve"> per ce</w:t>
      </w:r>
      <w:r>
        <w:rPr>
          <w:rFonts w:ascii="Palatino Linotype" w:eastAsia="Times New Roman" w:hAnsi="Palatino Linotype"/>
          <w:bCs/>
          <w:sz w:val="22"/>
          <w:szCs w:val="22"/>
          <w:lang w:val="en-US" w:eastAsia="en-GB"/>
        </w:rPr>
        <w:t>nt) followed by Brazil IBOVESPA</w:t>
      </w:r>
      <w:r w:rsidRPr="00272724">
        <w:rPr>
          <w:rFonts w:ascii="Palatino Linotype" w:eastAsia="Times New Roman" w:hAnsi="Palatino Linotype"/>
          <w:bCs/>
          <w:sz w:val="22"/>
          <w:szCs w:val="22"/>
          <w:lang w:val="en-US" w:eastAsia="en-GB"/>
        </w:rPr>
        <w:t xml:space="preserve"> (</w:t>
      </w:r>
      <w:r w:rsidRPr="003664A8">
        <w:rPr>
          <w:rFonts w:ascii="Palatino Linotype" w:eastAsia="Times New Roman" w:hAnsi="Palatino Linotype"/>
          <w:sz w:val="22"/>
          <w:szCs w:val="22"/>
          <w:lang w:val="en-IN" w:eastAsia="en-IN"/>
        </w:rPr>
        <w:t>56.3</w:t>
      </w:r>
      <w:r w:rsidRPr="00272724">
        <w:rPr>
          <w:rFonts w:ascii="Palatino Linotype" w:eastAsia="Times New Roman" w:hAnsi="Palatino Linotype"/>
          <w:sz w:val="22"/>
          <w:szCs w:val="22"/>
          <w:lang w:val="en-IN" w:eastAsia="en-IN"/>
        </w:rPr>
        <w:t xml:space="preserve"> per cent</w:t>
      </w:r>
      <w:r w:rsidRPr="00272724">
        <w:rPr>
          <w:rFonts w:ascii="Palatino Linotype" w:eastAsia="Times New Roman" w:hAnsi="Palatino Linotype"/>
          <w:bCs/>
          <w:sz w:val="22"/>
          <w:szCs w:val="22"/>
          <w:lang w:val="en-US" w:eastAsia="en-GB"/>
        </w:rPr>
        <w:t>) and</w:t>
      </w:r>
      <w:r w:rsidRPr="00290A7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India (</w:t>
      </w:r>
      <w:r w:rsidRPr="00272724">
        <w:rPr>
          <w:rFonts w:ascii="Palatino Linotype" w:eastAsia="Times New Roman" w:hAnsi="Palatino Linotype"/>
          <w:bCs/>
          <w:sz w:val="22"/>
          <w:szCs w:val="22"/>
          <w:lang w:val="en-US" w:eastAsia="en-GB"/>
        </w:rPr>
        <w:t>Sensex and</w:t>
      </w:r>
      <w:r w:rsidRPr="004710AB">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Nifty 50 both </w:t>
      </w:r>
      <w:r w:rsidRPr="003664A8">
        <w:rPr>
          <w:rFonts w:ascii="Palatino Linotype" w:eastAsia="Times New Roman" w:hAnsi="Palatino Linotype"/>
          <w:bCs/>
          <w:sz w:val="22"/>
          <w:szCs w:val="22"/>
          <w:lang w:val="en-US" w:eastAsia="en-GB"/>
        </w:rPr>
        <w:t>41.2</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The lowest annualized volatility among BRICS was observed in</w:t>
      </w:r>
      <w:r w:rsidRPr="004710AB">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Shanghai Composite (</w:t>
      </w:r>
      <w:r w:rsidRPr="00271F12">
        <w:rPr>
          <w:rFonts w:ascii="Palatino Linotype" w:eastAsia="Times New Roman" w:hAnsi="Palatino Linotype"/>
          <w:bCs/>
          <w:sz w:val="22"/>
          <w:szCs w:val="22"/>
          <w:lang w:val="en-US" w:eastAsia="en-GB"/>
        </w:rPr>
        <w:t>22.2</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and</w:t>
      </w:r>
      <w:r w:rsidRPr="00272724">
        <w:rPr>
          <w:rFonts w:ascii="Palatino Linotype" w:eastAsia="Times New Roman" w:hAnsi="Palatino Linotype"/>
          <w:bCs/>
          <w:sz w:val="22"/>
          <w:szCs w:val="22"/>
          <w:lang w:val="en-US" w:eastAsia="en-GB"/>
        </w:rPr>
        <w:t xml:space="preserve"> South Africa FTSE (</w:t>
      </w:r>
      <w:r w:rsidRPr="00271F12">
        <w:rPr>
          <w:rFonts w:ascii="Palatino Linotype" w:eastAsia="Times New Roman" w:hAnsi="Palatino Linotype"/>
          <w:bCs/>
          <w:sz w:val="22"/>
          <w:szCs w:val="22"/>
          <w:lang w:val="en-US" w:eastAsia="en-GB"/>
        </w:rPr>
        <w:t>34.8</w:t>
      </w:r>
      <w:r w:rsidRPr="00272724">
        <w:rPr>
          <w:rFonts w:ascii="Palatino Linotype" w:eastAsia="Times New Roman" w:hAnsi="Palatino Linotype"/>
          <w:bCs/>
          <w:sz w:val="22"/>
          <w:szCs w:val="22"/>
          <w:lang w:val="en-US" w:eastAsia="en-GB"/>
        </w:rPr>
        <w:t xml:space="preserve"> per cent). Among the developed markets, highest annualized volatility was observed in </w:t>
      </w:r>
      <w:r>
        <w:rPr>
          <w:rFonts w:ascii="Palatino Linotype" w:eastAsia="Times New Roman" w:hAnsi="Palatino Linotype"/>
          <w:bCs/>
          <w:sz w:val="22"/>
          <w:szCs w:val="22"/>
          <w:lang w:val="en-US" w:eastAsia="en-GB"/>
        </w:rPr>
        <w:t>France CAC 40</w:t>
      </w:r>
      <w:r w:rsidRPr="00272724">
        <w:rPr>
          <w:rFonts w:ascii="Palatino Linotype" w:eastAsia="Times New Roman" w:hAnsi="Palatino Linotype"/>
          <w:bCs/>
          <w:sz w:val="22"/>
          <w:szCs w:val="22"/>
          <w:lang w:val="en-US" w:eastAsia="en-GB"/>
        </w:rPr>
        <w:t xml:space="preserve"> (</w:t>
      </w:r>
      <w:r w:rsidRPr="009E5771">
        <w:rPr>
          <w:rFonts w:ascii="Palatino Linotype" w:eastAsia="Times New Roman" w:hAnsi="Palatino Linotype"/>
          <w:bCs/>
          <w:sz w:val="22"/>
          <w:szCs w:val="22"/>
          <w:lang w:val="en-US" w:eastAsia="en-GB"/>
        </w:rPr>
        <w:t>59.9</w:t>
      </w:r>
      <w:r w:rsidRPr="00272724">
        <w:rPr>
          <w:rFonts w:ascii="Palatino Linotype" w:eastAsia="Times New Roman" w:hAnsi="Palatino Linotype"/>
          <w:bCs/>
          <w:sz w:val="22"/>
          <w:szCs w:val="22"/>
          <w:lang w:val="en-US" w:eastAsia="en-GB"/>
        </w:rPr>
        <w:t xml:space="preserve"> per cent) and the lowest was observed at </w:t>
      </w:r>
      <w:r>
        <w:rPr>
          <w:rFonts w:ascii="Palatino Linotype" w:eastAsia="Times New Roman" w:hAnsi="Palatino Linotype"/>
          <w:bCs/>
          <w:sz w:val="22"/>
          <w:szCs w:val="22"/>
          <w:lang w:val="en-US" w:eastAsia="en-GB"/>
        </w:rPr>
        <w:t>Hong Kong</w:t>
      </w:r>
      <w:r w:rsidRPr="00120CAA">
        <w:rPr>
          <w:rFonts w:ascii="Palatino Linotype" w:eastAsia="Times New Roman" w:hAnsi="Palatino Linotype"/>
          <w:bCs/>
          <w:sz w:val="22"/>
          <w:szCs w:val="22"/>
          <w:lang w:val="en-US" w:eastAsia="en-GB"/>
        </w:rPr>
        <w:t xml:space="preserve"> </w:t>
      </w:r>
      <w:r w:rsidRPr="00B527A8">
        <w:rPr>
          <w:rFonts w:ascii="Palatino Linotype" w:eastAsia="Times New Roman" w:hAnsi="Palatino Linotype"/>
          <w:bCs/>
          <w:sz w:val="22"/>
          <w:szCs w:val="22"/>
          <w:lang w:val="en-US" w:eastAsia="en-GB"/>
        </w:rPr>
        <w:t xml:space="preserve">HANG SENG </w:t>
      </w:r>
      <w:r w:rsidRPr="00272724">
        <w:rPr>
          <w:rFonts w:ascii="Palatino Linotype" w:eastAsia="Times New Roman" w:hAnsi="Palatino Linotype"/>
          <w:bCs/>
          <w:sz w:val="22"/>
          <w:szCs w:val="22"/>
          <w:lang w:val="en-US" w:eastAsia="en-GB"/>
        </w:rPr>
        <w:t>(</w:t>
      </w:r>
      <w:r w:rsidRPr="009E5771">
        <w:rPr>
          <w:rFonts w:ascii="Palatino Linotype" w:eastAsia="Times New Roman" w:hAnsi="Palatino Linotype"/>
          <w:bCs/>
          <w:sz w:val="22"/>
          <w:szCs w:val="22"/>
          <w:lang w:val="en-US" w:eastAsia="en-GB"/>
        </w:rPr>
        <w:t>29.0</w:t>
      </w:r>
      <w:r w:rsidRPr="00272724">
        <w:rPr>
          <w:rFonts w:ascii="Palatino Linotype" w:eastAsia="Times New Roman" w:hAnsi="Palatino Linotype"/>
          <w:bCs/>
          <w:sz w:val="22"/>
          <w:szCs w:val="22"/>
          <w:lang w:val="en-US" w:eastAsia="en-GB"/>
        </w:rPr>
        <w:t xml:space="preserve"> per cent)). </w:t>
      </w:r>
    </w:p>
    <w:p w:rsidR="002F3AF7" w:rsidRPr="00272724" w:rsidRDefault="002F3AF7" w:rsidP="002F3AF7">
      <w:pPr>
        <w:spacing w:line="276" w:lineRule="auto"/>
        <w:ind w:left="357"/>
        <w:jc w:val="both"/>
        <w:rPr>
          <w:rFonts w:ascii="Garamond" w:eastAsia="Times New Roman" w:hAnsi="Garamond"/>
          <w:bCs/>
          <w:color w:val="FF0000"/>
          <w:lang w:val="en-US" w:eastAsia="en-GB"/>
        </w:rPr>
      </w:pPr>
    </w:p>
    <w:p w:rsidR="002F3AF7" w:rsidRPr="00272724" w:rsidRDefault="002F3AF7" w:rsidP="002F3AF7">
      <w:pPr>
        <w:numPr>
          <w:ilvl w:val="0"/>
          <w:numId w:val="16"/>
        </w:numPr>
        <w:spacing w:line="276" w:lineRule="auto"/>
        <w:contextualSpacing/>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In most of the analyzed markets</w:t>
      </w:r>
      <w:r w:rsidRPr="00272724">
        <w:rPr>
          <w:rFonts w:ascii="Palatino Linotype" w:eastAsia="Times New Roman" w:hAnsi="Palatino Linotype"/>
          <w:bCs/>
          <w:sz w:val="22"/>
          <w:szCs w:val="22"/>
          <w:vertAlign w:val="superscript"/>
          <w:lang w:val="en-US" w:eastAsia="en-GB"/>
        </w:rPr>
        <w:footnoteReference w:id="3"/>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an</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increase</w:t>
      </w:r>
      <w:r w:rsidRPr="00272724">
        <w:rPr>
          <w:rFonts w:ascii="Palatino Linotype" w:eastAsia="Times New Roman" w:hAnsi="Palatino Linotype"/>
          <w:bCs/>
          <w:sz w:val="22"/>
          <w:szCs w:val="22"/>
          <w:lang w:val="en-US" w:eastAsia="en-GB"/>
        </w:rPr>
        <w:t xml:space="preserve"> was observed in</w:t>
      </w:r>
      <w:r>
        <w:rPr>
          <w:rFonts w:ascii="Palatino Linotype" w:eastAsia="Times New Roman" w:hAnsi="Palatino Linotype"/>
          <w:bCs/>
          <w:sz w:val="22"/>
          <w:szCs w:val="22"/>
          <w:lang w:val="en-US" w:eastAsia="en-GB"/>
        </w:rPr>
        <w:t xml:space="preserve"> most of the</w:t>
      </w:r>
      <w:r w:rsidRPr="00272724">
        <w:rPr>
          <w:rFonts w:ascii="Palatino Linotype" w:eastAsia="Times New Roman" w:hAnsi="Palatino Linotype"/>
          <w:bCs/>
          <w:sz w:val="22"/>
          <w:szCs w:val="22"/>
          <w:lang w:val="en-US" w:eastAsia="en-GB"/>
        </w:rPr>
        <w:t xml:space="preserve"> indices during </w:t>
      </w:r>
      <w:r>
        <w:rPr>
          <w:rFonts w:ascii="Palatino Linotype" w:eastAsia="Times New Roman" w:hAnsi="Palatino Linotype"/>
          <w:bCs/>
          <w:sz w:val="22"/>
          <w:szCs w:val="22"/>
          <w:lang w:val="en-US" w:eastAsia="en-GB"/>
        </w:rPr>
        <w:t>January</w:t>
      </w:r>
      <w:r w:rsidRPr="00272724">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 over the previous month</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Amongst</w:t>
      </w:r>
      <w:r w:rsidRPr="00272724">
        <w:rPr>
          <w:rFonts w:ascii="Palatino Linotype" w:eastAsia="Times New Roman" w:hAnsi="Palatino Linotype"/>
          <w:bCs/>
          <w:sz w:val="22"/>
          <w:szCs w:val="22"/>
          <w:lang w:val="en-US" w:eastAsia="en-GB"/>
        </w:rPr>
        <w:t xml:space="preserve"> BRICS nations</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an increase was observed in South Africa FTSE (</w:t>
      </w:r>
      <w:r w:rsidRPr="00B0708D">
        <w:rPr>
          <w:rFonts w:ascii="Palatino Linotype" w:eastAsia="Times New Roman" w:hAnsi="Palatino Linotype"/>
          <w:bCs/>
          <w:sz w:val="22"/>
          <w:szCs w:val="22"/>
          <w:lang w:val="en-US" w:eastAsia="en-GB"/>
        </w:rPr>
        <w:t>5.2</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followed by</w:t>
      </w:r>
      <w:r w:rsidRPr="002D5772">
        <w:rPr>
          <w:rFonts w:ascii="Palatino Linotype" w:eastAsia="Times New Roman" w:hAnsi="Palatino Linotype"/>
          <w:bCs/>
          <w:sz w:val="22"/>
          <w:szCs w:val="22"/>
          <w:lang w:val="en-US" w:eastAsia="en-GB"/>
        </w:rPr>
        <w:t xml:space="preserve"> </w:t>
      </w:r>
      <w:r w:rsidRPr="006B1E4E">
        <w:rPr>
          <w:rFonts w:ascii="Palatino Linotype" w:eastAsia="Times New Roman" w:hAnsi="Palatino Linotype"/>
          <w:bCs/>
          <w:sz w:val="22"/>
          <w:szCs w:val="22"/>
          <w:lang w:val="en-US" w:eastAsia="en-GB"/>
        </w:rPr>
        <w:t>Shanghai SE Composite</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sidRPr="00B0708D">
        <w:rPr>
          <w:rFonts w:ascii="Palatino Linotype" w:eastAsia="Times New Roman" w:hAnsi="Palatino Linotype"/>
          <w:bCs/>
          <w:sz w:val="22"/>
          <w:szCs w:val="22"/>
          <w:lang w:val="en-US" w:eastAsia="en-GB"/>
        </w:rPr>
        <w:t>0.3</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However, a decrease was observed for </w:t>
      </w:r>
      <w:r w:rsidRPr="002D5772">
        <w:rPr>
          <w:rFonts w:ascii="Palatino Linotype" w:eastAsia="Times New Roman" w:hAnsi="Palatino Linotype"/>
          <w:bCs/>
          <w:sz w:val="22"/>
          <w:szCs w:val="22"/>
          <w:lang w:val="en-US" w:eastAsia="en-GB"/>
        </w:rPr>
        <w:t>B</w:t>
      </w:r>
      <w:r>
        <w:rPr>
          <w:rFonts w:ascii="Palatino Linotype" w:eastAsia="Times New Roman" w:hAnsi="Palatino Linotype"/>
          <w:bCs/>
          <w:sz w:val="22"/>
          <w:szCs w:val="22"/>
          <w:lang w:val="en-US" w:eastAsia="en-GB"/>
        </w:rPr>
        <w:t>razil’s</w:t>
      </w:r>
      <w:r w:rsidRPr="002D5772">
        <w:rPr>
          <w:rFonts w:ascii="Palatino Linotype" w:eastAsia="Times New Roman" w:hAnsi="Palatino Linotype"/>
          <w:bCs/>
          <w:sz w:val="22"/>
          <w:szCs w:val="22"/>
          <w:lang w:val="en-US" w:eastAsia="en-GB"/>
        </w:rPr>
        <w:t xml:space="preserve"> IBOVESPA </w:t>
      </w:r>
      <w:r w:rsidRPr="00272724">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3.3</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followed by </w:t>
      </w:r>
      <w:r w:rsidRPr="00272724">
        <w:rPr>
          <w:rFonts w:ascii="Palatino Linotype" w:eastAsia="Times New Roman" w:hAnsi="Palatino Linotype"/>
          <w:bCs/>
          <w:sz w:val="22"/>
          <w:szCs w:val="22"/>
          <w:lang w:val="en-US" w:eastAsia="en-GB"/>
        </w:rPr>
        <w:t>India (</w:t>
      </w:r>
      <w:r>
        <w:rPr>
          <w:rFonts w:ascii="Palatino Linotype" w:eastAsia="Times New Roman" w:hAnsi="Palatino Linotype"/>
          <w:bCs/>
          <w:sz w:val="22"/>
          <w:szCs w:val="22"/>
          <w:lang w:val="en-US" w:eastAsia="en-GB"/>
        </w:rPr>
        <w:t>India (S&amp;P BSE SENSEX:</w:t>
      </w:r>
      <w:r w:rsidRPr="00D82FC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3.1 per cent and Nifty 50:</w:t>
      </w:r>
      <w:r w:rsidRPr="00D82FC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2.5</w:t>
      </w:r>
      <w:r w:rsidRPr="00D82FC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followed by</w:t>
      </w:r>
      <w:r w:rsidRPr="00B0708D">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Russia Traded (</w:t>
      </w:r>
      <w:r>
        <w:rPr>
          <w:rFonts w:ascii="Palatino Linotype" w:eastAsia="Times New Roman" w:hAnsi="Palatino Linotype"/>
          <w:bCs/>
          <w:sz w:val="22"/>
          <w:szCs w:val="22"/>
          <w:lang w:val="en-US" w:eastAsia="en-GB"/>
        </w:rPr>
        <w:t>1.4</w:t>
      </w:r>
      <w:r w:rsidRPr="00272724">
        <w:rPr>
          <w:rFonts w:ascii="Palatino Linotype" w:eastAsia="Times New Roman" w:hAnsi="Palatino Linotype"/>
          <w:bCs/>
          <w:sz w:val="22"/>
          <w:szCs w:val="22"/>
          <w:lang w:val="en-US" w:eastAsia="en-GB"/>
        </w:rPr>
        <w:t xml:space="preserve"> per cent). Among the developed economies, in the month of </w:t>
      </w:r>
      <w:r>
        <w:rPr>
          <w:rFonts w:ascii="Palatino Linotype" w:eastAsia="Times New Roman" w:hAnsi="Palatino Linotype"/>
          <w:bCs/>
          <w:sz w:val="22"/>
          <w:szCs w:val="22"/>
          <w:lang w:val="en-US" w:eastAsia="en-GB"/>
        </w:rPr>
        <w:t>January</w:t>
      </w:r>
      <w:r w:rsidRPr="00272724">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72724">
        <w:rPr>
          <w:rFonts w:ascii="Palatino Linotype" w:eastAsia="Times New Roman" w:hAnsi="Palatino Linotype"/>
          <w:bCs/>
          <w:sz w:val="22"/>
          <w:szCs w:val="22"/>
          <w:lang w:val="en-US" w:eastAsia="en-GB"/>
        </w:rPr>
        <w:t xml:space="preserve">, highest indices growth was observed for </w:t>
      </w:r>
      <w:r>
        <w:rPr>
          <w:rFonts w:ascii="Palatino Linotype" w:eastAsia="Times New Roman" w:hAnsi="Palatino Linotype"/>
          <w:bCs/>
          <w:sz w:val="22"/>
          <w:szCs w:val="22"/>
          <w:lang w:val="en-US" w:eastAsia="en-GB"/>
        </w:rPr>
        <w:t>Hong Kong HANG SENG</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3</w:t>
      </w:r>
      <w:r w:rsidRPr="00BF7E52">
        <w:rPr>
          <w:rFonts w:ascii="Palatino Linotype" w:eastAsia="Times New Roman" w:hAnsi="Palatino Linotype"/>
          <w:bCs/>
          <w:sz w:val="22"/>
          <w:szCs w:val="22"/>
          <w:lang w:val="en-US" w:eastAsia="en-GB"/>
        </w:rPr>
        <w:t>.9</w:t>
      </w:r>
      <w:r w:rsidRPr="00272724">
        <w:rPr>
          <w:rFonts w:ascii="Palatino Linotype" w:eastAsia="Times New Roman" w:hAnsi="Palatino Linotype"/>
          <w:bCs/>
          <w:sz w:val="22"/>
          <w:szCs w:val="22"/>
          <w:lang w:val="en-US" w:eastAsia="en-GB"/>
        </w:rPr>
        <w:t xml:space="preserve"> per cent) followed by </w:t>
      </w:r>
      <w:r>
        <w:rPr>
          <w:rFonts w:ascii="Palatino Linotype" w:eastAsia="Times New Roman" w:hAnsi="Palatino Linotype"/>
          <w:bCs/>
          <w:sz w:val="22"/>
          <w:szCs w:val="22"/>
          <w:lang w:val="en-US" w:eastAsia="en-GB"/>
        </w:rPr>
        <w:t xml:space="preserve">South Korea </w:t>
      </w:r>
      <w:r w:rsidRPr="00BF7E52">
        <w:rPr>
          <w:rFonts w:ascii="Palatino Linotype" w:eastAsia="Times New Roman" w:hAnsi="Palatino Linotype"/>
          <w:bCs/>
          <w:sz w:val="22"/>
          <w:szCs w:val="22"/>
          <w:lang w:val="en-US" w:eastAsia="en-GB"/>
        </w:rPr>
        <w:t>KOSPI</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3.6</w:t>
      </w:r>
      <w:r w:rsidRPr="00272724">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 xml:space="preserve">A negative </w:t>
      </w:r>
      <w:r w:rsidRPr="00272724">
        <w:rPr>
          <w:rFonts w:ascii="Palatino Linotype" w:eastAsia="Times New Roman" w:hAnsi="Palatino Linotype"/>
          <w:bCs/>
          <w:sz w:val="22"/>
          <w:szCs w:val="22"/>
          <w:lang w:val="en-US" w:eastAsia="en-GB"/>
        </w:rPr>
        <w:t xml:space="preserve">monthly growth was observed in </w:t>
      </w:r>
      <w:r>
        <w:rPr>
          <w:rFonts w:ascii="Palatino Linotype" w:eastAsia="Times New Roman" w:hAnsi="Palatino Linotype"/>
          <w:bCs/>
          <w:sz w:val="22"/>
          <w:szCs w:val="22"/>
          <w:lang w:val="en-US" w:eastAsia="en-GB"/>
        </w:rPr>
        <w:t>France CAC 40</w:t>
      </w:r>
      <w:r w:rsidRPr="005B50D3">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2.7</w:t>
      </w:r>
      <w:r w:rsidRPr="00272724">
        <w:rPr>
          <w:rFonts w:ascii="Palatino Linotype" w:eastAsia="Times New Roman" w:hAnsi="Palatino Linotype"/>
          <w:bCs/>
          <w:sz w:val="22"/>
          <w:szCs w:val="22"/>
          <w:lang w:val="en-US" w:eastAsia="en-GB"/>
        </w:rPr>
        <w:t xml:space="preserve"> per cent) followed by </w:t>
      </w:r>
      <w:r>
        <w:rPr>
          <w:rFonts w:ascii="Palatino Linotype" w:eastAsia="Times New Roman" w:hAnsi="Palatino Linotype"/>
          <w:bCs/>
          <w:sz w:val="22"/>
          <w:szCs w:val="22"/>
          <w:lang w:val="en-US" w:eastAsia="en-GB"/>
        </w:rPr>
        <w:t>German DAX</w:t>
      </w:r>
      <w:r w:rsidRPr="00874ED7">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-2.1 per cent) and</w:t>
      </w:r>
      <w:r w:rsidRPr="00272724">
        <w:rPr>
          <w:rFonts w:ascii="Palatino Linotype" w:eastAsia="Times New Roman" w:hAnsi="Palatino Linotype"/>
          <w:bCs/>
          <w:sz w:val="22"/>
          <w:szCs w:val="22"/>
          <w:lang w:val="en-US" w:eastAsia="en-GB"/>
        </w:rPr>
        <w:t xml:space="preserve"> </w:t>
      </w:r>
      <w:r w:rsidRPr="001B2443">
        <w:rPr>
          <w:rFonts w:ascii="Palatino Linotype" w:eastAsia="Times New Roman" w:hAnsi="Palatino Linotype"/>
          <w:bCs/>
          <w:sz w:val="22"/>
          <w:szCs w:val="22"/>
          <w:lang w:val="en-US" w:eastAsia="en-GB"/>
        </w:rPr>
        <w:t>Dow Jones Indus. Avg</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-2.0 </w:t>
      </w:r>
      <w:r w:rsidRPr="00272724">
        <w:rPr>
          <w:rFonts w:ascii="Palatino Linotype" w:eastAsia="Times New Roman" w:hAnsi="Palatino Linotype"/>
          <w:bCs/>
          <w:sz w:val="22"/>
          <w:szCs w:val="22"/>
          <w:lang w:val="en-US" w:eastAsia="en-GB"/>
        </w:rPr>
        <w:t>per cent). Growth for</w:t>
      </w:r>
      <w:r>
        <w:rPr>
          <w:rFonts w:ascii="Palatino Linotype" w:eastAsia="Times New Roman" w:hAnsi="Palatino Linotype"/>
          <w:bCs/>
          <w:sz w:val="22"/>
          <w:szCs w:val="22"/>
          <w:lang w:val="en-US" w:eastAsia="en-GB"/>
        </w:rPr>
        <w:t xml:space="preserve"> </w:t>
      </w:r>
      <w:r w:rsidRPr="001B2443">
        <w:rPr>
          <w:rFonts w:ascii="Palatino Linotype" w:eastAsia="Times New Roman" w:hAnsi="Palatino Linotype"/>
          <w:bCs/>
          <w:sz w:val="22"/>
          <w:szCs w:val="22"/>
          <w:lang w:val="en-US" w:eastAsia="en-GB"/>
        </w:rPr>
        <w:t xml:space="preserve">Nasdaq </w:t>
      </w:r>
      <w:r>
        <w:rPr>
          <w:rFonts w:ascii="Palatino Linotype" w:eastAsia="Times New Roman" w:hAnsi="Palatino Linotype"/>
          <w:bCs/>
          <w:sz w:val="22"/>
          <w:szCs w:val="22"/>
          <w:lang w:val="en-US" w:eastAsia="en-GB"/>
        </w:rPr>
        <w:t xml:space="preserve">COMPOSITE, UK FTSE 100, Singapore STI </w:t>
      </w:r>
      <w:r w:rsidRPr="00272724">
        <w:rPr>
          <w:rFonts w:ascii="Palatino Linotype" w:eastAsia="Times New Roman" w:hAnsi="Palatino Linotype"/>
          <w:bCs/>
          <w:sz w:val="22"/>
          <w:szCs w:val="22"/>
          <w:lang w:val="en-US" w:eastAsia="en-GB"/>
        </w:rPr>
        <w:t>and Japan Nikkei</w:t>
      </w:r>
      <w:r w:rsidRPr="00F52AB0">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were</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1.4, -0.8, 2.1 </w:t>
      </w:r>
      <w:r w:rsidRPr="006D3EF6">
        <w:rPr>
          <w:rFonts w:ascii="Palatino Linotype" w:eastAsia="Times New Roman" w:hAnsi="Palatino Linotype"/>
          <w:bCs/>
          <w:sz w:val="22"/>
          <w:szCs w:val="22"/>
          <w:lang w:val="en-US" w:eastAsia="en-GB"/>
        </w:rPr>
        <w:t>and 0.8 per cent</w:t>
      </w:r>
      <w:r w:rsidRPr="00272724">
        <w:rPr>
          <w:rFonts w:ascii="Palatino Linotype" w:eastAsia="Times New Roman" w:hAnsi="Palatino Linotype"/>
          <w:bCs/>
          <w:sz w:val="22"/>
          <w:szCs w:val="22"/>
          <w:lang w:val="en-US" w:eastAsia="en-GB"/>
        </w:rPr>
        <w:t xml:space="preserve"> respectively</w:t>
      </w:r>
      <w:r>
        <w:rPr>
          <w:rFonts w:ascii="Palatino Linotype" w:eastAsia="Times New Roman" w:hAnsi="Palatino Linotype"/>
          <w:bCs/>
          <w:sz w:val="22"/>
          <w:szCs w:val="22"/>
          <w:lang w:val="en-US" w:eastAsia="en-GB"/>
        </w:rPr>
        <w:t>.</w:t>
      </w:r>
    </w:p>
    <w:p w:rsidR="002F3AF7" w:rsidRPr="00272724" w:rsidRDefault="002F3AF7" w:rsidP="002F3AF7">
      <w:pPr>
        <w:spacing w:line="276" w:lineRule="auto"/>
        <w:jc w:val="both"/>
        <w:rPr>
          <w:rFonts w:ascii="Palatino Linotype" w:eastAsia="Times New Roman" w:hAnsi="Palatino Linotype"/>
          <w:bCs/>
          <w:sz w:val="22"/>
          <w:szCs w:val="22"/>
          <w:lang w:eastAsia="en-GB"/>
        </w:rPr>
      </w:pPr>
    </w:p>
    <w:p w:rsidR="002F3AF7" w:rsidRPr="00272724" w:rsidRDefault="002F3AF7" w:rsidP="002F3AF7">
      <w:pPr>
        <w:rPr>
          <w:rFonts w:ascii="Garamond" w:hAnsi="Garamond"/>
          <w:b/>
          <w:bCs/>
          <w:noProof/>
          <w:lang w:val="en-US"/>
        </w:rPr>
      </w:pPr>
      <w:r w:rsidRPr="00272724">
        <w:rPr>
          <w:rFonts w:ascii="Garamond" w:hAnsi="Garamond"/>
          <w:b/>
          <w:bCs/>
          <w:noProof/>
          <w:lang w:val="en-US"/>
        </w:rPr>
        <w:br w:type="page"/>
      </w:r>
    </w:p>
    <w:p w:rsidR="002F3AF7" w:rsidRPr="00272724" w:rsidRDefault="002F3AF7" w:rsidP="002F3AF7">
      <w:pPr>
        <w:spacing w:line="23" w:lineRule="atLeast"/>
        <w:jc w:val="both"/>
        <w:outlineLvl w:val="0"/>
        <w:rPr>
          <w:rFonts w:ascii="Garamond" w:hAnsi="Garamond"/>
          <w:b/>
          <w:bCs/>
          <w:szCs w:val="22"/>
        </w:rPr>
      </w:pPr>
      <w:r w:rsidRPr="00272724">
        <w:rPr>
          <w:rFonts w:ascii="Garamond" w:hAnsi="Garamond"/>
          <w:b/>
          <w:bCs/>
          <w:noProof/>
          <w:lang w:val="en-US"/>
        </w:rPr>
        <w:t>Figure</w:t>
      </w:r>
      <w:r w:rsidRPr="00272724">
        <w:rPr>
          <w:rFonts w:ascii="Garamond" w:hAnsi="Garamond"/>
          <w:b/>
          <w:bCs/>
          <w:szCs w:val="22"/>
        </w:rPr>
        <w:t xml:space="preserve"> 1: Stock Market Trends in Selected Developed Markets</w:t>
      </w:r>
    </w:p>
    <w:p w:rsidR="002F3AF7" w:rsidRPr="00272724" w:rsidRDefault="002F3AF7" w:rsidP="002F3AF7">
      <w:pPr>
        <w:spacing w:line="23" w:lineRule="atLeast"/>
        <w:jc w:val="both"/>
        <w:outlineLvl w:val="0"/>
        <w:rPr>
          <w:rFonts w:ascii="Garamond" w:hAnsi="Garamond"/>
          <w:bCs/>
          <w:sz w:val="22"/>
          <w:szCs w:val="22"/>
        </w:rPr>
      </w:pPr>
    </w:p>
    <w:p w:rsidR="002F3AF7" w:rsidRPr="00272724" w:rsidRDefault="002F3AF7" w:rsidP="002F3AF7">
      <w:pPr>
        <w:spacing w:line="23" w:lineRule="atLeast"/>
        <w:jc w:val="both"/>
        <w:outlineLvl w:val="0"/>
        <w:rPr>
          <w:rFonts w:ascii="Garamond" w:hAnsi="Garamond"/>
          <w:bCs/>
          <w:sz w:val="18"/>
          <w:szCs w:val="18"/>
        </w:rPr>
      </w:pPr>
      <w:r>
        <w:rPr>
          <w:rFonts w:ascii="Garamond" w:hAnsi="Garamond"/>
          <w:bCs/>
          <w:noProof/>
          <w:sz w:val="18"/>
          <w:szCs w:val="18"/>
          <w:lang w:val="en-IN" w:eastAsia="en-IN" w:bidi="hi-IN"/>
        </w:rPr>
        <w:drawing>
          <wp:anchor distT="0" distB="0" distL="114300" distR="114300" simplePos="0" relativeHeight="251662336" behindDoc="0" locked="0" layoutInCell="1" allowOverlap="1" wp14:anchorId="23668F13" wp14:editId="308BA0DF">
            <wp:simplePos x="0" y="0"/>
            <wp:positionH relativeFrom="character">
              <wp:posOffset>0</wp:posOffset>
            </wp:positionH>
            <wp:positionV relativeFrom="line">
              <wp:posOffset>0</wp:posOffset>
            </wp:positionV>
            <wp:extent cx="6002020" cy="375412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02020" cy="3754120"/>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bCs/>
          <w:noProof/>
          <w:sz w:val="18"/>
          <w:szCs w:val="18"/>
          <w:lang w:val="en-IN" w:eastAsia="en-IN" w:bidi="hi-IN"/>
        </w:rPr>
        <mc:AlternateContent>
          <mc:Choice Requires="wps">
            <w:drawing>
              <wp:inline distT="0" distB="0" distL="0" distR="0" wp14:anchorId="77A76419" wp14:editId="6BB81228">
                <wp:extent cx="6000750" cy="375285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00750" cy="375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BD91F" id="Rectangle 8" o:spid="_x0000_s1026" style="width:472.5pt;height:2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" filled="f" stroked="f">
                <o:lock v:ext="edit" aspectratio="t"/>
                <w10:anchorlock/>
              </v:rect>
            </w:pict>
          </mc:Fallback>
        </mc:AlternateContent>
      </w:r>
    </w:p>
    <w:p w:rsidR="002F3AF7" w:rsidRPr="00272724"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 xml:space="preserve">Note: All indices have been normalised to 100 on </w:t>
      </w:r>
      <w:r>
        <w:rPr>
          <w:rFonts w:ascii="Garamond" w:hAnsi="Garamond"/>
          <w:bCs/>
          <w:sz w:val="18"/>
          <w:szCs w:val="18"/>
        </w:rPr>
        <w:t>31 January 2020</w:t>
      </w:r>
      <w:r w:rsidRPr="00272724">
        <w:rPr>
          <w:rFonts w:ascii="Garamond" w:hAnsi="Garamond"/>
          <w:bCs/>
          <w:sz w:val="18"/>
          <w:szCs w:val="18"/>
        </w:rPr>
        <w:t>.</w:t>
      </w:r>
    </w:p>
    <w:p w:rsidR="002F3AF7" w:rsidRPr="00706E3B"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 xml:space="preserve">Source: </w:t>
      </w:r>
      <w:r w:rsidRPr="00706E3B">
        <w:rPr>
          <w:rFonts w:ascii="Garamond" w:hAnsi="Garamond"/>
          <w:bCs/>
          <w:sz w:val="18"/>
          <w:szCs w:val="18"/>
        </w:rPr>
        <w:t>Refinitiv</w:t>
      </w:r>
    </w:p>
    <w:p w:rsidR="002F3AF7" w:rsidRPr="00272724" w:rsidRDefault="002F3AF7" w:rsidP="002F3AF7">
      <w:pPr>
        <w:spacing w:line="23" w:lineRule="atLeast"/>
        <w:rPr>
          <w:rFonts w:ascii="Garamond" w:hAnsi="Garamond"/>
          <w:bCs/>
          <w:sz w:val="22"/>
          <w:szCs w:val="22"/>
        </w:rPr>
      </w:pPr>
    </w:p>
    <w:p w:rsidR="002F3AF7" w:rsidRPr="00272724" w:rsidRDefault="002F3AF7" w:rsidP="002F3AF7">
      <w:pPr>
        <w:spacing w:line="23" w:lineRule="atLeast"/>
        <w:rPr>
          <w:rFonts w:ascii="Garamond" w:hAnsi="Garamond"/>
          <w:b/>
          <w:bCs/>
          <w:szCs w:val="22"/>
        </w:rPr>
      </w:pPr>
    </w:p>
    <w:p w:rsidR="002F3AF7" w:rsidRPr="00272724" w:rsidRDefault="002F3AF7" w:rsidP="002F3AF7">
      <w:pPr>
        <w:spacing w:line="23" w:lineRule="atLeast"/>
        <w:rPr>
          <w:rFonts w:ascii="Garamond" w:hAnsi="Garamond"/>
          <w:b/>
          <w:bCs/>
          <w:szCs w:val="22"/>
        </w:rPr>
      </w:pPr>
      <w:r w:rsidRPr="00272724">
        <w:rPr>
          <w:rFonts w:ascii="Garamond" w:hAnsi="Garamond"/>
          <w:b/>
          <w:bCs/>
          <w:szCs w:val="22"/>
        </w:rPr>
        <w:t>Figure 2: Stock Market Trends in Selected Emerging Markets</w:t>
      </w:r>
    </w:p>
    <w:p w:rsidR="002F3AF7" w:rsidRPr="00272724" w:rsidRDefault="002F3AF7" w:rsidP="002F3AF7">
      <w:pPr>
        <w:spacing w:line="23" w:lineRule="atLeast"/>
        <w:rPr>
          <w:rFonts w:ascii="Garamond" w:hAnsi="Garamond"/>
          <w:bCs/>
          <w:sz w:val="22"/>
          <w:szCs w:val="22"/>
        </w:rPr>
      </w:pPr>
      <w:r>
        <w:rPr>
          <w:rFonts w:ascii="Garamond" w:hAnsi="Garamond"/>
          <w:bCs/>
          <w:noProof/>
          <w:sz w:val="22"/>
          <w:szCs w:val="22"/>
          <w:lang w:val="en-IN" w:eastAsia="en-IN" w:bidi="hi-IN"/>
        </w:rPr>
        <w:drawing>
          <wp:anchor distT="0" distB="0" distL="114300" distR="114300" simplePos="0" relativeHeight="251661312" behindDoc="0" locked="0" layoutInCell="1" allowOverlap="1" wp14:anchorId="0F9D8B22" wp14:editId="29EF61E8">
            <wp:simplePos x="0" y="0"/>
            <wp:positionH relativeFrom="character">
              <wp:posOffset>0</wp:posOffset>
            </wp:positionH>
            <wp:positionV relativeFrom="line">
              <wp:posOffset>0</wp:posOffset>
            </wp:positionV>
            <wp:extent cx="6029325" cy="350774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29325" cy="3507740"/>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bCs/>
          <w:noProof/>
          <w:sz w:val="22"/>
          <w:szCs w:val="22"/>
          <w:lang w:val="en-IN" w:eastAsia="en-IN" w:bidi="hi-IN"/>
        </w:rPr>
        <mc:AlternateContent>
          <mc:Choice Requires="wps">
            <w:drawing>
              <wp:inline distT="0" distB="0" distL="0" distR="0" wp14:anchorId="5F8BD0DA" wp14:editId="11D837A8">
                <wp:extent cx="6029325" cy="35052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29325" cy="350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F7D9E" id="Rectangle 7" o:spid="_x0000_s1026" style="width:474.75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" filled="f" stroked="f">
                <o:lock v:ext="edit" aspectratio="t"/>
                <w10:anchorlock/>
              </v:rect>
            </w:pict>
          </mc:Fallback>
        </mc:AlternateContent>
      </w:r>
    </w:p>
    <w:p w:rsidR="002F3AF7" w:rsidRPr="00272724"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 xml:space="preserve">Note: All indices have been normalised to 100 on </w:t>
      </w:r>
      <w:r>
        <w:rPr>
          <w:rFonts w:ascii="Garamond" w:hAnsi="Garamond"/>
          <w:bCs/>
          <w:sz w:val="18"/>
          <w:szCs w:val="18"/>
        </w:rPr>
        <w:t>31 January 2020</w:t>
      </w:r>
      <w:r w:rsidRPr="00272724">
        <w:rPr>
          <w:rFonts w:ascii="Garamond" w:hAnsi="Garamond"/>
          <w:bCs/>
          <w:sz w:val="18"/>
          <w:szCs w:val="18"/>
        </w:rPr>
        <w:t>.</w:t>
      </w:r>
    </w:p>
    <w:p w:rsidR="002F3AF7" w:rsidRPr="00272724"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 xml:space="preserve">Source: </w:t>
      </w:r>
      <w:r w:rsidRPr="00706E3B">
        <w:rPr>
          <w:rFonts w:ascii="Garamond" w:hAnsi="Garamond"/>
          <w:bCs/>
          <w:sz w:val="18"/>
          <w:szCs w:val="18"/>
        </w:rPr>
        <w:t>Refinitiv</w:t>
      </w:r>
    </w:p>
    <w:p w:rsidR="002F3AF7" w:rsidRPr="00272724" w:rsidRDefault="002F3AF7" w:rsidP="002F3AF7">
      <w:pPr>
        <w:spacing w:line="23" w:lineRule="atLeast"/>
        <w:ind w:left="360"/>
        <w:contextualSpacing/>
        <w:jc w:val="both"/>
        <w:rPr>
          <w:rFonts w:ascii="Garamond" w:hAnsi="Garamond"/>
          <w:bCs/>
          <w:strike/>
          <w:sz w:val="22"/>
          <w:szCs w:val="22"/>
          <w:lang w:val="en-US"/>
        </w:rPr>
      </w:pPr>
    </w:p>
    <w:p w:rsidR="002F3AF7" w:rsidRPr="00272724" w:rsidRDefault="002F3AF7" w:rsidP="002F3AF7">
      <w:pPr>
        <w:rPr>
          <w:rFonts w:ascii="Garamond" w:eastAsia="Times New Roman" w:hAnsi="Garamond"/>
          <w:b/>
          <w:szCs w:val="22"/>
          <w:u w:val="single"/>
          <w:lang w:val="en-US" w:eastAsia="en-GB"/>
        </w:rPr>
      </w:pPr>
      <w:r w:rsidRPr="00272724">
        <w:rPr>
          <w:rFonts w:ascii="Garamond" w:eastAsia="Times New Roman" w:hAnsi="Garamond"/>
          <w:b/>
          <w:szCs w:val="22"/>
          <w:u w:val="single"/>
          <w:lang w:val="en-US" w:eastAsia="en-GB"/>
        </w:rPr>
        <w:br w:type="page"/>
      </w:r>
    </w:p>
    <w:p w:rsidR="002F3AF7" w:rsidRPr="00272724" w:rsidRDefault="002F3AF7" w:rsidP="002F3AF7">
      <w:pPr>
        <w:spacing w:line="360" w:lineRule="auto"/>
        <w:ind w:left="720"/>
        <w:contextualSpacing/>
        <w:rPr>
          <w:rFonts w:ascii="Garamond" w:eastAsia="Times New Roman" w:hAnsi="Garamond"/>
          <w:b/>
          <w:szCs w:val="22"/>
          <w:u w:val="single"/>
          <w:lang w:val="en-US" w:eastAsia="en-GB"/>
        </w:rPr>
      </w:pPr>
    </w:p>
    <w:p w:rsidR="002F3AF7" w:rsidRPr="00272724" w:rsidRDefault="002F3AF7" w:rsidP="002F3AF7">
      <w:pPr>
        <w:spacing w:line="276" w:lineRule="auto"/>
        <w:ind w:left="720"/>
        <w:contextualSpacing/>
        <w:rPr>
          <w:rFonts w:ascii="Garamond" w:hAnsi="Garamond"/>
          <w:bCs/>
          <w:strike/>
          <w:sz w:val="22"/>
          <w:szCs w:val="22"/>
          <w:lang w:val="en-US"/>
        </w:rPr>
      </w:pPr>
      <w:r w:rsidRPr="00272724">
        <w:rPr>
          <w:rFonts w:ascii="Garamond" w:eastAsia="Times New Roman" w:hAnsi="Garamond"/>
          <w:b/>
          <w:sz w:val="22"/>
          <w:szCs w:val="22"/>
          <w:u w:val="single"/>
          <w:lang w:val="en-US" w:eastAsia="en-GB"/>
        </w:rPr>
        <w:t>BOND Market (Figures 3-4)</w:t>
      </w:r>
    </w:p>
    <w:p w:rsidR="002F3AF7" w:rsidRPr="006A7E4E" w:rsidRDefault="002F3AF7" w:rsidP="002F3AF7">
      <w:pPr>
        <w:numPr>
          <w:ilvl w:val="0"/>
          <w:numId w:val="16"/>
        </w:numPr>
        <w:spacing w:line="276" w:lineRule="auto"/>
        <w:contextualSpacing/>
        <w:jc w:val="both"/>
        <w:rPr>
          <w:rFonts w:ascii="Palatino Linotype" w:hAnsi="Palatino Linotype"/>
          <w:bCs/>
          <w:color w:val="FF0000"/>
          <w:sz w:val="22"/>
          <w:szCs w:val="22"/>
          <w:lang w:val="en-US"/>
        </w:rPr>
      </w:pPr>
      <w:r w:rsidRPr="006A7E4E">
        <w:rPr>
          <w:rFonts w:ascii="Palatino Linotype" w:eastAsia="Times New Roman" w:hAnsi="Palatino Linotype"/>
          <w:bCs/>
          <w:color w:val="000000"/>
          <w:sz w:val="22"/>
          <w:szCs w:val="22"/>
          <w:lang w:val="en-US" w:eastAsia="en-GB"/>
        </w:rPr>
        <w:t>Among the countries analysed</w:t>
      </w:r>
      <w:r w:rsidRPr="00272724">
        <w:rPr>
          <w:rFonts w:ascii="Palatino Linotype" w:eastAsia="Times New Roman" w:hAnsi="Palatino Linotype"/>
          <w:bCs/>
          <w:color w:val="000000"/>
          <w:sz w:val="22"/>
          <w:szCs w:val="22"/>
          <w:vertAlign w:val="superscript"/>
          <w:lang w:val="en-US" w:eastAsia="en-GB"/>
        </w:rPr>
        <w:footnoteReference w:id="4"/>
      </w:r>
      <w:r w:rsidRPr="006A7E4E">
        <w:rPr>
          <w:rFonts w:ascii="Palatino Linotype" w:eastAsia="Times New Roman" w:hAnsi="Palatino Linotype"/>
          <w:bCs/>
          <w:color w:val="000000"/>
          <w:sz w:val="22"/>
          <w:szCs w:val="22"/>
          <w:lang w:val="en-US" w:eastAsia="en-GB"/>
        </w:rPr>
        <w:t>, for bond yield, 10-year bond yield showed a positive change for most developed and developing economies (Chart 3 &amp; 4) except for G</w:t>
      </w:r>
      <w:r>
        <w:rPr>
          <w:rFonts w:ascii="Palatino Linotype" w:eastAsia="Times New Roman" w:hAnsi="Palatino Linotype"/>
          <w:bCs/>
          <w:color w:val="000000"/>
          <w:sz w:val="22"/>
          <w:szCs w:val="22"/>
          <w:lang w:val="en-US" w:eastAsia="en-GB"/>
        </w:rPr>
        <w:t>ermany</w:t>
      </w:r>
      <w:r w:rsidRPr="006A7E4E">
        <w:rPr>
          <w:rFonts w:ascii="Palatino Linotype" w:eastAsia="Times New Roman" w:hAnsi="Palatino Linotype"/>
          <w:bCs/>
          <w:color w:val="000000"/>
          <w:sz w:val="22"/>
          <w:szCs w:val="22"/>
          <w:lang w:val="en-US" w:eastAsia="en-GB"/>
        </w:rPr>
        <w:t xml:space="preserve"> in January 202</w:t>
      </w:r>
      <w:r>
        <w:rPr>
          <w:rFonts w:ascii="Palatino Linotype" w:eastAsia="Times New Roman" w:hAnsi="Palatino Linotype"/>
          <w:bCs/>
          <w:color w:val="000000"/>
          <w:sz w:val="22"/>
          <w:szCs w:val="22"/>
          <w:lang w:val="en-US" w:eastAsia="en-GB"/>
        </w:rPr>
        <w:t>1</w:t>
      </w:r>
      <w:r w:rsidRPr="006A7E4E">
        <w:rPr>
          <w:rFonts w:ascii="Palatino Linotype" w:eastAsia="Times New Roman" w:hAnsi="Palatino Linotype"/>
          <w:bCs/>
          <w:color w:val="000000"/>
          <w:sz w:val="22"/>
          <w:szCs w:val="22"/>
          <w:lang w:val="en-US" w:eastAsia="en-GB"/>
        </w:rPr>
        <w:t>, where it was negative.</w:t>
      </w:r>
    </w:p>
    <w:p w:rsidR="002F3AF7" w:rsidRPr="00272724" w:rsidRDefault="002F3AF7" w:rsidP="002F3AF7">
      <w:pPr>
        <w:spacing w:line="23" w:lineRule="atLeast"/>
        <w:rPr>
          <w:rFonts w:ascii="Garamond" w:hAnsi="Garamond"/>
          <w:bCs/>
          <w:strike/>
          <w:sz w:val="22"/>
          <w:szCs w:val="22"/>
        </w:rPr>
      </w:pPr>
    </w:p>
    <w:p w:rsidR="002F3AF7" w:rsidRPr="00272724" w:rsidRDefault="002F3AF7" w:rsidP="002F3AF7">
      <w:pPr>
        <w:rPr>
          <w:rFonts w:ascii="Garamond" w:hAnsi="Garamond"/>
          <w:b/>
          <w:bCs/>
          <w:szCs w:val="22"/>
        </w:rPr>
      </w:pPr>
      <w:r w:rsidRPr="00272724">
        <w:rPr>
          <w:rFonts w:ascii="Garamond" w:hAnsi="Garamond"/>
          <w:b/>
          <w:bCs/>
          <w:szCs w:val="22"/>
        </w:rPr>
        <w:t>Figure 3: Movement of 10-year Government Bond Yields in Developed Nations</w:t>
      </w:r>
    </w:p>
    <w:p w:rsidR="002F3AF7" w:rsidRPr="00272724" w:rsidRDefault="002F3AF7" w:rsidP="002F3AF7">
      <w:pPr>
        <w:rPr>
          <w:rFonts w:ascii="Garamond" w:hAnsi="Garamond"/>
          <w:bCs/>
          <w:sz w:val="22"/>
          <w:szCs w:val="22"/>
        </w:rPr>
      </w:pPr>
    </w:p>
    <w:p w:rsidR="002F3AF7" w:rsidRPr="00272724" w:rsidRDefault="002F3AF7" w:rsidP="002F3AF7">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anchor distT="0" distB="0" distL="114300" distR="114300" simplePos="0" relativeHeight="251660288" behindDoc="0" locked="0" layoutInCell="1" allowOverlap="1" wp14:anchorId="2EDBD032" wp14:editId="41CECF6D">
            <wp:simplePos x="0" y="0"/>
            <wp:positionH relativeFrom="character">
              <wp:posOffset>0</wp:posOffset>
            </wp:positionH>
            <wp:positionV relativeFrom="line">
              <wp:posOffset>0</wp:posOffset>
            </wp:positionV>
            <wp:extent cx="5899150" cy="2589530"/>
            <wp:effectExtent l="0" t="0" r="6350"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99150" cy="2589530"/>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bCs/>
          <w:noProof/>
          <w:sz w:val="22"/>
          <w:szCs w:val="22"/>
          <w:lang w:val="en-IN" w:eastAsia="en-IN" w:bidi="hi-IN"/>
        </w:rPr>
        <mc:AlternateContent>
          <mc:Choice Requires="wps">
            <w:drawing>
              <wp:inline distT="0" distB="0" distL="0" distR="0" wp14:anchorId="35F86A74" wp14:editId="1618C686">
                <wp:extent cx="5895975" cy="2590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95975" cy="25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67BD1" id="Rectangle 6" o:spid="_x0000_s1026" style="width:464.25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" filled="f" stroked="f">
                <o:lock v:ext="edit" aspectratio="t"/>
                <w10:anchorlock/>
              </v:rect>
            </w:pict>
          </mc:Fallback>
        </mc:AlternateContent>
      </w:r>
    </w:p>
    <w:p w:rsidR="002F3AF7" w:rsidRPr="00272724"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 xml:space="preserve">Source: </w:t>
      </w:r>
      <w:r>
        <w:rPr>
          <w:rFonts w:ascii="Garamond" w:hAnsi="Garamond"/>
          <w:bCs/>
          <w:sz w:val="18"/>
          <w:szCs w:val="18"/>
        </w:rPr>
        <w:t>Refinitiv</w:t>
      </w:r>
    </w:p>
    <w:p w:rsidR="002F3AF7" w:rsidRPr="00272724" w:rsidRDefault="002F3AF7" w:rsidP="002F3AF7">
      <w:pPr>
        <w:spacing w:line="23" w:lineRule="atLeast"/>
        <w:jc w:val="both"/>
        <w:outlineLvl w:val="0"/>
        <w:rPr>
          <w:rFonts w:ascii="Garamond" w:hAnsi="Garamond"/>
          <w:bCs/>
          <w:sz w:val="22"/>
          <w:szCs w:val="22"/>
        </w:rPr>
      </w:pPr>
    </w:p>
    <w:p w:rsidR="002F3AF7" w:rsidRPr="00272724" w:rsidRDefault="002F3AF7" w:rsidP="002F3AF7">
      <w:pPr>
        <w:rPr>
          <w:rFonts w:ascii="Garamond" w:hAnsi="Garamond"/>
          <w:bCs/>
          <w:strike/>
          <w:sz w:val="22"/>
          <w:szCs w:val="22"/>
        </w:rPr>
      </w:pPr>
    </w:p>
    <w:p w:rsidR="002F3AF7" w:rsidRPr="00272724" w:rsidRDefault="002F3AF7" w:rsidP="002F3AF7">
      <w:pPr>
        <w:spacing w:line="23" w:lineRule="atLeast"/>
        <w:jc w:val="both"/>
        <w:outlineLvl w:val="0"/>
        <w:rPr>
          <w:rFonts w:ascii="Garamond" w:hAnsi="Garamond"/>
          <w:b/>
          <w:bCs/>
          <w:szCs w:val="22"/>
        </w:rPr>
      </w:pPr>
      <w:r w:rsidRPr="00272724">
        <w:rPr>
          <w:rFonts w:ascii="Garamond" w:hAnsi="Garamond"/>
          <w:b/>
          <w:bCs/>
          <w:szCs w:val="22"/>
        </w:rPr>
        <w:t>Figure 4: Movement of 10-year Government Bond Yields in BRIC Nations</w:t>
      </w:r>
    </w:p>
    <w:p w:rsidR="002F3AF7" w:rsidRPr="00272724" w:rsidRDefault="002F3AF7" w:rsidP="002F3AF7">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anchor distT="0" distB="0" distL="114300" distR="114300" simplePos="0" relativeHeight="251659264" behindDoc="0" locked="0" layoutInCell="1" allowOverlap="1" wp14:anchorId="4F84C91D" wp14:editId="34242D7C">
            <wp:simplePos x="0" y="0"/>
            <wp:positionH relativeFrom="character">
              <wp:posOffset>0</wp:posOffset>
            </wp:positionH>
            <wp:positionV relativeFrom="line">
              <wp:posOffset>0</wp:posOffset>
            </wp:positionV>
            <wp:extent cx="5935345" cy="2821305"/>
            <wp:effectExtent l="0" t="0" r="825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5345" cy="2821305"/>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bCs/>
          <w:noProof/>
          <w:sz w:val="22"/>
          <w:szCs w:val="22"/>
          <w:lang w:val="en-IN" w:eastAsia="en-IN" w:bidi="hi-IN"/>
        </w:rPr>
        <mc:AlternateContent>
          <mc:Choice Requires="wps">
            <w:drawing>
              <wp:inline distT="0" distB="0" distL="0" distR="0" wp14:anchorId="6AF1C09E" wp14:editId="57774DAE">
                <wp:extent cx="5934075" cy="28194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34075"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87A0D" id="Rectangle 5" o:spid="_x0000_s1026" style="width:467.25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" filled="f" stroked="f">
                <o:lock v:ext="edit" aspectratio="t"/>
                <w10:anchorlock/>
              </v:rect>
            </w:pict>
          </mc:Fallback>
        </mc:AlternateContent>
      </w:r>
    </w:p>
    <w:p w:rsidR="002F3AF7" w:rsidRPr="00272724"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 xml:space="preserve">Source: </w:t>
      </w:r>
      <w:r>
        <w:rPr>
          <w:rFonts w:ascii="Garamond" w:hAnsi="Garamond"/>
          <w:bCs/>
          <w:sz w:val="18"/>
          <w:szCs w:val="18"/>
        </w:rPr>
        <w:t>Refinitiv</w:t>
      </w:r>
    </w:p>
    <w:p w:rsidR="002F3AF7" w:rsidRPr="00272724" w:rsidRDefault="002F3AF7" w:rsidP="002F3AF7">
      <w:pPr>
        <w:spacing w:line="23" w:lineRule="atLeast"/>
        <w:jc w:val="both"/>
        <w:rPr>
          <w:rFonts w:ascii="Garamond" w:eastAsia="Times New Roman" w:hAnsi="Garamond"/>
          <w:bCs/>
          <w:sz w:val="22"/>
          <w:szCs w:val="22"/>
          <w:lang w:val="en-US"/>
        </w:rPr>
      </w:pPr>
    </w:p>
    <w:p w:rsidR="002F3AF7" w:rsidRPr="00272724" w:rsidRDefault="002F3AF7" w:rsidP="002F3AF7">
      <w:pPr>
        <w:spacing w:line="360" w:lineRule="auto"/>
        <w:jc w:val="both"/>
        <w:rPr>
          <w:rFonts w:ascii="Palatino Linotype" w:eastAsia="Times New Roman" w:hAnsi="Palatino Linotype"/>
          <w:b/>
          <w:sz w:val="22"/>
          <w:szCs w:val="22"/>
          <w:lang w:val="en-US"/>
        </w:rPr>
      </w:pPr>
      <w:r>
        <w:rPr>
          <w:rFonts w:ascii="Palatino Linotype" w:eastAsia="Times New Roman" w:hAnsi="Palatino Linotype"/>
          <w:b/>
          <w:sz w:val="22"/>
          <w:szCs w:val="22"/>
          <w:u w:val="single"/>
          <w:lang w:val="en-US"/>
        </w:rPr>
        <w:br w:type="page"/>
      </w:r>
      <w:r w:rsidRPr="00272724">
        <w:rPr>
          <w:rFonts w:ascii="Palatino Linotype" w:eastAsia="Times New Roman" w:hAnsi="Palatino Linotype"/>
          <w:b/>
          <w:sz w:val="22"/>
          <w:szCs w:val="22"/>
          <w:u w:val="single"/>
          <w:lang w:val="en-US"/>
        </w:rPr>
        <w:t xml:space="preserve">Fund Mobilisation by </w:t>
      </w:r>
      <w:r w:rsidRPr="00436420">
        <w:rPr>
          <w:rFonts w:ascii="Palatino Linotype" w:eastAsia="Times New Roman" w:hAnsi="Palatino Linotype"/>
          <w:b/>
          <w:sz w:val="22"/>
          <w:szCs w:val="22"/>
          <w:u w:val="single"/>
          <w:lang w:val="en-US"/>
        </w:rPr>
        <w:t>Issuance of Equity</w:t>
      </w:r>
      <w:r w:rsidRPr="00272724">
        <w:rPr>
          <w:rFonts w:ascii="Palatino Linotype" w:eastAsia="Times New Roman" w:hAnsi="Palatino Linotype"/>
          <w:b/>
          <w:sz w:val="22"/>
          <w:szCs w:val="22"/>
          <w:u w:val="single"/>
          <w:lang w:val="en-US"/>
        </w:rPr>
        <w:t xml:space="preserve"> and Bonds (Table A2)</w:t>
      </w:r>
      <w:r w:rsidRPr="00272724">
        <w:rPr>
          <w:rFonts w:ascii="Palatino Linotype" w:eastAsia="Times New Roman" w:hAnsi="Palatino Linotype"/>
          <w:b/>
          <w:sz w:val="22"/>
          <w:szCs w:val="22"/>
          <w:lang w:val="en-US"/>
        </w:rPr>
        <w:t xml:space="preserve"> – </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There was a </w:t>
      </w:r>
      <w:r w:rsidRPr="003D7F57">
        <w:rPr>
          <w:rFonts w:ascii="Palatino Linotype" w:eastAsia="Times New Roman" w:hAnsi="Palatino Linotype"/>
          <w:bCs/>
          <w:sz w:val="22"/>
          <w:szCs w:val="22"/>
          <w:lang w:val="en-US" w:eastAsia="en-GB"/>
        </w:rPr>
        <w:t>3.8</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per cent </w:t>
      </w:r>
      <w:r>
        <w:rPr>
          <w:rFonts w:ascii="Palatino Linotype" w:eastAsia="Times New Roman" w:hAnsi="Palatino Linotype"/>
          <w:bCs/>
          <w:sz w:val="22"/>
          <w:szCs w:val="22"/>
          <w:lang w:val="en-US" w:eastAsia="en-GB"/>
        </w:rPr>
        <w:t>increase</w:t>
      </w:r>
      <w:r w:rsidRPr="00272724">
        <w:rPr>
          <w:rFonts w:ascii="Palatino Linotype" w:eastAsia="Times New Roman" w:hAnsi="Palatino Linotype"/>
          <w:bCs/>
          <w:sz w:val="22"/>
          <w:szCs w:val="22"/>
          <w:lang w:val="en-US" w:eastAsia="en-GB"/>
        </w:rPr>
        <w:t xml:space="preserve"> in the fund mobilization at the selected analyzed exchanges world-wide during </w:t>
      </w:r>
      <w:r>
        <w:rPr>
          <w:rFonts w:ascii="Palatino Linotype" w:eastAsia="Times New Roman" w:hAnsi="Palatino Linotype"/>
          <w:bCs/>
          <w:sz w:val="22"/>
          <w:szCs w:val="22"/>
          <w:lang w:val="en-US" w:eastAsia="en-GB"/>
        </w:rPr>
        <w:t>December 2020 (at</w:t>
      </w:r>
      <w:r w:rsidRPr="003D7F57">
        <w:rPr>
          <w:rFonts w:ascii="Palatino Linotype" w:eastAsia="Times New Roman" w:hAnsi="Palatino Linotype"/>
          <w:bCs/>
          <w:sz w:val="22"/>
          <w:szCs w:val="22"/>
          <w:lang w:val="en-US" w:eastAsia="en-GB"/>
        </w:rPr>
        <w:t xml:space="preserve"> 352,659</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million </w:t>
      </w:r>
      <w:r>
        <w:rPr>
          <w:rFonts w:ascii="Palatino Linotype" w:eastAsia="Times New Roman" w:hAnsi="Palatino Linotype"/>
          <w:bCs/>
          <w:sz w:val="22"/>
          <w:szCs w:val="22"/>
          <w:lang w:val="en-US" w:eastAsia="en-GB"/>
        </w:rPr>
        <w:t>USD) against previous month (at</w:t>
      </w:r>
      <w:r w:rsidRPr="003D7F57">
        <w:rPr>
          <w:rFonts w:ascii="Palatino Linotype" w:eastAsia="Times New Roman" w:hAnsi="Palatino Linotype"/>
          <w:bCs/>
          <w:sz w:val="22"/>
          <w:szCs w:val="22"/>
          <w:lang w:val="en-US" w:eastAsia="en-GB"/>
        </w:rPr>
        <w:t xml:space="preserve"> 339,667</w:t>
      </w:r>
      <w:r w:rsidRPr="000231F9">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million USD). Only</w:t>
      </w:r>
      <w:r w:rsidRPr="003D7F57">
        <w:rPr>
          <w:rFonts w:ascii="Palatino Linotype" w:eastAsia="Times New Roman" w:hAnsi="Palatino Linotype"/>
          <w:bCs/>
          <w:sz w:val="22"/>
          <w:szCs w:val="22"/>
          <w:lang w:val="en-US" w:eastAsia="en-GB"/>
        </w:rPr>
        <w:t xml:space="preserve"> 24.7 </w:t>
      </w:r>
      <w:r w:rsidRPr="00272724">
        <w:rPr>
          <w:rFonts w:ascii="Palatino Linotype" w:eastAsia="Times New Roman" w:hAnsi="Palatino Linotype"/>
          <w:bCs/>
          <w:sz w:val="22"/>
          <w:szCs w:val="22"/>
          <w:lang w:val="en-US" w:eastAsia="en-GB"/>
        </w:rPr>
        <w:t xml:space="preserve">per cent of the total fund mobilization in </w:t>
      </w:r>
      <w:r>
        <w:rPr>
          <w:rFonts w:ascii="Palatino Linotype" w:eastAsia="Times New Roman" w:hAnsi="Palatino Linotype"/>
          <w:bCs/>
          <w:color w:val="000000"/>
          <w:sz w:val="22"/>
          <w:szCs w:val="22"/>
          <w:lang w:val="en-US" w:eastAsia="en-GB"/>
        </w:rPr>
        <w:t>November</w:t>
      </w:r>
      <w:r w:rsidRPr="00272724">
        <w:rPr>
          <w:rFonts w:ascii="Palatino Linotype" w:eastAsia="Times New Roman" w:hAnsi="Palatino Linotype"/>
          <w:bCs/>
          <w:color w:val="000000"/>
          <w:sz w:val="22"/>
          <w:szCs w:val="22"/>
          <w:lang w:val="en-US" w:eastAsia="en-GB"/>
        </w:rPr>
        <w:t xml:space="preserve"> 2020 </w:t>
      </w:r>
      <w:r w:rsidRPr="00272724">
        <w:rPr>
          <w:rFonts w:ascii="Palatino Linotype" w:eastAsia="Times New Roman" w:hAnsi="Palatino Linotype"/>
          <w:bCs/>
          <w:sz w:val="22"/>
          <w:szCs w:val="22"/>
          <w:lang w:val="en-US" w:eastAsia="en-GB"/>
        </w:rPr>
        <w:t>was in equity and remaining was in debt.</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As per the data available on World Federation of Exchanges (WFE)</w:t>
      </w:r>
      <w:r w:rsidRPr="00272724">
        <w:rPr>
          <w:rFonts w:ascii="Palatino Linotype" w:eastAsia="Times New Roman" w:hAnsi="Palatino Linotype"/>
          <w:bCs/>
          <w:sz w:val="22"/>
          <w:szCs w:val="22"/>
          <w:vertAlign w:val="superscript"/>
          <w:lang w:val="en-US" w:eastAsia="en-GB"/>
        </w:rPr>
        <w:footnoteReference w:id="5"/>
      </w:r>
      <w:r w:rsidRPr="00272724">
        <w:rPr>
          <w:rFonts w:ascii="Palatino Linotype" w:eastAsia="Times New Roman" w:hAnsi="Palatino Linotype"/>
          <w:bCs/>
          <w:sz w:val="22"/>
          <w:szCs w:val="22"/>
          <w:lang w:val="en-US" w:eastAsia="en-GB"/>
        </w:rPr>
        <w:t xml:space="preserve">, highest amount mobilized through equities and bonds in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was at </w:t>
      </w:r>
      <w:r w:rsidRPr="003D7F57">
        <w:rPr>
          <w:rFonts w:ascii="Palatino Linotype" w:eastAsia="Times New Roman" w:hAnsi="Palatino Linotype"/>
          <w:bCs/>
          <w:sz w:val="22"/>
          <w:szCs w:val="22"/>
          <w:lang w:val="en-US" w:eastAsia="en-GB"/>
        </w:rPr>
        <w:t>National Stock Exchange of India</w:t>
      </w:r>
      <w:r w:rsidRPr="00272724">
        <w:rPr>
          <w:rFonts w:ascii="Palatino Linotype" w:eastAsia="Times New Roman" w:hAnsi="Palatino Linotype"/>
          <w:bCs/>
          <w:sz w:val="22"/>
          <w:szCs w:val="22"/>
          <w:lang w:val="en-US" w:eastAsia="en-GB"/>
        </w:rPr>
        <w:t xml:space="preserve"> (</w:t>
      </w:r>
      <w:r w:rsidRPr="003D7F57">
        <w:rPr>
          <w:rFonts w:ascii="Palatino Linotype" w:eastAsia="Times New Roman" w:hAnsi="Palatino Linotype"/>
          <w:bCs/>
          <w:sz w:val="22"/>
          <w:szCs w:val="22"/>
          <w:lang w:val="en-US" w:eastAsia="en-GB"/>
        </w:rPr>
        <w:t xml:space="preserve">52,018 </w:t>
      </w:r>
      <w:r w:rsidRPr="00272724">
        <w:rPr>
          <w:rFonts w:ascii="Palatino Linotype" w:eastAsia="Times New Roman" w:hAnsi="Palatino Linotype"/>
          <w:bCs/>
          <w:sz w:val="22"/>
          <w:szCs w:val="22"/>
          <w:lang w:val="en-US" w:eastAsia="en-GB"/>
        </w:rPr>
        <w:t>million USD) followed by</w:t>
      </w:r>
      <w:r w:rsidRPr="00272724">
        <w:rPr>
          <w:rFonts w:ascii="Palatino Linotype" w:hAnsi="Palatino Linotype"/>
          <w:sz w:val="22"/>
          <w:szCs w:val="22"/>
        </w:rPr>
        <w:t xml:space="preserve"> </w:t>
      </w:r>
      <w:r w:rsidRPr="003D7F57">
        <w:rPr>
          <w:rFonts w:ascii="Palatino Linotype" w:hAnsi="Palatino Linotype"/>
          <w:sz w:val="22"/>
          <w:szCs w:val="22"/>
        </w:rPr>
        <w:t>LSE Group</w:t>
      </w:r>
      <w:r w:rsidRPr="00272724">
        <w:rPr>
          <w:rFonts w:ascii="Palatino Linotype" w:hAnsi="Palatino Linotype"/>
          <w:sz w:val="22"/>
          <w:szCs w:val="22"/>
        </w:rPr>
        <w:t xml:space="preserve"> </w:t>
      </w:r>
      <w:r w:rsidRPr="00272724">
        <w:rPr>
          <w:rFonts w:ascii="Palatino Linotype" w:eastAsia="Times New Roman" w:hAnsi="Palatino Linotype"/>
          <w:bCs/>
          <w:sz w:val="22"/>
          <w:szCs w:val="22"/>
          <w:lang w:val="en-US" w:eastAsia="en-GB"/>
        </w:rPr>
        <w:t>(</w:t>
      </w:r>
      <w:r w:rsidRPr="003D7F57">
        <w:rPr>
          <w:rFonts w:ascii="Palatino Linotype" w:eastAsia="Times New Roman" w:hAnsi="Palatino Linotype"/>
          <w:bCs/>
          <w:sz w:val="22"/>
          <w:szCs w:val="22"/>
          <w:lang w:val="en-US" w:eastAsia="en-GB"/>
        </w:rPr>
        <w:t xml:space="preserve">50,522 </w:t>
      </w:r>
      <w:r w:rsidRPr="00272724">
        <w:rPr>
          <w:rFonts w:ascii="Palatino Linotype" w:eastAsia="Times New Roman" w:hAnsi="Palatino Linotype"/>
          <w:bCs/>
          <w:sz w:val="22"/>
          <w:szCs w:val="22"/>
          <w:lang w:val="en-US" w:eastAsia="en-GB"/>
        </w:rPr>
        <w:t xml:space="preserve">million USD) and </w:t>
      </w:r>
      <w:r w:rsidRPr="003D7F57">
        <w:rPr>
          <w:rFonts w:ascii="Palatino Linotype" w:eastAsia="Times New Roman" w:hAnsi="Palatino Linotype"/>
          <w:bCs/>
          <w:sz w:val="22"/>
          <w:szCs w:val="22"/>
          <w:lang w:val="en-US" w:eastAsia="en-GB"/>
        </w:rPr>
        <w:t>Korea Exchange</w:t>
      </w:r>
      <w:r w:rsidRPr="00272724">
        <w:rPr>
          <w:rFonts w:ascii="Palatino Linotype" w:eastAsia="Times New Roman" w:hAnsi="Palatino Linotype"/>
          <w:bCs/>
          <w:sz w:val="22"/>
          <w:szCs w:val="22"/>
          <w:lang w:val="en-US" w:eastAsia="en-GB"/>
        </w:rPr>
        <w:t xml:space="preserve"> (</w:t>
      </w:r>
      <w:r w:rsidRPr="003D7F57">
        <w:rPr>
          <w:rFonts w:ascii="Palatino Linotype" w:eastAsia="Times New Roman" w:hAnsi="Palatino Linotype"/>
          <w:bCs/>
          <w:sz w:val="22"/>
          <w:szCs w:val="22"/>
          <w:lang w:val="en-US" w:eastAsia="en-GB"/>
        </w:rPr>
        <w:t xml:space="preserve">38,489 </w:t>
      </w:r>
      <w:r w:rsidRPr="00272724">
        <w:rPr>
          <w:rFonts w:ascii="Palatino Linotype" w:eastAsia="Times New Roman" w:hAnsi="Palatino Linotype"/>
          <w:bCs/>
          <w:sz w:val="22"/>
          <w:szCs w:val="22"/>
          <w:lang w:val="en-US" w:eastAsia="en-GB"/>
        </w:rPr>
        <w:t xml:space="preserve">million USD). </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fund mobilization at LSE Group in equity was, </w:t>
      </w:r>
      <w:r w:rsidRPr="00D15CAA">
        <w:rPr>
          <w:rFonts w:ascii="Palatino Linotype" w:eastAsia="Times New Roman" w:hAnsi="Palatino Linotype"/>
          <w:bCs/>
          <w:sz w:val="22"/>
          <w:szCs w:val="22"/>
          <w:lang w:val="en-US" w:eastAsia="en-GB"/>
        </w:rPr>
        <w:t xml:space="preserve">3,535 </w:t>
      </w:r>
      <w:r w:rsidRPr="00272724">
        <w:rPr>
          <w:rFonts w:ascii="Palatino Linotype" w:eastAsia="Times New Roman" w:hAnsi="Palatino Linotype"/>
          <w:bCs/>
          <w:sz w:val="22"/>
          <w:szCs w:val="22"/>
          <w:lang w:val="en-US" w:eastAsia="en-GB"/>
        </w:rPr>
        <w:t xml:space="preserve">million USD and the remaining amount was raised through bonds whereas at </w:t>
      </w:r>
      <w:r w:rsidRPr="006E0C1F">
        <w:rPr>
          <w:rFonts w:ascii="Palatino Linotype" w:hAnsi="Palatino Linotype"/>
          <w:sz w:val="22"/>
          <w:szCs w:val="22"/>
        </w:rPr>
        <w:t>Korea Exchange</w:t>
      </w:r>
      <w:r w:rsidRPr="00272724">
        <w:rPr>
          <w:rFonts w:ascii="Palatino Linotype" w:hAnsi="Palatino Linotype"/>
          <w:sz w:val="22"/>
          <w:szCs w:val="22"/>
        </w:rPr>
        <w:t xml:space="preserve"> </w:t>
      </w:r>
      <w:r>
        <w:rPr>
          <w:rFonts w:ascii="Palatino Linotype" w:eastAsia="Times New Roman" w:hAnsi="Palatino Linotype"/>
          <w:bCs/>
          <w:sz w:val="22"/>
          <w:szCs w:val="22"/>
          <w:lang w:val="en-US" w:eastAsia="en-GB"/>
        </w:rPr>
        <w:t>entire</w:t>
      </w:r>
      <w:r w:rsidRPr="00272724">
        <w:rPr>
          <w:rFonts w:ascii="Palatino Linotype" w:eastAsia="Times New Roman" w:hAnsi="Palatino Linotype"/>
          <w:bCs/>
          <w:sz w:val="22"/>
          <w:szCs w:val="22"/>
          <w:lang w:val="en-US" w:eastAsia="en-GB"/>
        </w:rPr>
        <w:t xml:space="preserve"> amount was raised through bonds</w:t>
      </w:r>
      <w:r>
        <w:rPr>
          <w:rFonts w:ascii="Palatino Linotype" w:eastAsia="Times New Roman" w:hAnsi="Palatino Linotype"/>
          <w:bCs/>
          <w:sz w:val="22"/>
          <w:szCs w:val="22"/>
          <w:lang w:val="en-US" w:eastAsia="en-GB"/>
        </w:rPr>
        <w:t xml:space="preserve"> only</w:t>
      </w:r>
      <w:r w:rsidRPr="00272724">
        <w:rPr>
          <w:rFonts w:ascii="Palatino Linotype" w:eastAsia="Times New Roman" w:hAnsi="Palatino Linotype"/>
          <w:bCs/>
          <w:sz w:val="22"/>
          <w:szCs w:val="22"/>
          <w:lang w:val="en-US" w:eastAsia="en-GB"/>
        </w:rPr>
        <w:t xml:space="preserve">. At </w:t>
      </w:r>
      <w:r w:rsidRPr="00D15CAA">
        <w:rPr>
          <w:rFonts w:ascii="Palatino Linotype" w:eastAsia="Times New Roman" w:hAnsi="Palatino Linotype"/>
          <w:bCs/>
          <w:sz w:val="22"/>
          <w:szCs w:val="22"/>
          <w:lang w:val="en-US" w:eastAsia="en-GB"/>
        </w:rPr>
        <w:t>National Stock Exchange of India</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w:t>
      </w:r>
      <w:r w:rsidRPr="00D15CAA">
        <w:rPr>
          <w:rFonts w:ascii="Palatino Linotype" w:eastAsia="Times New Roman" w:hAnsi="Palatino Linotype"/>
          <w:bCs/>
          <w:sz w:val="22"/>
          <w:szCs w:val="22"/>
          <w:lang w:val="en-US" w:eastAsia="en-GB"/>
        </w:rPr>
        <w:t xml:space="preserve">1,472 </w:t>
      </w:r>
      <w:r w:rsidRPr="00272724">
        <w:rPr>
          <w:rFonts w:ascii="Palatino Linotype" w:eastAsia="Times New Roman" w:hAnsi="Palatino Linotype"/>
          <w:bCs/>
          <w:sz w:val="22"/>
          <w:szCs w:val="22"/>
          <w:lang w:val="en-US" w:eastAsia="en-GB"/>
        </w:rPr>
        <w:t>million USD were raised through equity and the remaining amount was raised through bonds.</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Maximum fund mobilization through equities in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was at </w:t>
      </w:r>
      <w:r w:rsidRPr="00D15CAA">
        <w:rPr>
          <w:rFonts w:ascii="Palatino Linotype" w:eastAsia="Times New Roman" w:hAnsi="Palatino Linotype"/>
          <w:bCs/>
          <w:sz w:val="22"/>
          <w:szCs w:val="22"/>
          <w:lang w:val="en-US" w:eastAsia="en-GB"/>
        </w:rPr>
        <w:t xml:space="preserve">Hong Kong Exchanges and Clearing </w:t>
      </w:r>
      <w:r w:rsidRPr="00272724">
        <w:rPr>
          <w:rFonts w:ascii="Palatino Linotype" w:eastAsia="Times New Roman" w:hAnsi="Palatino Linotype"/>
          <w:bCs/>
          <w:sz w:val="22"/>
          <w:szCs w:val="22"/>
          <w:lang w:val="en-US" w:eastAsia="en-GB"/>
        </w:rPr>
        <w:t>(</w:t>
      </w:r>
      <w:r w:rsidRPr="00D15CAA">
        <w:rPr>
          <w:rFonts w:ascii="Palatino Linotype" w:eastAsia="Times New Roman" w:hAnsi="Palatino Linotype"/>
          <w:bCs/>
          <w:sz w:val="22"/>
          <w:szCs w:val="22"/>
          <w:lang w:val="en-US" w:eastAsia="en-GB"/>
        </w:rPr>
        <w:t xml:space="preserve">17,920 </w:t>
      </w:r>
      <w:r w:rsidRPr="00272724">
        <w:rPr>
          <w:rFonts w:ascii="Palatino Linotype" w:eastAsia="Times New Roman" w:hAnsi="Palatino Linotype"/>
          <w:bCs/>
          <w:sz w:val="22"/>
          <w:szCs w:val="22"/>
          <w:lang w:val="en-US" w:eastAsia="en-GB"/>
        </w:rPr>
        <w:t>million USD) followed by</w:t>
      </w:r>
      <w:r w:rsidRPr="00272724">
        <w:t xml:space="preserve"> </w:t>
      </w:r>
      <w:r w:rsidRPr="00D15CAA">
        <w:rPr>
          <w:rFonts w:ascii="Palatino Linotype" w:eastAsia="Times New Roman" w:hAnsi="Palatino Linotype"/>
          <w:bCs/>
          <w:sz w:val="22"/>
          <w:szCs w:val="22"/>
          <w:lang w:val="en-US" w:eastAsia="en-GB"/>
        </w:rPr>
        <w:t xml:space="preserve">Shanghai Stock Exchange </w:t>
      </w:r>
      <w:r w:rsidRPr="00272724">
        <w:rPr>
          <w:rFonts w:ascii="Palatino Linotype" w:eastAsia="Times New Roman" w:hAnsi="Palatino Linotype"/>
          <w:bCs/>
          <w:sz w:val="22"/>
          <w:szCs w:val="22"/>
          <w:lang w:val="en-US" w:eastAsia="en-GB"/>
        </w:rPr>
        <w:t>(</w:t>
      </w:r>
      <w:r w:rsidRPr="00D15CAA">
        <w:rPr>
          <w:rFonts w:ascii="Palatino Linotype" w:eastAsia="Times New Roman" w:hAnsi="Palatino Linotype"/>
          <w:bCs/>
          <w:sz w:val="22"/>
          <w:szCs w:val="22"/>
          <w:lang w:val="en-US" w:eastAsia="en-GB"/>
        </w:rPr>
        <w:t xml:space="preserve">13,513 </w:t>
      </w:r>
      <w:r w:rsidRPr="00272724">
        <w:rPr>
          <w:rFonts w:ascii="Palatino Linotype" w:eastAsia="Times New Roman" w:hAnsi="Palatino Linotype"/>
          <w:bCs/>
          <w:sz w:val="22"/>
          <w:szCs w:val="22"/>
          <w:lang w:val="en-US" w:eastAsia="en-GB"/>
        </w:rPr>
        <w:t xml:space="preserve">million USD).   </w:t>
      </w:r>
    </w:p>
    <w:p w:rsidR="002F3AF7" w:rsidRPr="00272724" w:rsidRDefault="002F3AF7" w:rsidP="002F3AF7">
      <w:pPr>
        <w:spacing w:line="276" w:lineRule="auto"/>
        <w:jc w:val="both"/>
        <w:rPr>
          <w:rFonts w:ascii="Palatino Linotype" w:eastAsia="Times New Roman" w:hAnsi="Palatino Linotype"/>
          <w:bCs/>
          <w:strike/>
          <w:sz w:val="22"/>
          <w:szCs w:val="22"/>
          <w:lang w:val="en-US"/>
        </w:rPr>
      </w:pPr>
    </w:p>
    <w:p w:rsidR="002F3AF7" w:rsidRPr="00272724" w:rsidRDefault="002F3AF7" w:rsidP="002F3AF7">
      <w:pPr>
        <w:spacing w:line="276" w:lineRule="auto"/>
        <w:ind w:left="284"/>
        <w:jc w:val="both"/>
        <w:rPr>
          <w:rFonts w:ascii="Palatino Linotype" w:eastAsia="Times New Roman" w:hAnsi="Palatino Linotype"/>
          <w:b/>
          <w:sz w:val="22"/>
          <w:szCs w:val="22"/>
          <w:lang w:val="en-US"/>
        </w:rPr>
      </w:pPr>
      <w:r w:rsidRPr="00272724">
        <w:rPr>
          <w:rFonts w:ascii="Palatino Linotype" w:eastAsia="Times New Roman" w:hAnsi="Palatino Linotype"/>
          <w:b/>
          <w:sz w:val="22"/>
          <w:szCs w:val="22"/>
          <w:u w:val="single"/>
          <w:lang w:val="en-US"/>
        </w:rPr>
        <w:t>Market Capitalisation of Major</w:t>
      </w:r>
      <w:r w:rsidRPr="00272724">
        <w:rPr>
          <w:rFonts w:ascii="Palatino Linotype" w:eastAsia="Times New Roman" w:hAnsi="Palatino Linotype"/>
          <w:b/>
          <w:sz w:val="22"/>
          <w:szCs w:val="22"/>
          <w:lang w:val="en-US"/>
        </w:rPr>
        <w:t xml:space="preserve"> Exchanges (Table A3) –</w:t>
      </w:r>
    </w:p>
    <w:p w:rsidR="002F3AF7" w:rsidRPr="00272724" w:rsidRDefault="002F3AF7" w:rsidP="002F3AF7">
      <w:pPr>
        <w:spacing w:line="276" w:lineRule="auto"/>
        <w:ind w:left="360"/>
        <w:contextualSpacing/>
        <w:jc w:val="both"/>
        <w:rPr>
          <w:rFonts w:ascii="Palatino Linotype" w:eastAsia="Times New Roman" w:hAnsi="Palatino Linotype"/>
          <w:b/>
          <w:sz w:val="22"/>
          <w:szCs w:val="22"/>
          <w:lang w:val="en-US" w:eastAsia="en-GB"/>
        </w:rPr>
      </w:pPr>
    </w:p>
    <w:p w:rsidR="002F3AF7" w:rsidRPr="00272724" w:rsidRDefault="002F3AF7" w:rsidP="002F3AF7">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Most of the analysed exchanges of selected markets</w:t>
      </w:r>
      <w:r w:rsidRPr="00272724">
        <w:rPr>
          <w:rFonts w:ascii="Palatino Linotype" w:eastAsia="Times New Roman" w:hAnsi="Palatino Linotype"/>
          <w:bCs/>
          <w:sz w:val="22"/>
          <w:szCs w:val="22"/>
          <w:vertAlign w:val="superscript"/>
          <w:lang w:val="en-US" w:eastAsia="en-GB"/>
        </w:rPr>
        <w:footnoteReference w:id="6"/>
      </w:r>
      <w:r>
        <w:rPr>
          <w:rFonts w:ascii="Palatino Linotype" w:eastAsia="Times New Roman" w:hAnsi="Palatino Linotype"/>
          <w:bCs/>
          <w:sz w:val="22"/>
          <w:szCs w:val="22"/>
          <w:lang w:val="en-US" w:eastAsia="en-GB"/>
        </w:rPr>
        <w:t xml:space="preserve">, reflected an increase </w:t>
      </w:r>
      <w:r w:rsidRPr="00272724">
        <w:rPr>
          <w:rFonts w:ascii="Palatino Linotype" w:eastAsia="Times New Roman" w:hAnsi="Palatino Linotype"/>
          <w:bCs/>
          <w:sz w:val="22"/>
          <w:szCs w:val="22"/>
          <w:lang w:val="en-US" w:eastAsia="en-GB"/>
        </w:rPr>
        <w:t xml:space="preserve">in market capitalization in the month of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as compared to previous month.</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Among the exchanges which registered </w:t>
      </w:r>
      <w:r>
        <w:rPr>
          <w:rFonts w:ascii="Palatino Linotype" w:eastAsia="Times New Roman" w:hAnsi="Palatino Linotype"/>
          <w:bCs/>
          <w:sz w:val="22"/>
          <w:szCs w:val="22"/>
          <w:lang w:val="en-US" w:eastAsia="en-GB"/>
        </w:rPr>
        <w:t xml:space="preserve">highest </w:t>
      </w:r>
      <w:r w:rsidRPr="00272724">
        <w:rPr>
          <w:rFonts w:ascii="Palatino Linotype" w:eastAsia="Times New Roman" w:hAnsi="Palatino Linotype"/>
          <w:bCs/>
          <w:sz w:val="22"/>
          <w:szCs w:val="22"/>
          <w:lang w:val="en-US" w:eastAsia="en-GB"/>
        </w:rPr>
        <w:t xml:space="preserve">increase in market capitalization were </w:t>
      </w:r>
      <w:r w:rsidRPr="00CC51B0">
        <w:rPr>
          <w:rFonts w:ascii="Palatino Linotype" w:eastAsia="Times New Roman" w:hAnsi="Palatino Linotype"/>
          <w:bCs/>
          <w:sz w:val="22"/>
          <w:szCs w:val="22"/>
          <w:lang w:val="en-US" w:eastAsia="en-GB"/>
        </w:rPr>
        <w:t>B3 - Brasil Bolsa Balcão</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w:t>
      </w:r>
      <w:r w:rsidRPr="00CC51B0">
        <w:rPr>
          <w:rFonts w:ascii="Palatino Linotype" w:eastAsia="Times New Roman" w:hAnsi="Palatino Linotype"/>
          <w:bCs/>
          <w:sz w:val="22"/>
          <w:szCs w:val="22"/>
          <w:lang w:val="en-US" w:eastAsia="en-GB"/>
        </w:rPr>
        <w:t>Korea Exchange</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and </w:t>
      </w:r>
      <w:r w:rsidRPr="00CC51B0">
        <w:rPr>
          <w:rFonts w:ascii="Palatino Linotype" w:eastAsia="Times New Roman" w:hAnsi="Palatino Linotype"/>
          <w:bCs/>
          <w:sz w:val="22"/>
          <w:szCs w:val="22"/>
          <w:lang w:val="en-US" w:eastAsia="en-GB"/>
        </w:rPr>
        <w:t>National Stock Exchange of India</w:t>
      </w:r>
      <w:r w:rsidRPr="00272724">
        <w:rPr>
          <w:rFonts w:ascii="Palatino Linotype" w:eastAsia="Times New Roman" w:hAnsi="Palatino Linotype"/>
          <w:bCs/>
          <w:sz w:val="22"/>
          <w:szCs w:val="22"/>
          <w:lang w:val="en-US" w:eastAsia="en-GB"/>
        </w:rPr>
        <w:t xml:space="preserve"> (</w:t>
      </w:r>
      <w:r w:rsidRPr="00CC51B0">
        <w:rPr>
          <w:rFonts w:ascii="Palatino Linotype" w:eastAsia="Times New Roman" w:hAnsi="Palatino Linotype"/>
          <w:bCs/>
          <w:sz w:val="22"/>
          <w:szCs w:val="22"/>
          <w:lang w:val="en-US" w:eastAsia="en-GB"/>
        </w:rPr>
        <w:t>14.8</w:t>
      </w:r>
      <w:r>
        <w:rPr>
          <w:rFonts w:ascii="Palatino Linotype" w:eastAsia="Times New Roman" w:hAnsi="Palatino Linotype"/>
          <w:bCs/>
          <w:sz w:val="22"/>
          <w:szCs w:val="22"/>
          <w:lang w:val="en-US" w:eastAsia="en-GB"/>
        </w:rPr>
        <w:t xml:space="preserve">, </w:t>
      </w:r>
      <w:r w:rsidRPr="00CC51B0">
        <w:rPr>
          <w:rFonts w:ascii="Palatino Linotype" w:eastAsia="Times New Roman" w:hAnsi="Palatino Linotype"/>
          <w:bCs/>
          <w:sz w:val="22"/>
          <w:szCs w:val="22"/>
          <w:lang w:val="en-US" w:eastAsia="en-GB"/>
        </w:rPr>
        <w:t>13.5</w:t>
      </w:r>
      <w:r w:rsidRPr="00905D76">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and </w:t>
      </w:r>
      <w:r w:rsidRPr="00CC51B0">
        <w:rPr>
          <w:rFonts w:ascii="Palatino Linotype" w:eastAsia="Times New Roman" w:hAnsi="Palatino Linotype"/>
          <w:bCs/>
          <w:sz w:val="22"/>
          <w:szCs w:val="22"/>
          <w:lang w:val="en-US" w:eastAsia="en-GB"/>
        </w:rPr>
        <w:t>9.4</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per cent respectively)</w:t>
      </w:r>
      <w:r>
        <w:rPr>
          <w:rFonts w:ascii="Palatino Linotype" w:eastAsia="Times New Roman" w:hAnsi="Palatino Linotype"/>
          <w:bCs/>
          <w:sz w:val="22"/>
          <w:szCs w:val="22"/>
          <w:lang w:val="en-US" w:eastAsia="en-GB"/>
        </w:rPr>
        <w:t>.</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Among the exchanges which </w:t>
      </w:r>
      <w:r>
        <w:rPr>
          <w:rFonts w:ascii="Palatino Linotype" w:eastAsia="Times New Roman" w:hAnsi="Palatino Linotype"/>
          <w:bCs/>
          <w:sz w:val="22"/>
          <w:szCs w:val="22"/>
          <w:lang w:val="en-US" w:eastAsia="en-GB"/>
        </w:rPr>
        <w:t>showed least growth</w:t>
      </w:r>
      <w:r w:rsidRPr="00272724">
        <w:rPr>
          <w:rFonts w:ascii="Palatino Linotype" w:eastAsia="Times New Roman" w:hAnsi="Palatino Linotype"/>
          <w:bCs/>
          <w:sz w:val="22"/>
          <w:szCs w:val="22"/>
          <w:lang w:val="en-US" w:eastAsia="en-GB"/>
        </w:rPr>
        <w:t xml:space="preserve"> of the market capitalization among the analysed ones were </w:t>
      </w:r>
      <w:r w:rsidRPr="003721B1">
        <w:rPr>
          <w:rFonts w:ascii="Palatino Linotype" w:eastAsia="Times New Roman" w:hAnsi="Palatino Linotype"/>
          <w:bCs/>
          <w:sz w:val="22"/>
          <w:szCs w:val="22"/>
          <w:lang w:val="en-US" w:eastAsia="en-GB"/>
        </w:rPr>
        <w:t>Japan Exchange Group</w:t>
      </w:r>
      <w:r w:rsidRPr="00272724">
        <w:rPr>
          <w:rFonts w:ascii="Palatino Linotype" w:eastAsia="Times New Roman" w:hAnsi="Palatino Linotype"/>
          <w:bCs/>
          <w:sz w:val="22"/>
          <w:szCs w:val="22"/>
          <w:lang w:val="en-US" w:eastAsia="en-GB"/>
        </w:rPr>
        <w:t xml:space="preserve"> (</w:t>
      </w:r>
      <w:r w:rsidRPr="003721B1">
        <w:rPr>
          <w:rFonts w:ascii="Palatino Linotype" w:eastAsia="Times New Roman" w:hAnsi="Palatino Linotype"/>
          <w:bCs/>
          <w:sz w:val="22"/>
          <w:szCs w:val="22"/>
          <w:lang w:val="en-US" w:eastAsia="en-GB"/>
        </w:rPr>
        <w:t>1.9</w:t>
      </w:r>
      <w:r w:rsidRPr="00272724">
        <w:rPr>
          <w:rFonts w:ascii="Palatino Linotype" w:eastAsia="Times New Roman" w:hAnsi="Palatino Linotype"/>
          <w:bCs/>
          <w:sz w:val="22"/>
          <w:szCs w:val="22"/>
          <w:lang w:val="en-US" w:eastAsia="en-GB"/>
        </w:rPr>
        <w:t xml:space="preserve"> per cent), </w:t>
      </w:r>
      <w:r w:rsidRPr="003721B1">
        <w:rPr>
          <w:rFonts w:ascii="Palatino Linotype" w:eastAsia="Times New Roman" w:hAnsi="Palatino Linotype"/>
          <w:bCs/>
          <w:sz w:val="22"/>
          <w:szCs w:val="22"/>
          <w:lang w:val="en-US" w:eastAsia="en-GB"/>
        </w:rPr>
        <w:t>Singapore Exchange</w:t>
      </w:r>
      <w:r w:rsidRPr="00272724">
        <w:rPr>
          <w:rFonts w:ascii="Palatino Linotype" w:eastAsia="Times New Roman" w:hAnsi="Palatino Linotype"/>
          <w:bCs/>
          <w:sz w:val="22"/>
          <w:szCs w:val="22"/>
          <w:lang w:val="en-US" w:eastAsia="en-GB"/>
        </w:rPr>
        <w:t xml:space="preserve"> (</w:t>
      </w:r>
      <w:r w:rsidRPr="003721B1">
        <w:rPr>
          <w:rFonts w:ascii="Palatino Linotype" w:eastAsia="Times New Roman" w:hAnsi="Palatino Linotype"/>
          <w:bCs/>
          <w:sz w:val="22"/>
          <w:szCs w:val="22"/>
          <w:lang w:val="en-US" w:eastAsia="en-GB"/>
        </w:rPr>
        <w:t>2.4</w:t>
      </w:r>
      <w:r w:rsidRPr="00272724">
        <w:rPr>
          <w:rFonts w:ascii="Palatino Linotype" w:eastAsia="Times New Roman" w:hAnsi="Palatino Linotype"/>
          <w:bCs/>
          <w:sz w:val="22"/>
          <w:szCs w:val="22"/>
          <w:lang w:val="en-US" w:eastAsia="en-GB"/>
        </w:rPr>
        <w:t xml:space="preserve"> per cent) and </w:t>
      </w:r>
      <w:r w:rsidRPr="003721B1">
        <w:rPr>
          <w:rFonts w:ascii="Palatino Linotype" w:eastAsia="Times New Roman" w:hAnsi="Palatino Linotype"/>
          <w:bCs/>
          <w:sz w:val="22"/>
          <w:szCs w:val="22"/>
          <w:lang w:val="en-US" w:eastAsia="en-GB"/>
        </w:rPr>
        <w:t>BME Spanish Exchanges</w:t>
      </w:r>
      <w:r w:rsidRPr="00272724">
        <w:rPr>
          <w:rFonts w:ascii="Palatino Linotype" w:eastAsia="Times New Roman" w:hAnsi="Palatino Linotype"/>
          <w:bCs/>
          <w:sz w:val="22"/>
          <w:szCs w:val="22"/>
          <w:lang w:val="en-US" w:eastAsia="en-GB"/>
        </w:rPr>
        <w:t xml:space="preserve"> (</w:t>
      </w:r>
      <w:r w:rsidRPr="003721B1">
        <w:rPr>
          <w:rFonts w:ascii="Palatino Linotype" w:eastAsia="Times New Roman" w:hAnsi="Palatino Linotype"/>
          <w:bCs/>
          <w:sz w:val="22"/>
          <w:szCs w:val="22"/>
          <w:lang w:val="en-US" w:eastAsia="en-GB"/>
        </w:rPr>
        <w:t>2.7</w:t>
      </w:r>
      <w:r w:rsidRPr="00272724">
        <w:rPr>
          <w:rFonts w:ascii="Palatino Linotype" w:eastAsia="Times New Roman" w:hAnsi="Palatino Linotype"/>
          <w:bCs/>
          <w:sz w:val="22"/>
          <w:szCs w:val="22"/>
          <w:lang w:val="en-US" w:eastAsia="en-GB"/>
        </w:rPr>
        <w:t xml:space="preserve"> per cent).</w:t>
      </w:r>
    </w:p>
    <w:p w:rsidR="002F3AF7" w:rsidRPr="00272724" w:rsidRDefault="002F3AF7" w:rsidP="002F3AF7">
      <w:pPr>
        <w:spacing w:line="276" w:lineRule="auto"/>
        <w:ind w:left="360"/>
        <w:contextualSpacing/>
        <w:jc w:val="both"/>
        <w:rPr>
          <w:rFonts w:ascii="Palatino Linotype" w:eastAsia="Times New Roman" w:hAnsi="Palatino Linotype"/>
          <w:b/>
          <w:sz w:val="22"/>
          <w:szCs w:val="22"/>
          <w:u w:val="single"/>
          <w:lang w:val="en-US"/>
        </w:rPr>
      </w:pPr>
    </w:p>
    <w:p w:rsidR="002F3AF7" w:rsidRPr="00272724" w:rsidRDefault="002F3AF7" w:rsidP="002F3AF7">
      <w:pPr>
        <w:spacing w:line="276" w:lineRule="auto"/>
        <w:ind w:left="360"/>
        <w:contextualSpacing/>
        <w:jc w:val="both"/>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rPr>
        <w:t xml:space="preserve">Derivatives </w:t>
      </w:r>
      <w:r w:rsidRPr="00272724">
        <w:rPr>
          <w:rFonts w:ascii="Palatino Linotype" w:eastAsia="Times New Roman" w:hAnsi="Palatino Linotype"/>
          <w:b/>
          <w:sz w:val="22"/>
          <w:szCs w:val="22"/>
          <w:lang w:val="en-US" w:eastAsia="en-GB"/>
        </w:rPr>
        <w:t xml:space="preserve">(Figures 5-6, Table A4–A8) – </w:t>
      </w:r>
    </w:p>
    <w:p w:rsidR="002F3AF7" w:rsidRPr="00272724" w:rsidRDefault="002F3AF7" w:rsidP="002F3AF7">
      <w:pPr>
        <w:spacing w:line="276" w:lineRule="auto"/>
        <w:ind w:left="360"/>
        <w:contextualSpacing/>
        <w:jc w:val="both"/>
        <w:rPr>
          <w:rFonts w:ascii="Palatino Linotype" w:eastAsia="Times New Roman" w:hAnsi="Palatino Linotype"/>
          <w:b/>
          <w:sz w:val="22"/>
          <w:szCs w:val="22"/>
          <w:lang w:val="en-US" w:eastAsia="en-GB"/>
        </w:rPr>
      </w:pP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the highest number of single stock futures contracts traded was at </w:t>
      </w:r>
      <w:r w:rsidRPr="007156EB">
        <w:rPr>
          <w:rFonts w:ascii="Palatino Linotype" w:eastAsia="Times New Roman" w:hAnsi="Palatino Linotype"/>
          <w:bCs/>
          <w:sz w:val="22"/>
          <w:szCs w:val="22"/>
          <w:lang w:val="en-US" w:eastAsia="en-GB"/>
        </w:rPr>
        <w:t>Borsa Istanbul</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179,887,591)</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Korea Exchange</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113,477,821)</w:t>
      </w:r>
      <w:r w:rsidRPr="00272724">
        <w:rPr>
          <w:rFonts w:ascii="Palatino Linotype" w:eastAsia="Times New Roman" w:hAnsi="Palatino Linotype"/>
          <w:bCs/>
          <w:sz w:val="22"/>
          <w:szCs w:val="22"/>
          <w:lang w:val="en-US" w:eastAsia="en-GB"/>
        </w:rPr>
        <w:t xml:space="preserve">. The highest number of single stock options were traded at </w:t>
      </w:r>
      <w:r w:rsidRPr="007156EB">
        <w:rPr>
          <w:rFonts w:ascii="Palatino Linotype" w:eastAsia="Times New Roman" w:hAnsi="Palatino Linotype"/>
          <w:bCs/>
          <w:sz w:val="22"/>
          <w:szCs w:val="22"/>
          <w:lang w:val="en-US" w:eastAsia="en-GB"/>
        </w:rPr>
        <w:t>Nasdaq - US</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206,395,272)</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B3 - Brasil Bolsa Balcão</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148,607,456)</w:t>
      </w:r>
      <w:r w:rsidRPr="00272724">
        <w:rPr>
          <w:rFonts w:ascii="Palatino Linotype" w:eastAsia="Times New Roman" w:hAnsi="Palatino Linotype"/>
          <w:bCs/>
          <w:sz w:val="22"/>
          <w:szCs w:val="22"/>
          <w:lang w:val="en-US" w:eastAsia="en-GB"/>
        </w:rPr>
        <w:t>.</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the same period, highest number of contracts of index futures were traded at </w:t>
      </w:r>
      <w:r w:rsidRPr="007156EB">
        <w:rPr>
          <w:rFonts w:ascii="Palatino Linotype" w:eastAsia="Times New Roman" w:hAnsi="Palatino Linotype"/>
          <w:bCs/>
          <w:sz w:val="22"/>
          <w:szCs w:val="22"/>
          <w:lang w:val="en-US" w:eastAsia="en-GB"/>
        </w:rPr>
        <w:t>B3 - Brasil Bolsa Balcão</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272,635,237)</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CME Group</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92,124,131)</w:t>
      </w:r>
      <w:r w:rsidRPr="00272724">
        <w:rPr>
          <w:rFonts w:ascii="Palatino Linotype" w:eastAsia="Times New Roman" w:hAnsi="Palatino Linotype"/>
          <w:bCs/>
          <w:sz w:val="22"/>
          <w:szCs w:val="22"/>
          <w:lang w:val="en-US" w:eastAsia="en-GB"/>
        </w:rPr>
        <w:t>. Among the stock index options, the highest number of contacts were traded at NSE (</w:t>
      </w:r>
      <w:r w:rsidRPr="00DD304C">
        <w:rPr>
          <w:rFonts w:ascii="Palatino Linotype" w:eastAsia="Times New Roman" w:hAnsi="Palatino Linotype"/>
          <w:bCs/>
          <w:sz w:val="22"/>
          <w:szCs w:val="22"/>
          <w:lang w:val="en-US" w:eastAsia="en-GB"/>
        </w:rPr>
        <w:t>731,307,849)</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Korea Exchange</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74,689,131)</w:t>
      </w:r>
      <w:r w:rsidRPr="00272724">
        <w:rPr>
          <w:rFonts w:ascii="Palatino Linotype" w:eastAsia="Times New Roman" w:hAnsi="Palatino Linotype"/>
          <w:bCs/>
          <w:sz w:val="22"/>
          <w:szCs w:val="22"/>
          <w:lang w:val="en-US" w:eastAsia="en-GB"/>
        </w:rPr>
        <w:t>.</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Highest number of currency futures contracts were traded at Moscow Exchange (</w:t>
      </w:r>
      <w:r w:rsidRPr="00DD304C">
        <w:rPr>
          <w:rFonts w:ascii="Palatino Linotype" w:eastAsia="Times New Roman" w:hAnsi="Palatino Linotype"/>
          <w:bCs/>
          <w:sz w:val="22"/>
          <w:szCs w:val="22"/>
          <w:lang w:val="en-US" w:eastAsia="en-GB"/>
        </w:rPr>
        <w:t>89,221,113)</w:t>
      </w:r>
      <w:r w:rsidRPr="00272724">
        <w:rPr>
          <w:rFonts w:ascii="Palatino Linotype" w:eastAsia="Times New Roman" w:hAnsi="Palatino Linotype"/>
          <w:bCs/>
          <w:sz w:val="22"/>
          <w:szCs w:val="22"/>
          <w:lang w:val="en-US" w:eastAsia="en-GB"/>
        </w:rPr>
        <w:t xml:space="preserve"> followed by </w:t>
      </w:r>
      <w:r>
        <w:rPr>
          <w:rFonts w:ascii="Palatino Linotype" w:eastAsia="Times New Roman" w:hAnsi="Palatino Linotype"/>
          <w:bCs/>
          <w:sz w:val="22"/>
          <w:szCs w:val="22"/>
          <w:lang w:val="en-US" w:eastAsia="en-GB"/>
        </w:rPr>
        <w:t>NSE India</w:t>
      </w:r>
      <w:r w:rsidRPr="00272724">
        <w:rPr>
          <w:rFonts w:ascii="Palatino Linotype" w:eastAsia="Times New Roman" w:hAnsi="Palatino Linotype"/>
          <w:bCs/>
          <w:sz w:val="22"/>
          <w:szCs w:val="22"/>
          <w:lang w:val="en-US" w:eastAsia="en-GB"/>
        </w:rPr>
        <w:t xml:space="preserve"> (</w:t>
      </w:r>
      <w:r w:rsidRPr="00DD304C">
        <w:rPr>
          <w:rFonts w:ascii="Palatino Linotype" w:eastAsia="Times New Roman" w:hAnsi="Palatino Linotype"/>
          <w:bCs/>
          <w:sz w:val="22"/>
          <w:szCs w:val="22"/>
          <w:lang w:val="en-US" w:eastAsia="en-GB"/>
        </w:rPr>
        <w:t>72,299,426)</w:t>
      </w:r>
      <w:r w:rsidRPr="00272724">
        <w:rPr>
          <w:rFonts w:ascii="Palatino Linotype" w:eastAsia="Times New Roman" w:hAnsi="Palatino Linotype"/>
          <w:bCs/>
          <w:sz w:val="22"/>
          <w:szCs w:val="22"/>
          <w:lang w:val="en-US" w:eastAsia="en-GB"/>
        </w:rPr>
        <w:t>. The highest number of currency options were traded at NSE (</w:t>
      </w:r>
      <w:r w:rsidRPr="00DD304C">
        <w:rPr>
          <w:rFonts w:ascii="Palatino Linotype" w:eastAsia="Times New Roman" w:hAnsi="Palatino Linotype"/>
          <w:bCs/>
          <w:sz w:val="22"/>
          <w:szCs w:val="22"/>
          <w:lang w:val="en-US" w:eastAsia="en-GB"/>
        </w:rPr>
        <w:t>79,833,474)</w:t>
      </w:r>
      <w:r w:rsidRPr="00272724">
        <w:rPr>
          <w:rFonts w:ascii="Palatino Linotype" w:eastAsia="Times New Roman" w:hAnsi="Palatino Linotype"/>
          <w:bCs/>
          <w:sz w:val="22"/>
          <w:szCs w:val="22"/>
          <w:lang w:val="en-US" w:eastAsia="en-GB"/>
        </w:rPr>
        <w:t xml:space="preserve"> followed by Moscow Exchange (</w:t>
      </w:r>
      <w:r w:rsidRPr="00DD304C">
        <w:rPr>
          <w:rFonts w:ascii="Palatino Linotype" w:eastAsia="Times New Roman" w:hAnsi="Palatino Linotype"/>
          <w:bCs/>
          <w:sz w:val="22"/>
          <w:szCs w:val="22"/>
          <w:lang w:val="en-US" w:eastAsia="en-GB"/>
        </w:rPr>
        <w:t>2,252,169)</w:t>
      </w:r>
      <w:r w:rsidRPr="00272724">
        <w:rPr>
          <w:rFonts w:ascii="Palatino Linotype" w:eastAsia="Times New Roman" w:hAnsi="Palatino Linotype"/>
          <w:bCs/>
          <w:sz w:val="22"/>
          <w:szCs w:val="22"/>
          <w:lang w:val="en-US" w:eastAsia="en-GB"/>
        </w:rPr>
        <w:t>.</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the highest number of interest rate futures and interest rate options contracts were traded at CME Group (</w:t>
      </w:r>
      <w:r w:rsidRPr="00192A80">
        <w:rPr>
          <w:rFonts w:ascii="Palatino Linotype" w:eastAsia="Times New Roman" w:hAnsi="Palatino Linotype"/>
          <w:bCs/>
          <w:sz w:val="22"/>
          <w:szCs w:val="22"/>
          <w:lang w:val="en-US" w:eastAsia="en-GB"/>
        </w:rPr>
        <w:t xml:space="preserve">90,905,523 </w:t>
      </w:r>
      <w:r>
        <w:rPr>
          <w:rFonts w:ascii="Palatino Linotype" w:eastAsia="Times New Roman" w:hAnsi="Palatino Linotype"/>
          <w:bCs/>
          <w:sz w:val="22"/>
          <w:szCs w:val="22"/>
          <w:lang w:val="en-US" w:eastAsia="en-GB"/>
        </w:rPr>
        <w:t>and</w:t>
      </w:r>
      <w:r w:rsidRPr="00C7584E">
        <w:rPr>
          <w:rFonts w:ascii="Palatino Linotype" w:eastAsia="Times New Roman" w:hAnsi="Palatino Linotype"/>
          <w:bCs/>
          <w:sz w:val="22"/>
          <w:szCs w:val="22"/>
          <w:lang w:val="en-US" w:eastAsia="en-GB"/>
        </w:rPr>
        <w:t xml:space="preserve"> </w:t>
      </w:r>
      <w:r w:rsidRPr="00192A80">
        <w:rPr>
          <w:rFonts w:ascii="Palatino Linotype" w:eastAsia="Times New Roman" w:hAnsi="Palatino Linotype"/>
          <w:bCs/>
          <w:sz w:val="22"/>
          <w:szCs w:val="22"/>
          <w:lang w:val="en-US" w:eastAsia="en-GB"/>
        </w:rPr>
        <w:t>20,083,814</w:t>
      </w:r>
      <w:r w:rsidRPr="004B1AB4">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respectively) followed by B3 - Brasil Bolsa Balcão (</w:t>
      </w:r>
      <w:r w:rsidRPr="00192A80">
        <w:rPr>
          <w:rFonts w:ascii="Palatino Linotype" w:eastAsia="Times New Roman" w:hAnsi="Palatino Linotype"/>
          <w:bCs/>
          <w:sz w:val="22"/>
          <w:szCs w:val="22"/>
          <w:lang w:val="en-US" w:eastAsia="en-GB"/>
        </w:rPr>
        <w:t xml:space="preserve">46,508,053 </w:t>
      </w:r>
      <w:r>
        <w:rPr>
          <w:rFonts w:ascii="Palatino Linotype" w:eastAsia="Times New Roman" w:hAnsi="Palatino Linotype"/>
          <w:bCs/>
          <w:sz w:val="22"/>
          <w:szCs w:val="22"/>
          <w:lang w:val="en-US" w:eastAsia="en-GB"/>
        </w:rPr>
        <w:t>and</w:t>
      </w:r>
      <w:r w:rsidRPr="00C7584E">
        <w:rPr>
          <w:rFonts w:ascii="Palatino Linotype" w:eastAsia="Times New Roman" w:hAnsi="Palatino Linotype"/>
          <w:bCs/>
          <w:sz w:val="22"/>
          <w:szCs w:val="22"/>
          <w:lang w:val="en-US" w:eastAsia="en-GB"/>
        </w:rPr>
        <w:t xml:space="preserve"> </w:t>
      </w:r>
      <w:r w:rsidRPr="00192A80">
        <w:rPr>
          <w:rFonts w:ascii="Palatino Linotype" w:eastAsia="Times New Roman" w:hAnsi="Palatino Linotype"/>
          <w:bCs/>
          <w:sz w:val="22"/>
          <w:szCs w:val="22"/>
          <w:lang w:val="en-US" w:eastAsia="en-GB"/>
        </w:rPr>
        <w:t>21,274,153</w:t>
      </w:r>
      <w:r w:rsidRPr="004B1AB4">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respectively). </w:t>
      </w:r>
    </w:p>
    <w:p w:rsidR="002F3AF7" w:rsidRPr="00272724" w:rsidRDefault="002F3AF7" w:rsidP="002F3AF7">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The highest number of commodity futures contracts were traded at </w:t>
      </w:r>
      <w:r w:rsidRPr="008138AD">
        <w:rPr>
          <w:rFonts w:ascii="Palatino Linotype" w:eastAsia="Times New Roman" w:hAnsi="Palatino Linotype"/>
          <w:bCs/>
          <w:sz w:val="22"/>
          <w:szCs w:val="22"/>
          <w:lang w:val="en-US" w:eastAsia="en-GB"/>
        </w:rPr>
        <w:t xml:space="preserve">Shanghai Futures Exchange </w:t>
      </w:r>
      <w:r w:rsidRPr="00272724">
        <w:rPr>
          <w:rFonts w:ascii="Palatino Linotype" w:eastAsia="Times New Roman" w:hAnsi="Palatino Linotype"/>
          <w:bCs/>
          <w:sz w:val="22"/>
          <w:szCs w:val="22"/>
          <w:lang w:val="en-US" w:eastAsia="en-GB"/>
        </w:rPr>
        <w:t>(</w:t>
      </w:r>
      <w:r w:rsidRPr="008138AD">
        <w:rPr>
          <w:rFonts w:ascii="Palatino Linotype" w:eastAsia="Times New Roman" w:hAnsi="Palatino Linotype"/>
          <w:bCs/>
          <w:sz w:val="22"/>
          <w:szCs w:val="22"/>
          <w:lang w:val="en-US" w:eastAsia="en-GB"/>
        </w:rPr>
        <w:t>261,195,933)</w:t>
      </w:r>
      <w:r w:rsidRPr="00272724">
        <w:rPr>
          <w:rFonts w:ascii="Palatino Linotype" w:eastAsia="Times New Roman" w:hAnsi="Palatino Linotype"/>
          <w:bCs/>
          <w:sz w:val="22"/>
          <w:szCs w:val="22"/>
          <w:lang w:val="en-US" w:eastAsia="en-GB"/>
        </w:rPr>
        <w:t xml:space="preserve"> followed by </w:t>
      </w:r>
      <w:r w:rsidRPr="008138AD">
        <w:rPr>
          <w:rFonts w:ascii="Palatino Linotype" w:eastAsia="Times New Roman" w:hAnsi="Palatino Linotype"/>
          <w:bCs/>
          <w:sz w:val="22"/>
          <w:szCs w:val="22"/>
          <w:lang w:val="en-US" w:eastAsia="en-GB"/>
        </w:rPr>
        <w:t>Dalian Commodity Exchange</w:t>
      </w:r>
      <w:r w:rsidRPr="00272724">
        <w:rPr>
          <w:rFonts w:ascii="Palatino Linotype" w:eastAsia="Times New Roman" w:hAnsi="Palatino Linotype"/>
          <w:bCs/>
          <w:sz w:val="22"/>
          <w:szCs w:val="22"/>
          <w:lang w:val="en-US" w:eastAsia="en-GB"/>
        </w:rPr>
        <w:t xml:space="preserve"> (</w:t>
      </w:r>
      <w:r w:rsidRPr="008138AD">
        <w:rPr>
          <w:rFonts w:ascii="Palatino Linotype" w:eastAsia="Times New Roman" w:hAnsi="Palatino Linotype"/>
          <w:bCs/>
          <w:sz w:val="22"/>
          <w:szCs w:val="22"/>
          <w:lang w:val="en-US" w:eastAsia="en-GB"/>
        </w:rPr>
        <w:t>245,991,015)</w:t>
      </w:r>
      <w:r w:rsidRPr="00272724">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Among the commodity options the highest number of contracts were traded at CME Group (</w:t>
      </w:r>
      <w:r w:rsidRPr="008138AD">
        <w:rPr>
          <w:rFonts w:ascii="Palatino Linotype" w:eastAsia="Times New Roman" w:hAnsi="Palatino Linotype"/>
          <w:bCs/>
          <w:sz w:val="22"/>
          <w:szCs w:val="22"/>
          <w:lang w:val="en-US" w:eastAsia="en-GB"/>
        </w:rPr>
        <w:t>11,496,254)</w:t>
      </w:r>
      <w:r w:rsidRPr="00272724">
        <w:rPr>
          <w:rFonts w:ascii="Palatino Linotype" w:eastAsia="Times New Roman" w:hAnsi="Palatino Linotype"/>
          <w:bCs/>
          <w:sz w:val="22"/>
          <w:szCs w:val="22"/>
          <w:lang w:val="en-US" w:eastAsia="en-GB"/>
        </w:rPr>
        <w:t xml:space="preserve"> followed by </w:t>
      </w:r>
      <w:r w:rsidRPr="008138AD">
        <w:rPr>
          <w:rFonts w:ascii="Palatino Linotype" w:eastAsia="Times New Roman" w:hAnsi="Palatino Linotype"/>
          <w:bCs/>
          <w:sz w:val="22"/>
          <w:szCs w:val="22"/>
          <w:lang w:val="en-US" w:eastAsia="en-GB"/>
        </w:rPr>
        <w:t>Zhengzhou Commodity Exchange</w:t>
      </w:r>
      <w:r w:rsidRPr="00272724">
        <w:rPr>
          <w:rFonts w:ascii="Palatino Linotype" w:eastAsia="Times New Roman" w:hAnsi="Palatino Linotype"/>
          <w:bCs/>
          <w:sz w:val="22"/>
          <w:szCs w:val="22"/>
          <w:lang w:val="en-US" w:eastAsia="en-GB"/>
        </w:rPr>
        <w:t xml:space="preserve"> (</w:t>
      </w:r>
      <w:r w:rsidRPr="008138AD">
        <w:rPr>
          <w:rFonts w:ascii="Palatino Linotype" w:eastAsia="Times New Roman" w:hAnsi="Palatino Linotype"/>
          <w:bCs/>
          <w:sz w:val="22"/>
          <w:szCs w:val="22"/>
          <w:lang w:val="en-US" w:eastAsia="en-GB"/>
        </w:rPr>
        <w:t>6,433,716)</w:t>
      </w:r>
      <w:r w:rsidRPr="00272724">
        <w:rPr>
          <w:rFonts w:ascii="Palatino Linotype" w:eastAsia="Times New Roman" w:hAnsi="Palatino Linotype"/>
          <w:bCs/>
          <w:sz w:val="22"/>
          <w:szCs w:val="22"/>
          <w:lang w:val="en-US" w:eastAsia="en-GB"/>
        </w:rPr>
        <w:t xml:space="preserve"> during the same period.</w:t>
      </w:r>
    </w:p>
    <w:p w:rsidR="002F3AF7" w:rsidRPr="00B17E08" w:rsidRDefault="002F3AF7" w:rsidP="002F3AF7">
      <w:pPr>
        <w:numPr>
          <w:ilvl w:val="0"/>
          <w:numId w:val="16"/>
        </w:numPr>
        <w:spacing w:line="276" w:lineRule="auto"/>
        <w:ind w:hanging="357"/>
        <w:contextualSpacing/>
        <w:jc w:val="both"/>
        <w:rPr>
          <w:rFonts w:ascii="Palatino Linotype" w:hAnsi="Palatino Linotype"/>
          <w:bCs/>
          <w:strike/>
          <w:sz w:val="22"/>
          <w:szCs w:val="22"/>
          <w:lang w:val="en-US"/>
        </w:rPr>
      </w:pPr>
      <w:r w:rsidRPr="00B17E08">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January</w:t>
      </w:r>
      <w:r w:rsidRPr="00B17E08">
        <w:rPr>
          <w:rFonts w:ascii="Palatino Linotype" w:eastAsia="Times New Roman" w:hAnsi="Palatino Linotype"/>
          <w:bCs/>
          <w:sz w:val="22"/>
          <w:szCs w:val="22"/>
          <w:lang w:val="en-US" w:eastAsia="en-GB"/>
        </w:rPr>
        <w:t xml:space="preserve"> 2020, </w:t>
      </w:r>
      <w:r>
        <w:rPr>
          <w:rFonts w:ascii="Palatino Linotype" w:eastAsia="Times New Roman" w:hAnsi="Palatino Linotype"/>
          <w:bCs/>
          <w:sz w:val="22"/>
          <w:szCs w:val="22"/>
          <w:lang w:val="en-US" w:eastAsia="en-GB"/>
        </w:rPr>
        <w:t>most of the</w:t>
      </w:r>
      <w:r w:rsidRPr="00B17E08">
        <w:rPr>
          <w:rFonts w:ascii="Palatino Linotype" w:eastAsia="Times New Roman" w:hAnsi="Palatino Linotype"/>
          <w:bCs/>
          <w:sz w:val="22"/>
          <w:szCs w:val="22"/>
          <w:lang w:val="en-US" w:eastAsia="en-GB"/>
        </w:rPr>
        <w:t xml:space="preserve"> analysed</w:t>
      </w:r>
      <w:r w:rsidRPr="00272724">
        <w:rPr>
          <w:rFonts w:ascii="Palatino Linotype" w:eastAsia="Times New Roman" w:hAnsi="Palatino Linotype"/>
          <w:bCs/>
          <w:sz w:val="22"/>
          <w:szCs w:val="22"/>
          <w:vertAlign w:val="superscript"/>
          <w:lang w:val="en-US" w:eastAsia="en-GB"/>
        </w:rPr>
        <w:footnoteReference w:id="7"/>
      </w:r>
      <w:r w:rsidRPr="00B17E08">
        <w:rPr>
          <w:rFonts w:ascii="Palatino Linotype" w:eastAsia="Times New Roman" w:hAnsi="Palatino Linotype"/>
          <w:bCs/>
          <w:sz w:val="22"/>
          <w:szCs w:val="22"/>
          <w:lang w:val="en-US" w:eastAsia="en-GB"/>
        </w:rPr>
        <w:t xml:space="preserve"> currencies appreciated against dollar. Real</w:t>
      </w:r>
      <w:r w:rsidRPr="002E14B9">
        <w:rPr>
          <w:rFonts w:ascii="Palatino Linotype" w:eastAsia="Times New Roman" w:hAnsi="Palatino Linotype"/>
          <w:bCs/>
          <w:sz w:val="22"/>
          <w:szCs w:val="22"/>
          <w:lang w:val="en-US" w:eastAsia="en-GB"/>
        </w:rPr>
        <w:t xml:space="preserve"> </w:t>
      </w:r>
      <w:r w:rsidRPr="00B17E08">
        <w:rPr>
          <w:rFonts w:ascii="Palatino Linotype" w:eastAsia="Times New Roman" w:hAnsi="Palatino Linotype"/>
          <w:bCs/>
          <w:sz w:val="22"/>
          <w:szCs w:val="22"/>
          <w:lang w:val="en-US" w:eastAsia="en-GB"/>
        </w:rPr>
        <w:t xml:space="preserve">and Rand were most appreciating currencies against dollar among the analysed </w:t>
      </w:r>
      <w:r>
        <w:rPr>
          <w:rFonts w:ascii="Palatino Linotype" w:eastAsia="Times New Roman" w:hAnsi="Palatino Linotype"/>
          <w:bCs/>
          <w:sz w:val="22"/>
          <w:szCs w:val="22"/>
          <w:lang w:val="en-US" w:eastAsia="en-GB"/>
        </w:rPr>
        <w:t>currencies.</w:t>
      </w:r>
    </w:p>
    <w:p w:rsidR="002F3AF7" w:rsidRPr="00272724" w:rsidRDefault="002F3AF7" w:rsidP="002F3AF7">
      <w:pPr>
        <w:spacing w:line="276" w:lineRule="auto"/>
        <w:outlineLvl w:val="0"/>
        <w:rPr>
          <w:rFonts w:ascii="Palatino Linotype" w:eastAsia="Times New Roman" w:hAnsi="Palatino Linotype"/>
          <w:b/>
          <w:strike/>
          <w:sz w:val="22"/>
          <w:szCs w:val="22"/>
          <w:u w:val="single"/>
        </w:rPr>
      </w:pPr>
    </w:p>
    <w:p w:rsidR="002F3AF7" w:rsidRPr="00272724" w:rsidRDefault="002F3AF7" w:rsidP="002F3AF7">
      <w:pPr>
        <w:spacing w:line="276" w:lineRule="auto"/>
        <w:outlineLvl w:val="0"/>
        <w:rPr>
          <w:rFonts w:ascii="Palatino Linotype" w:eastAsia="Times New Roman" w:hAnsi="Palatino Linotype"/>
          <w:b/>
          <w:sz w:val="22"/>
          <w:szCs w:val="22"/>
          <w:lang w:eastAsia="en-GB"/>
        </w:rPr>
      </w:pPr>
      <w:r w:rsidRPr="00272724">
        <w:rPr>
          <w:rFonts w:ascii="Palatino Linotype" w:eastAsia="Times New Roman" w:hAnsi="Palatino Linotype"/>
          <w:b/>
          <w:sz w:val="22"/>
          <w:szCs w:val="22"/>
          <w:u w:val="single"/>
        </w:rPr>
        <w:t xml:space="preserve">US Treasury Securities </w:t>
      </w:r>
      <w:r w:rsidRPr="00272724">
        <w:rPr>
          <w:rFonts w:ascii="Palatino Linotype" w:eastAsia="Times New Roman" w:hAnsi="Palatino Linotype"/>
          <w:b/>
          <w:sz w:val="22"/>
          <w:szCs w:val="22"/>
          <w:lang w:eastAsia="en-GB"/>
        </w:rPr>
        <w:t>(Table A9)</w:t>
      </w:r>
    </w:p>
    <w:p w:rsidR="002F3AF7" w:rsidRPr="00272724" w:rsidRDefault="002F3AF7" w:rsidP="002F3AF7">
      <w:pPr>
        <w:spacing w:line="276" w:lineRule="auto"/>
        <w:outlineLvl w:val="0"/>
        <w:rPr>
          <w:rFonts w:ascii="Palatino Linotype" w:hAnsi="Palatino Linotype"/>
          <w:bCs/>
          <w:sz w:val="22"/>
          <w:szCs w:val="22"/>
        </w:rPr>
      </w:pPr>
    </w:p>
    <w:p w:rsidR="002F3AF7" w:rsidRPr="00272724" w:rsidRDefault="002F3AF7" w:rsidP="002F3AF7">
      <w:pPr>
        <w:numPr>
          <w:ilvl w:val="0"/>
          <w:numId w:val="16"/>
        </w:numPr>
        <w:spacing w:line="276" w:lineRule="auto"/>
        <w:contextualSpacing/>
        <w:jc w:val="both"/>
        <w:rPr>
          <w:rFonts w:ascii="Palatino Linotype" w:hAnsi="Palatino Linotype"/>
          <w:bCs/>
          <w:strike/>
          <w:sz w:val="22"/>
          <w:szCs w:val="22"/>
          <w:lang w:val="en-US"/>
        </w:rPr>
      </w:pPr>
      <w:r w:rsidRPr="00272724">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Japan was the biggest foreign holder of US Treasury Securities with </w:t>
      </w:r>
      <w:r>
        <w:rPr>
          <w:rFonts w:ascii="Palatino Linotype" w:eastAsia="Times New Roman" w:hAnsi="Palatino Linotype"/>
          <w:bCs/>
          <w:sz w:val="22"/>
          <w:szCs w:val="22"/>
          <w:lang w:val="en-US" w:eastAsia="en-GB"/>
        </w:rPr>
        <w:t>17.9</w:t>
      </w:r>
      <w:r w:rsidRPr="00272724">
        <w:rPr>
          <w:rFonts w:ascii="Palatino Linotype" w:eastAsia="Times New Roman" w:hAnsi="Palatino Linotype"/>
          <w:bCs/>
          <w:sz w:val="22"/>
          <w:szCs w:val="22"/>
          <w:lang w:val="en-US" w:eastAsia="en-GB"/>
        </w:rPr>
        <w:t xml:space="preserve"> per cent followed by China with </w:t>
      </w:r>
      <w:r>
        <w:rPr>
          <w:rFonts w:ascii="Palatino Linotype" w:eastAsia="Times New Roman" w:hAnsi="Palatino Linotype"/>
          <w:bCs/>
          <w:sz w:val="22"/>
          <w:szCs w:val="22"/>
          <w:lang w:val="en-US" w:eastAsia="en-GB"/>
        </w:rPr>
        <w:t>15.1</w:t>
      </w:r>
      <w:r w:rsidRPr="00272724">
        <w:rPr>
          <w:rFonts w:ascii="Palatino Linotype" w:eastAsia="Times New Roman" w:hAnsi="Palatino Linotype"/>
          <w:bCs/>
          <w:sz w:val="22"/>
          <w:szCs w:val="22"/>
          <w:lang w:val="en-US" w:eastAsia="en-GB"/>
        </w:rPr>
        <w:t xml:space="preserve"> per cent. The total foreign holding of US Treasury Securities </w:t>
      </w:r>
      <w:r>
        <w:rPr>
          <w:rFonts w:ascii="Palatino Linotype" w:eastAsia="Times New Roman" w:hAnsi="Palatino Linotype"/>
          <w:bCs/>
          <w:sz w:val="22"/>
          <w:szCs w:val="22"/>
          <w:lang w:val="en-US" w:eastAsia="en-GB"/>
        </w:rPr>
        <w:t>at the end of</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was USD 7</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0</w:t>
      </w:r>
      <w:r>
        <w:rPr>
          <w:rFonts w:ascii="Palatino Linotype" w:eastAsia="Times New Roman" w:hAnsi="Palatino Linotype"/>
          <w:bCs/>
          <w:sz w:val="22"/>
          <w:szCs w:val="22"/>
          <w:lang w:val="en-US" w:eastAsia="en-GB"/>
        </w:rPr>
        <w:t>36</w:t>
      </w:r>
      <w:r w:rsidRPr="00272724">
        <w:rPr>
          <w:rFonts w:ascii="Palatino Linotype" w:eastAsia="Times New Roman" w:hAnsi="Palatino Linotype"/>
          <w:bCs/>
          <w:sz w:val="22"/>
          <w:szCs w:val="22"/>
          <w:lang w:val="en-US" w:eastAsia="en-GB"/>
        </w:rPr>
        <w:t xml:space="preserve"> billion. The holdings of US Treasury Securities by India </w:t>
      </w:r>
      <w:r>
        <w:rPr>
          <w:rFonts w:ascii="Palatino Linotype" w:eastAsia="Times New Roman" w:hAnsi="Palatino Linotype"/>
          <w:bCs/>
          <w:sz w:val="22"/>
          <w:szCs w:val="22"/>
          <w:lang w:val="en-US" w:eastAsia="en-GB"/>
        </w:rPr>
        <w:t xml:space="preserve">reduced to 3.0 from </w:t>
      </w:r>
      <w:r w:rsidRPr="00272724">
        <w:rPr>
          <w:rFonts w:ascii="Palatino Linotype" w:eastAsia="Times New Roman" w:hAnsi="Palatino Linotype"/>
          <w:bCs/>
          <w:sz w:val="22"/>
          <w:szCs w:val="22"/>
          <w:lang w:val="en-US" w:eastAsia="en-GB"/>
        </w:rPr>
        <w:t>3.</w:t>
      </w:r>
      <w:r>
        <w:rPr>
          <w:rFonts w:ascii="Palatino Linotype" w:eastAsia="Times New Roman" w:hAnsi="Palatino Linotype"/>
          <w:bCs/>
          <w:sz w:val="22"/>
          <w:szCs w:val="22"/>
          <w:lang w:val="en-US" w:eastAsia="en-GB"/>
        </w:rPr>
        <w:t>1</w:t>
      </w:r>
      <w:r w:rsidRPr="00272724">
        <w:rPr>
          <w:rFonts w:ascii="Palatino Linotype" w:eastAsia="Times New Roman" w:hAnsi="Palatino Linotype"/>
          <w:bCs/>
          <w:sz w:val="22"/>
          <w:szCs w:val="22"/>
          <w:lang w:val="en-US" w:eastAsia="en-GB"/>
        </w:rPr>
        <w:t xml:space="preserve"> per cent at the end of </w:t>
      </w:r>
      <w:r>
        <w:rPr>
          <w:rFonts w:ascii="Palatino Linotype" w:eastAsia="Times New Roman" w:hAnsi="Palatino Linotype"/>
          <w:bCs/>
          <w:sz w:val="22"/>
          <w:szCs w:val="22"/>
          <w:lang w:val="en-US" w:eastAsia="en-GB"/>
        </w:rPr>
        <w:t xml:space="preserve">December </w:t>
      </w:r>
      <w:r w:rsidRPr="00272724">
        <w:rPr>
          <w:rFonts w:ascii="Palatino Linotype" w:eastAsia="Times New Roman" w:hAnsi="Palatino Linotype"/>
          <w:bCs/>
          <w:sz w:val="22"/>
          <w:szCs w:val="22"/>
          <w:lang w:val="en-US" w:eastAsia="en-GB"/>
        </w:rPr>
        <w:t xml:space="preserve">2020 </w:t>
      </w:r>
      <w:r>
        <w:rPr>
          <w:rFonts w:ascii="Palatino Linotype" w:eastAsia="Times New Roman" w:hAnsi="Palatino Linotype"/>
          <w:bCs/>
          <w:sz w:val="22"/>
          <w:szCs w:val="22"/>
          <w:lang w:val="en-US" w:eastAsia="en-GB"/>
        </w:rPr>
        <w:t>against</w:t>
      </w:r>
      <w:r w:rsidRPr="00272724">
        <w:rPr>
          <w:rFonts w:ascii="Palatino Linotype" w:eastAsia="Times New Roman" w:hAnsi="Palatino Linotype"/>
          <w:bCs/>
          <w:sz w:val="22"/>
          <w:szCs w:val="22"/>
          <w:lang w:val="en-US" w:eastAsia="en-GB"/>
        </w:rPr>
        <w:t xml:space="preserve"> a month earlier.</w:t>
      </w:r>
    </w:p>
    <w:p w:rsidR="002F3AF7" w:rsidRPr="00272724" w:rsidRDefault="002F3AF7" w:rsidP="002F3AF7">
      <w:pPr>
        <w:rPr>
          <w:rFonts w:ascii="Garamond" w:hAnsi="Garamond"/>
          <w:b/>
          <w:bCs/>
          <w:szCs w:val="22"/>
        </w:rPr>
      </w:pPr>
    </w:p>
    <w:p w:rsidR="002F3AF7" w:rsidRPr="00272724" w:rsidRDefault="002F3AF7" w:rsidP="002F3AF7">
      <w:pPr>
        <w:rPr>
          <w:rFonts w:ascii="Garamond" w:hAnsi="Garamond"/>
          <w:b/>
          <w:bCs/>
          <w:szCs w:val="22"/>
        </w:rPr>
      </w:pPr>
    </w:p>
    <w:p w:rsidR="002F3AF7" w:rsidRPr="00272724" w:rsidRDefault="002F3AF7" w:rsidP="002F3AF7">
      <w:pPr>
        <w:rPr>
          <w:rFonts w:ascii="Garamond" w:hAnsi="Garamond"/>
          <w:bCs/>
          <w:szCs w:val="22"/>
        </w:rPr>
      </w:pPr>
      <w:r w:rsidRPr="00272724">
        <w:rPr>
          <w:rFonts w:ascii="Garamond" w:hAnsi="Garamond"/>
          <w:b/>
          <w:bCs/>
          <w:szCs w:val="22"/>
        </w:rPr>
        <w:t>Figure 5: Movement of the Major Currencies against USD</w:t>
      </w:r>
    </w:p>
    <w:p w:rsidR="002F3AF7" w:rsidRPr="00272724" w:rsidRDefault="002F3AF7" w:rsidP="002F3AF7">
      <w:pPr>
        <w:spacing w:line="23" w:lineRule="atLeast"/>
        <w:jc w:val="both"/>
        <w:rPr>
          <w:rFonts w:ascii="Garamond" w:hAnsi="Garamond"/>
          <w:bCs/>
          <w:sz w:val="18"/>
          <w:szCs w:val="18"/>
        </w:rPr>
      </w:pPr>
      <w:r>
        <w:rPr>
          <w:rFonts w:ascii="Garamond" w:hAnsi="Garamond"/>
          <w:bCs/>
          <w:noProof/>
          <w:sz w:val="18"/>
          <w:szCs w:val="18"/>
          <w:lang w:val="en-IN" w:eastAsia="en-IN" w:bidi="hi-IN"/>
        </w:rPr>
        <w:drawing>
          <wp:anchor distT="0" distB="0" distL="114300" distR="114300" simplePos="0" relativeHeight="251664384" behindDoc="0" locked="0" layoutInCell="1" allowOverlap="1" wp14:anchorId="16EBF5CA" wp14:editId="7540F73C">
            <wp:simplePos x="0" y="0"/>
            <wp:positionH relativeFrom="character">
              <wp:posOffset>0</wp:posOffset>
            </wp:positionH>
            <wp:positionV relativeFrom="line">
              <wp:posOffset>0</wp:posOffset>
            </wp:positionV>
            <wp:extent cx="6148070" cy="3847465"/>
            <wp:effectExtent l="0" t="0" r="508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48070" cy="3847465"/>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bCs/>
          <w:noProof/>
          <w:sz w:val="18"/>
          <w:szCs w:val="18"/>
          <w:lang w:val="en-IN" w:eastAsia="en-IN" w:bidi="hi-IN"/>
        </w:rPr>
        <mc:AlternateContent>
          <mc:Choice Requires="wps">
            <w:drawing>
              <wp:inline distT="0" distB="0" distL="0" distR="0" wp14:anchorId="5859A31E" wp14:editId="01D3AC84">
                <wp:extent cx="6153150" cy="38481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53150" cy="384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1CF8E" id="Rectangle 4" o:spid="_x0000_s1026" style="width:484.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" filled="f" stroked="f">
                <o:lock v:ext="edit" aspectratio="t"/>
                <w10:anchorlock/>
              </v:rect>
            </w:pict>
          </mc:Fallback>
        </mc:AlternateContent>
      </w:r>
    </w:p>
    <w:p w:rsidR="002F3AF7" w:rsidRPr="00272724" w:rsidRDefault="002F3AF7" w:rsidP="002F3AF7">
      <w:pPr>
        <w:spacing w:line="23" w:lineRule="atLeast"/>
        <w:jc w:val="both"/>
        <w:rPr>
          <w:rFonts w:ascii="Garamond" w:hAnsi="Garamond"/>
          <w:bCs/>
          <w:sz w:val="18"/>
          <w:szCs w:val="18"/>
        </w:rPr>
      </w:pPr>
      <w:r w:rsidRPr="00272724">
        <w:rPr>
          <w:rFonts w:ascii="Garamond" w:hAnsi="Garamond"/>
          <w:bCs/>
          <w:sz w:val="18"/>
          <w:szCs w:val="18"/>
        </w:rPr>
        <w:t xml:space="preserve">Note: All indices have been normalised to 100 on </w:t>
      </w:r>
      <w:r>
        <w:rPr>
          <w:rFonts w:ascii="Garamond" w:hAnsi="Garamond"/>
          <w:bCs/>
          <w:sz w:val="18"/>
          <w:szCs w:val="18"/>
        </w:rPr>
        <w:t>31 January 2020</w:t>
      </w:r>
      <w:r w:rsidRPr="00272724">
        <w:rPr>
          <w:rFonts w:ascii="Garamond" w:hAnsi="Garamond"/>
          <w:bCs/>
          <w:sz w:val="18"/>
          <w:szCs w:val="18"/>
        </w:rPr>
        <w:t>.</w:t>
      </w:r>
    </w:p>
    <w:p w:rsidR="002F3AF7" w:rsidRPr="00272724" w:rsidRDefault="002F3AF7" w:rsidP="002F3AF7">
      <w:pPr>
        <w:spacing w:line="23" w:lineRule="atLeast"/>
        <w:outlineLvl w:val="0"/>
        <w:rPr>
          <w:rFonts w:ascii="Garamond" w:hAnsi="Garamond"/>
          <w:bCs/>
          <w:sz w:val="18"/>
          <w:szCs w:val="18"/>
        </w:rPr>
      </w:pPr>
      <w:r w:rsidRPr="00272724">
        <w:rPr>
          <w:rFonts w:ascii="Garamond" w:hAnsi="Garamond"/>
          <w:bCs/>
          <w:sz w:val="18"/>
          <w:szCs w:val="18"/>
        </w:rPr>
        <w:t xml:space="preserve">Source: </w:t>
      </w:r>
      <w:r>
        <w:rPr>
          <w:rFonts w:ascii="Garamond" w:hAnsi="Garamond"/>
          <w:bCs/>
          <w:sz w:val="18"/>
          <w:szCs w:val="18"/>
        </w:rPr>
        <w:t>Refinitiv</w:t>
      </w:r>
    </w:p>
    <w:p w:rsidR="002F3AF7" w:rsidRDefault="002F3AF7" w:rsidP="002F3AF7">
      <w:pPr>
        <w:rPr>
          <w:rFonts w:ascii="Garamond" w:hAnsi="Garamond"/>
          <w:b/>
          <w:bCs/>
          <w:szCs w:val="22"/>
        </w:rPr>
      </w:pPr>
    </w:p>
    <w:p w:rsidR="002F3AF7" w:rsidRDefault="002F3AF7" w:rsidP="002F3AF7">
      <w:pPr>
        <w:rPr>
          <w:rFonts w:ascii="Garamond" w:hAnsi="Garamond"/>
          <w:b/>
          <w:bCs/>
          <w:szCs w:val="22"/>
        </w:rPr>
      </w:pPr>
    </w:p>
    <w:p w:rsidR="002F3AF7" w:rsidRDefault="002F3AF7" w:rsidP="002F3AF7">
      <w:pPr>
        <w:rPr>
          <w:rFonts w:ascii="Garamond" w:hAnsi="Garamond"/>
          <w:b/>
          <w:bCs/>
          <w:szCs w:val="22"/>
        </w:rPr>
      </w:pPr>
    </w:p>
    <w:p w:rsidR="002F3AF7" w:rsidRDefault="002F3AF7" w:rsidP="002F3AF7">
      <w:pPr>
        <w:rPr>
          <w:rFonts w:ascii="Garamond" w:hAnsi="Garamond"/>
          <w:b/>
          <w:bCs/>
          <w:szCs w:val="22"/>
        </w:rPr>
      </w:pPr>
    </w:p>
    <w:p w:rsidR="002F3AF7" w:rsidRPr="00272724" w:rsidRDefault="002F3AF7" w:rsidP="002F3AF7">
      <w:pPr>
        <w:rPr>
          <w:rFonts w:ascii="Garamond" w:hAnsi="Garamond"/>
          <w:b/>
          <w:bCs/>
          <w:szCs w:val="22"/>
        </w:rPr>
      </w:pPr>
      <w:r w:rsidRPr="00272724">
        <w:rPr>
          <w:rFonts w:ascii="Garamond" w:hAnsi="Garamond"/>
          <w:b/>
          <w:bCs/>
          <w:szCs w:val="22"/>
        </w:rPr>
        <w:t>Figure 6: Movement of the US Dollar Index and MSCI EM Currency Index</w:t>
      </w:r>
    </w:p>
    <w:p w:rsidR="002F3AF7" w:rsidRPr="00272724" w:rsidRDefault="002F3AF7" w:rsidP="002F3AF7">
      <w:pPr>
        <w:spacing w:line="23" w:lineRule="atLeast"/>
        <w:outlineLvl w:val="0"/>
        <w:rPr>
          <w:rFonts w:ascii="Garamond" w:hAnsi="Garamond"/>
          <w:bCs/>
          <w:sz w:val="22"/>
          <w:szCs w:val="22"/>
        </w:rPr>
      </w:pPr>
    </w:p>
    <w:p w:rsidR="002F3AF7" w:rsidRPr="00272724" w:rsidRDefault="002F3AF7" w:rsidP="002F3AF7">
      <w:pPr>
        <w:spacing w:line="23" w:lineRule="atLeast"/>
        <w:outlineLvl w:val="0"/>
        <w:rPr>
          <w:rFonts w:ascii="Garamond" w:hAnsi="Garamond"/>
          <w:bCs/>
          <w:sz w:val="22"/>
          <w:szCs w:val="22"/>
        </w:rPr>
      </w:pPr>
      <w:r>
        <w:rPr>
          <w:rFonts w:ascii="Garamond" w:hAnsi="Garamond"/>
          <w:bCs/>
          <w:noProof/>
          <w:sz w:val="22"/>
          <w:szCs w:val="22"/>
          <w:lang w:val="en-IN" w:eastAsia="en-IN" w:bidi="hi-IN"/>
        </w:rPr>
        <w:drawing>
          <wp:anchor distT="0" distB="0" distL="114300" distR="114300" simplePos="0" relativeHeight="251663360" behindDoc="0" locked="0" layoutInCell="1" allowOverlap="1" wp14:anchorId="308DE5AC" wp14:editId="4EB0C749">
            <wp:simplePos x="0" y="0"/>
            <wp:positionH relativeFrom="character">
              <wp:posOffset>0</wp:posOffset>
            </wp:positionH>
            <wp:positionV relativeFrom="line">
              <wp:posOffset>0</wp:posOffset>
            </wp:positionV>
            <wp:extent cx="5930900" cy="3211195"/>
            <wp:effectExtent l="0" t="0" r="0"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0900" cy="3211195"/>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bCs/>
          <w:noProof/>
          <w:sz w:val="22"/>
          <w:szCs w:val="22"/>
          <w:lang w:val="en-IN" w:eastAsia="en-IN" w:bidi="hi-IN"/>
        </w:rPr>
        <mc:AlternateContent>
          <mc:Choice Requires="wps">
            <w:drawing>
              <wp:inline distT="0" distB="0" distL="0" distR="0" wp14:anchorId="6EDA1728" wp14:editId="3FB738FE">
                <wp:extent cx="5934075" cy="3209925"/>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34075" cy="320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9C746" id="Rectangle 3" o:spid="_x0000_s1026" style="width:467.25pt;height:25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" filled="f" stroked="f">
                <o:lock v:ext="edit" aspectratio="t"/>
                <w10:anchorlock/>
              </v:rect>
            </w:pict>
          </mc:Fallback>
        </mc:AlternateContent>
      </w:r>
    </w:p>
    <w:p w:rsidR="002F3AF7" w:rsidRPr="00272724" w:rsidRDefault="002F3AF7" w:rsidP="002F3AF7">
      <w:pPr>
        <w:tabs>
          <w:tab w:val="left" w:pos="3760"/>
        </w:tabs>
        <w:spacing w:line="23" w:lineRule="atLeast"/>
        <w:rPr>
          <w:rFonts w:ascii="Garamond" w:hAnsi="Garamond"/>
          <w:bCs/>
          <w:sz w:val="18"/>
          <w:szCs w:val="18"/>
        </w:rPr>
      </w:pPr>
      <w:r w:rsidRPr="00272724">
        <w:rPr>
          <w:rFonts w:ascii="Garamond" w:hAnsi="Garamond"/>
          <w:bCs/>
          <w:sz w:val="18"/>
          <w:szCs w:val="18"/>
        </w:rPr>
        <w:t>Note:</w:t>
      </w:r>
    </w:p>
    <w:p w:rsidR="002F3AF7" w:rsidRPr="00272724" w:rsidRDefault="002F3AF7" w:rsidP="002F3AF7">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 xml:space="preserve">All indices have been normalised to 100 on </w:t>
      </w:r>
      <w:r>
        <w:rPr>
          <w:rFonts w:ascii="Garamond" w:hAnsi="Garamond"/>
          <w:bCs/>
          <w:sz w:val="18"/>
          <w:szCs w:val="18"/>
        </w:rPr>
        <w:t>31 January 2020</w:t>
      </w:r>
      <w:r w:rsidRPr="00272724">
        <w:rPr>
          <w:rFonts w:ascii="Garamond" w:eastAsia="Times New Roman" w:hAnsi="Garamond"/>
          <w:bCs/>
          <w:sz w:val="18"/>
          <w:szCs w:val="18"/>
        </w:rPr>
        <w:t>.</w:t>
      </w:r>
    </w:p>
    <w:p w:rsidR="002F3AF7" w:rsidRPr="00272724" w:rsidRDefault="002F3AF7" w:rsidP="002F3AF7">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2F3AF7" w:rsidRPr="00272724" w:rsidRDefault="002F3AF7" w:rsidP="002F3AF7">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MSCI Emerging Markets (EM) Currency Index tracks the performance of twenty-five emerging-market currencies relative to the US Dollar.</w:t>
      </w:r>
    </w:p>
    <w:p w:rsidR="002F3AF7" w:rsidRPr="00272724" w:rsidRDefault="002F3AF7" w:rsidP="002F3AF7">
      <w:pPr>
        <w:spacing w:line="23" w:lineRule="atLeast"/>
        <w:outlineLvl w:val="0"/>
        <w:rPr>
          <w:rFonts w:ascii="Garamond" w:hAnsi="Garamond"/>
          <w:bCs/>
          <w:sz w:val="18"/>
          <w:szCs w:val="18"/>
        </w:rPr>
      </w:pPr>
      <w:r w:rsidRPr="00272724">
        <w:rPr>
          <w:rFonts w:ascii="Garamond" w:hAnsi="Garamond"/>
          <w:bCs/>
          <w:sz w:val="18"/>
          <w:szCs w:val="18"/>
        </w:rPr>
        <w:t xml:space="preserve">Source: </w:t>
      </w:r>
      <w:r>
        <w:rPr>
          <w:rFonts w:ascii="Garamond" w:hAnsi="Garamond"/>
          <w:bCs/>
          <w:sz w:val="18"/>
          <w:szCs w:val="18"/>
        </w:rPr>
        <w:t>Refinitiv</w:t>
      </w:r>
    </w:p>
    <w:p w:rsidR="002F3AF7" w:rsidRPr="00272724" w:rsidRDefault="002F3AF7" w:rsidP="002F3AF7">
      <w:pPr>
        <w:spacing w:after="240" w:line="23" w:lineRule="atLeast"/>
        <w:jc w:val="both"/>
        <w:rPr>
          <w:rFonts w:ascii="Garamond" w:eastAsia="Times New Roman" w:hAnsi="Garamond"/>
          <w:bCs/>
          <w:strike/>
          <w:sz w:val="18"/>
          <w:szCs w:val="18"/>
          <w:lang w:eastAsia="en-GB"/>
        </w:rPr>
      </w:pPr>
    </w:p>
    <w:p w:rsidR="002F3AF7" w:rsidRPr="00272724" w:rsidRDefault="002F3AF7" w:rsidP="002F3AF7">
      <w:pPr>
        <w:spacing w:after="240" w:line="23" w:lineRule="atLeast"/>
        <w:jc w:val="both"/>
        <w:rPr>
          <w:rFonts w:ascii="Garamond" w:eastAsia="Times New Roman" w:hAnsi="Garamond"/>
          <w:bCs/>
          <w:strike/>
          <w:sz w:val="18"/>
          <w:szCs w:val="18"/>
          <w:lang w:eastAsia="en-GB"/>
        </w:rPr>
      </w:pPr>
    </w:p>
    <w:p w:rsidR="002F3AF7" w:rsidRPr="00272724" w:rsidRDefault="002F3AF7" w:rsidP="002F3AF7">
      <w:pPr>
        <w:rPr>
          <w:rFonts w:ascii="Garamond" w:hAnsi="Garamond"/>
          <w:b/>
          <w:bCs/>
          <w:szCs w:val="22"/>
        </w:rPr>
      </w:pPr>
    </w:p>
    <w:p w:rsidR="002F3AF7" w:rsidRDefault="002F3AF7" w:rsidP="002F3AF7">
      <w:pPr>
        <w:rPr>
          <w:rFonts w:ascii="Garamond" w:hAnsi="Garamond"/>
          <w:b/>
          <w:bCs/>
          <w:szCs w:val="22"/>
        </w:rPr>
        <w:sectPr w:rsidR="002F3AF7"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pPr>
    </w:p>
    <w:p w:rsidR="002F3AF7" w:rsidRPr="00272724" w:rsidRDefault="002F3AF7" w:rsidP="002F3AF7">
      <w:pPr>
        <w:rPr>
          <w:rFonts w:ascii="Garamond" w:hAnsi="Garamond"/>
          <w:b/>
          <w:bCs/>
          <w:szCs w:val="22"/>
        </w:rPr>
      </w:pPr>
      <w:r w:rsidRPr="00272724">
        <w:rPr>
          <w:rFonts w:ascii="Garamond" w:hAnsi="Garamond"/>
          <w:b/>
          <w:bCs/>
          <w:szCs w:val="22"/>
        </w:rPr>
        <w:t>Table A1: Performance of Stock Indices</w:t>
      </w:r>
    </w:p>
    <w:tbl>
      <w:tblPr>
        <w:tblW w:w="15360" w:type="dxa"/>
        <w:jc w:val="center"/>
        <w:tblLook w:val="04A0" w:firstRow="1" w:lastRow="0" w:firstColumn="1" w:lastColumn="0" w:noHBand="0" w:noVBand="1"/>
      </w:tblPr>
      <w:tblGrid>
        <w:gridCol w:w="1208"/>
        <w:gridCol w:w="2865"/>
        <w:gridCol w:w="1569"/>
        <w:gridCol w:w="1566"/>
        <w:gridCol w:w="1735"/>
        <w:gridCol w:w="1569"/>
        <w:gridCol w:w="1625"/>
        <w:gridCol w:w="1610"/>
        <w:gridCol w:w="1605"/>
        <w:gridCol w:w="8"/>
      </w:tblGrid>
      <w:tr w:rsidR="002F3AF7" w:rsidRPr="00601592" w:rsidTr="005F4FFF">
        <w:trPr>
          <w:gridAfter w:val="1"/>
          <w:wAfter w:w="8" w:type="dxa"/>
          <w:trHeight w:val="31"/>
          <w:jc w:val="center"/>
        </w:trPr>
        <w:tc>
          <w:tcPr>
            <w:tcW w:w="1208"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Country</w:t>
            </w:r>
          </w:p>
        </w:tc>
        <w:tc>
          <w:tcPr>
            <w:tcW w:w="286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Name of the Index</w:t>
            </w:r>
          </w:p>
        </w:tc>
        <w:tc>
          <w:tcPr>
            <w:tcW w:w="1569" w:type="dxa"/>
            <w:tcBorders>
              <w:top w:val="single" w:sz="8" w:space="0" w:color="auto"/>
              <w:left w:val="nil"/>
              <w:bottom w:val="nil"/>
              <w:right w:val="single" w:sz="8" w:space="0" w:color="auto"/>
            </w:tcBorders>
            <w:shd w:val="clear" w:color="000000" w:fill="B4C6E7"/>
            <w:noWrap/>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as on</w:t>
            </w:r>
          </w:p>
        </w:tc>
        <w:tc>
          <w:tcPr>
            <w:tcW w:w="6495" w:type="dxa"/>
            <w:gridSpan w:val="4"/>
            <w:tcBorders>
              <w:top w:val="single" w:sz="8" w:space="0" w:color="auto"/>
              <w:left w:val="nil"/>
              <w:bottom w:val="single" w:sz="8" w:space="0" w:color="auto"/>
              <w:right w:val="single" w:sz="8" w:space="0" w:color="000000"/>
            </w:tcBorders>
            <w:shd w:val="clear" w:color="000000" w:fill="B4C6E7"/>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before</w:t>
            </w:r>
          </w:p>
        </w:tc>
        <w:tc>
          <w:tcPr>
            <w:tcW w:w="161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Monthly Volatility (Annualised)</w:t>
            </w:r>
          </w:p>
        </w:tc>
        <w:tc>
          <w:tcPr>
            <w:tcW w:w="160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P/E Ratio</w:t>
            </w:r>
          </w:p>
        </w:tc>
      </w:tr>
      <w:tr w:rsidR="002F3AF7" w:rsidRPr="00601592" w:rsidTr="005F4FFF">
        <w:trPr>
          <w:gridAfter w:val="1"/>
          <w:wAfter w:w="9" w:type="dxa"/>
          <w:trHeight w:val="31"/>
          <w:jc w:val="center"/>
        </w:trPr>
        <w:tc>
          <w:tcPr>
            <w:tcW w:w="1208" w:type="dxa"/>
            <w:vMerge/>
            <w:tcBorders>
              <w:top w:val="single" w:sz="8" w:space="0" w:color="auto"/>
              <w:left w:val="single" w:sz="8" w:space="0" w:color="auto"/>
              <w:bottom w:val="single" w:sz="8" w:space="0" w:color="000000"/>
              <w:right w:val="single" w:sz="8" w:space="0" w:color="auto"/>
            </w:tcBorders>
            <w:vAlign w:val="center"/>
            <w:hideMark/>
          </w:tcPr>
          <w:p w:rsidR="002F3AF7" w:rsidRPr="00272724" w:rsidRDefault="002F3AF7" w:rsidP="005F4FFF">
            <w:pPr>
              <w:rPr>
                <w:rFonts w:ascii="Garamond" w:eastAsia="Times New Roman" w:hAnsi="Garamond" w:cs="Calibri"/>
                <w:b/>
                <w:bCs/>
                <w:color w:val="000000"/>
                <w:sz w:val="20"/>
                <w:szCs w:val="20"/>
                <w:lang w:val="en-IN" w:eastAsia="en-IN"/>
              </w:rPr>
            </w:pPr>
          </w:p>
        </w:tc>
        <w:tc>
          <w:tcPr>
            <w:tcW w:w="2865" w:type="dxa"/>
            <w:vMerge/>
            <w:tcBorders>
              <w:top w:val="single" w:sz="8" w:space="0" w:color="auto"/>
              <w:left w:val="single" w:sz="8" w:space="0" w:color="auto"/>
              <w:bottom w:val="single" w:sz="8" w:space="0" w:color="000000"/>
              <w:right w:val="single" w:sz="8" w:space="0" w:color="auto"/>
            </w:tcBorders>
            <w:vAlign w:val="center"/>
            <w:hideMark/>
          </w:tcPr>
          <w:p w:rsidR="002F3AF7" w:rsidRPr="00272724" w:rsidRDefault="002F3AF7" w:rsidP="005F4FFF">
            <w:pPr>
              <w:rPr>
                <w:rFonts w:ascii="Garamond" w:eastAsia="Times New Roman" w:hAnsi="Garamond" w:cs="Calibri"/>
                <w:b/>
                <w:bCs/>
                <w:color w:val="000000"/>
                <w:sz w:val="20"/>
                <w:szCs w:val="20"/>
                <w:lang w:val="en-IN" w:eastAsia="en-IN"/>
              </w:rPr>
            </w:pPr>
          </w:p>
        </w:tc>
        <w:tc>
          <w:tcPr>
            <w:tcW w:w="1569" w:type="dxa"/>
            <w:tcBorders>
              <w:top w:val="nil"/>
              <w:left w:val="nil"/>
              <w:bottom w:val="single" w:sz="8" w:space="0" w:color="auto"/>
              <w:right w:val="single" w:sz="8" w:space="0" w:color="auto"/>
            </w:tcBorders>
            <w:shd w:val="clear" w:color="000000" w:fill="B4C6E7"/>
            <w:noWrap/>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31-Jan-2021</w:t>
            </w:r>
          </w:p>
        </w:tc>
        <w:tc>
          <w:tcPr>
            <w:tcW w:w="1566" w:type="dxa"/>
            <w:tcBorders>
              <w:top w:val="nil"/>
              <w:left w:val="nil"/>
              <w:bottom w:val="single" w:sz="8" w:space="0" w:color="auto"/>
              <w:right w:val="single" w:sz="8" w:space="0" w:color="auto"/>
            </w:tcBorders>
            <w:shd w:val="clear" w:color="000000" w:fill="B4C6E7"/>
            <w:noWrap/>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1-Month</w:t>
            </w:r>
          </w:p>
        </w:tc>
        <w:tc>
          <w:tcPr>
            <w:tcW w:w="1735" w:type="dxa"/>
            <w:tcBorders>
              <w:top w:val="nil"/>
              <w:left w:val="nil"/>
              <w:bottom w:val="single" w:sz="8" w:space="0" w:color="auto"/>
              <w:right w:val="single" w:sz="8" w:space="0" w:color="auto"/>
            </w:tcBorders>
            <w:shd w:val="clear" w:color="000000" w:fill="B4C6E7"/>
            <w:noWrap/>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3-Month</w:t>
            </w:r>
          </w:p>
        </w:tc>
        <w:tc>
          <w:tcPr>
            <w:tcW w:w="1569" w:type="dxa"/>
            <w:tcBorders>
              <w:top w:val="nil"/>
              <w:left w:val="nil"/>
              <w:bottom w:val="single" w:sz="8" w:space="0" w:color="auto"/>
              <w:right w:val="single" w:sz="8" w:space="0" w:color="auto"/>
            </w:tcBorders>
            <w:shd w:val="clear" w:color="000000" w:fill="B4C6E7"/>
            <w:noWrap/>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6-Month</w:t>
            </w:r>
          </w:p>
        </w:tc>
        <w:tc>
          <w:tcPr>
            <w:tcW w:w="1624" w:type="dxa"/>
            <w:tcBorders>
              <w:top w:val="nil"/>
              <w:left w:val="nil"/>
              <w:bottom w:val="single" w:sz="8" w:space="0" w:color="auto"/>
              <w:right w:val="single" w:sz="8" w:space="0" w:color="auto"/>
            </w:tcBorders>
            <w:shd w:val="clear" w:color="000000" w:fill="B4C6E7"/>
            <w:noWrap/>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1-Year</w:t>
            </w:r>
          </w:p>
        </w:tc>
        <w:tc>
          <w:tcPr>
            <w:tcW w:w="1610" w:type="dxa"/>
            <w:vMerge/>
            <w:tcBorders>
              <w:top w:val="single" w:sz="8" w:space="0" w:color="auto"/>
              <w:left w:val="single" w:sz="8" w:space="0" w:color="auto"/>
              <w:bottom w:val="single" w:sz="8" w:space="0" w:color="000000"/>
              <w:right w:val="single" w:sz="8" w:space="0" w:color="auto"/>
            </w:tcBorders>
            <w:vAlign w:val="center"/>
            <w:hideMark/>
          </w:tcPr>
          <w:p w:rsidR="002F3AF7" w:rsidRPr="00272724" w:rsidRDefault="002F3AF7" w:rsidP="005F4FFF">
            <w:pPr>
              <w:rPr>
                <w:rFonts w:ascii="Garamond" w:eastAsia="Times New Roman" w:hAnsi="Garamond" w:cs="Calibri"/>
                <w:b/>
                <w:bCs/>
                <w:color w:val="000000"/>
                <w:sz w:val="20"/>
                <w:szCs w:val="20"/>
                <w:lang w:val="en-IN" w:eastAsia="en-IN"/>
              </w:rPr>
            </w:pPr>
          </w:p>
        </w:tc>
        <w:tc>
          <w:tcPr>
            <w:tcW w:w="1605" w:type="dxa"/>
            <w:vMerge/>
            <w:tcBorders>
              <w:top w:val="single" w:sz="8" w:space="0" w:color="auto"/>
              <w:left w:val="single" w:sz="8" w:space="0" w:color="auto"/>
              <w:bottom w:val="single" w:sz="8" w:space="0" w:color="000000"/>
              <w:right w:val="single" w:sz="8" w:space="0" w:color="auto"/>
            </w:tcBorders>
            <w:vAlign w:val="center"/>
            <w:hideMark/>
          </w:tcPr>
          <w:p w:rsidR="002F3AF7" w:rsidRPr="00272724" w:rsidRDefault="002F3AF7" w:rsidP="005F4FFF">
            <w:pPr>
              <w:rPr>
                <w:rFonts w:ascii="Garamond" w:eastAsia="Times New Roman" w:hAnsi="Garamond" w:cs="Calibri"/>
                <w:b/>
                <w:bCs/>
                <w:color w:val="000000"/>
                <w:sz w:val="20"/>
                <w:szCs w:val="20"/>
                <w:lang w:val="en-IN" w:eastAsia="en-IN"/>
              </w:rPr>
            </w:pPr>
          </w:p>
        </w:tc>
      </w:tr>
      <w:tr w:rsidR="002F3AF7" w:rsidRPr="00601592" w:rsidTr="005F4FFF">
        <w:trPr>
          <w:trHeight w:val="31"/>
          <w:jc w:val="center"/>
        </w:trPr>
        <w:tc>
          <w:tcPr>
            <w:tcW w:w="15360" w:type="dxa"/>
            <w:gridSpan w:val="10"/>
            <w:tcBorders>
              <w:top w:val="single" w:sz="8" w:space="0" w:color="auto"/>
              <w:left w:val="single" w:sz="8" w:space="0" w:color="auto"/>
              <w:bottom w:val="single" w:sz="8" w:space="0" w:color="auto"/>
              <w:right w:val="single" w:sz="8" w:space="0" w:color="000000"/>
            </w:tcBorders>
            <w:shd w:val="clear" w:color="000000" w:fill="D9E1F2"/>
            <w:noWrap/>
            <w:hideMark/>
          </w:tcPr>
          <w:p w:rsidR="002F3AF7" w:rsidRPr="00272724" w:rsidRDefault="002F3AF7" w:rsidP="005F4FF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BRICS Nations</w:t>
            </w:r>
          </w:p>
        </w:tc>
      </w:tr>
      <w:tr w:rsidR="002F3AF7" w:rsidRPr="00601592" w:rsidTr="005F4FFF">
        <w:trPr>
          <w:gridAfter w:val="1"/>
          <w:wAfter w:w="9" w:type="dxa"/>
          <w:trHeight w:val="46"/>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Brazil</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BRAZIL IBOVESPA </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jc w:val="right"/>
              <w:rPr>
                <w:rFonts w:ascii="Garamond" w:hAnsi="Garamond" w:cs="Calibri"/>
                <w:sz w:val="18"/>
                <w:szCs w:val="18"/>
                <w:lang w:val="en-IN" w:eastAsia="en-IN" w:bidi="hi-IN"/>
              </w:rPr>
            </w:pPr>
            <w:r w:rsidRPr="005C797A">
              <w:rPr>
                <w:rFonts w:ascii="Garamond" w:hAnsi="Garamond" w:cs="Calibri"/>
                <w:sz w:val="18"/>
                <w:szCs w:val="18"/>
              </w:rPr>
              <w:t>115067.6</w:t>
            </w:r>
          </w:p>
        </w:tc>
        <w:tc>
          <w:tcPr>
            <w:tcW w:w="1566" w:type="dxa"/>
            <w:tcBorders>
              <w:top w:val="nil"/>
              <w:left w:val="nil"/>
              <w:bottom w:val="nil"/>
              <w:right w:val="single" w:sz="8" w:space="0" w:color="auto"/>
            </w:tcBorders>
            <w:shd w:val="clear" w:color="auto" w:fill="auto"/>
            <w:noWrap/>
            <w:hideMark/>
          </w:tcPr>
          <w:p w:rsidR="002F3AF7" w:rsidRPr="005C797A" w:rsidRDefault="002F3AF7" w:rsidP="005F4FFF">
            <w:pPr>
              <w:ind w:leftChars="-4" w:left="-1" w:right="221" w:hangingChars="5" w:hanging="9"/>
              <w:jc w:val="right"/>
              <w:rPr>
                <w:rFonts w:ascii="Garamond" w:hAnsi="Garamond" w:cs="Calibri"/>
                <w:sz w:val="18"/>
                <w:szCs w:val="18"/>
              </w:rPr>
            </w:pPr>
            <w:r w:rsidRPr="005C797A">
              <w:rPr>
                <w:rFonts w:ascii="Garamond" w:hAnsi="Garamond" w:cs="Calibri"/>
                <w:sz w:val="18"/>
                <w:szCs w:val="18"/>
              </w:rPr>
              <w:t>119017.2</w:t>
            </w:r>
          </w:p>
        </w:tc>
        <w:tc>
          <w:tcPr>
            <w:tcW w:w="173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93952.4</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102912.2</w:t>
            </w:r>
          </w:p>
        </w:tc>
        <w:tc>
          <w:tcPr>
            <w:tcW w:w="1624"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113760.6</w:t>
            </w:r>
          </w:p>
        </w:tc>
        <w:tc>
          <w:tcPr>
            <w:tcW w:w="1610"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lang w:val="en-IN" w:eastAsia="en-IN" w:bidi="hi-IN"/>
              </w:rPr>
            </w:pPr>
            <w:r w:rsidRPr="005C797A">
              <w:rPr>
                <w:rFonts w:ascii="Garamond" w:hAnsi="Garamond" w:cs="Calibri"/>
                <w:sz w:val="18"/>
                <w:szCs w:val="18"/>
              </w:rPr>
              <w:t>115067.6</w:t>
            </w:r>
          </w:p>
        </w:tc>
        <w:tc>
          <w:tcPr>
            <w:tcW w:w="160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119017.2</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Russia</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RUSSIAN TRADED </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1776.2</w:t>
            </w:r>
          </w:p>
        </w:tc>
        <w:tc>
          <w:tcPr>
            <w:tcW w:w="1566"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1802.3</w:t>
            </w:r>
          </w:p>
        </w:tc>
        <w:tc>
          <w:tcPr>
            <w:tcW w:w="173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1329.5</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1618.1</w:t>
            </w:r>
          </w:p>
        </w:tc>
        <w:tc>
          <w:tcPr>
            <w:tcW w:w="1624"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2179.9</w:t>
            </w:r>
          </w:p>
        </w:tc>
        <w:tc>
          <w:tcPr>
            <w:tcW w:w="1610"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1776.2</w:t>
            </w:r>
          </w:p>
        </w:tc>
        <w:tc>
          <w:tcPr>
            <w:tcW w:w="160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1802.3</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India</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Nifty 50</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13634.6</w:t>
            </w:r>
          </w:p>
        </w:tc>
        <w:tc>
          <w:tcPr>
            <w:tcW w:w="1566"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13981.8</w:t>
            </w:r>
          </w:p>
        </w:tc>
        <w:tc>
          <w:tcPr>
            <w:tcW w:w="173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11642.4</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11073.5</w:t>
            </w:r>
          </w:p>
        </w:tc>
        <w:tc>
          <w:tcPr>
            <w:tcW w:w="1624"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11962.1</w:t>
            </w:r>
          </w:p>
        </w:tc>
        <w:tc>
          <w:tcPr>
            <w:tcW w:w="1610"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13634.6</w:t>
            </w:r>
          </w:p>
        </w:tc>
        <w:tc>
          <w:tcPr>
            <w:tcW w:w="160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13981.8</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E05719" w:rsidRDefault="002F3AF7" w:rsidP="005F4FFF">
            <w:pPr>
              <w:rPr>
                <w:rFonts w:ascii="Garamond" w:eastAsia="Times New Roman" w:hAnsi="Garamond" w:cs="Calibri"/>
                <w:color w:val="000000"/>
                <w:sz w:val="20"/>
                <w:szCs w:val="20"/>
                <w:lang w:val="en-IN" w:eastAsia="en-IN"/>
              </w:rPr>
            </w:pPr>
            <w:r w:rsidRPr="00E05719">
              <w:rPr>
                <w:rFonts w:ascii="Garamond" w:eastAsia="Times New Roman" w:hAnsi="Garamond" w:cs="Calibri"/>
                <w:color w:val="000000"/>
                <w:sz w:val="20"/>
                <w:szCs w:val="20"/>
                <w:lang w:val="en-IN" w:eastAsia="en-IN"/>
              </w:rPr>
              <w:t>India</w:t>
            </w:r>
          </w:p>
        </w:tc>
        <w:tc>
          <w:tcPr>
            <w:tcW w:w="2865" w:type="dxa"/>
            <w:tcBorders>
              <w:top w:val="nil"/>
              <w:left w:val="nil"/>
              <w:bottom w:val="nil"/>
              <w:right w:val="single" w:sz="8" w:space="0" w:color="auto"/>
            </w:tcBorders>
            <w:shd w:val="clear" w:color="000000" w:fill="D9E1F2"/>
            <w:noWrap/>
            <w:hideMark/>
          </w:tcPr>
          <w:p w:rsidR="002F3AF7" w:rsidRPr="00E05719" w:rsidRDefault="002F3AF7" w:rsidP="005F4FFF">
            <w:pPr>
              <w:rPr>
                <w:rFonts w:ascii="Garamond" w:eastAsia="Times New Roman" w:hAnsi="Garamond" w:cs="Calibri"/>
                <w:color w:val="000000"/>
                <w:sz w:val="18"/>
                <w:szCs w:val="18"/>
                <w:lang w:val="en-IN" w:eastAsia="en-IN"/>
              </w:rPr>
            </w:pPr>
            <w:r w:rsidRPr="00E05719">
              <w:rPr>
                <w:rFonts w:ascii="Garamond" w:eastAsia="Times New Roman" w:hAnsi="Garamond" w:cs="Calibri"/>
                <w:color w:val="000000"/>
                <w:sz w:val="18"/>
                <w:szCs w:val="18"/>
                <w:lang w:val="en-IN" w:eastAsia="en-IN"/>
              </w:rPr>
              <w:t xml:space="preserve">S&amp;P BSE SENSEX </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46285.8</w:t>
            </w:r>
          </w:p>
        </w:tc>
        <w:tc>
          <w:tcPr>
            <w:tcW w:w="1566"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47751.3</w:t>
            </w:r>
          </w:p>
        </w:tc>
        <w:tc>
          <w:tcPr>
            <w:tcW w:w="173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39614.1</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37606.9</w:t>
            </w:r>
          </w:p>
        </w:tc>
        <w:tc>
          <w:tcPr>
            <w:tcW w:w="1624"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40723.5</w:t>
            </w:r>
          </w:p>
        </w:tc>
        <w:tc>
          <w:tcPr>
            <w:tcW w:w="1610"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46285.8</w:t>
            </w:r>
          </w:p>
        </w:tc>
        <w:tc>
          <w:tcPr>
            <w:tcW w:w="160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47751.3</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China</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SHANGHAI SE COMPOSITE</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3483.1</w:t>
            </w:r>
          </w:p>
        </w:tc>
        <w:tc>
          <w:tcPr>
            <w:tcW w:w="1566"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3473.1</w:t>
            </w:r>
          </w:p>
        </w:tc>
        <w:tc>
          <w:tcPr>
            <w:tcW w:w="173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3224.5</w:t>
            </w:r>
          </w:p>
        </w:tc>
        <w:tc>
          <w:tcPr>
            <w:tcW w:w="1569"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3310.0</w:t>
            </w:r>
          </w:p>
        </w:tc>
        <w:tc>
          <w:tcPr>
            <w:tcW w:w="1624"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2976.5</w:t>
            </w:r>
          </w:p>
        </w:tc>
        <w:tc>
          <w:tcPr>
            <w:tcW w:w="1610"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3483.1</w:t>
            </w:r>
          </w:p>
        </w:tc>
        <w:tc>
          <w:tcPr>
            <w:tcW w:w="160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3473.1</w:t>
            </w:r>
          </w:p>
        </w:tc>
      </w:tr>
      <w:tr w:rsidR="002F3AF7" w:rsidRPr="00601592" w:rsidTr="005F4FFF">
        <w:trPr>
          <w:gridAfter w:val="1"/>
          <w:wAfter w:w="9" w:type="dxa"/>
          <w:trHeight w:val="31"/>
          <w:jc w:val="center"/>
        </w:trPr>
        <w:tc>
          <w:tcPr>
            <w:tcW w:w="1208" w:type="dxa"/>
            <w:tcBorders>
              <w:top w:val="nil"/>
              <w:left w:val="single" w:sz="8" w:space="0" w:color="auto"/>
              <w:bottom w:val="single" w:sz="8" w:space="0" w:color="auto"/>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Africa</w:t>
            </w:r>
          </w:p>
        </w:tc>
        <w:tc>
          <w:tcPr>
            <w:tcW w:w="2865" w:type="dxa"/>
            <w:tcBorders>
              <w:top w:val="nil"/>
              <w:left w:val="nil"/>
              <w:bottom w:val="single" w:sz="8" w:space="0" w:color="auto"/>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FTSE/JSE AFRICA ALL SHR</w:t>
            </w:r>
          </w:p>
        </w:tc>
        <w:tc>
          <w:tcPr>
            <w:tcW w:w="1569" w:type="dxa"/>
            <w:tcBorders>
              <w:top w:val="nil"/>
              <w:left w:val="nil"/>
              <w:bottom w:val="single" w:sz="8" w:space="0" w:color="auto"/>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62472.1</w:t>
            </w:r>
          </w:p>
        </w:tc>
        <w:tc>
          <w:tcPr>
            <w:tcW w:w="1566" w:type="dxa"/>
            <w:tcBorders>
              <w:top w:val="nil"/>
              <w:left w:val="nil"/>
              <w:bottom w:val="single" w:sz="8" w:space="0" w:color="auto"/>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59408.7</w:t>
            </w:r>
          </w:p>
        </w:tc>
        <w:tc>
          <w:tcPr>
            <w:tcW w:w="1735" w:type="dxa"/>
            <w:tcBorders>
              <w:top w:val="nil"/>
              <w:left w:val="nil"/>
              <w:bottom w:val="single" w:sz="8" w:space="0" w:color="auto"/>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51684.7</w:t>
            </w:r>
          </w:p>
        </w:tc>
        <w:tc>
          <w:tcPr>
            <w:tcW w:w="1569" w:type="dxa"/>
            <w:tcBorders>
              <w:top w:val="nil"/>
              <w:left w:val="nil"/>
              <w:bottom w:val="single" w:sz="8" w:space="0" w:color="auto"/>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55721.8</w:t>
            </w:r>
          </w:p>
        </w:tc>
        <w:tc>
          <w:tcPr>
            <w:tcW w:w="1624" w:type="dxa"/>
            <w:tcBorders>
              <w:top w:val="nil"/>
              <w:left w:val="nil"/>
              <w:bottom w:val="single" w:sz="8" w:space="0" w:color="auto"/>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56079.5</w:t>
            </w:r>
          </w:p>
        </w:tc>
        <w:tc>
          <w:tcPr>
            <w:tcW w:w="1610"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62472.1</w:t>
            </w:r>
          </w:p>
        </w:tc>
        <w:tc>
          <w:tcPr>
            <w:tcW w:w="1605" w:type="dxa"/>
            <w:tcBorders>
              <w:top w:val="nil"/>
              <w:left w:val="nil"/>
              <w:bottom w:val="nil"/>
              <w:right w:val="single" w:sz="8" w:space="0" w:color="auto"/>
            </w:tcBorders>
            <w:shd w:val="clear" w:color="auto" w:fill="auto"/>
            <w:noWrap/>
            <w:hideMark/>
          </w:tcPr>
          <w:p w:rsidR="002F3AF7" w:rsidRPr="005C797A" w:rsidRDefault="002F3AF7" w:rsidP="005F4FFF">
            <w:pPr>
              <w:ind w:right="221" w:firstLineChars="100" w:firstLine="180"/>
              <w:jc w:val="right"/>
              <w:rPr>
                <w:rFonts w:ascii="Garamond" w:hAnsi="Garamond" w:cs="Calibri"/>
                <w:sz w:val="18"/>
                <w:szCs w:val="18"/>
              </w:rPr>
            </w:pPr>
            <w:r w:rsidRPr="005C797A">
              <w:rPr>
                <w:rFonts w:ascii="Garamond" w:hAnsi="Garamond" w:cs="Calibri"/>
                <w:sz w:val="18"/>
                <w:szCs w:val="18"/>
              </w:rPr>
              <w:t>59408.7</w:t>
            </w:r>
          </w:p>
        </w:tc>
      </w:tr>
      <w:tr w:rsidR="002F3AF7" w:rsidRPr="00601592" w:rsidTr="005F4FFF">
        <w:trPr>
          <w:trHeight w:val="31"/>
          <w:jc w:val="center"/>
        </w:trPr>
        <w:tc>
          <w:tcPr>
            <w:tcW w:w="15360" w:type="dxa"/>
            <w:gridSpan w:val="10"/>
            <w:tcBorders>
              <w:top w:val="single" w:sz="8" w:space="0" w:color="auto"/>
              <w:left w:val="single" w:sz="8" w:space="0" w:color="auto"/>
              <w:bottom w:val="single" w:sz="8" w:space="0" w:color="auto"/>
              <w:right w:val="single" w:sz="8" w:space="0" w:color="000000"/>
            </w:tcBorders>
            <w:shd w:val="clear" w:color="000000" w:fill="D9E1F2"/>
            <w:hideMark/>
          </w:tcPr>
          <w:p w:rsidR="002F3AF7" w:rsidRPr="00272724" w:rsidRDefault="002F3AF7" w:rsidP="005F4FFF">
            <w:pPr>
              <w:ind w:right="221"/>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Developed Markets</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NASDAQ COMPOSITE </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lang w:val="en-IN" w:eastAsia="en-IN" w:bidi="hi-IN"/>
              </w:rPr>
            </w:pPr>
            <w:r>
              <w:rPr>
                <w:rFonts w:ascii="Garamond" w:hAnsi="Garamond" w:cs="Calibri"/>
                <w:sz w:val="20"/>
                <w:szCs w:val="20"/>
              </w:rPr>
              <w:t>13070.7</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12888.3</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10911.6</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10745.3</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9150.9</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39.9</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NA</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DOW JONES INDUS. AVG</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29982.6</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30606.5</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26501.6</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26428.3</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28256.0</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NA</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22.6</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France</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CAC 40 </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5399.2</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5551.4</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4594.2</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4783.7</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5806.3</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59.9</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22.3</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Germany</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DAX </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13432.9</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13718.8</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11556.5</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12313.4</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12982.0</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43.5</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23.9</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UK</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FTSE 100 </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6407.5</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6460.5</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5577.3</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5897.8</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7286.0</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43.9</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16.9</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Hong Kong</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HANG SENG </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28283.7</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27231.1</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24107.4</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24595.4</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26312.6</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29.0</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15.5</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Korea</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KOSPI </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2976.2</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2873.5</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2267.2</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2249.4</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2119.0</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49.7</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NA</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Japan</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NIKKEI 225</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27663.4</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27444.2</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22977.1</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21710.0</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23205.2</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NA</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27.8</w:t>
            </w:r>
          </w:p>
        </w:tc>
      </w:tr>
      <w:tr w:rsidR="002F3AF7" w:rsidRPr="00601592" w:rsidTr="005F4FFF">
        <w:trPr>
          <w:gridAfter w:val="1"/>
          <w:wAfter w:w="9" w:type="dxa"/>
          <w:trHeight w:val="27"/>
          <w:jc w:val="center"/>
        </w:trPr>
        <w:tc>
          <w:tcPr>
            <w:tcW w:w="1208" w:type="dxa"/>
            <w:tcBorders>
              <w:top w:val="nil"/>
              <w:left w:val="single" w:sz="8" w:space="0" w:color="auto"/>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Singapore</w:t>
            </w:r>
          </w:p>
        </w:tc>
        <w:tc>
          <w:tcPr>
            <w:tcW w:w="2865" w:type="dxa"/>
            <w:tcBorders>
              <w:top w:val="nil"/>
              <w:left w:val="nil"/>
              <w:bottom w:val="nil"/>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STRAITS TIMES  STI</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2902.5</w:t>
            </w:r>
          </w:p>
        </w:tc>
        <w:tc>
          <w:tcPr>
            <w:tcW w:w="1566"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2843.8</w:t>
            </w:r>
          </w:p>
        </w:tc>
        <w:tc>
          <w:tcPr>
            <w:tcW w:w="173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2423.8</w:t>
            </w:r>
          </w:p>
        </w:tc>
        <w:tc>
          <w:tcPr>
            <w:tcW w:w="1569"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2529.8</w:t>
            </w:r>
          </w:p>
        </w:tc>
        <w:tc>
          <w:tcPr>
            <w:tcW w:w="1624"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3153.7</w:t>
            </w:r>
          </w:p>
        </w:tc>
        <w:tc>
          <w:tcPr>
            <w:tcW w:w="1610"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42.2</w:t>
            </w:r>
          </w:p>
        </w:tc>
        <w:tc>
          <w:tcPr>
            <w:tcW w:w="1605" w:type="dxa"/>
            <w:tcBorders>
              <w:top w:val="nil"/>
              <w:left w:val="nil"/>
              <w:bottom w:val="nil"/>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12.0</w:t>
            </w:r>
          </w:p>
        </w:tc>
      </w:tr>
      <w:tr w:rsidR="002F3AF7" w:rsidRPr="00601592" w:rsidTr="005F4FFF">
        <w:trPr>
          <w:gridAfter w:val="1"/>
          <w:wAfter w:w="9" w:type="dxa"/>
          <w:trHeight w:val="31"/>
          <w:jc w:val="center"/>
        </w:trPr>
        <w:tc>
          <w:tcPr>
            <w:tcW w:w="1208" w:type="dxa"/>
            <w:tcBorders>
              <w:top w:val="nil"/>
              <w:left w:val="single" w:sz="8" w:space="0" w:color="auto"/>
              <w:bottom w:val="single" w:sz="8" w:space="0" w:color="auto"/>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Taiwan</w:t>
            </w:r>
          </w:p>
        </w:tc>
        <w:tc>
          <w:tcPr>
            <w:tcW w:w="2865" w:type="dxa"/>
            <w:tcBorders>
              <w:top w:val="nil"/>
              <w:left w:val="nil"/>
              <w:bottom w:val="single" w:sz="8" w:space="0" w:color="auto"/>
              <w:right w:val="single" w:sz="8" w:space="0" w:color="auto"/>
            </w:tcBorders>
            <w:shd w:val="clear" w:color="000000" w:fill="D9E1F2"/>
            <w:noWrap/>
            <w:hideMark/>
          </w:tcPr>
          <w:p w:rsidR="002F3AF7" w:rsidRPr="00272724" w:rsidRDefault="002F3AF7" w:rsidP="005F4FF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TAIWAN TAIEX </w:t>
            </w:r>
          </w:p>
        </w:tc>
        <w:tc>
          <w:tcPr>
            <w:tcW w:w="1569" w:type="dxa"/>
            <w:tcBorders>
              <w:top w:val="nil"/>
              <w:left w:val="nil"/>
              <w:bottom w:val="single" w:sz="8" w:space="0" w:color="auto"/>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15138.3</w:t>
            </w:r>
          </w:p>
        </w:tc>
        <w:tc>
          <w:tcPr>
            <w:tcW w:w="1566" w:type="dxa"/>
            <w:tcBorders>
              <w:top w:val="nil"/>
              <w:left w:val="nil"/>
              <w:bottom w:val="single" w:sz="8" w:space="0" w:color="auto"/>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14732.5</w:t>
            </w:r>
          </w:p>
        </w:tc>
        <w:tc>
          <w:tcPr>
            <w:tcW w:w="1735" w:type="dxa"/>
            <w:tcBorders>
              <w:top w:val="nil"/>
              <w:left w:val="nil"/>
              <w:bottom w:val="single" w:sz="8" w:space="0" w:color="auto"/>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12546.3</w:t>
            </w:r>
          </w:p>
        </w:tc>
        <w:tc>
          <w:tcPr>
            <w:tcW w:w="1569" w:type="dxa"/>
            <w:tcBorders>
              <w:top w:val="nil"/>
              <w:left w:val="nil"/>
              <w:bottom w:val="single" w:sz="8" w:space="0" w:color="auto"/>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12664.8</w:t>
            </w:r>
          </w:p>
        </w:tc>
        <w:tc>
          <w:tcPr>
            <w:tcW w:w="1624" w:type="dxa"/>
            <w:tcBorders>
              <w:top w:val="nil"/>
              <w:left w:val="nil"/>
              <w:bottom w:val="single" w:sz="8" w:space="0" w:color="auto"/>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11495.1</w:t>
            </w:r>
          </w:p>
        </w:tc>
        <w:tc>
          <w:tcPr>
            <w:tcW w:w="1610" w:type="dxa"/>
            <w:tcBorders>
              <w:top w:val="nil"/>
              <w:left w:val="nil"/>
              <w:bottom w:val="single" w:sz="8" w:space="0" w:color="auto"/>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34.0</w:t>
            </w:r>
          </w:p>
        </w:tc>
        <w:tc>
          <w:tcPr>
            <w:tcW w:w="1605" w:type="dxa"/>
            <w:tcBorders>
              <w:top w:val="nil"/>
              <w:left w:val="nil"/>
              <w:bottom w:val="single" w:sz="8" w:space="0" w:color="auto"/>
              <w:right w:val="single" w:sz="8" w:space="0" w:color="auto"/>
            </w:tcBorders>
            <w:shd w:val="clear" w:color="auto" w:fill="auto"/>
            <w:noWrap/>
            <w:hideMark/>
          </w:tcPr>
          <w:p w:rsidR="002F3AF7" w:rsidRDefault="002F3AF7" w:rsidP="005F4FFF">
            <w:pPr>
              <w:ind w:right="221" w:firstLineChars="100" w:firstLine="200"/>
              <w:jc w:val="right"/>
              <w:rPr>
                <w:rFonts w:ascii="Garamond" w:hAnsi="Garamond" w:cs="Calibri"/>
                <w:sz w:val="20"/>
                <w:szCs w:val="20"/>
              </w:rPr>
            </w:pPr>
            <w:r>
              <w:rPr>
                <w:rFonts w:ascii="Garamond" w:hAnsi="Garamond" w:cs="Calibri"/>
                <w:sz w:val="20"/>
                <w:szCs w:val="20"/>
              </w:rPr>
              <w:t>20.5</w:t>
            </w:r>
          </w:p>
        </w:tc>
      </w:tr>
    </w:tbl>
    <w:p w:rsidR="002F3AF7" w:rsidRPr="00272724" w:rsidRDefault="002F3AF7" w:rsidP="002F3AF7">
      <w:pPr>
        <w:spacing w:line="23" w:lineRule="atLeast"/>
        <w:jc w:val="both"/>
        <w:rPr>
          <w:rFonts w:ascii="Garamond" w:hAnsi="Garamond"/>
          <w:bCs/>
          <w:sz w:val="18"/>
          <w:szCs w:val="18"/>
        </w:rPr>
      </w:pPr>
      <w:r w:rsidRPr="00272724">
        <w:rPr>
          <w:rFonts w:ascii="Garamond" w:hAnsi="Garamond"/>
          <w:bCs/>
          <w:sz w:val="18"/>
          <w:szCs w:val="18"/>
        </w:rPr>
        <w:t xml:space="preserve"> Note: P/E Ratios as on the last trading day</w:t>
      </w:r>
      <w:r>
        <w:rPr>
          <w:rFonts w:ascii="Garamond" w:hAnsi="Garamond"/>
          <w:bCs/>
          <w:sz w:val="18"/>
          <w:szCs w:val="18"/>
        </w:rPr>
        <w:t xml:space="preserve"> of month</w:t>
      </w:r>
      <w:r w:rsidRPr="00272724">
        <w:rPr>
          <w:rFonts w:ascii="Garamond" w:hAnsi="Garamond"/>
          <w:bCs/>
          <w:sz w:val="18"/>
          <w:szCs w:val="18"/>
        </w:rPr>
        <w:t>.</w:t>
      </w:r>
      <w:r>
        <w:rPr>
          <w:rFonts w:ascii="Garamond" w:hAnsi="Garamond"/>
          <w:bCs/>
          <w:sz w:val="18"/>
          <w:szCs w:val="18"/>
        </w:rPr>
        <w:t xml:space="preserve"> Trailing PE ratio has been used from Refinitiv for all Indices apart from Sensex, Nifty 50, </w:t>
      </w:r>
      <w:r w:rsidRPr="00A1772C">
        <w:rPr>
          <w:rFonts w:ascii="Garamond" w:hAnsi="Garamond"/>
          <w:bCs/>
          <w:sz w:val="18"/>
          <w:szCs w:val="18"/>
        </w:rPr>
        <w:t>Kospi,</w:t>
      </w:r>
      <w:r>
        <w:rPr>
          <w:rFonts w:ascii="Garamond" w:hAnsi="Garamond"/>
          <w:bCs/>
          <w:sz w:val="18"/>
          <w:szCs w:val="18"/>
        </w:rPr>
        <w:t xml:space="preserve"> Nikkei and Taiwan Taiex. Forward PE from Refinitiv was used for </w:t>
      </w:r>
      <w:r w:rsidRPr="00A1772C">
        <w:rPr>
          <w:rFonts w:ascii="Garamond" w:hAnsi="Garamond"/>
          <w:bCs/>
          <w:sz w:val="18"/>
          <w:szCs w:val="18"/>
        </w:rPr>
        <w:t>Kospi,</w:t>
      </w:r>
      <w:r>
        <w:rPr>
          <w:rFonts w:ascii="Garamond" w:hAnsi="Garamond"/>
          <w:bCs/>
          <w:sz w:val="18"/>
          <w:szCs w:val="18"/>
        </w:rPr>
        <w:t xml:space="preserve"> Nikkei and Taiwan Taiex. Data for Sensex and Nifty was taken from respective exchange website. Data is as on </w:t>
      </w:r>
      <w:r>
        <w:rPr>
          <w:rFonts w:ascii="Garamond" w:hAnsi="Garamond"/>
          <w:bCs/>
          <w:sz w:val="18"/>
          <w:szCs w:val="18"/>
          <w:lang w:val="en-US"/>
        </w:rPr>
        <w:t>14 January 2021</w:t>
      </w:r>
    </w:p>
    <w:p w:rsidR="002F3AF7" w:rsidRPr="00272724" w:rsidRDefault="002F3AF7" w:rsidP="002F3AF7">
      <w:pPr>
        <w:spacing w:line="23" w:lineRule="atLeast"/>
        <w:jc w:val="both"/>
        <w:rPr>
          <w:rFonts w:ascii="Garamond" w:hAnsi="Garamond"/>
          <w:bCs/>
          <w:sz w:val="18"/>
          <w:szCs w:val="18"/>
        </w:rPr>
      </w:pPr>
      <w:r w:rsidRPr="00272724">
        <w:rPr>
          <w:rFonts w:ascii="Garamond" w:hAnsi="Garamond"/>
          <w:bCs/>
          <w:sz w:val="18"/>
          <w:szCs w:val="18"/>
        </w:rPr>
        <w:t xml:space="preserve">Source: </w:t>
      </w:r>
      <w:r>
        <w:rPr>
          <w:rFonts w:ascii="Garamond" w:hAnsi="Garamond"/>
          <w:bCs/>
          <w:sz w:val="18"/>
          <w:szCs w:val="18"/>
        </w:rPr>
        <w:t>Refinitiv</w:t>
      </w:r>
      <w:r w:rsidRPr="00272724">
        <w:rPr>
          <w:rFonts w:ascii="Garamond" w:hAnsi="Garamond"/>
          <w:bCs/>
          <w:sz w:val="18"/>
          <w:szCs w:val="18"/>
        </w:rPr>
        <w:t xml:space="preserve">, BSE and National Stock Exchange </w:t>
      </w:r>
    </w:p>
    <w:p w:rsidR="002F3AF7" w:rsidRDefault="002F3AF7" w:rsidP="002F3AF7">
      <w:pPr>
        <w:spacing w:line="23" w:lineRule="atLeast"/>
        <w:jc w:val="both"/>
        <w:rPr>
          <w:rFonts w:ascii="Garamond" w:hAnsi="Garamond"/>
          <w:b/>
          <w:bCs/>
          <w:szCs w:val="22"/>
        </w:rPr>
        <w:sectPr w:rsidR="002F3AF7" w:rsidSect="005F4FFF">
          <w:pgSz w:w="16838" w:h="11906" w:orient="landscape" w:code="9"/>
          <w:pgMar w:top="1009" w:right="578" w:bottom="1009" w:left="578" w:header="431" w:footer="431" w:gutter="0"/>
          <w:cols w:space="720"/>
          <w:docGrid w:linePitch="360"/>
        </w:sectPr>
      </w:pPr>
    </w:p>
    <w:p w:rsidR="002F3AF7" w:rsidRPr="00272724" w:rsidRDefault="002F3AF7" w:rsidP="002F3AF7">
      <w:pPr>
        <w:spacing w:line="23" w:lineRule="atLeast"/>
        <w:jc w:val="both"/>
        <w:rPr>
          <w:rFonts w:ascii="Garamond" w:hAnsi="Garamond"/>
          <w:b/>
          <w:bCs/>
          <w:szCs w:val="22"/>
        </w:rPr>
      </w:pPr>
    </w:p>
    <w:p w:rsidR="002F3AF7" w:rsidRPr="00272724" w:rsidRDefault="002F3AF7" w:rsidP="002F3AF7">
      <w:pPr>
        <w:spacing w:line="23" w:lineRule="atLeast"/>
        <w:jc w:val="both"/>
        <w:rPr>
          <w:rFonts w:ascii="Garamond" w:hAnsi="Garamond"/>
          <w:b/>
          <w:bCs/>
          <w:szCs w:val="22"/>
        </w:rPr>
      </w:pPr>
      <w:r w:rsidRPr="00272724">
        <w:rPr>
          <w:rFonts w:ascii="Garamond" w:hAnsi="Garamond"/>
          <w:b/>
          <w:bCs/>
          <w:szCs w:val="22"/>
        </w:rPr>
        <w:t>Table A2: Fund Mobilisation by Issuance of Equity and Bond in Major Exchanges (USD million)</w:t>
      </w:r>
    </w:p>
    <w:tbl>
      <w:tblPr>
        <w:tblW w:w="10081" w:type="dxa"/>
        <w:tblInd w:w="118" w:type="dxa"/>
        <w:tblLook w:val="04A0" w:firstRow="1" w:lastRow="0" w:firstColumn="1" w:lastColumn="0" w:noHBand="0" w:noVBand="1"/>
      </w:tblPr>
      <w:tblGrid>
        <w:gridCol w:w="3533"/>
        <w:gridCol w:w="1091"/>
        <w:gridCol w:w="1091"/>
        <w:gridCol w:w="1092"/>
        <w:gridCol w:w="1091"/>
        <w:gridCol w:w="1091"/>
        <w:gridCol w:w="1092"/>
      </w:tblGrid>
      <w:tr w:rsidR="002F3AF7" w:rsidRPr="00B05451" w:rsidTr="005F4FFF">
        <w:trPr>
          <w:trHeight w:val="263"/>
        </w:trPr>
        <w:tc>
          <w:tcPr>
            <w:tcW w:w="3533" w:type="dxa"/>
            <w:tcBorders>
              <w:top w:val="single" w:sz="8" w:space="0" w:color="auto"/>
              <w:left w:val="single" w:sz="8" w:space="0" w:color="auto"/>
              <w:bottom w:val="nil"/>
              <w:right w:val="single" w:sz="8"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Month</w:t>
            </w:r>
          </w:p>
        </w:tc>
        <w:tc>
          <w:tcPr>
            <w:tcW w:w="3274" w:type="dxa"/>
            <w:gridSpan w:val="3"/>
            <w:tcBorders>
              <w:top w:val="single" w:sz="8" w:space="0" w:color="auto"/>
              <w:left w:val="nil"/>
              <w:bottom w:val="nil"/>
              <w:right w:val="single" w:sz="8" w:space="0" w:color="000000"/>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Nov-20</w:t>
            </w:r>
          </w:p>
        </w:tc>
        <w:tc>
          <w:tcPr>
            <w:tcW w:w="3274" w:type="dxa"/>
            <w:gridSpan w:val="3"/>
            <w:tcBorders>
              <w:top w:val="single" w:sz="8" w:space="0" w:color="auto"/>
              <w:left w:val="nil"/>
              <w:bottom w:val="nil"/>
              <w:right w:val="single" w:sz="8" w:space="0" w:color="000000"/>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Dec-20</w:t>
            </w:r>
          </w:p>
        </w:tc>
      </w:tr>
      <w:tr w:rsidR="002F3AF7" w:rsidRPr="00B05451" w:rsidTr="005F4FFF">
        <w:trPr>
          <w:trHeight w:val="250"/>
        </w:trPr>
        <w:tc>
          <w:tcPr>
            <w:tcW w:w="3533"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Exchange Name</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Bond</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Equity</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Total</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Bond</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Equity</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F3AF7" w:rsidRPr="00B05451" w:rsidRDefault="002F3AF7" w:rsidP="005F4FFF">
            <w:pPr>
              <w:jc w:val="center"/>
              <w:rPr>
                <w:rFonts w:ascii="Garamond" w:eastAsia="Times New Roman" w:hAnsi="Garamond" w:cs="Calibri"/>
                <w:b/>
                <w:bCs/>
                <w:color w:val="FFFFFF"/>
                <w:sz w:val="20"/>
                <w:szCs w:val="20"/>
                <w:lang w:val="en-IN" w:eastAsia="en-IN" w:bidi="hi-IN"/>
              </w:rPr>
            </w:pPr>
            <w:r w:rsidRPr="00B05451">
              <w:rPr>
                <w:rFonts w:ascii="Garamond" w:eastAsia="Times New Roman" w:hAnsi="Garamond" w:cs="Calibri"/>
                <w:b/>
                <w:bCs/>
                <w:color w:val="FFFFFF"/>
                <w:sz w:val="20"/>
                <w:szCs w:val="20"/>
                <w:lang w:val="en-IN" w:eastAsia="en-IN" w:bidi="hi-IN"/>
              </w:rPr>
              <w:t>Total</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B3 - Brasil Bolsa Balcão</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Nasdaq - US</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NYSE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12,067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12,067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7,196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7,196</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ASX Australian Securities Exchange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3,264</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3,264</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10,820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10,820</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Hong Kong Exchanges and Clearing</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24,907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7,451</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32,358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8,620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17,920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26,539</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Japan Exchange Group</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4,251</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2,668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6,919</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16,969</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7,412</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24,381</w:t>
            </w:r>
          </w:p>
        </w:tc>
      </w:tr>
      <w:tr w:rsidR="002F3AF7" w:rsidRPr="00B05451" w:rsidTr="005F4FFF">
        <w:trPr>
          <w:trHeight w:val="250"/>
        </w:trPr>
        <w:tc>
          <w:tcPr>
            <w:tcW w:w="35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sz w:val="20"/>
                <w:szCs w:val="20"/>
                <w:lang w:val="en-IN" w:eastAsia="en-IN" w:bidi="hi-IN"/>
              </w:rPr>
            </w:pPr>
            <w:r w:rsidRPr="00B05451">
              <w:rPr>
                <w:rFonts w:ascii="Garamond" w:eastAsia="Times New Roman" w:hAnsi="Garamond" w:cs="Calibri"/>
                <w:sz w:val="20"/>
                <w:szCs w:val="20"/>
                <w:lang w:val="en-IN" w:eastAsia="en-IN" w:bidi="hi-IN"/>
              </w:rPr>
              <w:t>Korea Exchange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49,520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49,520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38,489</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38,489</w:t>
            </w:r>
          </w:p>
        </w:tc>
      </w:tr>
      <w:tr w:rsidR="002F3AF7" w:rsidRPr="00B05451" w:rsidTr="005F4FFF">
        <w:trPr>
          <w:trHeight w:val="250"/>
        </w:trPr>
        <w:tc>
          <w:tcPr>
            <w:tcW w:w="35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sz w:val="20"/>
                <w:szCs w:val="20"/>
                <w:lang w:val="en-IN" w:eastAsia="en-IN" w:bidi="hi-IN"/>
              </w:rPr>
            </w:pPr>
            <w:r w:rsidRPr="00B05451">
              <w:rPr>
                <w:rFonts w:ascii="Garamond" w:eastAsia="Times New Roman" w:hAnsi="Garamond" w:cs="Calibri"/>
                <w:sz w:val="20"/>
                <w:szCs w:val="20"/>
                <w:lang w:val="en-IN" w:eastAsia="en-IN" w:bidi="hi-IN"/>
              </w:rPr>
              <w:t>National Stock Exchange of India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35,042</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1,916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36,958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50,546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1,472</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52,018</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Shanghai Stock Exchange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8,136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8,136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13,513</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13,513</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Shenzhen Stock Exchange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13,622</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7,676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21,299</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15,272</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9,588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24,861</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Singapore Exchange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10,138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10,246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19,035</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19,532</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BME Spanish Exchanges</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15,897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81</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15,979</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32,278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3,001</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35,279</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Deutsche Boerse AG</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29,881</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29,881</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10,796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10,796</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Euronext</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4,215</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4,215</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11,801</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11,801</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Johannesburg Stock Exchange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4,313</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4,403</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3,796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3,913</w:t>
            </w:r>
          </w:p>
        </w:tc>
      </w:tr>
      <w:tr w:rsidR="002F3AF7" w:rsidRPr="00B05451" w:rsidTr="005F4FFF">
        <w:trPr>
          <w:trHeight w:val="250"/>
        </w:trPr>
        <w:tc>
          <w:tcPr>
            <w:tcW w:w="35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sz w:val="20"/>
                <w:szCs w:val="20"/>
                <w:lang w:val="en-IN" w:eastAsia="en-IN" w:bidi="hi-IN"/>
              </w:rPr>
            </w:pPr>
            <w:r w:rsidRPr="00B05451">
              <w:rPr>
                <w:rFonts w:ascii="Garamond" w:eastAsia="Times New Roman" w:hAnsi="Garamond" w:cs="Calibri"/>
                <w:sz w:val="20"/>
                <w:szCs w:val="20"/>
                <w:lang w:val="en-IN" w:eastAsia="en-IN" w:bidi="hi-IN"/>
              </w:rPr>
              <w:t>LSE Group</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67,467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7,380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74,848</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46,987</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3,535</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50,522</w:t>
            </w:r>
          </w:p>
        </w:tc>
      </w:tr>
      <w:tr w:rsidR="002F3AF7" w:rsidRPr="00B05451" w:rsidTr="005F4FFF">
        <w:trPr>
          <w:trHeight w:val="263"/>
        </w:trPr>
        <w:tc>
          <w:tcPr>
            <w:tcW w:w="3533" w:type="dxa"/>
            <w:tcBorders>
              <w:top w:val="nil"/>
              <w:left w:val="single" w:sz="4" w:space="0" w:color="auto"/>
              <w:bottom w:val="single" w:sz="4" w:space="0" w:color="auto"/>
              <w:right w:val="single" w:sz="4" w:space="0" w:color="auto"/>
            </w:tcBorders>
            <w:shd w:val="clear" w:color="auto" w:fill="auto"/>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Moscow Exchange</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29,576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29,576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22,616</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383</w:t>
            </w:r>
          </w:p>
        </w:tc>
        <w:tc>
          <w:tcPr>
            <w:tcW w:w="1091"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22,999</w:t>
            </w:r>
          </w:p>
        </w:tc>
      </w:tr>
      <w:tr w:rsidR="002F3AF7" w:rsidRPr="00B05451" w:rsidTr="005F4FFF">
        <w:trPr>
          <w:trHeight w:val="250"/>
        </w:trPr>
        <w:tc>
          <w:tcPr>
            <w:tcW w:w="3533" w:type="dxa"/>
            <w:tcBorders>
              <w:top w:val="nil"/>
              <w:left w:val="single" w:sz="4" w:space="0" w:color="auto"/>
              <w:bottom w:val="single" w:sz="4" w:space="0" w:color="auto"/>
              <w:right w:val="single" w:sz="4" w:space="0" w:color="auto"/>
            </w:tcBorders>
            <w:shd w:val="clear" w:color="000000" w:fill="BDD6EE"/>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Grand Total</w:t>
            </w:r>
          </w:p>
        </w:tc>
        <w:tc>
          <w:tcPr>
            <w:tcW w:w="1091" w:type="dxa"/>
            <w:tcBorders>
              <w:top w:val="nil"/>
              <w:left w:val="nil"/>
              <w:bottom w:val="single" w:sz="4" w:space="0" w:color="auto"/>
              <w:right w:val="single" w:sz="4" w:space="0" w:color="auto"/>
            </w:tcBorders>
            <w:shd w:val="clear" w:color="000000" w:fill="BDD6EE"/>
            <w:vAlign w:val="center"/>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284,615</w:t>
            </w:r>
          </w:p>
        </w:tc>
        <w:tc>
          <w:tcPr>
            <w:tcW w:w="1091" w:type="dxa"/>
            <w:tcBorders>
              <w:top w:val="nil"/>
              <w:left w:val="nil"/>
              <w:bottom w:val="single" w:sz="4" w:space="0" w:color="auto"/>
              <w:right w:val="single" w:sz="4" w:space="0" w:color="auto"/>
            </w:tcBorders>
            <w:shd w:val="clear" w:color="000000" w:fill="BDD6EE"/>
            <w:vAlign w:val="center"/>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55,053</w:t>
            </w:r>
          </w:p>
        </w:tc>
        <w:tc>
          <w:tcPr>
            <w:tcW w:w="1091" w:type="dxa"/>
            <w:tcBorders>
              <w:top w:val="nil"/>
              <w:left w:val="nil"/>
              <w:bottom w:val="single" w:sz="4" w:space="0" w:color="auto"/>
              <w:right w:val="single" w:sz="4" w:space="0" w:color="auto"/>
            </w:tcBorders>
            <w:shd w:val="clear" w:color="000000" w:fill="BDD6EE"/>
            <w:vAlign w:val="center"/>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339,667</w:t>
            </w:r>
          </w:p>
        </w:tc>
        <w:tc>
          <w:tcPr>
            <w:tcW w:w="1091" w:type="dxa"/>
            <w:tcBorders>
              <w:top w:val="nil"/>
              <w:left w:val="nil"/>
              <w:bottom w:val="single" w:sz="4" w:space="0" w:color="auto"/>
              <w:right w:val="single" w:sz="4" w:space="0" w:color="auto"/>
            </w:tcBorders>
            <w:shd w:val="clear" w:color="000000" w:fill="BDD6EE"/>
            <w:vAlign w:val="center"/>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265,405</w:t>
            </w:r>
          </w:p>
        </w:tc>
        <w:tc>
          <w:tcPr>
            <w:tcW w:w="1091" w:type="dxa"/>
            <w:tcBorders>
              <w:top w:val="nil"/>
              <w:left w:val="nil"/>
              <w:bottom w:val="single" w:sz="4" w:space="0" w:color="auto"/>
              <w:right w:val="single" w:sz="4" w:space="0" w:color="auto"/>
            </w:tcBorders>
            <w:shd w:val="clear" w:color="000000" w:fill="BDD6EE"/>
            <w:vAlign w:val="center"/>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87,254</w:t>
            </w:r>
          </w:p>
        </w:tc>
        <w:tc>
          <w:tcPr>
            <w:tcW w:w="1091" w:type="dxa"/>
            <w:tcBorders>
              <w:top w:val="nil"/>
              <w:left w:val="nil"/>
              <w:bottom w:val="single" w:sz="4" w:space="0" w:color="auto"/>
              <w:right w:val="single" w:sz="4" w:space="0" w:color="auto"/>
            </w:tcBorders>
            <w:shd w:val="clear" w:color="000000" w:fill="BDD6EE"/>
            <w:vAlign w:val="center"/>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352,659</w:t>
            </w:r>
          </w:p>
        </w:tc>
      </w:tr>
    </w:tbl>
    <w:p w:rsidR="002F3AF7" w:rsidRPr="00272724" w:rsidRDefault="002F3AF7" w:rsidP="002F3AF7">
      <w:pPr>
        <w:jc w:val="both"/>
        <w:rPr>
          <w:rFonts w:ascii="Garamond" w:hAnsi="Garamond"/>
          <w:bCs/>
          <w:sz w:val="18"/>
          <w:szCs w:val="18"/>
        </w:rPr>
      </w:pPr>
      <w:r w:rsidRPr="00272724">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2F3AF7" w:rsidRPr="00272724" w:rsidRDefault="002F3AF7" w:rsidP="002F3AF7">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Australian Securities Exchange: including investment funds</w:t>
      </w:r>
    </w:p>
    <w:p w:rsidR="002F3AF7" w:rsidRPr="00272724" w:rsidRDefault="002F3AF7" w:rsidP="002F3AF7">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 xml:space="preserve">BME: Including investment companies listed (open-end investment companies). </w:t>
      </w:r>
    </w:p>
    <w:p w:rsidR="002F3AF7" w:rsidRPr="00272724" w:rsidRDefault="002F3AF7" w:rsidP="002F3AF7">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Euronext: includes Belgium, England, France, Netherlands and Portugal</w:t>
      </w:r>
    </w:p>
    <w:p w:rsidR="002F3AF7" w:rsidRPr="00272724" w:rsidRDefault="002F3AF7" w:rsidP="002F3AF7">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Korea Exchange: including Kosdaq market data</w:t>
      </w:r>
    </w:p>
    <w:p w:rsidR="002F3AF7" w:rsidRPr="00272724" w:rsidRDefault="002F3AF7" w:rsidP="002F3AF7">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LSE Group: includes London Stock Exchange and BorsaItaliana</w:t>
      </w:r>
    </w:p>
    <w:p w:rsidR="002F3AF7" w:rsidRPr="00272724" w:rsidRDefault="002F3AF7" w:rsidP="002F3AF7">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Nasdaq Nordic Exchanges include Copenhagen, Helsinki, Iceland, Stockholm, Tallinn, Riga and Vilnius Stock Exchanges</w:t>
      </w:r>
    </w:p>
    <w:p w:rsidR="002F3AF7" w:rsidRPr="00272724" w:rsidRDefault="002F3AF7" w:rsidP="002F3AF7">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NSE India: including “Emerge” market data</w:t>
      </w:r>
    </w:p>
    <w:p w:rsidR="002F3AF7" w:rsidRPr="00272724" w:rsidRDefault="002F3AF7" w:rsidP="002F3AF7">
      <w:pPr>
        <w:outlineLvl w:val="0"/>
        <w:rPr>
          <w:rFonts w:ascii="Garamond" w:hAnsi="Garamond"/>
          <w:bCs/>
          <w:sz w:val="18"/>
          <w:szCs w:val="18"/>
        </w:rPr>
      </w:pPr>
      <w:r w:rsidRPr="00272724">
        <w:rPr>
          <w:rFonts w:ascii="Garamond" w:hAnsi="Garamond"/>
          <w:bCs/>
          <w:sz w:val="18"/>
          <w:szCs w:val="18"/>
        </w:rPr>
        <w:t>NA = Not Available</w:t>
      </w:r>
    </w:p>
    <w:p w:rsidR="002F3AF7" w:rsidRPr="00272724" w:rsidRDefault="002F3AF7" w:rsidP="002F3AF7">
      <w:pPr>
        <w:spacing w:line="23" w:lineRule="atLeast"/>
        <w:rPr>
          <w:rFonts w:ascii="Garamond" w:hAnsi="Garamond"/>
          <w:bCs/>
          <w:sz w:val="18"/>
          <w:szCs w:val="18"/>
        </w:rPr>
      </w:pPr>
      <w:r w:rsidRPr="00272724">
        <w:rPr>
          <w:rFonts w:ascii="Garamond" w:hAnsi="Garamond"/>
          <w:bCs/>
          <w:sz w:val="18"/>
          <w:szCs w:val="18"/>
        </w:rPr>
        <w:t>Source: World Federation of Exchanges</w:t>
      </w:r>
    </w:p>
    <w:p w:rsidR="002F3AF7" w:rsidRPr="00272724" w:rsidRDefault="002F3AF7" w:rsidP="002F3AF7">
      <w:pPr>
        <w:rPr>
          <w:rFonts w:ascii="Garamond" w:hAnsi="Garamond"/>
          <w:bCs/>
          <w:strike/>
          <w:sz w:val="22"/>
          <w:szCs w:val="22"/>
        </w:rPr>
      </w:pPr>
    </w:p>
    <w:p w:rsidR="002F3AF7" w:rsidRPr="00272724" w:rsidRDefault="002F3AF7" w:rsidP="002F3AF7">
      <w:pPr>
        <w:spacing w:line="23" w:lineRule="atLeast"/>
        <w:jc w:val="both"/>
        <w:outlineLvl w:val="0"/>
        <w:rPr>
          <w:rFonts w:ascii="Garamond" w:hAnsi="Garamond"/>
          <w:b/>
          <w:bCs/>
          <w:szCs w:val="22"/>
        </w:rPr>
      </w:pPr>
      <w:r w:rsidRPr="00272724">
        <w:rPr>
          <w:rFonts w:ascii="Garamond" w:hAnsi="Garamond"/>
          <w:b/>
          <w:bCs/>
          <w:szCs w:val="22"/>
        </w:rPr>
        <w:t xml:space="preserve">Table A3: Domestic Market Capitalisation of Major Exchanges (USD </w:t>
      </w:r>
      <w:r>
        <w:rPr>
          <w:rFonts w:ascii="Garamond" w:hAnsi="Garamond"/>
          <w:b/>
          <w:bCs/>
          <w:szCs w:val="22"/>
        </w:rPr>
        <w:t>b</w:t>
      </w:r>
      <w:r w:rsidRPr="00272724">
        <w:rPr>
          <w:rFonts w:ascii="Garamond" w:hAnsi="Garamond"/>
          <w:b/>
          <w:bCs/>
          <w:szCs w:val="22"/>
        </w:rPr>
        <w:t>illion)</w:t>
      </w:r>
    </w:p>
    <w:p w:rsidR="002F3AF7" w:rsidRPr="00272724" w:rsidRDefault="002F3AF7" w:rsidP="002F3AF7">
      <w:pPr>
        <w:spacing w:line="23" w:lineRule="atLeast"/>
        <w:jc w:val="both"/>
        <w:outlineLvl w:val="0"/>
        <w:rPr>
          <w:rFonts w:ascii="Garamond" w:hAnsi="Garamond"/>
          <w:b/>
          <w:bCs/>
          <w:szCs w:val="22"/>
        </w:rPr>
      </w:pPr>
    </w:p>
    <w:tbl>
      <w:tblPr>
        <w:tblW w:w="8211" w:type="dxa"/>
        <w:jc w:val="center"/>
        <w:tblLook w:val="04A0" w:firstRow="1" w:lastRow="0" w:firstColumn="1" w:lastColumn="0" w:noHBand="0" w:noVBand="1"/>
      </w:tblPr>
      <w:tblGrid>
        <w:gridCol w:w="4263"/>
        <w:gridCol w:w="1316"/>
        <w:gridCol w:w="1316"/>
        <w:gridCol w:w="1316"/>
      </w:tblGrid>
      <w:tr w:rsidR="002F3AF7" w:rsidRPr="00B05451" w:rsidTr="005F4FFF">
        <w:trPr>
          <w:trHeight w:val="254"/>
          <w:jc w:val="center"/>
        </w:trPr>
        <w:tc>
          <w:tcPr>
            <w:tcW w:w="4263"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Exchange</w:t>
            </w:r>
          </w:p>
        </w:tc>
        <w:tc>
          <w:tcPr>
            <w:tcW w:w="1316" w:type="dxa"/>
            <w:tcBorders>
              <w:top w:val="single" w:sz="4" w:space="0" w:color="auto"/>
              <w:left w:val="nil"/>
              <w:bottom w:val="single" w:sz="4" w:space="0" w:color="auto"/>
              <w:right w:val="single" w:sz="4" w:space="0" w:color="auto"/>
            </w:tcBorders>
            <w:shd w:val="clear" w:color="000000" w:fill="B4C6E7"/>
            <w:noWrap/>
            <w:vAlign w:val="center"/>
            <w:hideMark/>
          </w:tcPr>
          <w:p w:rsidR="002F3AF7" w:rsidRPr="00B05451" w:rsidRDefault="002F3AF7" w:rsidP="005F4FFF">
            <w:pPr>
              <w:jc w:val="center"/>
              <w:rPr>
                <w:rFonts w:ascii="Calibri" w:eastAsia="Times New Roman" w:hAnsi="Calibri" w:cs="Calibri"/>
                <w:b/>
                <w:bCs/>
                <w:color w:val="000000"/>
                <w:sz w:val="18"/>
                <w:szCs w:val="18"/>
                <w:lang w:val="en-IN" w:eastAsia="en-IN" w:bidi="hi-IN"/>
              </w:rPr>
            </w:pPr>
            <w:r w:rsidRPr="00B05451">
              <w:rPr>
                <w:rFonts w:ascii="Calibri" w:eastAsia="Times New Roman" w:hAnsi="Calibri" w:cs="Calibri"/>
                <w:b/>
                <w:bCs/>
                <w:color w:val="000000"/>
                <w:sz w:val="18"/>
                <w:szCs w:val="18"/>
                <w:lang w:val="en-IN" w:eastAsia="en-IN" w:bidi="hi-IN"/>
              </w:rPr>
              <w:t>Nov-20</w:t>
            </w:r>
          </w:p>
        </w:tc>
        <w:tc>
          <w:tcPr>
            <w:tcW w:w="1316" w:type="dxa"/>
            <w:tcBorders>
              <w:top w:val="single" w:sz="4" w:space="0" w:color="auto"/>
              <w:left w:val="nil"/>
              <w:bottom w:val="single" w:sz="4" w:space="0" w:color="auto"/>
              <w:right w:val="single" w:sz="4" w:space="0" w:color="auto"/>
            </w:tcBorders>
            <w:shd w:val="clear" w:color="000000" w:fill="B4C6E7"/>
            <w:noWrap/>
            <w:vAlign w:val="center"/>
            <w:hideMark/>
          </w:tcPr>
          <w:p w:rsidR="002F3AF7" w:rsidRPr="00B05451" w:rsidRDefault="002F3AF7" w:rsidP="005F4FFF">
            <w:pPr>
              <w:jc w:val="center"/>
              <w:rPr>
                <w:rFonts w:ascii="Calibri" w:eastAsia="Times New Roman" w:hAnsi="Calibri" w:cs="Calibri"/>
                <w:b/>
                <w:bCs/>
                <w:color w:val="000000"/>
                <w:sz w:val="18"/>
                <w:szCs w:val="18"/>
                <w:lang w:val="en-IN" w:eastAsia="en-IN" w:bidi="hi-IN"/>
              </w:rPr>
            </w:pPr>
            <w:r w:rsidRPr="00B05451">
              <w:rPr>
                <w:rFonts w:ascii="Calibri" w:eastAsia="Times New Roman" w:hAnsi="Calibri" w:cs="Calibri"/>
                <w:b/>
                <w:bCs/>
                <w:color w:val="000000"/>
                <w:sz w:val="18"/>
                <w:szCs w:val="18"/>
                <w:lang w:val="en-IN" w:eastAsia="en-IN" w:bidi="hi-IN"/>
              </w:rPr>
              <w:t>Dec-20</w:t>
            </w:r>
          </w:p>
        </w:tc>
        <w:tc>
          <w:tcPr>
            <w:tcW w:w="1316" w:type="dxa"/>
            <w:tcBorders>
              <w:top w:val="single" w:sz="4" w:space="0" w:color="auto"/>
              <w:left w:val="nil"/>
              <w:bottom w:val="single" w:sz="4" w:space="0" w:color="auto"/>
              <w:right w:val="single" w:sz="4" w:space="0" w:color="auto"/>
            </w:tcBorders>
            <w:shd w:val="clear" w:color="000000" w:fill="B4C6E7"/>
            <w:noWrap/>
            <w:vAlign w:val="center"/>
            <w:hideMark/>
          </w:tcPr>
          <w:p w:rsidR="002F3AF7" w:rsidRPr="00B05451" w:rsidRDefault="002F3AF7" w:rsidP="005F4FFF">
            <w:pPr>
              <w:rPr>
                <w:rFonts w:ascii="Calibri" w:eastAsia="Times New Roman" w:hAnsi="Calibri" w:cs="Calibri"/>
                <w:b/>
                <w:bCs/>
                <w:color w:val="000000"/>
                <w:sz w:val="18"/>
                <w:szCs w:val="18"/>
                <w:lang w:val="en-IN" w:eastAsia="en-IN" w:bidi="hi-IN"/>
              </w:rPr>
            </w:pPr>
            <w:r w:rsidRPr="00B05451">
              <w:rPr>
                <w:rFonts w:ascii="Calibri" w:eastAsia="Times New Roman" w:hAnsi="Calibri" w:cs="Calibri"/>
                <w:b/>
                <w:bCs/>
                <w:color w:val="000000"/>
                <w:sz w:val="18"/>
                <w:szCs w:val="18"/>
                <w:lang w:val="en-IN" w:eastAsia="en-IN" w:bidi="hi-IN"/>
              </w:rPr>
              <w:t>% Change MoM</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Nasdaq - US</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18,007</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19,060</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5.8%</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NYSE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25,300</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26,233</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3.7%</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LSE Group</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3,721</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4,046</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8.7%</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Deutsche Boerse AG</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2,147</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2,284</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6.4%</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BME Spanish Exchanges</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739</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759</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2.7%</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Japan Exchange Group</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6,595</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6,718</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1.9%</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Singapore Exchange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638</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653</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2.4%</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Hong Kong Exchanges and Clearing</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6,130</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Korea Exchange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1,917</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2,176</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13.5%</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ASX Australian Securities Exchange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1,603</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1,721</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7.3%</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B3 - Brasil Bolsa Balcão</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861</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988</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14.8%</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Moscow Exchange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639</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695</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8.8%</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National Stock Exchange of India</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2,334</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2,552</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9.4%</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Shanghai Stock Exchange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6,716</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6,976</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3.9%</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Shenzhen Stock Exchange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4,980</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5,238</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5.2%</w:t>
            </w:r>
          </w:p>
        </w:tc>
      </w:tr>
      <w:tr w:rsidR="002F3AF7" w:rsidRPr="00B05451" w:rsidTr="005F4FFF">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Johannesburg Stock Exchange</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971</w:t>
            </w:r>
          </w:p>
        </w:tc>
        <w:tc>
          <w:tcPr>
            <w:tcW w:w="1316" w:type="dxa"/>
            <w:tcBorders>
              <w:top w:val="nil"/>
              <w:left w:val="nil"/>
              <w:bottom w:val="single" w:sz="4" w:space="0" w:color="auto"/>
              <w:right w:val="single" w:sz="4"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1,052</w:t>
            </w:r>
          </w:p>
        </w:tc>
        <w:tc>
          <w:tcPr>
            <w:tcW w:w="1316" w:type="dxa"/>
            <w:tcBorders>
              <w:top w:val="nil"/>
              <w:left w:val="nil"/>
              <w:bottom w:val="single" w:sz="4" w:space="0" w:color="auto"/>
              <w:right w:val="single" w:sz="4" w:space="0" w:color="auto"/>
            </w:tcBorders>
            <w:shd w:val="clear" w:color="auto" w:fill="auto"/>
            <w:noWrap/>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8.3%</w:t>
            </w:r>
          </w:p>
        </w:tc>
      </w:tr>
    </w:tbl>
    <w:p w:rsidR="002F3AF7" w:rsidRPr="00272724" w:rsidRDefault="002F3AF7" w:rsidP="002F3AF7">
      <w:pPr>
        <w:spacing w:line="23" w:lineRule="atLeast"/>
        <w:ind w:left="1276"/>
        <w:jc w:val="both"/>
        <w:outlineLvl w:val="0"/>
        <w:rPr>
          <w:rFonts w:ascii="Garamond" w:hAnsi="Garamond"/>
          <w:bCs/>
          <w:sz w:val="18"/>
          <w:szCs w:val="18"/>
        </w:rPr>
      </w:pPr>
      <w:r w:rsidRPr="00272724">
        <w:rPr>
          <w:rFonts w:ascii="Garamond" w:hAnsi="Garamond"/>
          <w:bCs/>
          <w:sz w:val="18"/>
          <w:szCs w:val="18"/>
        </w:rPr>
        <w:t>NA: Not Available</w:t>
      </w:r>
    </w:p>
    <w:p w:rsidR="002F3AF7" w:rsidRPr="00272724" w:rsidRDefault="002F3AF7" w:rsidP="002F3AF7">
      <w:pPr>
        <w:spacing w:line="23" w:lineRule="atLeast"/>
        <w:ind w:left="1276"/>
        <w:jc w:val="both"/>
        <w:outlineLvl w:val="0"/>
        <w:rPr>
          <w:rFonts w:ascii="Garamond" w:hAnsi="Garamond"/>
          <w:bCs/>
          <w:sz w:val="18"/>
          <w:szCs w:val="18"/>
        </w:rPr>
      </w:pPr>
      <w:r w:rsidRPr="00272724">
        <w:rPr>
          <w:rFonts w:ascii="Garamond" w:hAnsi="Garamond"/>
          <w:bCs/>
          <w:sz w:val="18"/>
          <w:szCs w:val="18"/>
        </w:rPr>
        <w:t>Source: World Federation of Exchanges</w:t>
      </w:r>
    </w:p>
    <w:p w:rsidR="002F3AF7" w:rsidRPr="00272724" w:rsidRDefault="002F3AF7" w:rsidP="002F3AF7">
      <w:pPr>
        <w:spacing w:line="23" w:lineRule="atLeast"/>
        <w:ind w:left="1276"/>
        <w:jc w:val="both"/>
        <w:outlineLvl w:val="0"/>
        <w:rPr>
          <w:rFonts w:ascii="Garamond" w:hAnsi="Garamond"/>
          <w:bCs/>
          <w:sz w:val="18"/>
          <w:szCs w:val="18"/>
        </w:rPr>
      </w:pPr>
      <w:r w:rsidRPr="00272724">
        <w:rPr>
          <w:rFonts w:ascii="Garamond" w:hAnsi="Garamond"/>
          <w:bCs/>
          <w:sz w:val="18"/>
          <w:szCs w:val="18"/>
        </w:rPr>
        <w:t xml:space="preserve">Note: </w:t>
      </w:r>
    </w:p>
    <w:p w:rsidR="002F3AF7" w:rsidRPr="00272724" w:rsidRDefault="002F3AF7" w:rsidP="002F3AF7">
      <w:pPr>
        <w:numPr>
          <w:ilvl w:val="0"/>
          <w:numId w:val="26"/>
        </w:numPr>
        <w:spacing w:after="200" w:line="23" w:lineRule="atLeast"/>
        <w:ind w:left="1701" w:hanging="283"/>
        <w:contextualSpacing/>
        <w:jc w:val="both"/>
        <w:outlineLvl w:val="0"/>
        <w:rPr>
          <w:rFonts w:ascii="Garamond" w:hAnsi="Garamond"/>
          <w:bCs/>
          <w:sz w:val="18"/>
          <w:szCs w:val="18"/>
          <w:lang w:val="en-US"/>
        </w:rPr>
      </w:pPr>
      <w:r w:rsidRPr="00272724">
        <w:rPr>
          <w:rFonts w:ascii="Garamond" w:hAnsi="Garamond"/>
          <w:bCs/>
          <w:sz w:val="18"/>
          <w:szCs w:val="18"/>
          <w:lang w:val="en-US"/>
        </w:rPr>
        <w:t xml:space="preserve">The figures provided in some versions of SEBI Bulletin are sourced from </w:t>
      </w:r>
      <w:r>
        <w:rPr>
          <w:rFonts w:ascii="Garamond" w:hAnsi="Garamond"/>
          <w:bCs/>
          <w:sz w:val="18"/>
          <w:szCs w:val="18"/>
          <w:lang w:val="en-US"/>
        </w:rPr>
        <w:t>Refinitiv</w:t>
      </w:r>
      <w:r w:rsidRPr="00272724">
        <w:rPr>
          <w:rFonts w:ascii="Garamond" w:hAnsi="Garamond"/>
          <w:bCs/>
          <w:sz w:val="18"/>
          <w:szCs w:val="18"/>
          <w:lang w:val="en-US"/>
        </w:rPr>
        <w:t xml:space="preserve"> which provides country wise market capitalization data (estimated internally by </w:t>
      </w:r>
      <w:r>
        <w:rPr>
          <w:rFonts w:ascii="Garamond" w:hAnsi="Garamond"/>
          <w:bCs/>
          <w:sz w:val="18"/>
          <w:szCs w:val="18"/>
          <w:lang w:val="en-US"/>
        </w:rPr>
        <w:t>Refinitiv</w:t>
      </w:r>
      <w:r w:rsidRPr="00272724">
        <w:rPr>
          <w:rFonts w:ascii="Garamond" w:hAnsi="Garamond"/>
          <w:bCs/>
          <w:sz w:val="18"/>
          <w:szCs w:val="18"/>
          <w:lang w:val="en-US"/>
        </w:rPr>
        <w:t>).</w:t>
      </w:r>
    </w:p>
    <w:p w:rsidR="002F3AF7" w:rsidRPr="00272724" w:rsidRDefault="002F3AF7" w:rsidP="002F3AF7">
      <w:pPr>
        <w:numPr>
          <w:ilvl w:val="0"/>
          <w:numId w:val="26"/>
        </w:numPr>
        <w:spacing w:after="200" w:line="23" w:lineRule="atLeast"/>
        <w:ind w:left="1701" w:hanging="283"/>
        <w:contextualSpacing/>
        <w:jc w:val="both"/>
        <w:outlineLvl w:val="0"/>
        <w:rPr>
          <w:rFonts w:ascii="Garamond" w:hAnsi="Garamond"/>
          <w:bCs/>
          <w:sz w:val="18"/>
          <w:szCs w:val="18"/>
          <w:lang w:val="en-US"/>
        </w:rPr>
      </w:pPr>
      <w:r w:rsidRPr="00272724">
        <w:rPr>
          <w:rFonts w:ascii="Garamond" w:hAnsi="Garamond"/>
          <w:bCs/>
          <w:sz w:val="18"/>
          <w:szCs w:val="18"/>
          <w:lang w:val="en-US"/>
        </w:rPr>
        <w:t>The figures provided World Federation of Exchanges are more detailed and are provided by respective member exchanges.</w:t>
      </w:r>
    </w:p>
    <w:p w:rsidR="002F3AF7" w:rsidRPr="00272724" w:rsidRDefault="002F3AF7" w:rsidP="002F3AF7">
      <w:pPr>
        <w:numPr>
          <w:ilvl w:val="0"/>
          <w:numId w:val="26"/>
        </w:numPr>
        <w:spacing w:after="200" w:line="23" w:lineRule="atLeast"/>
        <w:ind w:left="1701" w:hanging="283"/>
        <w:contextualSpacing/>
        <w:jc w:val="both"/>
        <w:outlineLvl w:val="0"/>
        <w:rPr>
          <w:rFonts w:ascii="Garamond" w:hAnsi="Garamond"/>
          <w:bCs/>
          <w:sz w:val="18"/>
          <w:szCs w:val="18"/>
          <w:lang w:val="en-US"/>
        </w:rPr>
      </w:pPr>
      <w:r w:rsidRPr="00272724">
        <w:rPr>
          <w:rFonts w:ascii="Garamond" w:hAnsi="Garamond"/>
          <w:bCs/>
          <w:sz w:val="18"/>
          <w:szCs w:val="18"/>
          <w:lang w:val="en-US"/>
        </w:rPr>
        <w:t xml:space="preserve">As per the data available as on </w:t>
      </w:r>
      <w:r>
        <w:rPr>
          <w:rFonts w:ascii="Garamond" w:hAnsi="Garamond"/>
          <w:bCs/>
          <w:sz w:val="18"/>
          <w:szCs w:val="18"/>
          <w:lang w:val="en-US"/>
        </w:rPr>
        <w:t>14 January 2021</w:t>
      </w:r>
      <w:r w:rsidRPr="00272724">
        <w:rPr>
          <w:rFonts w:ascii="Garamond" w:hAnsi="Garamond"/>
          <w:bCs/>
          <w:sz w:val="18"/>
          <w:szCs w:val="18"/>
          <w:lang w:val="en-US"/>
        </w:rPr>
        <w:t>.</w:t>
      </w:r>
    </w:p>
    <w:p w:rsidR="002F3AF7" w:rsidRPr="00272724" w:rsidRDefault="002F3AF7" w:rsidP="002F3AF7">
      <w:pPr>
        <w:spacing w:line="23" w:lineRule="atLeast"/>
        <w:jc w:val="both"/>
        <w:outlineLvl w:val="0"/>
        <w:rPr>
          <w:rFonts w:ascii="Garamond" w:hAnsi="Garamond"/>
          <w:bCs/>
          <w:color w:val="000000"/>
          <w:sz w:val="22"/>
          <w:szCs w:val="22"/>
        </w:rPr>
      </w:pPr>
      <w:r w:rsidRPr="00272724">
        <w:rPr>
          <w:rFonts w:ascii="Garamond" w:hAnsi="Garamond"/>
          <w:bCs/>
          <w:strike/>
          <w:sz w:val="22"/>
          <w:szCs w:val="22"/>
        </w:rPr>
        <w:br w:type="page"/>
      </w:r>
    </w:p>
    <w:p w:rsidR="002F3AF7" w:rsidRPr="00272724" w:rsidRDefault="002F3AF7" w:rsidP="002F3AF7">
      <w:pPr>
        <w:spacing w:line="23" w:lineRule="atLeast"/>
        <w:jc w:val="both"/>
        <w:outlineLvl w:val="0"/>
        <w:rPr>
          <w:rFonts w:ascii="Garamond" w:hAnsi="Garamond"/>
          <w:b/>
          <w:bCs/>
          <w:szCs w:val="22"/>
        </w:rPr>
      </w:pPr>
      <w:r w:rsidRPr="00272724">
        <w:rPr>
          <w:rFonts w:ascii="Garamond" w:hAnsi="Garamond"/>
          <w:b/>
          <w:bCs/>
          <w:szCs w:val="22"/>
        </w:rPr>
        <w:t>Table A4: Stock Futures and Stock Options Traded in Major Exchanges</w:t>
      </w:r>
    </w:p>
    <w:p w:rsidR="002F3AF7" w:rsidRPr="00272724" w:rsidRDefault="002F3AF7" w:rsidP="002F3AF7">
      <w:pPr>
        <w:spacing w:line="23" w:lineRule="atLeast"/>
        <w:ind w:right="674"/>
        <w:jc w:val="right"/>
        <w:outlineLvl w:val="0"/>
        <w:rPr>
          <w:rFonts w:ascii="Garamond" w:hAnsi="Garamond"/>
          <w:bCs/>
          <w:sz w:val="22"/>
          <w:szCs w:val="22"/>
        </w:rPr>
      </w:pPr>
      <w:r w:rsidRPr="00272724">
        <w:rPr>
          <w:rFonts w:ascii="Garamond" w:hAnsi="Garamond"/>
          <w:bCs/>
          <w:sz w:val="22"/>
          <w:szCs w:val="22"/>
        </w:rPr>
        <w:t>Notional Turnover in (USD million)</w:t>
      </w:r>
    </w:p>
    <w:tbl>
      <w:tblPr>
        <w:tblW w:w="5214" w:type="pct"/>
        <w:tblLook w:val="04A0" w:firstRow="1" w:lastRow="0" w:firstColumn="1" w:lastColumn="0" w:noHBand="0" w:noVBand="1"/>
      </w:tblPr>
      <w:tblGrid>
        <w:gridCol w:w="3565"/>
        <w:gridCol w:w="1169"/>
        <w:gridCol w:w="1070"/>
        <w:gridCol w:w="1076"/>
        <w:gridCol w:w="1169"/>
        <w:gridCol w:w="1072"/>
        <w:gridCol w:w="1169"/>
      </w:tblGrid>
      <w:tr w:rsidR="002F3AF7" w:rsidRPr="00B05451" w:rsidTr="005F4FFF">
        <w:trPr>
          <w:trHeight w:val="227"/>
        </w:trPr>
        <w:tc>
          <w:tcPr>
            <w:tcW w:w="1732" w:type="pct"/>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Exchange</w:t>
            </w:r>
          </w:p>
        </w:tc>
        <w:tc>
          <w:tcPr>
            <w:tcW w:w="3268" w:type="pct"/>
            <w:gridSpan w:val="6"/>
            <w:tcBorders>
              <w:top w:val="single" w:sz="8" w:space="0" w:color="auto"/>
              <w:left w:val="nil"/>
              <w:bottom w:val="single" w:sz="8" w:space="0" w:color="auto"/>
              <w:right w:val="single" w:sz="8" w:space="0" w:color="000000"/>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Dec-20</w:t>
            </w:r>
          </w:p>
        </w:tc>
      </w:tr>
      <w:tr w:rsidR="002F3AF7" w:rsidRPr="00B05451" w:rsidTr="005F4FFF">
        <w:trPr>
          <w:trHeight w:val="227"/>
        </w:trPr>
        <w:tc>
          <w:tcPr>
            <w:tcW w:w="1732" w:type="pct"/>
            <w:vMerge/>
            <w:tcBorders>
              <w:top w:val="single" w:sz="8" w:space="0" w:color="auto"/>
              <w:left w:val="single" w:sz="8" w:space="0" w:color="auto"/>
              <w:bottom w:val="single" w:sz="8" w:space="0" w:color="000000"/>
              <w:right w:val="single" w:sz="8"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1611" w:type="pct"/>
            <w:gridSpan w:val="3"/>
            <w:tcBorders>
              <w:top w:val="single" w:sz="8" w:space="0" w:color="auto"/>
              <w:left w:val="nil"/>
              <w:bottom w:val="single" w:sz="8" w:space="0" w:color="auto"/>
              <w:right w:val="single" w:sz="8" w:space="0" w:color="000000"/>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Single Stock Futures</w:t>
            </w:r>
          </w:p>
        </w:tc>
        <w:tc>
          <w:tcPr>
            <w:tcW w:w="1657" w:type="pct"/>
            <w:gridSpan w:val="3"/>
            <w:tcBorders>
              <w:top w:val="single" w:sz="8" w:space="0" w:color="auto"/>
              <w:left w:val="nil"/>
              <w:bottom w:val="single" w:sz="8" w:space="0" w:color="auto"/>
              <w:right w:val="single" w:sz="8" w:space="0" w:color="000000"/>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Single Stock Options</w:t>
            </w:r>
          </w:p>
        </w:tc>
      </w:tr>
      <w:tr w:rsidR="002F3AF7" w:rsidRPr="00B05451" w:rsidTr="005F4FFF">
        <w:trPr>
          <w:trHeight w:val="216"/>
        </w:trPr>
        <w:tc>
          <w:tcPr>
            <w:tcW w:w="1732" w:type="pct"/>
            <w:vMerge/>
            <w:tcBorders>
              <w:top w:val="single" w:sz="8" w:space="0" w:color="auto"/>
              <w:left w:val="single" w:sz="8" w:space="0" w:color="auto"/>
              <w:bottom w:val="single" w:sz="8" w:space="0" w:color="000000"/>
              <w:right w:val="single" w:sz="8"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568" w:type="pct"/>
            <w:tcBorders>
              <w:top w:val="nil"/>
              <w:left w:val="nil"/>
              <w:bottom w:val="nil"/>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p>
        </w:tc>
        <w:tc>
          <w:tcPr>
            <w:tcW w:w="520" w:type="pct"/>
            <w:tcBorders>
              <w:top w:val="nil"/>
              <w:left w:val="nil"/>
              <w:bottom w:val="nil"/>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p>
        </w:tc>
        <w:tc>
          <w:tcPr>
            <w:tcW w:w="521" w:type="pct"/>
            <w:tcBorders>
              <w:top w:val="nil"/>
              <w:left w:val="nil"/>
              <w:bottom w:val="nil"/>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p>
        </w:tc>
        <w:tc>
          <w:tcPr>
            <w:tcW w:w="568" w:type="pct"/>
            <w:tcBorders>
              <w:top w:val="nil"/>
              <w:left w:val="nil"/>
              <w:bottom w:val="nil"/>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p>
        </w:tc>
        <w:tc>
          <w:tcPr>
            <w:tcW w:w="521" w:type="pct"/>
            <w:tcBorders>
              <w:top w:val="nil"/>
              <w:left w:val="nil"/>
              <w:bottom w:val="nil"/>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p>
        </w:tc>
        <w:tc>
          <w:tcPr>
            <w:tcW w:w="568" w:type="pct"/>
            <w:tcBorders>
              <w:top w:val="nil"/>
              <w:left w:val="nil"/>
              <w:bottom w:val="nil"/>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p>
        </w:tc>
      </w:tr>
      <w:tr w:rsidR="002F3AF7" w:rsidRPr="00B05451" w:rsidTr="005F4FFF">
        <w:trPr>
          <w:trHeight w:val="379"/>
        </w:trPr>
        <w:tc>
          <w:tcPr>
            <w:tcW w:w="1732" w:type="pct"/>
            <w:vMerge/>
            <w:tcBorders>
              <w:top w:val="single" w:sz="8" w:space="0" w:color="auto"/>
              <w:left w:val="single" w:sz="8" w:space="0" w:color="auto"/>
              <w:bottom w:val="single" w:sz="8" w:space="0" w:color="000000"/>
              <w:right w:val="single" w:sz="8"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568" w:type="pct"/>
            <w:tcBorders>
              <w:top w:val="nil"/>
              <w:left w:val="nil"/>
              <w:bottom w:val="single" w:sz="8" w:space="0" w:color="auto"/>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Contracts Traded</w:t>
            </w:r>
          </w:p>
        </w:tc>
        <w:tc>
          <w:tcPr>
            <w:tcW w:w="520" w:type="pct"/>
            <w:tcBorders>
              <w:top w:val="nil"/>
              <w:left w:val="nil"/>
              <w:bottom w:val="single" w:sz="8" w:space="0" w:color="auto"/>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Turnover</w:t>
            </w:r>
          </w:p>
        </w:tc>
        <w:tc>
          <w:tcPr>
            <w:tcW w:w="521" w:type="pct"/>
            <w:tcBorders>
              <w:top w:val="nil"/>
              <w:left w:val="nil"/>
              <w:bottom w:val="single" w:sz="8" w:space="0" w:color="auto"/>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Interest</w:t>
            </w:r>
          </w:p>
        </w:tc>
        <w:tc>
          <w:tcPr>
            <w:tcW w:w="568" w:type="pct"/>
            <w:tcBorders>
              <w:top w:val="nil"/>
              <w:left w:val="nil"/>
              <w:bottom w:val="single" w:sz="8" w:space="0" w:color="auto"/>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Contracts Traded</w:t>
            </w:r>
          </w:p>
        </w:tc>
        <w:tc>
          <w:tcPr>
            <w:tcW w:w="521" w:type="pct"/>
            <w:tcBorders>
              <w:top w:val="nil"/>
              <w:left w:val="nil"/>
              <w:bottom w:val="single" w:sz="8" w:space="0" w:color="auto"/>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Turnover</w:t>
            </w:r>
          </w:p>
        </w:tc>
        <w:tc>
          <w:tcPr>
            <w:tcW w:w="568" w:type="pct"/>
            <w:tcBorders>
              <w:top w:val="nil"/>
              <w:left w:val="nil"/>
              <w:bottom w:val="single" w:sz="8" w:space="0" w:color="auto"/>
              <w:right w:val="single" w:sz="8"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Interest</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B3 - Brasil Bolsa Balcão</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66,177,500</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400</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22,146,700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148,607,456</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52,160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46,530,971</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de Valores de Colombia</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Mexicana de Valores</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3,814</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2,064</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2,000</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2,420</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Cboe Global Markets</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140,098,531</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265,226,043</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Nasdaq - US</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206,395,272</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MIAX Exchange Group</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59,881,839</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1,082,617</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ASX Australian Securities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614,351</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914</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354,922</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4,076,643</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9,105</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5,507,751</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Hong Kong Exchanges and Clearing</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106,283</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623</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22,564</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12,305,422</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60,005</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8,860,221</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Japan Exchange Group</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829</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15,244</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Korea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113,477,821</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86,628</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6,859,116</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74,786</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21,504</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National Stock Exchange of India</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19,841,495</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217,372</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1,568,297</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31,540,905</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360,506</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914,728</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Singapore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289,978</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46,208</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Taiwan Futures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3,892,004</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28,187</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373,047</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10,223</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84</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4,337</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Thailand Futures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7,557,080</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1,783,284</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Athens Stock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1,460,725</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328</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352,787</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1,547</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606</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BME Spanish Exchanges</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2,763,009</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983</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1,329,543</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3,219,304</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3,222</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6,257,121</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Borsa Istanbul</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179,887,591</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18,547</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8,211,995</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490,525</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68</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639,613</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Budapest Stock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8,825</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64</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4,356</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Deutsche Boerse AG</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8,635,484</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38,642</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5,217,610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15,076,019</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72,506</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49,863,712</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Euronext</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997,665</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6,173</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646,826</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5,995,276</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24,350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12,519,273</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Moscow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20,376,092</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6,304</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1,160,880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179,225</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53</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200,350</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Nasdaq Nordic and Baltics</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161,955</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516</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1,551,554</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2,986</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Tehran Stock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3,830,226</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Tel-Aviv Stock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51,535</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58,221</w:t>
            </w:r>
          </w:p>
        </w:tc>
      </w:tr>
      <w:tr w:rsidR="002F3AF7" w:rsidRPr="00B05451" w:rsidTr="005F4FFF">
        <w:trPr>
          <w:trHeight w:val="216"/>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Warsaw Stock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246,231</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754</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32,558</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27"/>
        </w:trPr>
        <w:tc>
          <w:tcPr>
            <w:tcW w:w="1732" w:type="pct"/>
            <w:tcBorders>
              <w:top w:val="nil"/>
              <w:left w:val="single" w:sz="8" w:space="0" w:color="auto"/>
              <w:bottom w:val="nil"/>
              <w:right w:val="single" w:sz="8" w:space="0" w:color="auto"/>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Dubai Gold and Commodities Exchange</w:t>
            </w:r>
          </w:p>
        </w:tc>
        <w:tc>
          <w:tcPr>
            <w:tcW w:w="56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2,290</w:t>
            </w:r>
          </w:p>
        </w:tc>
        <w:tc>
          <w:tcPr>
            <w:tcW w:w="52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180</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1" w:type="pct"/>
            <w:tcBorders>
              <w:top w:val="nil"/>
              <w:left w:val="nil"/>
              <w:bottom w:val="nil"/>
              <w:right w:val="nil"/>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8"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27"/>
        </w:trPr>
        <w:tc>
          <w:tcPr>
            <w:tcW w:w="1732" w:type="pct"/>
            <w:tcBorders>
              <w:top w:val="single" w:sz="8" w:space="0" w:color="auto"/>
              <w:left w:val="single" w:sz="8" w:space="0" w:color="auto"/>
              <w:bottom w:val="single" w:sz="8" w:space="0" w:color="auto"/>
              <w:right w:val="nil"/>
            </w:tcBorders>
            <w:shd w:val="clear" w:color="000000" w:fill="D9E1F2"/>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Grand Total</w:t>
            </w:r>
          </w:p>
        </w:tc>
        <w:tc>
          <w:tcPr>
            <w:tcW w:w="568"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426,500,193</w:t>
            </w:r>
          </w:p>
        </w:tc>
        <w:tc>
          <w:tcPr>
            <w:tcW w:w="520"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406,442</w:t>
            </w:r>
          </w:p>
        </w:tc>
        <w:tc>
          <w:tcPr>
            <w:tcW w:w="521"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50,112,937</w:t>
            </w:r>
          </w:p>
        </w:tc>
        <w:tc>
          <w:tcPr>
            <w:tcW w:w="568"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633,389,117</w:t>
            </w:r>
          </w:p>
        </w:tc>
        <w:tc>
          <w:tcPr>
            <w:tcW w:w="521"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1,667,716</w:t>
            </w:r>
          </w:p>
        </w:tc>
        <w:tc>
          <w:tcPr>
            <w:tcW w:w="568" w:type="pct"/>
            <w:tcBorders>
              <w:top w:val="single" w:sz="8" w:space="0" w:color="auto"/>
              <w:left w:val="nil"/>
              <w:bottom w:val="single" w:sz="8" w:space="0" w:color="auto"/>
              <w:right w:val="single" w:sz="8" w:space="0" w:color="auto"/>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396,622,115</w:t>
            </w:r>
          </w:p>
        </w:tc>
      </w:tr>
    </w:tbl>
    <w:p w:rsidR="002F3AF7" w:rsidRPr="00272724" w:rsidRDefault="002F3AF7" w:rsidP="002F3AF7">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272724">
        <w:rPr>
          <w:rFonts w:ascii="Garamond" w:hAnsi="Garamond"/>
          <w:bCs/>
          <w:sz w:val="18"/>
          <w:szCs w:val="18"/>
        </w:rPr>
        <w:t xml:space="preserve"> NA: Not Available</w:t>
      </w:r>
    </w:p>
    <w:p w:rsidR="002F3AF7" w:rsidRPr="00272724" w:rsidRDefault="002F3AF7" w:rsidP="002F3AF7">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272724">
        <w:rPr>
          <w:rFonts w:ascii="Garamond" w:hAnsi="Garamond"/>
          <w:bCs/>
          <w:sz w:val="18"/>
          <w:szCs w:val="18"/>
        </w:rPr>
        <w:t>Source: World Federation of Exchanges</w:t>
      </w:r>
    </w:p>
    <w:p w:rsidR="002F3AF7" w:rsidRPr="00272724" w:rsidRDefault="002F3AF7" w:rsidP="002F3AF7">
      <w:pPr>
        <w:rPr>
          <w:rFonts w:ascii="Garamond" w:eastAsia="Times New Roman" w:hAnsi="Garamond"/>
          <w:bCs/>
          <w:sz w:val="22"/>
          <w:szCs w:val="22"/>
          <w:lang w:val="en-US"/>
        </w:rPr>
      </w:pPr>
    </w:p>
    <w:p w:rsidR="002F3AF7" w:rsidRPr="00272724" w:rsidRDefault="002F3AF7" w:rsidP="002F3AF7">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2F3AF7" w:rsidRPr="00272724" w:rsidRDefault="002F3AF7" w:rsidP="002F3AF7">
      <w:pPr>
        <w:spacing w:line="23" w:lineRule="atLeast"/>
        <w:rPr>
          <w:rFonts w:ascii="Garamond" w:eastAsia="Times New Roman" w:hAnsi="Garamond"/>
          <w:b/>
          <w:bCs/>
          <w:szCs w:val="22"/>
          <w:lang w:val="en-US"/>
        </w:rPr>
      </w:pPr>
      <w:r w:rsidRPr="00272724">
        <w:rPr>
          <w:rFonts w:ascii="Garamond" w:eastAsia="Times New Roman" w:hAnsi="Garamond"/>
          <w:b/>
          <w:bCs/>
          <w:szCs w:val="22"/>
          <w:lang w:val="en-US"/>
        </w:rPr>
        <w:t xml:space="preserve">Table A5: Index Futures and Index Options Traded in Major Exchanges </w:t>
      </w:r>
    </w:p>
    <w:p w:rsidR="002F3AF7" w:rsidRPr="00272724" w:rsidRDefault="002F3AF7" w:rsidP="002F3AF7">
      <w:pPr>
        <w:spacing w:line="23" w:lineRule="atLeast"/>
        <w:ind w:right="249"/>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5175" w:type="pct"/>
        <w:tblLook w:val="04A0" w:firstRow="1" w:lastRow="0" w:firstColumn="1" w:lastColumn="0" w:noHBand="0" w:noVBand="1"/>
      </w:tblPr>
      <w:tblGrid>
        <w:gridCol w:w="3558"/>
        <w:gridCol w:w="1163"/>
        <w:gridCol w:w="1082"/>
        <w:gridCol w:w="1086"/>
        <w:gridCol w:w="1163"/>
        <w:gridCol w:w="1084"/>
        <w:gridCol w:w="1088"/>
      </w:tblGrid>
      <w:tr w:rsidR="002F3AF7" w:rsidRPr="00B05451" w:rsidTr="005F4FFF">
        <w:trPr>
          <w:trHeight w:val="260"/>
        </w:trPr>
        <w:tc>
          <w:tcPr>
            <w:tcW w:w="1740"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Exchange</w:t>
            </w:r>
          </w:p>
        </w:tc>
        <w:tc>
          <w:tcPr>
            <w:tcW w:w="3260" w:type="pct"/>
            <w:gridSpan w:val="6"/>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Dec-20</w:t>
            </w:r>
          </w:p>
        </w:tc>
      </w:tr>
      <w:tr w:rsidR="002F3AF7" w:rsidRPr="00B05451" w:rsidTr="005F4FFF">
        <w:trPr>
          <w:trHeight w:val="260"/>
        </w:trPr>
        <w:tc>
          <w:tcPr>
            <w:tcW w:w="1740"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1629" w:type="pct"/>
            <w:gridSpan w:val="3"/>
            <w:tcBorders>
              <w:top w:val="single" w:sz="4" w:space="0" w:color="auto"/>
              <w:left w:val="nil"/>
              <w:bottom w:val="single" w:sz="4" w:space="0" w:color="auto"/>
              <w:right w:val="single" w:sz="4" w:space="0" w:color="000000"/>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Stock Index Futures</w:t>
            </w:r>
          </w:p>
        </w:tc>
        <w:tc>
          <w:tcPr>
            <w:tcW w:w="1630" w:type="pct"/>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Stock Index Options</w:t>
            </w:r>
          </w:p>
        </w:tc>
      </w:tr>
      <w:tr w:rsidR="002F3AF7" w:rsidRPr="00B05451" w:rsidTr="005F4FFF">
        <w:trPr>
          <w:trHeight w:val="676"/>
        </w:trPr>
        <w:tc>
          <w:tcPr>
            <w:tcW w:w="1740"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569" w:type="pct"/>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29" w:type="pct"/>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31" w:type="pct"/>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c>
          <w:tcPr>
            <w:tcW w:w="569" w:type="pct"/>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30" w:type="pct"/>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31" w:type="pct"/>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B3 - Brasil Bolsa Balcão</w:t>
            </w:r>
          </w:p>
        </w:tc>
        <w:tc>
          <w:tcPr>
            <w:tcW w:w="569" w:type="pct"/>
            <w:tcBorders>
              <w:top w:val="single" w:sz="8" w:space="0" w:color="auto"/>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272,635,237</w:t>
            </w:r>
          </w:p>
        </w:tc>
        <w:tc>
          <w:tcPr>
            <w:tcW w:w="529"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1,272,120</w:t>
            </w:r>
          </w:p>
        </w:tc>
        <w:tc>
          <w:tcPr>
            <w:tcW w:w="531"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919,804</w:t>
            </w:r>
          </w:p>
        </w:tc>
        <w:tc>
          <w:tcPr>
            <w:tcW w:w="569"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5,448,821</w:t>
            </w:r>
          </w:p>
        </w:tc>
        <w:tc>
          <w:tcPr>
            <w:tcW w:w="530"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46,008</w:t>
            </w:r>
          </w:p>
        </w:tc>
        <w:tc>
          <w:tcPr>
            <w:tcW w:w="531"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499,493</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de Valores de Colombia</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Mexicana de Valores</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61,062</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1,342</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12,059</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168</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Cboe Global Markets</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33,652,807</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19,753,530</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Nasdaq - US</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261,536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MIAX Exchange Group</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256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Matba Rofex</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70,951</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1,588</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CME Group</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92,124,131</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10,946,225</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4,194,048</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11,035,412</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2,244,208</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2,422,117</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Cboe Futures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3,365,457</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299,570</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ASX Australian Securities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1,746,299</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212,159</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277,267</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381,330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19,879</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381,541</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Hong Kong Exchanges and Clearing</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6,959,448</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679,603</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566,431</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2,235,046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150,308</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1,697,059</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Japan Exchange Group</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22,553,759</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1,507,604</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1,452,884</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1,854,524</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1,332,791</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Korea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14,637,796</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774,369</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658,409</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74,689,131</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6,306,821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2,222,084</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National Stock Exchange of India</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7,989,064</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94,651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298,620</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731,307,849</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8,534,667</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3,835,527</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Singapore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13,201,294</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1,378,504</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415,111</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1,375,430</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Taiwan Futures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8,652,082</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490,400</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177,537</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19,003,166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482,359</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408,338</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Thailand Futures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5,762,706</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306,796</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191,573</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26,380</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Bursa Malaysia Derivatives</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251,229</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5,135</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26,493</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747</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212</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China Financial Futures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6,109,028</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1,234,838</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510,065</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2,164,729</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2,449</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143,125</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Athens Stock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43,533</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199</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5,648</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3,164</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1,542</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BME Spanish Exchanges</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477,065</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39,043</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103,542</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312,785</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3,101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378,385</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Borsa Istanbul</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7,734,253</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16,068</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498,868</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22,987</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47</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27,202</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Budapest Stock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48,372</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67</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5,137</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Deutsche Boerse AG</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47,206,287</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2,160,318</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9,574,450</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29,650,488</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1,162,281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44,363,459</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Euronext</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2,683,981</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214,651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585,114</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1,387,339</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99,839</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509,702</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Moscow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14,052,453</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37,515</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464,474</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1,520,839</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4,081</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238,142</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Nasdaq Nordic and Baltics</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2,398,409</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54,436</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379,012</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8,665</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60"/>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Tel-Aviv Stock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2,310,641</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105,403</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198,880</w:t>
            </w:r>
          </w:p>
        </w:tc>
      </w:tr>
      <w:tr w:rsidR="002F3AF7" w:rsidRPr="00B05451" w:rsidTr="005F4FFF">
        <w:trPr>
          <w:trHeight w:val="273"/>
        </w:trPr>
        <w:tc>
          <w:tcPr>
            <w:tcW w:w="1740"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Warsaw Stock Exchange</w:t>
            </w:r>
          </w:p>
        </w:tc>
        <w:tc>
          <w:tcPr>
            <w:tcW w:w="569"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543,686</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5,767</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38,399</w:t>
            </w:r>
          </w:p>
        </w:tc>
        <w:tc>
          <w:tcPr>
            <w:tcW w:w="56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29,470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157</w:t>
            </w:r>
          </w:p>
        </w:tc>
        <w:tc>
          <w:tcPr>
            <w:tcW w:w="531"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18,977</w:t>
            </w:r>
          </w:p>
        </w:tc>
      </w:tr>
      <w:tr w:rsidR="002F3AF7" w:rsidRPr="00B05451" w:rsidTr="005F4FFF">
        <w:trPr>
          <w:trHeight w:val="273"/>
        </w:trPr>
        <w:tc>
          <w:tcPr>
            <w:tcW w:w="1740" w:type="pct"/>
            <w:tcBorders>
              <w:top w:val="single" w:sz="8" w:space="0" w:color="auto"/>
              <w:left w:val="single" w:sz="8" w:space="0" w:color="auto"/>
              <w:bottom w:val="single" w:sz="8" w:space="0" w:color="auto"/>
              <w:right w:val="nil"/>
            </w:tcBorders>
            <w:shd w:val="clear" w:color="000000" w:fill="D9E1F2"/>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Grand Total</w:t>
            </w:r>
          </w:p>
        </w:tc>
        <w:tc>
          <w:tcPr>
            <w:tcW w:w="569"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531,307,582</w:t>
            </w:r>
          </w:p>
        </w:tc>
        <w:tc>
          <w:tcPr>
            <w:tcW w:w="529"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19,746,571</w:t>
            </w:r>
          </w:p>
        </w:tc>
        <w:tc>
          <w:tcPr>
            <w:tcW w:w="531"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22,355,707</w:t>
            </w:r>
          </w:p>
        </w:tc>
        <w:tc>
          <w:tcPr>
            <w:tcW w:w="569"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918,259,523</w:t>
            </w:r>
          </w:p>
        </w:tc>
        <w:tc>
          <w:tcPr>
            <w:tcW w:w="530"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19,170,294</w:t>
            </w:r>
          </w:p>
        </w:tc>
        <w:tc>
          <w:tcPr>
            <w:tcW w:w="531" w:type="pct"/>
            <w:tcBorders>
              <w:top w:val="single" w:sz="8" w:space="0" w:color="auto"/>
              <w:left w:val="nil"/>
              <w:bottom w:val="single" w:sz="8" w:space="0" w:color="auto"/>
              <w:right w:val="single" w:sz="8" w:space="0" w:color="auto"/>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79,834,084</w:t>
            </w:r>
          </w:p>
        </w:tc>
      </w:tr>
    </w:tbl>
    <w:p w:rsidR="002F3AF7" w:rsidRPr="00272724" w:rsidRDefault="002F3AF7" w:rsidP="002F3AF7">
      <w:pPr>
        <w:spacing w:line="23" w:lineRule="atLeast"/>
        <w:rPr>
          <w:rFonts w:ascii="Garamond" w:hAnsi="Garamond"/>
          <w:bCs/>
          <w:sz w:val="18"/>
          <w:szCs w:val="18"/>
        </w:rPr>
      </w:pPr>
    </w:p>
    <w:p w:rsidR="002F3AF7" w:rsidRPr="00272724" w:rsidRDefault="002F3AF7" w:rsidP="002F3AF7">
      <w:pPr>
        <w:spacing w:line="23" w:lineRule="atLeast"/>
        <w:jc w:val="both"/>
        <w:outlineLvl w:val="0"/>
        <w:rPr>
          <w:rFonts w:ascii="Garamond" w:eastAsia="Times New Roman" w:hAnsi="Garamond" w:cs="Calibri"/>
          <w:color w:val="000000"/>
          <w:sz w:val="20"/>
          <w:szCs w:val="20"/>
          <w:lang w:val="en-IN" w:eastAsia="en-IN"/>
        </w:rPr>
      </w:pPr>
      <w:r w:rsidRPr="00272724">
        <w:rPr>
          <w:rFonts w:ascii="Garamond" w:hAnsi="Garamond"/>
          <w:bCs/>
          <w:sz w:val="18"/>
          <w:szCs w:val="18"/>
        </w:rPr>
        <w:t>NA: Not Available</w:t>
      </w:r>
      <w:r w:rsidRPr="00272724">
        <w:rPr>
          <w:rFonts w:ascii="Garamond" w:eastAsia="Times New Roman" w:hAnsi="Garamond" w:cs="Calibri"/>
          <w:color w:val="000000"/>
          <w:sz w:val="20"/>
          <w:szCs w:val="20"/>
          <w:lang w:val="en-IN" w:eastAsia="en-IN"/>
        </w:rPr>
        <w:t>.</w:t>
      </w:r>
    </w:p>
    <w:p w:rsidR="002F3AF7" w:rsidRPr="00272724" w:rsidRDefault="002F3AF7" w:rsidP="002F3AF7">
      <w:pPr>
        <w:spacing w:line="23" w:lineRule="atLeast"/>
        <w:jc w:val="both"/>
        <w:outlineLvl w:val="0"/>
        <w:rPr>
          <w:rFonts w:ascii="Garamond" w:eastAsia="Times New Roman" w:hAnsi="Garamond"/>
          <w:bCs/>
          <w:sz w:val="18"/>
          <w:szCs w:val="18"/>
          <w:lang w:val="en-US"/>
        </w:rPr>
      </w:pPr>
      <w:r w:rsidRPr="00272724">
        <w:rPr>
          <w:rFonts w:ascii="Garamond" w:hAnsi="Garamond"/>
          <w:bCs/>
          <w:sz w:val="18"/>
          <w:szCs w:val="18"/>
        </w:rPr>
        <w:t>Source: World Federation of Exchanges</w:t>
      </w:r>
      <w:r w:rsidRPr="00272724">
        <w:rPr>
          <w:rFonts w:ascii="Garamond" w:eastAsia="Times New Roman" w:hAnsi="Garamond"/>
          <w:bCs/>
          <w:sz w:val="18"/>
          <w:szCs w:val="18"/>
          <w:lang w:val="en-US"/>
        </w:rPr>
        <w:tab/>
      </w:r>
    </w:p>
    <w:p w:rsidR="002F3AF7" w:rsidRPr="00272724" w:rsidRDefault="002F3AF7" w:rsidP="002F3AF7">
      <w:pPr>
        <w:spacing w:line="23" w:lineRule="atLeast"/>
        <w:jc w:val="both"/>
        <w:outlineLvl w:val="0"/>
        <w:rPr>
          <w:rFonts w:ascii="Garamond" w:eastAsia="Times New Roman" w:hAnsi="Garamond"/>
          <w:bCs/>
          <w:sz w:val="18"/>
          <w:szCs w:val="18"/>
          <w:lang w:val="en-US"/>
        </w:rPr>
      </w:pPr>
    </w:p>
    <w:p w:rsidR="002F3AF7" w:rsidRPr="00272724" w:rsidRDefault="002F3AF7" w:rsidP="002F3AF7">
      <w:pPr>
        <w:rPr>
          <w:rFonts w:ascii="Garamond" w:hAnsi="Garamond"/>
          <w:bCs/>
          <w:strike/>
          <w:sz w:val="22"/>
          <w:szCs w:val="22"/>
        </w:rPr>
      </w:pPr>
      <w:r w:rsidRPr="00272724">
        <w:rPr>
          <w:rFonts w:ascii="Garamond" w:hAnsi="Garamond"/>
          <w:bCs/>
          <w:strike/>
          <w:sz w:val="22"/>
          <w:szCs w:val="22"/>
        </w:rPr>
        <w:br w:type="page"/>
      </w:r>
    </w:p>
    <w:p w:rsidR="002F3AF7" w:rsidRPr="00272724" w:rsidRDefault="002F3AF7" w:rsidP="002F3AF7">
      <w:pPr>
        <w:spacing w:line="23" w:lineRule="atLeast"/>
        <w:jc w:val="both"/>
        <w:rPr>
          <w:rFonts w:ascii="Garamond" w:hAnsi="Garamond"/>
          <w:b/>
          <w:sz w:val="28"/>
          <w:lang w:val="en-US"/>
        </w:rPr>
      </w:pPr>
      <w:r w:rsidRPr="00272724">
        <w:rPr>
          <w:rFonts w:ascii="Garamond" w:hAnsi="Garamond"/>
          <w:b/>
          <w:bCs/>
          <w:szCs w:val="22"/>
        </w:rPr>
        <w:t>Table A6: Currency Futures and Options Traded in Major Exchanges</w:t>
      </w:r>
    </w:p>
    <w:p w:rsidR="002F3AF7" w:rsidRPr="00272724" w:rsidRDefault="002F3AF7" w:rsidP="002F3AF7">
      <w:pPr>
        <w:ind w:right="957"/>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5255" w:type="pct"/>
        <w:tblLook w:val="04A0" w:firstRow="1" w:lastRow="0" w:firstColumn="1" w:lastColumn="0" w:noHBand="0" w:noVBand="1"/>
      </w:tblPr>
      <w:tblGrid>
        <w:gridCol w:w="3612"/>
        <w:gridCol w:w="1196"/>
        <w:gridCol w:w="1098"/>
        <w:gridCol w:w="1179"/>
        <w:gridCol w:w="1100"/>
        <w:gridCol w:w="1094"/>
        <w:gridCol w:w="1103"/>
      </w:tblGrid>
      <w:tr w:rsidR="002F3AF7" w:rsidRPr="00B05451" w:rsidTr="005F4FFF">
        <w:trPr>
          <w:trHeight w:val="185"/>
        </w:trPr>
        <w:tc>
          <w:tcPr>
            <w:tcW w:w="1739"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Exchange</w:t>
            </w:r>
          </w:p>
        </w:tc>
        <w:tc>
          <w:tcPr>
            <w:tcW w:w="3261" w:type="pct"/>
            <w:gridSpan w:val="6"/>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Dec-20</w:t>
            </w:r>
          </w:p>
        </w:tc>
      </w:tr>
      <w:tr w:rsidR="002F3AF7" w:rsidRPr="00B05451" w:rsidTr="005F4FFF">
        <w:trPr>
          <w:trHeight w:val="185"/>
        </w:trPr>
        <w:tc>
          <w:tcPr>
            <w:tcW w:w="1739"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1673" w:type="pct"/>
            <w:gridSpan w:val="3"/>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Currency Futures</w:t>
            </w:r>
          </w:p>
        </w:tc>
        <w:tc>
          <w:tcPr>
            <w:tcW w:w="1587" w:type="pct"/>
            <w:gridSpan w:val="3"/>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Currency Options</w:t>
            </w:r>
          </w:p>
        </w:tc>
      </w:tr>
      <w:tr w:rsidR="002F3AF7" w:rsidRPr="00B05451" w:rsidTr="005F4FFF">
        <w:trPr>
          <w:trHeight w:val="484"/>
        </w:trPr>
        <w:tc>
          <w:tcPr>
            <w:tcW w:w="1739"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576"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29"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67"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c>
          <w:tcPr>
            <w:tcW w:w="530"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27"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30"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B3 - Brasil Bolsa Balcão</w:t>
            </w:r>
          </w:p>
        </w:tc>
        <w:tc>
          <w:tcPr>
            <w:tcW w:w="576" w:type="pct"/>
            <w:tcBorders>
              <w:top w:val="single" w:sz="8" w:space="0" w:color="auto"/>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72,050,191</w:t>
            </w:r>
          </w:p>
        </w:tc>
        <w:tc>
          <w:tcPr>
            <w:tcW w:w="529"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957,294</w:t>
            </w:r>
          </w:p>
        </w:tc>
        <w:tc>
          <w:tcPr>
            <w:tcW w:w="567"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6,775,520</w:t>
            </w:r>
          </w:p>
        </w:tc>
        <w:tc>
          <w:tcPr>
            <w:tcW w:w="530"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719,981</w:t>
            </w:r>
          </w:p>
        </w:tc>
        <w:tc>
          <w:tcPr>
            <w:tcW w:w="527"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741</w:t>
            </w:r>
          </w:p>
        </w:tc>
        <w:tc>
          <w:tcPr>
            <w:tcW w:w="530"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980,527</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de Valores de Colombia</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Mexicana de Valores</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1,191,349</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11,976</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473,752</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5,200</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55</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80</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Matba Rofex</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11,194,718</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11,889</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3,901,535</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1,250</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177</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CME Group</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21,003,473</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2,078,674</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1,735,102</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710,654</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83,701</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538,509</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Hong Kong Exchanges and Clearing</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170,325</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16,519</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28,612</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513</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2,483</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Korea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8,174,366</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82,500</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899,781</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National Stock Exchange of India</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72,299,426</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77,992</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104,826,173</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79,833,474</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80,879</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88,430,005</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Singapore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2,078,646</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132,670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1,102</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1,185</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Taiwan Futures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25,691</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784</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2,291</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662</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Thailand Futures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270,498</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44,059</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Borsa Istanbul</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6,659,834</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7,093</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3,006,045</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62,097</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52,875</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Budapest Stock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568,640</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654</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513,976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200</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200</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Moscow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89,221,113</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91,608</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3,096,726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2,252,169</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2,282</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985,758</w:t>
            </w:r>
          </w:p>
        </w:tc>
      </w:tr>
      <w:tr w:rsidR="002F3AF7" w:rsidRPr="00B05451" w:rsidTr="005F4FFF">
        <w:trPr>
          <w:trHeight w:val="18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Tel-Aviv Stock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6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1,182,622</w:t>
            </w:r>
          </w:p>
        </w:tc>
        <w:tc>
          <w:tcPr>
            <w:tcW w:w="52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12,116</w:t>
            </w:r>
          </w:p>
        </w:tc>
        <w:tc>
          <w:tcPr>
            <w:tcW w:w="530"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482,903</w:t>
            </w:r>
          </w:p>
        </w:tc>
      </w:tr>
      <w:tr w:rsidR="002F3AF7" w:rsidRPr="00B05451" w:rsidTr="005F4FFF">
        <w:trPr>
          <w:trHeight w:val="195"/>
        </w:trPr>
        <w:tc>
          <w:tcPr>
            <w:tcW w:w="1739"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Dubai Gold and Commodities Exchange</w:t>
            </w:r>
          </w:p>
        </w:tc>
        <w:tc>
          <w:tcPr>
            <w:tcW w:w="576" w:type="pct"/>
            <w:tcBorders>
              <w:top w:val="nil"/>
              <w:left w:val="single" w:sz="8" w:space="0" w:color="auto"/>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734,328</w:t>
            </w:r>
          </w:p>
        </w:tc>
        <w:tc>
          <w:tcPr>
            <w:tcW w:w="529"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5,231</w:t>
            </w:r>
          </w:p>
        </w:tc>
        <w:tc>
          <w:tcPr>
            <w:tcW w:w="567"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33,957</w:t>
            </w:r>
          </w:p>
        </w:tc>
        <w:tc>
          <w:tcPr>
            <w:tcW w:w="530"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27"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0"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195"/>
        </w:trPr>
        <w:tc>
          <w:tcPr>
            <w:tcW w:w="1739" w:type="pct"/>
            <w:tcBorders>
              <w:top w:val="single" w:sz="8" w:space="0" w:color="auto"/>
              <w:left w:val="single" w:sz="8" w:space="0" w:color="auto"/>
              <w:bottom w:val="single" w:sz="8" w:space="0" w:color="auto"/>
              <w:right w:val="nil"/>
            </w:tcBorders>
            <w:shd w:val="clear" w:color="000000" w:fill="D9E1F2"/>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Grand Total</w:t>
            </w:r>
          </w:p>
        </w:tc>
        <w:tc>
          <w:tcPr>
            <w:tcW w:w="576"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285,642,598</w:t>
            </w:r>
          </w:p>
        </w:tc>
        <w:tc>
          <w:tcPr>
            <w:tcW w:w="529"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3,342,215</w:t>
            </w:r>
          </w:p>
        </w:tc>
        <w:tc>
          <w:tcPr>
            <w:tcW w:w="567"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125,470,199</w:t>
            </w:r>
          </w:p>
        </w:tc>
        <w:tc>
          <w:tcPr>
            <w:tcW w:w="530"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84,769,266</w:t>
            </w:r>
          </w:p>
        </w:tc>
        <w:tc>
          <w:tcPr>
            <w:tcW w:w="527"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179,893</w:t>
            </w:r>
          </w:p>
        </w:tc>
        <w:tc>
          <w:tcPr>
            <w:tcW w:w="530" w:type="pct"/>
            <w:tcBorders>
              <w:top w:val="nil"/>
              <w:left w:val="nil"/>
              <w:bottom w:val="single" w:sz="8" w:space="0" w:color="auto"/>
              <w:right w:val="single" w:sz="8" w:space="0" w:color="auto"/>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91,475,364</w:t>
            </w:r>
          </w:p>
        </w:tc>
      </w:tr>
    </w:tbl>
    <w:p w:rsidR="002F3AF7" w:rsidRPr="00272724" w:rsidRDefault="002F3AF7" w:rsidP="002F3AF7">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p>
    <w:p w:rsidR="002F3AF7" w:rsidRPr="00272724" w:rsidRDefault="002F3AF7" w:rsidP="002F3AF7">
      <w:pPr>
        <w:spacing w:line="23" w:lineRule="atLeast"/>
        <w:jc w:val="both"/>
        <w:rPr>
          <w:rFonts w:ascii="Garamond" w:hAnsi="Garamond"/>
          <w:bCs/>
          <w:sz w:val="18"/>
          <w:szCs w:val="18"/>
        </w:rPr>
      </w:pPr>
      <w:r w:rsidRPr="00272724">
        <w:rPr>
          <w:rFonts w:ascii="Garamond" w:hAnsi="Garamond"/>
          <w:bCs/>
          <w:sz w:val="18"/>
          <w:szCs w:val="18"/>
        </w:rPr>
        <w:t>NA: Not Available</w:t>
      </w:r>
    </w:p>
    <w:p w:rsidR="002F3AF7" w:rsidRPr="00436420"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2F3AF7" w:rsidRPr="00272724" w:rsidRDefault="002F3AF7" w:rsidP="002F3AF7">
      <w:pPr>
        <w:spacing w:line="23" w:lineRule="atLeast"/>
        <w:rPr>
          <w:rFonts w:ascii="Garamond" w:hAnsi="Garamond"/>
          <w:bCs/>
          <w:sz w:val="22"/>
          <w:szCs w:val="22"/>
        </w:rPr>
      </w:pPr>
    </w:p>
    <w:p w:rsidR="002F3AF7" w:rsidRPr="00436420" w:rsidRDefault="002F3AF7" w:rsidP="002F3AF7">
      <w:pPr>
        <w:rPr>
          <w:rFonts w:ascii="Garamond" w:eastAsia="Times New Roman" w:hAnsi="Garamond"/>
          <w:bCs/>
          <w:strike/>
          <w:sz w:val="22"/>
          <w:szCs w:val="22"/>
          <w:lang w:val="en-US"/>
        </w:rPr>
      </w:pPr>
      <w:r w:rsidRPr="00272724">
        <w:rPr>
          <w:rFonts w:ascii="Garamond" w:eastAsia="Times New Roman" w:hAnsi="Garamond"/>
          <w:b/>
          <w:bCs/>
          <w:szCs w:val="22"/>
          <w:lang w:val="en-US"/>
        </w:rPr>
        <w:t>Table A7: Interest Rate Futures and Options Traded in Major Exchanges</w:t>
      </w:r>
    </w:p>
    <w:p w:rsidR="002F3AF7" w:rsidRPr="00272724" w:rsidRDefault="002F3AF7" w:rsidP="002F3AF7">
      <w:pPr>
        <w:spacing w:line="23" w:lineRule="atLeast"/>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5117" w:type="pct"/>
        <w:tblLook w:val="04A0" w:firstRow="1" w:lastRow="0" w:firstColumn="1" w:lastColumn="0" w:noHBand="0" w:noVBand="1"/>
      </w:tblPr>
      <w:tblGrid>
        <w:gridCol w:w="3533"/>
        <w:gridCol w:w="1135"/>
        <w:gridCol w:w="1085"/>
        <w:gridCol w:w="1090"/>
        <w:gridCol w:w="1086"/>
        <w:gridCol w:w="1088"/>
        <w:gridCol w:w="1092"/>
      </w:tblGrid>
      <w:tr w:rsidR="002F3AF7" w:rsidRPr="00B05451" w:rsidTr="005F4FFF">
        <w:trPr>
          <w:trHeight w:val="213"/>
        </w:trPr>
        <w:tc>
          <w:tcPr>
            <w:tcW w:w="1748"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Exchange</w:t>
            </w:r>
          </w:p>
        </w:tc>
        <w:tc>
          <w:tcPr>
            <w:tcW w:w="3252" w:type="pct"/>
            <w:gridSpan w:val="6"/>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Dec-20</w:t>
            </w:r>
          </w:p>
        </w:tc>
      </w:tr>
      <w:tr w:rsidR="002F3AF7" w:rsidRPr="00B05451" w:rsidTr="005F4FFF">
        <w:trPr>
          <w:trHeight w:val="213"/>
        </w:trPr>
        <w:tc>
          <w:tcPr>
            <w:tcW w:w="1748"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1637" w:type="pct"/>
            <w:gridSpan w:val="3"/>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Interest Rate Futures</w:t>
            </w:r>
          </w:p>
        </w:tc>
        <w:tc>
          <w:tcPr>
            <w:tcW w:w="1614" w:type="pct"/>
            <w:gridSpan w:val="3"/>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Interest Rate Options</w:t>
            </w:r>
          </w:p>
        </w:tc>
      </w:tr>
      <w:tr w:rsidR="002F3AF7" w:rsidRPr="00B05451" w:rsidTr="005F4FFF">
        <w:trPr>
          <w:trHeight w:val="554"/>
        </w:trPr>
        <w:tc>
          <w:tcPr>
            <w:tcW w:w="1748"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561"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37"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38"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c>
          <w:tcPr>
            <w:tcW w:w="537"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38"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39"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B3 - Brasil Bolsa Balcão</w:t>
            </w:r>
          </w:p>
        </w:tc>
        <w:tc>
          <w:tcPr>
            <w:tcW w:w="561" w:type="pct"/>
            <w:tcBorders>
              <w:top w:val="single" w:sz="8" w:space="0" w:color="auto"/>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46,508,053</w:t>
            </w:r>
          </w:p>
        </w:tc>
        <w:tc>
          <w:tcPr>
            <w:tcW w:w="537"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1,205,274</w:t>
            </w:r>
          </w:p>
        </w:tc>
        <w:tc>
          <w:tcPr>
            <w:tcW w:w="538"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32,075,503</w:t>
            </w:r>
          </w:p>
        </w:tc>
        <w:tc>
          <w:tcPr>
            <w:tcW w:w="537"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21,274,153</w:t>
            </w:r>
          </w:p>
        </w:tc>
        <w:tc>
          <w:tcPr>
            <w:tcW w:w="538"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401</w:t>
            </w:r>
          </w:p>
        </w:tc>
        <w:tc>
          <w:tcPr>
            <w:tcW w:w="539"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55,270,756</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de Valores de Colombia</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Bolsa Mexicana de Valores</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9,000</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54</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4,000</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CME Group</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90,905,523</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48,320,577</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22,965,618</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20,083,814</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9,770,906</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26,456,435</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ASX Australian Securities Exchange</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12,871,991</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1,582,890</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3,291,510</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1,400</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108</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Japan Exchange Group</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790,707</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68,798</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18,344</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3,710</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Korea Exchange</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3,969,166</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434,393</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448,127</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National Stock Exchange of India</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276,020</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748</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1,470,411</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Singapore Exchange</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51,818</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13,786</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China Financial Futures Exchange</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1,858,061</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301,765</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201,548</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Deutsche Boerse AG</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42,643,096</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7,896,175</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4,656,740</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3,933,307</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746,613</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1,879,253</w:t>
            </w:r>
          </w:p>
        </w:tc>
      </w:tr>
      <w:tr w:rsidR="002F3AF7" w:rsidRPr="00B05451" w:rsidTr="005F4FFF">
        <w:trPr>
          <w:trHeight w:val="21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Moscow Exchange</w:t>
            </w:r>
          </w:p>
        </w:tc>
        <w:tc>
          <w:tcPr>
            <w:tcW w:w="561"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16,167</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22,304</w:t>
            </w:r>
          </w:p>
        </w:tc>
        <w:tc>
          <w:tcPr>
            <w:tcW w:w="537"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8"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9"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23"/>
        </w:trPr>
        <w:tc>
          <w:tcPr>
            <w:tcW w:w="1748"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Nasdaq Nordic and Baltics</w:t>
            </w:r>
          </w:p>
        </w:tc>
        <w:tc>
          <w:tcPr>
            <w:tcW w:w="561" w:type="pct"/>
            <w:tcBorders>
              <w:top w:val="nil"/>
              <w:left w:val="single" w:sz="8" w:space="0" w:color="auto"/>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281,259</w:t>
            </w:r>
          </w:p>
        </w:tc>
        <w:tc>
          <w:tcPr>
            <w:tcW w:w="537"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34,176</w:t>
            </w:r>
          </w:p>
        </w:tc>
        <w:tc>
          <w:tcPr>
            <w:tcW w:w="538"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13,000</w:t>
            </w:r>
          </w:p>
        </w:tc>
        <w:tc>
          <w:tcPr>
            <w:tcW w:w="537"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459,464</w:t>
            </w:r>
          </w:p>
        </w:tc>
        <w:tc>
          <w:tcPr>
            <w:tcW w:w="538"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55,830</w:t>
            </w:r>
          </w:p>
        </w:tc>
        <w:tc>
          <w:tcPr>
            <w:tcW w:w="539" w:type="pct"/>
            <w:tcBorders>
              <w:top w:val="nil"/>
              <w:left w:val="nil"/>
              <w:bottom w:val="single" w:sz="8" w:space="0" w:color="auto"/>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r>
      <w:tr w:rsidR="002F3AF7" w:rsidRPr="00B05451" w:rsidTr="005F4FFF">
        <w:trPr>
          <w:trHeight w:val="223"/>
        </w:trPr>
        <w:tc>
          <w:tcPr>
            <w:tcW w:w="1748" w:type="pct"/>
            <w:tcBorders>
              <w:top w:val="single" w:sz="8" w:space="0" w:color="auto"/>
              <w:left w:val="single" w:sz="8" w:space="0" w:color="auto"/>
              <w:bottom w:val="single" w:sz="8" w:space="0" w:color="auto"/>
              <w:right w:val="nil"/>
            </w:tcBorders>
            <w:shd w:val="clear" w:color="000000" w:fill="D9E1F2"/>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Grand Total</w:t>
            </w:r>
          </w:p>
        </w:tc>
        <w:tc>
          <w:tcPr>
            <w:tcW w:w="561"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200,180,861</w:t>
            </w:r>
          </w:p>
        </w:tc>
        <w:tc>
          <w:tcPr>
            <w:tcW w:w="537"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59,776,063</w:t>
            </w:r>
          </w:p>
        </w:tc>
        <w:tc>
          <w:tcPr>
            <w:tcW w:w="538"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65,231,345</w:t>
            </w:r>
          </w:p>
        </w:tc>
        <w:tc>
          <w:tcPr>
            <w:tcW w:w="537"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45,770,482</w:t>
            </w:r>
          </w:p>
        </w:tc>
        <w:tc>
          <w:tcPr>
            <w:tcW w:w="538" w:type="pct"/>
            <w:tcBorders>
              <w:top w:val="nil"/>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10,573,856</w:t>
            </w:r>
          </w:p>
        </w:tc>
        <w:tc>
          <w:tcPr>
            <w:tcW w:w="539" w:type="pct"/>
            <w:tcBorders>
              <w:top w:val="nil"/>
              <w:left w:val="nil"/>
              <w:bottom w:val="single" w:sz="8" w:space="0" w:color="auto"/>
              <w:right w:val="single" w:sz="8" w:space="0" w:color="auto"/>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83,610,154</w:t>
            </w:r>
          </w:p>
        </w:tc>
      </w:tr>
    </w:tbl>
    <w:p w:rsidR="002F3AF7" w:rsidRPr="00272724" w:rsidRDefault="002F3AF7" w:rsidP="002F3AF7">
      <w:pPr>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p>
    <w:p w:rsidR="002F3AF7" w:rsidRPr="00272724" w:rsidRDefault="002F3AF7" w:rsidP="002F3AF7">
      <w:pPr>
        <w:spacing w:line="23" w:lineRule="atLeast"/>
        <w:jc w:val="both"/>
        <w:rPr>
          <w:rFonts w:ascii="Garamond" w:hAnsi="Garamond"/>
          <w:bCs/>
          <w:sz w:val="18"/>
          <w:szCs w:val="18"/>
        </w:rPr>
      </w:pPr>
      <w:r w:rsidRPr="00272724">
        <w:rPr>
          <w:rFonts w:ascii="Garamond" w:hAnsi="Garamond"/>
          <w:bCs/>
          <w:sz w:val="18"/>
          <w:szCs w:val="18"/>
        </w:rPr>
        <w:t>NA: Not Available</w:t>
      </w:r>
    </w:p>
    <w:p w:rsidR="002F3AF7" w:rsidRPr="00272724"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2F3AF7" w:rsidRPr="00272724" w:rsidRDefault="002F3AF7" w:rsidP="002F3AF7">
      <w:pPr>
        <w:rPr>
          <w:rFonts w:ascii="Garamond" w:eastAsia="Times New Roman" w:hAnsi="Garamond"/>
          <w:bCs/>
          <w:sz w:val="22"/>
          <w:szCs w:val="22"/>
          <w:lang w:val="en-US"/>
        </w:rPr>
      </w:pPr>
    </w:p>
    <w:p w:rsidR="002F3AF7" w:rsidRPr="00272724" w:rsidRDefault="002F3AF7" w:rsidP="002F3AF7">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2F3AF7" w:rsidRPr="00272724" w:rsidRDefault="002F3AF7" w:rsidP="002F3AF7">
      <w:pPr>
        <w:spacing w:line="23" w:lineRule="atLeast"/>
        <w:rPr>
          <w:rFonts w:ascii="Garamond" w:hAnsi="Garamond"/>
          <w:b/>
          <w:bCs/>
          <w:szCs w:val="22"/>
        </w:rPr>
      </w:pPr>
      <w:r w:rsidRPr="00272724">
        <w:rPr>
          <w:rFonts w:ascii="Garamond" w:eastAsia="Times New Roman" w:hAnsi="Garamond"/>
          <w:b/>
          <w:bCs/>
          <w:szCs w:val="22"/>
          <w:lang w:val="en-US"/>
        </w:rPr>
        <w:t>Table A8: Commodity Futures and Options Traded in Major Exchanges</w:t>
      </w:r>
    </w:p>
    <w:p w:rsidR="002F3AF7" w:rsidRPr="00272724" w:rsidRDefault="002F3AF7" w:rsidP="002F3AF7">
      <w:pPr>
        <w:spacing w:line="23" w:lineRule="atLeast"/>
        <w:ind w:right="348"/>
        <w:jc w:val="right"/>
        <w:rPr>
          <w:rFonts w:ascii="Garamond" w:hAnsi="Garamond"/>
          <w:bCs/>
          <w:sz w:val="22"/>
          <w:szCs w:val="22"/>
        </w:rPr>
      </w:pPr>
      <w:r w:rsidRPr="00272724">
        <w:rPr>
          <w:rFonts w:ascii="Garamond" w:hAnsi="Garamond"/>
          <w:bCs/>
          <w:sz w:val="22"/>
          <w:szCs w:val="22"/>
        </w:rPr>
        <w:t>Notional Turnover in (USD million)</w:t>
      </w:r>
    </w:p>
    <w:tbl>
      <w:tblPr>
        <w:tblW w:w="5181" w:type="pct"/>
        <w:tblLook w:val="04A0" w:firstRow="1" w:lastRow="0" w:firstColumn="1" w:lastColumn="0" w:noHBand="0" w:noVBand="1"/>
      </w:tblPr>
      <w:tblGrid>
        <w:gridCol w:w="3575"/>
        <w:gridCol w:w="1180"/>
        <w:gridCol w:w="1095"/>
        <w:gridCol w:w="1097"/>
        <w:gridCol w:w="1095"/>
        <w:gridCol w:w="1095"/>
        <w:gridCol w:w="1099"/>
      </w:tblGrid>
      <w:tr w:rsidR="002F3AF7" w:rsidRPr="00B05451" w:rsidTr="005F4FFF">
        <w:trPr>
          <w:trHeight w:val="216"/>
        </w:trPr>
        <w:tc>
          <w:tcPr>
            <w:tcW w:w="1746"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Exchange</w:t>
            </w:r>
          </w:p>
        </w:tc>
        <w:tc>
          <w:tcPr>
            <w:tcW w:w="3254" w:type="pct"/>
            <w:gridSpan w:val="6"/>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Dec-20</w:t>
            </w:r>
          </w:p>
        </w:tc>
      </w:tr>
      <w:tr w:rsidR="002F3AF7" w:rsidRPr="00B05451" w:rsidTr="005F4FFF">
        <w:trPr>
          <w:trHeight w:val="216"/>
        </w:trPr>
        <w:tc>
          <w:tcPr>
            <w:tcW w:w="1746"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1647" w:type="pct"/>
            <w:gridSpan w:val="3"/>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Commodities Futures</w:t>
            </w:r>
          </w:p>
        </w:tc>
        <w:tc>
          <w:tcPr>
            <w:tcW w:w="1607" w:type="pct"/>
            <w:gridSpan w:val="3"/>
            <w:tcBorders>
              <w:top w:val="single" w:sz="4" w:space="0" w:color="auto"/>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Commodities Options</w:t>
            </w:r>
          </w:p>
        </w:tc>
      </w:tr>
      <w:tr w:rsidR="002F3AF7" w:rsidRPr="00B05451" w:rsidTr="005F4FFF">
        <w:trPr>
          <w:trHeight w:val="563"/>
        </w:trPr>
        <w:tc>
          <w:tcPr>
            <w:tcW w:w="1746" w:type="pct"/>
            <w:vMerge/>
            <w:tcBorders>
              <w:top w:val="single" w:sz="4" w:space="0" w:color="auto"/>
              <w:left w:val="single" w:sz="4" w:space="0" w:color="auto"/>
              <w:bottom w:val="single" w:sz="4" w:space="0" w:color="auto"/>
              <w:right w:val="single" w:sz="4" w:space="0" w:color="auto"/>
            </w:tcBorders>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p>
        </w:tc>
        <w:tc>
          <w:tcPr>
            <w:tcW w:w="576"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35"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36"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c>
          <w:tcPr>
            <w:tcW w:w="535"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Number of</w:t>
            </w:r>
            <w:r w:rsidRPr="00B05451">
              <w:rPr>
                <w:rFonts w:ascii="Garamond" w:eastAsia="Times New Roman" w:hAnsi="Garamond" w:cs="Calibri"/>
                <w:b/>
                <w:bCs/>
                <w:color w:val="000000"/>
                <w:sz w:val="20"/>
                <w:szCs w:val="20"/>
                <w:lang w:val="en-IN" w:eastAsia="en-IN" w:bidi="hi-IN"/>
              </w:rPr>
              <w:br/>
              <w:t>Contracts Traded</w:t>
            </w:r>
          </w:p>
        </w:tc>
        <w:tc>
          <w:tcPr>
            <w:tcW w:w="535"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Notional</w:t>
            </w:r>
            <w:r w:rsidRPr="00B05451">
              <w:rPr>
                <w:rFonts w:ascii="Garamond" w:eastAsia="Times New Roman" w:hAnsi="Garamond" w:cs="Calibri"/>
                <w:b/>
                <w:bCs/>
                <w:color w:val="000000"/>
                <w:sz w:val="20"/>
                <w:szCs w:val="20"/>
                <w:lang w:val="en-IN" w:eastAsia="en-IN" w:bidi="hi-IN"/>
              </w:rPr>
              <w:br/>
              <w:t>Turnover</w:t>
            </w:r>
          </w:p>
        </w:tc>
        <w:tc>
          <w:tcPr>
            <w:tcW w:w="536" w:type="pct"/>
            <w:tcBorders>
              <w:top w:val="nil"/>
              <w:left w:val="nil"/>
              <w:bottom w:val="single" w:sz="4" w:space="0" w:color="auto"/>
              <w:right w:val="single" w:sz="4" w:space="0" w:color="auto"/>
            </w:tcBorders>
            <w:shd w:val="clear" w:color="000000" w:fill="B4C6E7"/>
            <w:vAlign w:val="center"/>
            <w:hideMark/>
          </w:tcPr>
          <w:p w:rsidR="002F3AF7" w:rsidRPr="00B05451" w:rsidRDefault="002F3AF7" w:rsidP="005F4FFF">
            <w:pPr>
              <w:jc w:val="cente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Open</w:t>
            </w:r>
            <w:r w:rsidRPr="00B05451">
              <w:rPr>
                <w:rFonts w:ascii="Garamond" w:eastAsia="Times New Roman" w:hAnsi="Garamond" w:cs="Calibri"/>
                <w:b/>
                <w:bCs/>
                <w:color w:val="000000"/>
                <w:sz w:val="20"/>
                <w:szCs w:val="20"/>
                <w:lang w:val="en-IN" w:eastAsia="en-IN" w:bidi="hi-IN"/>
              </w:rPr>
              <w:br/>
              <w:t>Interest</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B3 - Brasil Bolsa Balcão</w:t>
            </w:r>
          </w:p>
        </w:tc>
        <w:tc>
          <w:tcPr>
            <w:tcW w:w="576" w:type="pct"/>
            <w:tcBorders>
              <w:top w:val="single" w:sz="8" w:space="0" w:color="auto"/>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239,768</w:t>
            </w:r>
          </w:p>
        </w:tc>
        <w:tc>
          <w:tcPr>
            <w:tcW w:w="535"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2,171</w:t>
            </w:r>
          </w:p>
        </w:tc>
        <w:tc>
          <w:tcPr>
            <w:tcW w:w="536"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77,643</w:t>
            </w:r>
          </w:p>
        </w:tc>
        <w:tc>
          <w:tcPr>
            <w:tcW w:w="535"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36,572</w:t>
            </w:r>
          </w:p>
        </w:tc>
        <w:tc>
          <w:tcPr>
            <w:tcW w:w="535"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w:t>
            </w:r>
          </w:p>
        </w:tc>
        <w:tc>
          <w:tcPr>
            <w:tcW w:w="536" w:type="pct"/>
            <w:tcBorders>
              <w:top w:val="single" w:sz="8" w:space="0" w:color="auto"/>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63,632</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Matba Rofex</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83,603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980</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53,898</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9,695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22,314</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CME Group</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66,009,713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3,448,050</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13,814,153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11,496,254</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542,420</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9,748,660</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ASX Australian Securities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71,906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1,893</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168,925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6,235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1,382</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47,582</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Hong Kong Exchanges and Clearing</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17,107</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482</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1,374</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National Stock Exchange of India</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13,768</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198</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30,536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211</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2,169</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NZX Limited</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13,443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61</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42,837</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6,870</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23</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15,450</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Singapore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2,173,974</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930,703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190,286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449,297</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Taiwan Futures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15,947</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320</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1,479</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3,486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246</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Thailand Futures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602,391</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34,475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Bursa Malaysia Derivatives</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1,110,497</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22,414</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165,594</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3,803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0</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14,503</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Zhengzhou Commodity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240,572,104</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1,366,313</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7,682,150</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6,433,716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767</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804,432</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Dalian Commodity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245,991,015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2,383,251</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7,939,716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6,379,873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1,255</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929,181</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Multi Commodity Exchange of India</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16,832,018</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90,349</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185,115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113,230</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2,089</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9,255</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Shanghai Futures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261,195,933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3,146,049</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6,536,608</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Borsa Istanbul</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14,235,299</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3,890</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1,843,362</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Deutsche Boerse AG</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442,036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24,974</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2,745,363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102,152</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455</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258,387</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Euronext</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1,080,141</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15,304</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651,780</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77,878</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1,081</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244,407</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LSE Group</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160</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Moscow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45,026,436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24,558</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1,676,170</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516,543</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267</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52,500</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Dubai Gold and Commodities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12,527</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189</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4,146</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16"/>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London Metal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10,781,225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1,351,576</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2,043,809</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392,422</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47,052</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317,255</w:t>
            </w:r>
          </w:p>
        </w:tc>
      </w:tr>
      <w:tr w:rsidR="002F3AF7" w:rsidRPr="00B05451" w:rsidTr="005F4FFF">
        <w:trPr>
          <w:trHeight w:val="379"/>
        </w:trPr>
        <w:tc>
          <w:tcPr>
            <w:tcW w:w="1746" w:type="pct"/>
            <w:tcBorders>
              <w:top w:val="nil"/>
              <w:left w:val="single" w:sz="4" w:space="0" w:color="auto"/>
              <w:bottom w:val="nil"/>
              <w:right w:val="nil"/>
            </w:tcBorders>
            <w:shd w:val="clear" w:color="000000" w:fill="B4C6E7"/>
            <w:vAlign w:val="center"/>
            <w:hideMark/>
          </w:tcPr>
          <w:p w:rsidR="002F3AF7" w:rsidRPr="00B05451" w:rsidRDefault="002F3AF7" w:rsidP="005F4FFF">
            <w:pPr>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The Saint-Petersburg International Mercantile Exchange</w:t>
            </w:r>
          </w:p>
        </w:tc>
        <w:tc>
          <w:tcPr>
            <w:tcW w:w="576" w:type="pct"/>
            <w:tcBorders>
              <w:top w:val="nil"/>
              <w:left w:val="single" w:sz="8" w:space="0" w:color="auto"/>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2,715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25</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 xml:space="preserve"> 1,715</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F3AF7" w:rsidRPr="00B05451" w:rsidRDefault="002F3AF7" w:rsidP="005F4FFF">
            <w:pPr>
              <w:jc w:val="right"/>
              <w:rPr>
                <w:rFonts w:ascii="Garamond" w:eastAsia="Times New Roman" w:hAnsi="Garamond" w:cs="Calibri"/>
                <w:color w:val="000000"/>
                <w:sz w:val="20"/>
                <w:szCs w:val="20"/>
                <w:lang w:val="en-IN" w:eastAsia="en-IN" w:bidi="hi-IN"/>
              </w:rPr>
            </w:pPr>
            <w:r w:rsidRPr="00B05451">
              <w:rPr>
                <w:rFonts w:ascii="Garamond" w:eastAsia="Times New Roman" w:hAnsi="Garamond" w:cs="Calibri"/>
                <w:color w:val="000000"/>
                <w:sz w:val="20"/>
                <w:szCs w:val="20"/>
                <w:lang w:val="en-IN" w:eastAsia="en-IN" w:bidi="hi-IN"/>
              </w:rPr>
              <w:t>NA</w:t>
            </w:r>
          </w:p>
        </w:tc>
      </w:tr>
      <w:tr w:rsidR="002F3AF7" w:rsidRPr="00B05451" w:rsidTr="005F4FFF">
        <w:trPr>
          <w:trHeight w:val="227"/>
        </w:trPr>
        <w:tc>
          <w:tcPr>
            <w:tcW w:w="1746" w:type="pct"/>
            <w:tcBorders>
              <w:top w:val="single" w:sz="8" w:space="0" w:color="auto"/>
              <w:left w:val="single" w:sz="8" w:space="0" w:color="auto"/>
              <w:bottom w:val="single" w:sz="8" w:space="0" w:color="auto"/>
              <w:right w:val="nil"/>
            </w:tcBorders>
            <w:shd w:val="clear" w:color="000000" w:fill="D9E1F2"/>
            <w:vAlign w:val="center"/>
            <w:hideMark/>
          </w:tcPr>
          <w:p w:rsidR="002F3AF7" w:rsidRPr="00B05451" w:rsidRDefault="002F3AF7" w:rsidP="005F4FFF">
            <w:pPr>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Grand Total</w:t>
            </w:r>
          </w:p>
        </w:tc>
        <w:tc>
          <w:tcPr>
            <w:tcW w:w="576"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906,523,586</w:t>
            </w:r>
          </w:p>
        </w:tc>
        <w:tc>
          <w:tcPr>
            <w:tcW w:w="535"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11,883,049</w:t>
            </w:r>
          </w:p>
        </w:tc>
        <w:tc>
          <w:tcPr>
            <w:tcW w:w="536"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46,601,218</w:t>
            </w:r>
          </w:p>
        </w:tc>
        <w:tc>
          <w:tcPr>
            <w:tcW w:w="535"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25,799,551</w:t>
            </w:r>
          </w:p>
        </w:tc>
        <w:tc>
          <w:tcPr>
            <w:tcW w:w="535" w:type="pct"/>
            <w:tcBorders>
              <w:top w:val="single" w:sz="8" w:space="0" w:color="auto"/>
              <w:left w:val="nil"/>
              <w:bottom w:val="single" w:sz="8" w:space="0" w:color="auto"/>
              <w:right w:val="nil"/>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597,064</w:t>
            </w:r>
          </w:p>
        </w:tc>
        <w:tc>
          <w:tcPr>
            <w:tcW w:w="536" w:type="pct"/>
            <w:tcBorders>
              <w:top w:val="single" w:sz="8" w:space="0" w:color="auto"/>
              <w:left w:val="nil"/>
              <w:bottom w:val="single" w:sz="8" w:space="0" w:color="auto"/>
              <w:right w:val="single" w:sz="8" w:space="0" w:color="auto"/>
            </w:tcBorders>
            <w:shd w:val="clear" w:color="000000" w:fill="D9E1F2"/>
            <w:vAlign w:val="bottom"/>
            <w:hideMark/>
          </w:tcPr>
          <w:p w:rsidR="002F3AF7" w:rsidRPr="00B05451" w:rsidRDefault="002F3AF7" w:rsidP="005F4FFF">
            <w:pPr>
              <w:jc w:val="right"/>
              <w:rPr>
                <w:rFonts w:ascii="Garamond" w:eastAsia="Times New Roman" w:hAnsi="Garamond" w:cs="Calibri"/>
                <w:b/>
                <w:bCs/>
                <w:color w:val="000000"/>
                <w:sz w:val="20"/>
                <w:szCs w:val="20"/>
                <w:lang w:val="en-IN" w:eastAsia="en-IN" w:bidi="hi-IN"/>
              </w:rPr>
            </w:pPr>
            <w:r w:rsidRPr="00B05451">
              <w:rPr>
                <w:rFonts w:ascii="Garamond" w:eastAsia="Times New Roman" w:hAnsi="Garamond" w:cs="Calibri"/>
                <w:b/>
                <w:bCs/>
                <w:color w:val="000000"/>
                <w:sz w:val="20"/>
                <w:szCs w:val="20"/>
                <w:lang w:val="en-IN" w:eastAsia="en-IN" w:bidi="hi-IN"/>
              </w:rPr>
              <w:t xml:space="preserve"> 12,979,270</w:t>
            </w:r>
          </w:p>
        </w:tc>
      </w:tr>
    </w:tbl>
    <w:p w:rsidR="002F3AF7" w:rsidRPr="00272724" w:rsidRDefault="002F3AF7" w:rsidP="002F3AF7">
      <w:pPr>
        <w:spacing w:line="23" w:lineRule="atLeast"/>
        <w:rPr>
          <w:rFonts w:ascii="Garamond" w:hAnsi="Garamond"/>
          <w:bCs/>
          <w:sz w:val="18"/>
          <w:szCs w:val="18"/>
        </w:rPr>
      </w:pPr>
      <w:r>
        <w:rPr>
          <w:rFonts w:ascii="Garamond" w:hAnsi="Garamond"/>
          <w:bCs/>
          <w:sz w:val="18"/>
          <w:szCs w:val="18"/>
        </w:rPr>
        <w:t xml:space="preserve"> NA: Not Available</w:t>
      </w:r>
    </w:p>
    <w:p w:rsidR="002F3AF7" w:rsidRPr="00272724" w:rsidRDefault="002F3AF7" w:rsidP="002F3AF7">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2F3AF7" w:rsidRDefault="002F3AF7" w:rsidP="002F3AF7">
      <w:pPr>
        <w:rPr>
          <w:rFonts w:ascii="Times New Roman" w:hAnsi="Times New Roman"/>
          <w:bCs/>
          <w:sz w:val="18"/>
          <w:szCs w:val="18"/>
        </w:rPr>
      </w:pPr>
      <w:r>
        <w:rPr>
          <w:rFonts w:ascii="Times New Roman" w:hAnsi="Times New Roman"/>
          <w:bCs/>
          <w:sz w:val="18"/>
          <w:szCs w:val="18"/>
        </w:rPr>
        <w:br w:type="page"/>
      </w:r>
    </w:p>
    <w:p w:rsidR="002F3AF7" w:rsidRPr="00272724" w:rsidRDefault="002F3AF7" w:rsidP="002F3AF7">
      <w:pPr>
        <w:spacing w:line="23" w:lineRule="atLeast"/>
        <w:jc w:val="both"/>
        <w:rPr>
          <w:rFonts w:ascii="Garamond" w:hAnsi="Garamond"/>
          <w:b/>
          <w:bCs/>
          <w:szCs w:val="22"/>
        </w:rPr>
      </w:pPr>
      <w:r w:rsidRPr="00272724">
        <w:rPr>
          <w:rFonts w:ascii="Garamond" w:hAnsi="Garamond"/>
          <w:b/>
          <w:bCs/>
          <w:szCs w:val="22"/>
        </w:rPr>
        <w:t>Table A9: Major Foreign Holders of US Treasury Securities (USD billion)</w:t>
      </w:r>
    </w:p>
    <w:tbl>
      <w:tblPr>
        <w:tblW w:w="5079" w:type="pct"/>
        <w:tblLook w:val="04A0" w:firstRow="1" w:lastRow="0" w:firstColumn="1" w:lastColumn="0" w:noHBand="0" w:noVBand="1"/>
      </w:tblPr>
      <w:tblGrid>
        <w:gridCol w:w="1927"/>
        <w:gridCol w:w="729"/>
        <w:gridCol w:w="729"/>
        <w:gridCol w:w="729"/>
        <w:gridCol w:w="729"/>
        <w:gridCol w:w="729"/>
        <w:gridCol w:w="729"/>
        <w:gridCol w:w="729"/>
        <w:gridCol w:w="729"/>
        <w:gridCol w:w="729"/>
        <w:gridCol w:w="729"/>
        <w:gridCol w:w="729"/>
        <w:gridCol w:w="729"/>
      </w:tblGrid>
      <w:tr w:rsidR="002F3AF7" w:rsidRPr="00F93A98" w:rsidTr="005F4FFF">
        <w:trPr>
          <w:trHeight w:val="256"/>
        </w:trPr>
        <w:tc>
          <w:tcPr>
            <w:tcW w:w="891" w:type="pct"/>
            <w:vMerge w:val="restart"/>
            <w:tcBorders>
              <w:top w:val="single" w:sz="8" w:space="0" w:color="auto"/>
              <w:left w:val="single" w:sz="8" w:space="0" w:color="auto"/>
              <w:bottom w:val="nil"/>
              <w:right w:val="single" w:sz="4" w:space="0" w:color="000000"/>
            </w:tcBorders>
            <w:shd w:val="clear" w:color="auto" w:fill="auto"/>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Country/ Month</w:t>
            </w:r>
          </w:p>
        </w:tc>
        <w:tc>
          <w:tcPr>
            <w:tcW w:w="342" w:type="pct"/>
            <w:tcBorders>
              <w:top w:val="single" w:sz="8" w:space="0" w:color="auto"/>
              <w:left w:val="single" w:sz="8" w:space="0" w:color="auto"/>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2020</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single" w:sz="8" w:space="0" w:color="auto"/>
            </w:tcBorders>
            <w:shd w:val="clear" w:color="000000" w:fill="FFFFFF"/>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r>
      <w:tr w:rsidR="002F3AF7" w:rsidRPr="00F93A98" w:rsidTr="005F4FFF">
        <w:trPr>
          <w:trHeight w:val="256"/>
        </w:trPr>
        <w:tc>
          <w:tcPr>
            <w:tcW w:w="891" w:type="pct"/>
            <w:vMerge/>
            <w:tcBorders>
              <w:top w:val="single" w:sz="8" w:space="0" w:color="auto"/>
              <w:left w:val="single" w:sz="8" w:space="0" w:color="auto"/>
              <w:bottom w:val="nil"/>
              <w:right w:val="single" w:sz="4" w:space="0" w:color="000000"/>
            </w:tcBorders>
            <w:vAlign w:val="center"/>
            <w:hideMark/>
          </w:tcPr>
          <w:p w:rsidR="002F3AF7" w:rsidRPr="00F93A98" w:rsidRDefault="002F3AF7" w:rsidP="005F4FFF">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Jan</w:t>
            </w:r>
          </w:p>
        </w:tc>
        <w:tc>
          <w:tcPr>
            <w:tcW w:w="342" w:type="pct"/>
            <w:tcBorders>
              <w:top w:val="nil"/>
              <w:left w:val="single" w:sz="8" w:space="0" w:color="auto"/>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Feb</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Mar</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Apr</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May</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Jun</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Jul</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Aug</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Sep</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Oct</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Nov</w:t>
            </w:r>
          </w:p>
        </w:tc>
        <w:tc>
          <w:tcPr>
            <w:tcW w:w="342" w:type="pct"/>
            <w:tcBorders>
              <w:top w:val="nil"/>
              <w:left w:val="nil"/>
              <w:bottom w:val="nil"/>
              <w:right w:val="single" w:sz="8" w:space="0" w:color="auto"/>
            </w:tcBorders>
            <w:shd w:val="clear" w:color="auto" w:fill="auto"/>
            <w:hideMark/>
          </w:tcPr>
          <w:p w:rsidR="002F3AF7" w:rsidRPr="00F93A98" w:rsidRDefault="002F3AF7" w:rsidP="005F4FFF">
            <w:pPr>
              <w:jc w:val="cente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Dec</w:t>
            </w:r>
          </w:p>
        </w:tc>
      </w:tr>
      <w:tr w:rsidR="002F3AF7" w:rsidRPr="00F93A98" w:rsidTr="005F4FFF">
        <w:trPr>
          <w:trHeight w:val="244"/>
        </w:trPr>
        <w:tc>
          <w:tcPr>
            <w:tcW w:w="891" w:type="pct"/>
            <w:tcBorders>
              <w:top w:val="single" w:sz="8" w:space="0" w:color="auto"/>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Japan</w:t>
            </w:r>
          </w:p>
        </w:tc>
        <w:tc>
          <w:tcPr>
            <w:tcW w:w="342" w:type="pct"/>
            <w:tcBorders>
              <w:top w:val="single" w:sz="8" w:space="0" w:color="auto"/>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1211.8</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1268.6</w:t>
            </w:r>
          </w:p>
        </w:tc>
        <w:tc>
          <w:tcPr>
            <w:tcW w:w="342" w:type="pct"/>
            <w:tcBorders>
              <w:top w:val="single" w:sz="8" w:space="0" w:color="auto"/>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1272.6</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1266.5</w:t>
            </w:r>
          </w:p>
        </w:tc>
        <w:tc>
          <w:tcPr>
            <w:tcW w:w="342" w:type="pct"/>
            <w:tcBorders>
              <w:top w:val="single" w:sz="8" w:space="0" w:color="auto"/>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1260.4</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1261.5</w:t>
            </w:r>
          </w:p>
        </w:tc>
        <w:tc>
          <w:tcPr>
            <w:tcW w:w="342" w:type="pct"/>
            <w:tcBorders>
              <w:top w:val="single" w:sz="8" w:space="0" w:color="auto"/>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1293</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1278.4</w:t>
            </w:r>
          </w:p>
        </w:tc>
        <w:tc>
          <w:tcPr>
            <w:tcW w:w="342" w:type="pct"/>
            <w:tcBorders>
              <w:top w:val="single" w:sz="8" w:space="0" w:color="auto"/>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1276.2</w:t>
            </w:r>
          </w:p>
        </w:tc>
        <w:tc>
          <w:tcPr>
            <w:tcW w:w="342" w:type="pct"/>
            <w:tcBorders>
              <w:top w:val="single" w:sz="8" w:space="0" w:color="auto"/>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1269.5</w:t>
            </w:r>
          </w:p>
        </w:tc>
        <w:tc>
          <w:tcPr>
            <w:tcW w:w="342" w:type="pct"/>
            <w:tcBorders>
              <w:top w:val="single" w:sz="8" w:space="0" w:color="auto"/>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1260.8</w:t>
            </w:r>
          </w:p>
        </w:tc>
        <w:tc>
          <w:tcPr>
            <w:tcW w:w="342" w:type="pct"/>
            <w:tcBorders>
              <w:top w:val="single" w:sz="8" w:space="0" w:color="auto"/>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1256.8</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China, Mainland</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1078.6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1092.3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1081.6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1072.8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1083.7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1074.4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1073.4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1068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1061.7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1054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1063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1061.5</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United Kingdom</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450.3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477.1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469.7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429.2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445.8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445.2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424.6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419.4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428.5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442.8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420.5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446.6</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Ireland</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271.7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282.8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271.6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301.3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324.2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330.4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330.9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335.3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315.8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316.4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314.3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315.4</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Luxembourg</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255.2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260.8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246.1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265.5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262.7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267.6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264.7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268.8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262.5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266.2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267.8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275.1</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Brazil</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283.3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285.9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264.4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259.5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264.4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264.1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265.7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265.1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262.9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262.2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259</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Switzerland</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238.1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243.7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244.6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241.3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243.1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247.8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250.8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253.8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255.8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255.9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253.6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254.8</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Belgium</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206.5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206.1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210.2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212.1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218.7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211.9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218.1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239.6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240.5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246.7</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Hong Kong</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268.4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259.4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266.4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267.1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250.9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245.5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229.2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226.5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230.5</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Taiwan</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199.2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201.9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201.7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199.2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204.6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209.7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213.5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218.2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222.3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228.7</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India</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164.3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177.5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156.5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157.4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169.9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182.7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194.6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196.5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213.5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222.4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220.2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210.1</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Cayman Islands</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225.1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228.2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209.4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213.1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216.7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222.3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231.6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221.5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222.9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200.2</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Singapore</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160.7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165.4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151.5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146.1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142.1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150.5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158.6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160.3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159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162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163.8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169</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Saudi Arabia</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182.9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184.4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159.1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125.3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123.5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124.9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124.6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130</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131.2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134.2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137.6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134.4</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Korea</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121.1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116.1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110.8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120</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117.3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122.7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123.1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122.7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123.2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119.1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122.8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129.1</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Canada</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157.9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148.3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131.5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136.3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129.9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127.6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133.9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131.1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131.3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127.4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126.7</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France</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147.6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156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137.7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130.5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144.3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130.3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133.6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135.4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137.2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132.7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103.2</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Norway</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97.7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103.3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93.2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87.6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89.5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90.6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91.4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91.3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83.6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89.8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92.8</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Thailand</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91.3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81.8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80.5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85.8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85.5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87.9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85.7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83.2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80.5</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Germany</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83.7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77.3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77.7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80.6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79.5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78.4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78.9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74.8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74.3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73.1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78.3</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Bermuda</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64.8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65.9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64.2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65.5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63.9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66.9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66.6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73.6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71.5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72.5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71.7</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Netherlands</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67.7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69.1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66.2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67.9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69.4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71.2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68.5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69.2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69.7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71.7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71.2</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Israel</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48.4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51.5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53.3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54.9</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Mexico</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40.9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49.5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49.2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48.8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52.7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50.5</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Poland</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35.6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34.4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39.7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49.9</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Kuwait</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40.1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46.1</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Philippines</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40.4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48.6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43.1</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Italy</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41.4</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40.4</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Australia</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39.1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40.1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38.2</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Sweden</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45.4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39.5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36.5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39.1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40</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United Arab Emirates</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39.8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27.9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36.6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33.1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36.8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36.3</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Spain</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46.2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43.8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47.3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35.2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33.7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33.7</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Vietnam</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30.3</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32.6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31.8</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Colombia</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26.5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28.2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31.9</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31.4</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All Other</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533.8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543.9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503.1</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517.6</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523.5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522.2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536.5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521.4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521.5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512.4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501.2</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499.4</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Grand Total</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7027.3</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7226.2</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6949.5</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6903.4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6978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7047</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7097.2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7083.5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7071.3</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7068.4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7053.6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7036.1</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b/>
                <w:bCs/>
                <w:color w:val="000000"/>
                <w:sz w:val="20"/>
                <w:szCs w:val="20"/>
                <w:lang w:val="en-IN" w:eastAsia="en-IN" w:bidi="hi-IN"/>
              </w:rPr>
            </w:pPr>
            <w:r w:rsidRPr="00F93A98">
              <w:rPr>
                <w:rFonts w:ascii="Garamond" w:eastAsia="Times New Roman" w:hAnsi="Garamond" w:cs="Calibri"/>
                <w:b/>
                <w:bCs/>
                <w:color w:val="000000"/>
                <w:sz w:val="20"/>
                <w:szCs w:val="20"/>
                <w:lang w:val="en-IN" w:eastAsia="en-IN" w:bidi="hi-IN"/>
              </w:rPr>
              <w:t> </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Of which:</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 </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For. Official</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4169.9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4264.9</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4117.9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4047.4</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4105.9</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4148</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4192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4200.1</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4199.6</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4167.5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4177</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4187.3</w:t>
            </w:r>
          </w:p>
        </w:tc>
      </w:tr>
      <w:tr w:rsidR="002F3AF7" w:rsidRPr="00F93A98" w:rsidTr="005F4FFF">
        <w:trPr>
          <w:trHeight w:val="244"/>
        </w:trPr>
        <w:tc>
          <w:tcPr>
            <w:tcW w:w="891" w:type="pct"/>
            <w:tcBorders>
              <w:top w:val="nil"/>
              <w:left w:val="single" w:sz="8" w:space="0" w:color="auto"/>
              <w:bottom w:val="nil"/>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Treasury Bills</w:t>
            </w:r>
          </w:p>
        </w:tc>
        <w:tc>
          <w:tcPr>
            <w:tcW w:w="342" w:type="pct"/>
            <w:tcBorders>
              <w:top w:val="nil"/>
              <w:left w:val="single" w:sz="8" w:space="0" w:color="auto"/>
              <w:bottom w:val="nil"/>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294.8</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306.1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283.2</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331</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355.7</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382.5</w:t>
            </w:r>
          </w:p>
        </w:tc>
        <w:tc>
          <w:tcPr>
            <w:tcW w:w="342" w:type="pct"/>
            <w:tcBorders>
              <w:top w:val="nil"/>
              <w:left w:val="nil"/>
              <w:bottom w:val="nil"/>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393.6</w:t>
            </w:r>
          </w:p>
        </w:tc>
        <w:tc>
          <w:tcPr>
            <w:tcW w:w="342" w:type="pct"/>
            <w:tcBorders>
              <w:top w:val="nil"/>
              <w:left w:val="single" w:sz="8" w:space="0" w:color="auto"/>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371.5</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375.4</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370.8</w:t>
            </w:r>
          </w:p>
        </w:tc>
        <w:tc>
          <w:tcPr>
            <w:tcW w:w="342" w:type="pct"/>
            <w:tcBorders>
              <w:top w:val="nil"/>
              <w:left w:val="nil"/>
              <w:bottom w:val="nil"/>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361</w:t>
            </w:r>
          </w:p>
        </w:tc>
      </w:tr>
      <w:tr w:rsidR="002F3AF7" w:rsidRPr="00F93A98" w:rsidTr="005F4FFF">
        <w:trPr>
          <w:trHeight w:val="256"/>
        </w:trPr>
        <w:tc>
          <w:tcPr>
            <w:tcW w:w="891" w:type="pct"/>
            <w:tcBorders>
              <w:top w:val="nil"/>
              <w:left w:val="single" w:sz="8" w:space="0" w:color="auto"/>
              <w:bottom w:val="single" w:sz="8" w:space="0" w:color="auto"/>
              <w:right w:val="nil"/>
            </w:tcBorders>
            <w:shd w:val="clear" w:color="auto" w:fill="auto"/>
            <w:noWrap/>
            <w:vAlign w:val="center"/>
            <w:hideMark/>
          </w:tcPr>
          <w:p w:rsidR="002F3AF7" w:rsidRPr="00F93A98" w:rsidRDefault="002F3AF7" w:rsidP="005F4FFF">
            <w:pPr>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T-Bonds &amp; Notes</w:t>
            </w:r>
          </w:p>
        </w:tc>
        <w:tc>
          <w:tcPr>
            <w:tcW w:w="342" w:type="pct"/>
            <w:tcBorders>
              <w:top w:val="nil"/>
              <w:left w:val="single" w:sz="8" w:space="0" w:color="auto"/>
              <w:bottom w:val="single" w:sz="8" w:space="0" w:color="auto"/>
              <w:right w:val="nil"/>
            </w:tcBorders>
            <w:shd w:val="clear" w:color="auto" w:fill="auto"/>
            <w:noWrap/>
            <w:vAlign w:val="center"/>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3875.1</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3958.8</w:t>
            </w:r>
          </w:p>
        </w:tc>
        <w:tc>
          <w:tcPr>
            <w:tcW w:w="342" w:type="pct"/>
            <w:tcBorders>
              <w:top w:val="nil"/>
              <w:left w:val="nil"/>
              <w:bottom w:val="single" w:sz="8" w:space="0" w:color="auto"/>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3834.6</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3716.4</w:t>
            </w:r>
          </w:p>
        </w:tc>
        <w:tc>
          <w:tcPr>
            <w:tcW w:w="342" w:type="pct"/>
            <w:tcBorders>
              <w:top w:val="nil"/>
              <w:left w:val="nil"/>
              <w:bottom w:val="single" w:sz="8" w:space="0" w:color="auto"/>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3750.2</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3765.5</w:t>
            </w:r>
          </w:p>
        </w:tc>
        <w:tc>
          <w:tcPr>
            <w:tcW w:w="342" w:type="pct"/>
            <w:tcBorders>
              <w:top w:val="nil"/>
              <w:left w:val="nil"/>
              <w:bottom w:val="single" w:sz="8" w:space="0" w:color="auto"/>
              <w:right w:val="nil"/>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3798.4</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3815.1</w:t>
            </w:r>
          </w:p>
        </w:tc>
        <w:tc>
          <w:tcPr>
            <w:tcW w:w="342" w:type="pct"/>
            <w:tcBorders>
              <w:top w:val="nil"/>
              <w:left w:val="nil"/>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3828.1</w:t>
            </w:r>
          </w:p>
        </w:tc>
        <w:tc>
          <w:tcPr>
            <w:tcW w:w="342" w:type="pct"/>
            <w:tcBorders>
              <w:top w:val="nil"/>
              <w:left w:val="nil"/>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3792</w:t>
            </w:r>
          </w:p>
        </w:tc>
        <w:tc>
          <w:tcPr>
            <w:tcW w:w="342" w:type="pct"/>
            <w:tcBorders>
              <w:top w:val="nil"/>
              <w:left w:val="nil"/>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3806.1</w:t>
            </w:r>
          </w:p>
        </w:tc>
        <w:tc>
          <w:tcPr>
            <w:tcW w:w="342" w:type="pct"/>
            <w:tcBorders>
              <w:top w:val="nil"/>
              <w:left w:val="nil"/>
              <w:bottom w:val="single" w:sz="8" w:space="0" w:color="auto"/>
              <w:right w:val="single" w:sz="8" w:space="0" w:color="auto"/>
            </w:tcBorders>
            <w:shd w:val="clear" w:color="auto" w:fill="auto"/>
            <w:noWrap/>
            <w:vAlign w:val="bottom"/>
            <w:hideMark/>
          </w:tcPr>
          <w:p w:rsidR="002F3AF7" w:rsidRPr="00F93A98" w:rsidRDefault="002F3AF7" w:rsidP="005F4FFF">
            <w:pPr>
              <w:jc w:val="right"/>
              <w:rPr>
                <w:rFonts w:ascii="Garamond" w:eastAsia="Times New Roman" w:hAnsi="Garamond" w:cs="Calibri"/>
                <w:color w:val="000000"/>
                <w:sz w:val="20"/>
                <w:szCs w:val="20"/>
                <w:lang w:val="en-IN" w:eastAsia="en-IN" w:bidi="hi-IN"/>
              </w:rPr>
            </w:pPr>
            <w:r w:rsidRPr="00F93A98">
              <w:rPr>
                <w:rFonts w:ascii="Garamond" w:eastAsia="Times New Roman" w:hAnsi="Garamond" w:cs="Calibri"/>
                <w:color w:val="000000"/>
                <w:sz w:val="20"/>
                <w:szCs w:val="20"/>
                <w:lang w:val="en-IN" w:eastAsia="en-IN" w:bidi="hi-IN"/>
              </w:rPr>
              <w:t>3826.3</w:t>
            </w:r>
          </w:p>
        </w:tc>
      </w:tr>
    </w:tbl>
    <w:p w:rsidR="002F3AF7" w:rsidRPr="00272724" w:rsidRDefault="002F3AF7" w:rsidP="002F3AF7">
      <w:pPr>
        <w:spacing w:line="23" w:lineRule="atLeast"/>
        <w:rPr>
          <w:rFonts w:ascii="Garamond" w:hAnsi="Garamond"/>
          <w:bCs/>
          <w:sz w:val="18"/>
          <w:szCs w:val="18"/>
        </w:rPr>
      </w:pPr>
      <w:r w:rsidRPr="00272724">
        <w:rPr>
          <w:rFonts w:ascii="Garamond" w:hAnsi="Garamond"/>
          <w:bCs/>
          <w:sz w:val="18"/>
          <w:szCs w:val="18"/>
        </w:rPr>
        <w:t xml:space="preserve"> Note: </w:t>
      </w:r>
    </w:p>
    <w:p w:rsidR="002F3AF7" w:rsidRPr="00272724" w:rsidRDefault="002F3AF7" w:rsidP="002F3AF7">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 xml:space="preserve">Data available as on </w:t>
      </w:r>
      <w:r>
        <w:rPr>
          <w:rFonts w:ascii="Garamond" w:hAnsi="Garamond"/>
          <w:bCs/>
          <w:sz w:val="18"/>
          <w:szCs w:val="18"/>
          <w:lang w:val="en-US"/>
        </w:rPr>
        <w:t>20 January 2021</w:t>
      </w:r>
    </w:p>
    <w:p w:rsidR="002F3AF7" w:rsidRPr="00272724" w:rsidRDefault="002F3AF7" w:rsidP="002F3AF7">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2F3AF7" w:rsidRPr="00272724" w:rsidRDefault="002F3AF7" w:rsidP="002F3AF7">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2F3AF7" w:rsidRPr="00824112" w:rsidRDefault="002F3AF7" w:rsidP="002F3AF7">
      <w:pPr>
        <w:spacing w:line="23" w:lineRule="atLeast"/>
        <w:rPr>
          <w:rFonts w:ascii="Times New Roman" w:hAnsi="Times New Roman"/>
          <w:bCs/>
          <w:sz w:val="18"/>
          <w:szCs w:val="18"/>
        </w:rPr>
      </w:pPr>
      <w:r w:rsidRPr="00272724">
        <w:rPr>
          <w:rFonts w:ascii="Garamond" w:hAnsi="Garamond"/>
          <w:bCs/>
          <w:sz w:val="18"/>
          <w:szCs w:val="18"/>
        </w:rPr>
        <w:t>Source: Department of the Treasury/Federal Reserve Board</w:t>
      </w:r>
    </w:p>
    <w:p w:rsidR="000F236F" w:rsidRDefault="000F236F" w:rsidP="000F236F">
      <w:pPr>
        <w:spacing w:line="23" w:lineRule="atLeast"/>
        <w:rPr>
          <w:rFonts w:ascii="Times New Roman" w:hAnsi="Times New Roman"/>
          <w:bCs/>
          <w:sz w:val="18"/>
          <w:szCs w:val="18"/>
        </w:rPr>
      </w:pPr>
    </w:p>
    <w:p w:rsidR="002F3AF7" w:rsidRDefault="002F3AF7" w:rsidP="000F236F">
      <w:pPr>
        <w:spacing w:line="23" w:lineRule="atLeast"/>
        <w:rPr>
          <w:rFonts w:ascii="Times New Roman" w:hAnsi="Times New Roman"/>
          <w:bCs/>
          <w:sz w:val="18"/>
          <w:szCs w:val="18"/>
        </w:rPr>
      </w:pPr>
    </w:p>
    <w:p w:rsidR="002F3AF7" w:rsidRDefault="002F3AF7" w:rsidP="000F236F">
      <w:pPr>
        <w:spacing w:line="23" w:lineRule="atLeast"/>
        <w:rPr>
          <w:rFonts w:ascii="Times New Roman" w:hAnsi="Times New Roman"/>
          <w:bCs/>
          <w:sz w:val="18"/>
          <w:szCs w:val="18"/>
        </w:rPr>
      </w:pPr>
    </w:p>
    <w:p w:rsidR="000F236F" w:rsidRDefault="000F236F" w:rsidP="000F236F">
      <w:pPr>
        <w:spacing w:line="23" w:lineRule="atLeast"/>
        <w:jc w:val="both"/>
        <w:rPr>
          <w:rFonts w:ascii="Calibri" w:hAnsi="Calibri" w:cs="Calibri"/>
          <w:bCs/>
          <w:strike/>
          <w:sz w:val="18"/>
          <w:szCs w:val="18"/>
        </w:rPr>
      </w:pPr>
    </w:p>
    <w:p w:rsidR="000F236F" w:rsidRDefault="000F236F" w:rsidP="000F236F">
      <w:pPr>
        <w:tabs>
          <w:tab w:val="left" w:pos="8160"/>
        </w:tabs>
        <w:jc w:val="both"/>
        <w:rPr>
          <w:rFonts w:ascii="Palatino Linotype" w:hAnsi="Palatino Linotype"/>
          <w:b/>
          <w:color w:val="1F3864"/>
          <w:sz w:val="40"/>
          <w:szCs w:val="40"/>
        </w:rPr>
      </w:pP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272724" w:rsidRDefault="00272724" w:rsidP="00B25705">
      <w:pPr>
        <w:shd w:val="clear" w:color="auto" w:fill="FFFFFF"/>
        <w:spacing w:line="276" w:lineRule="auto"/>
        <w:jc w:val="both"/>
        <w:textAlignment w:val="baseline"/>
        <w:rPr>
          <w:rFonts w:ascii="Palatino Linotype" w:hAnsi="Palatino Linotype"/>
          <w:b/>
          <w:bCs/>
          <w:sz w:val="22"/>
          <w:szCs w:val="22"/>
          <w:lang w:val="en-US" w:bidi="hi-IN"/>
        </w:rPr>
      </w:pPr>
      <w:r>
        <w:rPr>
          <w:rFonts w:ascii="Palatino Linotype" w:hAnsi="Palatino Linotype"/>
          <w:b/>
          <w:bCs/>
          <w:sz w:val="22"/>
          <w:szCs w:val="22"/>
          <w:lang w:val="en-US" w:bidi="hi-IN"/>
        </w:rPr>
        <w:t xml:space="preserve">1) </w:t>
      </w:r>
      <w:r w:rsidR="00B25705" w:rsidRPr="00B25705">
        <w:rPr>
          <w:rFonts w:ascii="Palatino Linotype" w:hAnsi="Palatino Linotype"/>
          <w:b/>
          <w:bCs/>
          <w:sz w:val="22"/>
          <w:szCs w:val="22"/>
          <w:lang w:val="en-US" w:bidi="hi-IN"/>
        </w:rPr>
        <w:t xml:space="preserve">IOSCO </w:t>
      </w:r>
      <w:r w:rsidR="003F3BBB">
        <w:rPr>
          <w:rFonts w:ascii="Palatino Linotype" w:hAnsi="Palatino Linotype"/>
          <w:b/>
          <w:bCs/>
          <w:sz w:val="22"/>
          <w:szCs w:val="22"/>
          <w:lang w:val="en-US" w:bidi="hi-IN"/>
        </w:rPr>
        <w:t>I</w:t>
      </w:r>
      <w:r w:rsidR="00B25705" w:rsidRPr="00B25705">
        <w:rPr>
          <w:rFonts w:ascii="Palatino Linotype" w:hAnsi="Palatino Linotype"/>
          <w:b/>
          <w:bCs/>
          <w:sz w:val="22"/>
          <w:szCs w:val="22"/>
          <w:lang w:val="en-US" w:bidi="hi-IN"/>
        </w:rPr>
        <w:t xml:space="preserve">ssues </w:t>
      </w:r>
      <w:r w:rsidR="003F3BBB">
        <w:rPr>
          <w:rFonts w:ascii="Palatino Linotype" w:hAnsi="Palatino Linotype"/>
          <w:b/>
          <w:bCs/>
          <w:sz w:val="22"/>
          <w:szCs w:val="22"/>
          <w:lang w:val="en-US" w:bidi="hi-IN"/>
        </w:rPr>
        <w:t>S</w:t>
      </w:r>
      <w:r w:rsidR="00B25705" w:rsidRPr="00B25705">
        <w:rPr>
          <w:rFonts w:ascii="Palatino Linotype" w:hAnsi="Palatino Linotype"/>
          <w:b/>
          <w:bCs/>
          <w:sz w:val="22"/>
          <w:szCs w:val="22"/>
          <w:lang w:val="en-US" w:bidi="hi-IN"/>
        </w:rPr>
        <w:t xml:space="preserve">ound </w:t>
      </w:r>
      <w:r w:rsidR="003F3BBB">
        <w:rPr>
          <w:rFonts w:ascii="Palatino Linotype" w:hAnsi="Palatino Linotype"/>
          <w:b/>
          <w:bCs/>
          <w:sz w:val="22"/>
          <w:szCs w:val="22"/>
          <w:lang w:val="en-US" w:bidi="hi-IN"/>
        </w:rPr>
        <w:t>P</w:t>
      </w:r>
      <w:r w:rsidR="00B25705" w:rsidRPr="00B25705">
        <w:rPr>
          <w:rFonts w:ascii="Palatino Linotype" w:hAnsi="Palatino Linotype"/>
          <w:b/>
          <w:bCs/>
          <w:sz w:val="22"/>
          <w:szCs w:val="22"/>
          <w:lang w:val="en-US" w:bidi="hi-IN"/>
        </w:rPr>
        <w:t xml:space="preserve">ractices to </w:t>
      </w:r>
      <w:r w:rsidR="003F3BBB">
        <w:rPr>
          <w:rFonts w:ascii="Palatino Linotype" w:hAnsi="Palatino Linotype"/>
          <w:b/>
          <w:bCs/>
          <w:sz w:val="22"/>
          <w:szCs w:val="22"/>
          <w:lang w:val="en-US" w:bidi="hi-IN"/>
        </w:rPr>
        <w:t>A</w:t>
      </w:r>
      <w:r w:rsidR="00B25705" w:rsidRPr="00B25705">
        <w:rPr>
          <w:rFonts w:ascii="Palatino Linotype" w:hAnsi="Palatino Linotype"/>
          <w:b/>
          <w:bCs/>
          <w:sz w:val="22"/>
          <w:szCs w:val="22"/>
          <w:lang w:val="en-US" w:bidi="hi-IN"/>
        </w:rPr>
        <w:t xml:space="preserve">ssist </w:t>
      </w:r>
      <w:r w:rsidR="003F3BBB">
        <w:rPr>
          <w:rFonts w:ascii="Palatino Linotype" w:hAnsi="Palatino Linotype"/>
          <w:b/>
          <w:bCs/>
          <w:sz w:val="22"/>
          <w:szCs w:val="22"/>
          <w:lang w:val="en-US" w:bidi="hi-IN"/>
        </w:rPr>
        <w:t>M</w:t>
      </w:r>
      <w:r w:rsidR="00B25705" w:rsidRPr="00B25705">
        <w:rPr>
          <w:rFonts w:ascii="Palatino Linotype" w:hAnsi="Palatino Linotype"/>
          <w:b/>
          <w:bCs/>
          <w:sz w:val="22"/>
          <w:szCs w:val="22"/>
          <w:lang w:val="en-US" w:bidi="hi-IN"/>
        </w:rPr>
        <w:t xml:space="preserve">embers in </w:t>
      </w:r>
      <w:r w:rsidR="003F3BBB">
        <w:rPr>
          <w:rFonts w:ascii="Palatino Linotype" w:hAnsi="Palatino Linotype"/>
          <w:b/>
          <w:bCs/>
          <w:sz w:val="22"/>
          <w:szCs w:val="22"/>
          <w:lang w:val="en-US" w:bidi="hi-IN"/>
        </w:rPr>
        <w:t>E</w:t>
      </w:r>
      <w:r w:rsidR="00B25705" w:rsidRPr="00B25705">
        <w:rPr>
          <w:rFonts w:ascii="Palatino Linotype" w:hAnsi="Palatino Linotype"/>
          <w:b/>
          <w:bCs/>
          <w:sz w:val="22"/>
          <w:szCs w:val="22"/>
          <w:lang w:val="en-US" w:bidi="hi-IN"/>
        </w:rPr>
        <w:t xml:space="preserve">nhancing </w:t>
      </w:r>
      <w:r w:rsidR="003F3BBB">
        <w:rPr>
          <w:rFonts w:ascii="Palatino Linotype" w:hAnsi="Palatino Linotype"/>
          <w:b/>
          <w:bCs/>
          <w:sz w:val="22"/>
          <w:szCs w:val="22"/>
          <w:lang w:val="en-US" w:bidi="hi-IN"/>
        </w:rPr>
        <w:t>C</w:t>
      </w:r>
      <w:r w:rsidR="00B25705" w:rsidRPr="00B25705">
        <w:rPr>
          <w:rFonts w:ascii="Palatino Linotype" w:hAnsi="Palatino Linotype"/>
          <w:b/>
          <w:bCs/>
          <w:sz w:val="22"/>
          <w:szCs w:val="22"/>
          <w:lang w:val="en-US" w:bidi="hi-IN"/>
        </w:rPr>
        <w:t>omplaint</w:t>
      </w:r>
      <w:r w:rsidR="00D22F0B">
        <w:rPr>
          <w:rFonts w:ascii="Palatino Linotype" w:hAnsi="Palatino Linotype"/>
          <w:b/>
          <w:bCs/>
          <w:sz w:val="22"/>
          <w:szCs w:val="22"/>
          <w:lang w:val="en-US" w:bidi="hi-IN"/>
        </w:rPr>
        <w:t xml:space="preserve"> </w:t>
      </w:r>
      <w:r w:rsidR="003F3BBB">
        <w:rPr>
          <w:rFonts w:ascii="Palatino Linotype" w:hAnsi="Palatino Linotype"/>
          <w:b/>
          <w:bCs/>
          <w:sz w:val="22"/>
          <w:szCs w:val="22"/>
          <w:lang w:val="en-US" w:bidi="hi-IN"/>
        </w:rPr>
        <w:t>H</w:t>
      </w:r>
      <w:r w:rsidR="00B25705" w:rsidRPr="00B25705">
        <w:rPr>
          <w:rFonts w:ascii="Palatino Linotype" w:hAnsi="Palatino Linotype"/>
          <w:b/>
          <w:bCs/>
          <w:sz w:val="22"/>
          <w:szCs w:val="22"/>
          <w:lang w:val="en-US" w:bidi="hi-IN"/>
        </w:rPr>
        <w:t>andling and</w:t>
      </w:r>
      <w:r w:rsidR="00EA2012">
        <w:rPr>
          <w:rFonts w:ascii="Palatino Linotype" w:hAnsi="Palatino Linotype"/>
          <w:b/>
          <w:bCs/>
          <w:sz w:val="22"/>
          <w:szCs w:val="22"/>
          <w:lang w:val="en-US" w:bidi="hi-IN"/>
        </w:rPr>
        <w:t xml:space="preserve"> </w:t>
      </w:r>
      <w:r w:rsidR="003F3BBB">
        <w:rPr>
          <w:rFonts w:ascii="Palatino Linotype" w:hAnsi="Palatino Linotype"/>
          <w:b/>
          <w:bCs/>
          <w:sz w:val="22"/>
          <w:szCs w:val="22"/>
          <w:lang w:val="en-US" w:bidi="hi-IN"/>
        </w:rPr>
        <w:t>P</w:t>
      </w:r>
      <w:r w:rsidR="00B25705" w:rsidRPr="00B25705">
        <w:rPr>
          <w:rFonts w:ascii="Palatino Linotype" w:hAnsi="Palatino Linotype"/>
          <w:b/>
          <w:bCs/>
          <w:sz w:val="22"/>
          <w:szCs w:val="22"/>
          <w:lang w:val="en-US" w:bidi="hi-IN"/>
        </w:rPr>
        <w:t xml:space="preserve">rotect </w:t>
      </w:r>
      <w:r w:rsidR="003F3BBB">
        <w:rPr>
          <w:rFonts w:ascii="Palatino Linotype" w:hAnsi="Palatino Linotype"/>
          <w:b/>
          <w:bCs/>
          <w:sz w:val="22"/>
          <w:szCs w:val="22"/>
          <w:lang w:val="en-US" w:bidi="hi-IN"/>
        </w:rPr>
        <w:t>R</w:t>
      </w:r>
      <w:r w:rsidR="00B25705" w:rsidRPr="00B25705">
        <w:rPr>
          <w:rFonts w:ascii="Palatino Linotype" w:hAnsi="Palatino Linotype"/>
          <w:b/>
          <w:bCs/>
          <w:sz w:val="22"/>
          <w:szCs w:val="22"/>
          <w:lang w:val="en-US" w:bidi="hi-IN"/>
        </w:rPr>
        <w:t xml:space="preserve">etail </w:t>
      </w:r>
      <w:r w:rsidR="003F3BBB">
        <w:rPr>
          <w:rFonts w:ascii="Palatino Linotype" w:hAnsi="Palatino Linotype"/>
          <w:b/>
          <w:bCs/>
          <w:sz w:val="22"/>
          <w:szCs w:val="22"/>
          <w:lang w:val="en-US" w:bidi="hi-IN"/>
        </w:rPr>
        <w:t>I</w:t>
      </w:r>
      <w:r w:rsidR="00B25705" w:rsidRPr="00B25705">
        <w:rPr>
          <w:rFonts w:ascii="Palatino Linotype" w:hAnsi="Palatino Linotype"/>
          <w:b/>
          <w:bCs/>
          <w:sz w:val="22"/>
          <w:szCs w:val="22"/>
          <w:lang w:val="en-US" w:bidi="hi-IN"/>
        </w:rPr>
        <w:t>nvestors</w:t>
      </w:r>
    </w:p>
    <w:p w:rsidR="00272724"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p>
    <w:p w:rsidR="00B25705" w:rsidRDefault="00B25705" w:rsidP="00B25705">
      <w:pPr>
        <w:shd w:val="clear" w:color="auto" w:fill="FFFFFF"/>
        <w:spacing w:line="276" w:lineRule="auto"/>
        <w:jc w:val="both"/>
        <w:textAlignment w:val="baseline"/>
        <w:rPr>
          <w:rFonts w:ascii="Palatino Linotype" w:hAnsi="Palatino Linotype"/>
          <w:sz w:val="22"/>
          <w:szCs w:val="22"/>
          <w:lang w:val="en-US" w:bidi="hi-IN"/>
        </w:rPr>
      </w:pPr>
      <w:r w:rsidRPr="00B25705">
        <w:rPr>
          <w:rFonts w:ascii="Palatino Linotype" w:hAnsi="Palatino Linotype"/>
          <w:sz w:val="22"/>
          <w:szCs w:val="22"/>
          <w:lang w:val="en-US" w:bidi="hi-IN"/>
        </w:rPr>
        <w:t xml:space="preserve">The Board of the International Organization of Securities Commissions </w:t>
      </w:r>
      <w:r w:rsidR="003F3BBB">
        <w:rPr>
          <w:rFonts w:ascii="Palatino Linotype" w:hAnsi="Palatino Linotype"/>
          <w:sz w:val="22"/>
          <w:szCs w:val="22"/>
          <w:lang w:val="en-US" w:bidi="hi-IN"/>
        </w:rPr>
        <w:t xml:space="preserve">(IOSCO) </w:t>
      </w:r>
      <w:r w:rsidRPr="00B25705">
        <w:rPr>
          <w:rFonts w:ascii="Palatino Linotype" w:hAnsi="Palatino Linotype"/>
          <w:sz w:val="22"/>
          <w:szCs w:val="22"/>
          <w:lang w:val="en-US" w:bidi="hi-IN"/>
        </w:rPr>
        <w:t>published a</w:t>
      </w:r>
      <w:r>
        <w:rPr>
          <w:rFonts w:ascii="Palatino Linotype" w:hAnsi="Palatino Linotype"/>
          <w:sz w:val="22"/>
          <w:szCs w:val="22"/>
          <w:lang w:val="en-US" w:bidi="hi-IN"/>
        </w:rPr>
        <w:t xml:space="preserve"> </w:t>
      </w:r>
      <w:r w:rsidRPr="00B25705">
        <w:rPr>
          <w:rFonts w:ascii="Palatino Linotype" w:hAnsi="Palatino Linotype"/>
          <w:sz w:val="22"/>
          <w:szCs w:val="22"/>
          <w:lang w:val="en-US" w:bidi="hi-IN"/>
        </w:rPr>
        <w:t xml:space="preserve">report that sets forth nine </w:t>
      </w:r>
      <w:r w:rsidR="003F3BBB">
        <w:rPr>
          <w:rFonts w:ascii="Palatino Linotype" w:hAnsi="Palatino Linotype"/>
          <w:sz w:val="22"/>
          <w:szCs w:val="22"/>
          <w:lang w:val="en-US" w:bidi="hi-IN"/>
        </w:rPr>
        <w:t>s</w:t>
      </w:r>
      <w:r w:rsidRPr="00B25705">
        <w:rPr>
          <w:rFonts w:ascii="Palatino Linotype" w:hAnsi="Palatino Linotype"/>
          <w:sz w:val="22"/>
          <w:szCs w:val="22"/>
          <w:lang w:val="en-US" w:bidi="hi-IN"/>
        </w:rPr>
        <w:t xml:space="preserve">ound </w:t>
      </w:r>
      <w:r w:rsidR="003F3BBB">
        <w:rPr>
          <w:rFonts w:ascii="Palatino Linotype" w:hAnsi="Palatino Linotype"/>
          <w:sz w:val="22"/>
          <w:szCs w:val="22"/>
          <w:lang w:val="en-US" w:bidi="hi-IN"/>
        </w:rPr>
        <w:t>p</w:t>
      </w:r>
      <w:r w:rsidRPr="00B25705">
        <w:rPr>
          <w:rFonts w:ascii="Palatino Linotype" w:hAnsi="Palatino Linotype"/>
          <w:sz w:val="22"/>
          <w:szCs w:val="22"/>
          <w:lang w:val="en-US" w:bidi="hi-IN"/>
        </w:rPr>
        <w:t>ractices aimed at assisting its members in developing and</w:t>
      </w:r>
      <w:r>
        <w:rPr>
          <w:rFonts w:ascii="Palatino Linotype" w:hAnsi="Palatino Linotype"/>
          <w:sz w:val="22"/>
          <w:szCs w:val="22"/>
          <w:lang w:val="en-US" w:bidi="hi-IN"/>
        </w:rPr>
        <w:t xml:space="preserve"> </w:t>
      </w:r>
      <w:r w:rsidRPr="00B25705">
        <w:rPr>
          <w:rFonts w:ascii="Palatino Linotype" w:hAnsi="Palatino Linotype"/>
          <w:sz w:val="22"/>
          <w:szCs w:val="22"/>
          <w:lang w:val="en-US" w:bidi="hi-IN"/>
        </w:rPr>
        <w:t>improving their complaint handling procedures and mechanisms for retail investors.</w:t>
      </w:r>
    </w:p>
    <w:p w:rsidR="00B25705" w:rsidRPr="00B25705" w:rsidRDefault="00B25705" w:rsidP="00B25705">
      <w:pPr>
        <w:shd w:val="clear" w:color="auto" w:fill="FFFFFF"/>
        <w:spacing w:line="276" w:lineRule="auto"/>
        <w:jc w:val="both"/>
        <w:textAlignment w:val="baseline"/>
        <w:rPr>
          <w:rFonts w:ascii="Palatino Linotype" w:hAnsi="Palatino Linotype"/>
          <w:sz w:val="22"/>
          <w:szCs w:val="22"/>
          <w:lang w:val="en-US" w:bidi="hi-IN"/>
        </w:rPr>
      </w:pPr>
    </w:p>
    <w:p w:rsidR="00B25705" w:rsidRDefault="00B25705" w:rsidP="00B25705">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272724" w:rsidRDefault="00272724" w:rsidP="00272724">
      <w:pPr>
        <w:jc w:val="both"/>
        <w:rPr>
          <w:rFonts w:ascii="Palatino Linotype" w:hAnsi="Palatino Linotype" w:cs="Calibri"/>
          <w:bCs/>
        </w:rPr>
      </w:pPr>
      <w:r>
        <w:rPr>
          <w:rFonts w:ascii="Palatino Linotype" w:hAnsi="Palatino Linotype" w:cs="Calibri"/>
          <w:bCs/>
        </w:rPr>
        <w:t xml:space="preserve">Source:  </w:t>
      </w:r>
      <w:r w:rsidR="00687751" w:rsidRPr="00687751">
        <w:rPr>
          <w:rFonts w:ascii="Palatino Linotype" w:hAnsi="Palatino Linotype" w:cs="Calibri"/>
          <w:bCs/>
        </w:rPr>
        <w:t>https://www.iosco.org/news/pdf/IOSCONEWS590.pdf</w:t>
      </w:r>
    </w:p>
    <w:p w:rsidR="00272724" w:rsidRDefault="00272724" w:rsidP="00272724">
      <w:pPr>
        <w:spacing w:line="276" w:lineRule="auto"/>
        <w:jc w:val="both"/>
        <w:rPr>
          <w:rFonts w:ascii="Palatino Linotype" w:hAnsi="Palatino Linotype"/>
          <w:i/>
          <w:iCs/>
          <w:lang w:val="en-US" w:bidi="hi-IN"/>
        </w:rPr>
      </w:pPr>
    </w:p>
    <w:p w:rsidR="00272724" w:rsidRDefault="00CE1721" w:rsidP="00272724">
      <w:pPr>
        <w:tabs>
          <w:tab w:val="left" w:pos="8160"/>
        </w:tabs>
        <w:jc w:val="both"/>
        <w:rPr>
          <w:rFonts w:ascii="Palatino Linotype" w:hAnsi="Palatino Linotype"/>
          <w:b/>
        </w:rPr>
      </w:pPr>
      <w:r>
        <w:rPr>
          <w:rFonts w:ascii="Palatino Linotype" w:hAnsi="Palatino Linotype"/>
          <w:b/>
        </w:rPr>
        <w:t xml:space="preserve">2)  </w:t>
      </w:r>
      <w:r w:rsidRPr="00CE1721">
        <w:rPr>
          <w:rFonts w:ascii="Palatino Linotype" w:hAnsi="Palatino Linotype"/>
          <w:b/>
        </w:rPr>
        <w:t>Fee Rate Advisory #2 for Fiscal Year 2021</w:t>
      </w:r>
    </w:p>
    <w:p w:rsidR="00CE1721" w:rsidRDefault="00CE1721" w:rsidP="00272724">
      <w:pPr>
        <w:tabs>
          <w:tab w:val="left" w:pos="8160"/>
        </w:tabs>
        <w:jc w:val="both"/>
        <w:rPr>
          <w:rFonts w:ascii="Palatino Linotype" w:hAnsi="Palatino Linotype"/>
          <w:b/>
        </w:rPr>
      </w:pPr>
    </w:p>
    <w:p w:rsidR="00CE1721" w:rsidRPr="00CE1721" w:rsidRDefault="00CE1721" w:rsidP="00CE1721">
      <w:pPr>
        <w:tabs>
          <w:tab w:val="left" w:pos="8160"/>
        </w:tabs>
        <w:jc w:val="both"/>
        <w:rPr>
          <w:rFonts w:ascii="Palatino Linotype" w:hAnsi="Palatino Linotype"/>
          <w:bCs/>
        </w:rPr>
      </w:pPr>
      <w:r w:rsidRPr="00CE1721">
        <w:rPr>
          <w:rFonts w:ascii="Palatino Linotype" w:hAnsi="Palatino Linotype"/>
          <w:bCs/>
        </w:rPr>
        <w:t xml:space="preserve">The Securities and Exchange Commission </w:t>
      </w:r>
      <w:r>
        <w:rPr>
          <w:rFonts w:ascii="Palatino Linotype" w:hAnsi="Palatino Linotype"/>
          <w:bCs/>
        </w:rPr>
        <w:t xml:space="preserve">has </w:t>
      </w:r>
      <w:r w:rsidRPr="00CE1721">
        <w:rPr>
          <w:rFonts w:ascii="Palatino Linotype" w:hAnsi="Palatino Linotype"/>
          <w:bCs/>
        </w:rPr>
        <w:t xml:space="preserve">announced that starting on February 25, 2021, the fee rates applicable to most securities transactions will be set at $5.10 per million dollars. </w:t>
      </w:r>
    </w:p>
    <w:p w:rsidR="00CE1721" w:rsidRPr="00CE1721" w:rsidRDefault="00CE1721" w:rsidP="00CE1721">
      <w:pPr>
        <w:tabs>
          <w:tab w:val="left" w:pos="8160"/>
        </w:tabs>
        <w:jc w:val="both"/>
        <w:rPr>
          <w:rFonts w:ascii="Palatino Linotype" w:hAnsi="Palatino Linotype"/>
          <w:bCs/>
        </w:rPr>
      </w:pPr>
    </w:p>
    <w:p w:rsidR="00CE1721" w:rsidRPr="00CE1721" w:rsidRDefault="00CE1721" w:rsidP="00CE1721">
      <w:pPr>
        <w:tabs>
          <w:tab w:val="left" w:pos="8160"/>
        </w:tabs>
        <w:jc w:val="both"/>
        <w:rPr>
          <w:rFonts w:ascii="Palatino Linotype" w:hAnsi="Palatino Linotype"/>
          <w:bCs/>
        </w:rPr>
      </w:pPr>
      <w:r w:rsidRPr="00CE1721">
        <w:rPr>
          <w:rFonts w:ascii="Palatino Linotype" w:hAnsi="Palatino Linotype"/>
          <w:bCs/>
        </w:rPr>
        <w:t xml:space="preserve">Consequently, each </w:t>
      </w:r>
      <w:r w:rsidR="00D22F0B" w:rsidRPr="00D22F0B">
        <w:rPr>
          <w:rFonts w:ascii="Palatino Linotype" w:hAnsi="Palatino Linotype"/>
          <w:bCs/>
        </w:rPr>
        <w:t>self-regulatory organization</w:t>
      </w:r>
      <w:r w:rsidRPr="00CE1721">
        <w:rPr>
          <w:rFonts w:ascii="Palatino Linotype" w:hAnsi="Palatino Linotype"/>
          <w:bCs/>
        </w:rPr>
        <w:t xml:space="preserve"> will continue to pay the Commission a rate of $22.10 per million for covered sales occurring on charge dates through February 24, 2021, and a rate of $5.10 per million for covered sales occurring on charge dates on or after February 25, 2021. </w:t>
      </w:r>
    </w:p>
    <w:p w:rsidR="00CE1721" w:rsidRPr="00CE1721" w:rsidRDefault="00CE1721" w:rsidP="00CE1721">
      <w:pPr>
        <w:tabs>
          <w:tab w:val="left" w:pos="8160"/>
        </w:tabs>
        <w:jc w:val="both"/>
        <w:rPr>
          <w:rFonts w:ascii="Palatino Linotype" w:hAnsi="Palatino Linotype"/>
          <w:bCs/>
        </w:rPr>
      </w:pPr>
    </w:p>
    <w:p w:rsidR="00CE1721" w:rsidRPr="00CE1721" w:rsidRDefault="00CE1721" w:rsidP="00CE1721">
      <w:pPr>
        <w:tabs>
          <w:tab w:val="left" w:pos="8160"/>
        </w:tabs>
        <w:jc w:val="both"/>
        <w:rPr>
          <w:rFonts w:ascii="Palatino Linotype" w:hAnsi="Palatino Linotype"/>
          <w:bCs/>
        </w:rPr>
      </w:pPr>
      <w:r w:rsidRPr="00CE1721">
        <w:rPr>
          <w:rFonts w:ascii="Palatino Linotype" w:hAnsi="Palatino Linotype"/>
          <w:bCs/>
        </w:rPr>
        <w:t>The reduction in the fee rate for fiscal year 2021 is due primarily to the substantially higher dollar amount of covered sales in recent months, a trend that began in March of 2020 due to record market volume during the COVID-19 pandemic, which has resulted in the Commission already assessing a substantial proportion of its target collection amount for fiscal year 2021.</w:t>
      </w:r>
    </w:p>
    <w:p w:rsidR="00CE1721" w:rsidRDefault="00CE1721" w:rsidP="00CE1721">
      <w:pPr>
        <w:tabs>
          <w:tab w:val="left" w:pos="8160"/>
        </w:tabs>
        <w:jc w:val="both"/>
        <w:rPr>
          <w:rFonts w:ascii="Palatino Linotype" w:hAnsi="Palatino Linotype"/>
          <w:b/>
        </w:rPr>
      </w:pPr>
    </w:p>
    <w:p w:rsidR="00CE1721" w:rsidRPr="00CE1721" w:rsidRDefault="00CE1721" w:rsidP="00CE1721">
      <w:pPr>
        <w:tabs>
          <w:tab w:val="left" w:pos="8160"/>
        </w:tabs>
        <w:jc w:val="both"/>
        <w:rPr>
          <w:rFonts w:ascii="Palatino Linotype" w:hAnsi="Palatino Linotype"/>
          <w:bCs/>
        </w:rPr>
      </w:pPr>
      <w:r w:rsidRPr="00CE1721">
        <w:rPr>
          <w:rFonts w:ascii="Palatino Linotype" w:hAnsi="Palatino Linotype"/>
          <w:bCs/>
        </w:rPr>
        <w:t>Source: https://www.sec.gov/news/press-release/2021-8</w:t>
      </w:r>
    </w:p>
    <w:p w:rsidR="00932FDF" w:rsidRDefault="00932FDF" w:rsidP="00272724">
      <w:pPr>
        <w:rPr>
          <w:rFonts w:ascii="Palatino Linotype" w:hAnsi="Palatino Linotype"/>
          <w:b/>
          <w:sz w:val="22"/>
          <w:szCs w:val="22"/>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1.   </w:t>
      </w:r>
      <w:r w:rsidR="00922E82" w:rsidRPr="00922E82">
        <w:rPr>
          <w:rFonts w:ascii="Palatino Linotype" w:hAnsi="Palatino Linotype"/>
          <w:b/>
          <w:color w:val="000000" w:themeColor="text1"/>
        </w:rPr>
        <w:t>Refund of Security Deposit</w:t>
      </w:r>
    </w:p>
    <w:p w:rsidR="00DD68D0" w:rsidRPr="008570C3" w:rsidRDefault="00DD68D0" w:rsidP="00DD68D0">
      <w:pPr>
        <w:shd w:val="clear" w:color="auto" w:fill="FFFFFF"/>
        <w:spacing w:line="276" w:lineRule="auto"/>
        <w:jc w:val="both"/>
        <w:rPr>
          <w:rFonts w:ascii="Palatino Linotype" w:hAnsi="Palatino Linotype"/>
          <w:b/>
          <w:color w:val="000000" w:themeColor="text1"/>
        </w:rPr>
      </w:pPr>
    </w:p>
    <w:p w:rsidR="00DD68D0" w:rsidRDefault="004D681F" w:rsidP="00DD68D0">
      <w:pPr>
        <w:shd w:val="clear" w:color="auto" w:fill="FFFFFF"/>
        <w:spacing w:line="276" w:lineRule="auto"/>
        <w:jc w:val="both"/>
        <w:rPr>
          <w:rFonts w:ascii="Palatino Linotype" w:hAnsi="Palatino Linotype"/>
          <w:bCs/>
          <w:color w:val="000000" w:themeColor="text1"/>
        </w:rPr>
      </w:pPr>
      <w:r>
        <w:rPr>
          <w:rFonts w:ascii="Palatino Linotype" w:hAnsi="Palatino Linotype"/>
          <w:bCs/>
          <w:color w:val="000000" w:themeColor="text1"/>
        </w:rPr>
        <w:t>L</w:t>
      </w:r>
      <w:r w:rsidR="00922E82" w:rsidRPr="00922E82">
        <w:rPr>
          <w:rFonts w:ascii="Palatino Linotype" w:hAnsi="Palatino Linotype"/>
          <w:bCs/>
          <w:color w:val="000000" w:themeColor="text1"/>
        </w:rPr>
        <w:t xml:space="preserve">etter dated June 10, 2019 was issued to NSE regarding refund of security deposit and arbitration mechanism after the surrender of membership of </w:t>
      </w:r>
      <w:r>
        <w:rPr>
          <w:rFonts w:ascii="Palatino Linotype" w:hAnsi="Palatino Linotype"/>
          <w:bCs/>
          <w:color w:val="000000" w:themeColor="text1"/>
        </w:rPr>
        <w:t>t</w:t>
      </w:r>
      <w:r w:rsidR="00922E82" w:rsidRPr="00922E82">
        <w:rPr>
          <w:rFonts w:ascii="Palatino Linotype" w:hAnsi="Palatino Linotype"/>
          <w:bCs/>
          <w:color w:val="000000" w:themeColor="text1"/>
        </w:rPr>
        <w:t xml:space="preserve">rading </w:t>
      </w:r>
      <w:r>
        <w:rPr>
          <w:rFonts w:ascii="Palatino Linotype" w:hAnsi="Palatino Linotype"/>
          <w:bCs/>
          <w:color w:val="000000" w:themeColor="text1"/>
        </w:rPr>
        <w:t>m</w:t>
      </w:r>
      <w:r w:rsidR="00922E82" w:rsidRPr="00922E82">
        <w:rPr>
          <w:rFonts w:ascii="Palatino Linotype" w:hAnsi="Palatino Linotype"/>
          <w:bCs/>
          <w:color w:val="000000" w:themeColor="text1"/>
        </w:rPr>
        <w:t xml:space="preserve">embers. In this regard, all exchanges were advised </w:t>
      </w:r>
      <w:r>
        <w:rPr>
          <w:rFonts w:ascii="Palatino Linotype" w:hAnsi="Palatino Linotype"/>
          <w:bCs/>
          <w:color w:val="000000" w:themeColor="text1"/>
        </w:rPr>
        <w:t xml:space="preserve"> about </w:t>
      </w:r>
      <w:r w:rsidR="00922E82" w:rsidRPr="00922E82">
        <w:rPr>
          <w:rFonts w:ascii="Palatino Linotype" w:hAnsi="Palatino Linotype"/>
          <w:bCs/>
          <w:color w:val="000000" w:themeColor="text1"/>
        </w:rPr>
        <w:t xml:space="preserve">the steps needs to be followed regarding refund of security deposit on surrender of membership by </w:t>
      </w:r>
      <w:r>
        <w:rPr>
          <w:rFonts w:ascii="Palatino Linotype" w:hAnsi="Palatino Linotype"/>
          <w:bCs/>
          <w:color w:val="000000" w:themeColor="text1"/>
        </w:rPr>
        <w:t>t</w:t>
      </w:r>
      <w:r w:rsidR="00922E82" w:rsidRPr="00922E82">
        <w:rPr>
          <w:rFonts w:ascii="Palatino Linotype" w:hAnsi="Palatino Linotype"/>
          <w:bCs/>
          <w:color w:val="000000" w:themeColor="text1"/>
        </w:rPr>
        <w:t xml:space="preserve">rading </w:t>
      </w:r>
      <w:r>
        <w:rPr>
          <w:rFonts w:ascii="Palatino Linotype" w:hAnsi="Palatino Linotype"/>
          <w:bCs/>
          <w:color w:val="000000" w:themeColor="text1"/>
        </w:rPr>
        <w:t>m</w:t>
      </w:r>
      <w:r w:rsidR="00922E82" w:rsidRPr="00922E82">
        <w:rPr>
          <w:rFonts w:ascii="Palatino Linotype" w:hAnsi="Palatino Linotype"/>
          <w:bCs/>
          <w:color w:val="000000" w:themeColor="text1"/>
        </w:rPr>
        <w:t>embers.</w:t>
      </w:r>
    </w:p>
    <w:p w:rsidR="00922E82" w:rsidRPr="008570C3" w:rsidRDefault="00922E82" w:rsidP="00DD68D0">
      <w:pPr>
        <w:shd w:val="clear" w:color="auto" w:fill="FFFFFF"/>
        <w:spacing w:line="276" w:lineRule="auto"/>
        <w:jc w:val="both"/>
        <w:rPr>
          <w:rFonts w:ascii="Palatino Linotype" w:hAnsi="Palatino Linotype"/>
          <w:color w:val="000000" w:themeColor="text1"/>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00922E82" w:rsidRPr="00922E82">
        <w:rPr>
          <w:rFonts w:ascii="Palatino Linotype" w:hAnsi="Palatino Linotype"/>
          <w:b/>
          <w:color w:val="000000" w:themeColor="text1"/>
        </w:rPr>
        <w:t>SEBI/HO/MIRSD/FCR/CIR/P/2021/01 dated January 06, 2021</w:t>
      </w:r>
    </w:p>
    <w:p w:rsidR="00DD68D0" w:rsidRPr="008570C3" w:rsidRDefault="00DD68D0" w:rsidP="00DD68D0">
      <w:pPr>
        <w:jc w:val="both"/>
        <w:rPr>
          <w:rFonts w:ascii="Palatino Linotype" w:hAnsi="Palatino Linotype"/>
          <w:b/>
          <w:sz w:val="28"/>
          <w:szCs w:val="36"/>
          <w:u w:val="single"/>
        </w:rPr>
      </w:pPr>
    </w:p>
    <w:p w:rsidR="00DD68D0" w:rsidRDefault="00922E82" w:rsidP="00DD68D0">
      <w:pPr>
        <w:shd w:val="clear" w:color="auto" w:fill="FFFFFF"/>
        <w:spacing w:line="276" w:lineRule="auto"/>
        <w:jc w:val="both"/>
        <w:rPr>
          <w:rFonts w:ascii="Palatino Linotype" w:hAnsi="Palatino Linotype"/>
          <w:b/>
          <w:color w:val="000000" w:themeColor="text1"/>
        </w:rPr>
      </w:pPr>
      <w:r w:rsidRPr="00922E82">
        <w:rPr>
          <w:rFonts w:ascii="Palatino Linotype" w:hAnsi="Palatino Linotype"/>
          <w:b/>
          <w:color w:val="000000" w:themeColor="text1"/>
        </w:rPr>
        <w:t>2.</w:t>
      </w:r>
      <w:r w:rsidRPr="00922E82">
        <w:rPr>
          <w:rFonts w:ascii="Palatino Linotype" w:hAnsi="Palatino Linotype"/>
          <w:b/>
          <w:color w:val="000000" w:themeColor="text1"/>
        </w:rPr>
        <w:tab/>
        <w:t xml:space="preserve">Transfer of </w:t>
      </w:r>
      <w:r w:rsidR="004D681F">
        <w:rPr>
          <w:rFonts w:ascii="Palatino Linotype" w:hAnsi="Palatino Linotype"/>
          <w:b/>
          <w:color w:val="000000" w:themeColor="text1"/>
        </w:rPr>
        <w:t>E</w:t>
      </w:r>
      <w:r w:rsidRPr="00922E82">
        <w:rPr>
          <w:rFonts w:ascii="Palatino Linotype" w:hAnsi="Palatino Linotype"/>
          <w:b/>
          <w:color w:val="000000" w:themeColor="text1"/>
        </w:rPr>
        <w:t xml:space="preserve">xcess </w:t>
      </w:r>
      <w:r w:rsidR="004D681F">
        <w:rPr>
          <w:rFonts w:ascii="Palatino Linotype" w:hAnsi="Palatino Linotype"/>
          <w:b/>
          <w:color w:val="000000" w:themeColor="text1"/>
        </w:rPr>
        <w:t>C</w:t>
      </w:r>
      <w:r w:rsidRPr="00922E82">
        <w:rPr>
          <w:rFonts w:ascii="Palatino Linotype" w:hAnsi="Palatino Linotype"/>
          <w:b/>
          <w:color w:val="000000" w:themeColor="text1"/>
        </w:rPr>
        <w:t xml:space="preserve">ontribution made by Stock Exchanges from Core SGF of one Clearing Corporation to the Core SGF of another Clearing Corporation  </w:t>
      </w:r>
    </w:p>
    <w:p w:rsidR="00922E82" w:rsidRPr="008570C3" w:rsidRDefault="00922E82" w:rsidP="00DD68D0">
      <w:pPr>
        <w:shd w:val="clear" w:color="auto" w:fill="FFFFFF"/>
        <w:spacing w:line="276" w:lineRule="auto"/>
        <w:jc w:val="both"/>
        <w:rPr>
          <w:rFonts w:ascii="Palatino Linotype" w:hAnsi="Palatino Linotype"/>
          <w:b/>
          <w:color w:val="000000" w:themeColor="text1"/>
        </w:rPr>
      </w:pPr>
    </w:p>
    <w:p w:rsidR="00922E82" w:rsidRDefault="00922E82" w:rsidP="00DD68D0">
      <w:pPr>
        <w:shd w:val="clear" w:color="auto" w:fill="FFFFFF"/>
        <w:spacing w:line="276" w:lineRule="auto"/>
        <w:jc w:val="both"/>
        <w:rPr>
          <w:rFonts w:ascii="Palatino Linotype" w:hAnsi="Palatino Linotype"/>
          <w:bCs/>
          <w:color w:val="000000" w:themeColor="text1"/>
        </w:rPr>
      </w:pPr>
      <w:r w:rsidRPr="00922E82">
        <w:rPr>
          <w:rFonts w:ascii="Palatino Linotype" w:hAnsi="Palatino Linotype"/>
          <w:bCs/>
          <w:color w:val="000000" w:themeColor="text1"/>
        </w:rPr>
        <w:t xml:space="preserve">It has been decided to allow transfer of excess contribution made by </w:t>
      </w:r>
      <w:r w:rsidR="004D681F">
        <w:rPr>
          <w:rFonts w:ascii="Palatino Linotype" w:hAnsi="Palatino Linotype"/>
          <w:bCs/>
          <w:color w:val="000000" w:themeColor="text1"/>
        </w:rPr>
        <w:t>s</w:t>
      </w:r>
      <w:r w:rsidRPr="00922E82">
        <w:rPr>
          <w:rFonts w:ascii="Palatino Linotype" w:hAnsi="Palatino Linotype"/>
          <w:bCs/>
          <w:color w:val="000000" w:themeColor="text1"/>
        </w:rPr>
        <w:t xml:space="preserve">tock </w:t>
      </w:r>
      <w:r w:rsidR="004D681F">
        <w:rPr>
          <w:rFonts w:ascii="Palatino Linotype" w:hAnsi="Palatino Linotype"/>
          <w:bCs/>
          <w:color w:val="000000" w:themeColor="text1"/>
        </w:rPr>
        <w:t>e</w:t>
      </w:r>
      <w:r w:rsidRPr="00922E82">
        <w:rPr>
          <w:rFonts w:ascii="Palatino Linotype" w:hAnsi="Palatino Linotype"/>
          <w:bCs/>
          <w:color w:val="000000" w:themeColor="text1"/>
        </w:rPr>
        <w:t xml:space="preserve">xchanges from </w:t>
      </w:r>
      <w:r w:rsidR="004D681F">
        <w:rPr>
          <w:rFonts w:ascii="Palatino Linotype" w:hAnsi="Palatino Linotype"/>
          <w:bCs/>
          <w:color w:val="000000" w:themeColor="text1"/>
        </w:rPr>
        <w:t>c</w:t>
      </w:r>
      <w:r w:rsidRPr="00922E82">
        <w:rPr>
          <w:rFonts w:ascii="Palatino Linotype" w:hAnsi="Palatino Linotype"/>
          <w:bCs/>
          <w:color w:val="000000" w:themeColor="text1"/>
        </w:rPr>
        <w:t xml:space="preserve">ore SGF of one </w:t>
      </w:r>
      <w:r w:rsidR="004D681F">
        <w:rPr>
          <w:rFonts w:ascii="Palatino Linotype" w:hAnsi="Palatino Linotype"/>
          <w:bCs/>
          <w:color w:val="000000" w:themeColor="text1"/>
        </w:rPr>
        <w:t>c</w:t>
      </w:r>
      <w:r w:rsidRPr="00922E82">
        <w:rPr>
          <w:rFonts w:ascii="Palatino Linotype" w:hAnsi="Palatino Linotype"/>
          <w:bCs/>
          <w:color w:val="000000" w:themeColor="text1"/>
        </w:rPr>
        <w:t xml:space="preserve">learing </w:t>
      </w:r>
      <w:r w:rsidR="004D681F">
        <w:rPr>
          <w:rFonts w:ascii="Palatino Linotype" w:hAnsi="Palatino Linotype"/>
          <w:bCs/>
          <w:color w:val="000000" w:themeColor="text1"/>
        </w:rPr>
        <w:t>c</w:t>
      </w:r>
      <w:r w:rsidRPr="00922E82">
        <w:rPr>
          <w:rFonts w:ascii="Palatino Linotype" w:hAnsi="Palatino Linotype"/>
          <w:bCs/>
          <w:color w:val="000000" w:themeColor="text1"/>
        </w:rPr>
        <w:t xml:space="preserve">orporation to the </w:t>
      </w:r>
      <w:r w:rsidR="004D681F">
        <w:rPr>
          <w:rFonts w:ascii="Palatino Linotype" w:hAnsi="Palatino Linotype"/>
          <w:bCs/>
          <w:color w:val="000000" w:themeColor="text1"/>
        </w:rPr>
        <w:t>c</w:t>
      </w:r>
      <w:r w:rsidRPr="00922E82">
        <w:rPr>
          <w:rFonts w:ascii="Palatino Linotype" w:hAnsi="Palatino Linotype"/>
          <w:bCs/>
          <w:color w:val="000000" w:themeColor="text1"/>
        </w:rPr>
        <w:t xml:space="preserve">ore SGF of another </w:t>
      </w:r>
      <w:r w:rsidR="004D681F">
        <w:rPr>
          <w:rFonts w:ascii="Palatino Linotype" w:hAnsi="Palatino Linotype"/>
          <w:bCs/>
          <w:color w:val="000000" w:themeColor="text1"/>
        </w:rPr>
        <w:t>c</w:t>
      </w:r>
      <w:r w:rsidRPr="00922E82">
        <w:rPr>
          <w:rFonts w:ascii="Palatino Linotype" w:hAnsi="Palatino Linotype"/>
          <w:bCs/>
          <w:color w:val="000000" w:themeColor="text1"/>
        </w:rPr>
        <w:t xml:space="preserve">learing </w:t>
      </w:r>
      <w:r w:rsidR="004D681F">
        <w:rPr>
          <w:rFonts w:ascii="Palatino Linotype" w:hAnsi="Palatino Linotype"/>
          <w:bCs/>
          <w:color w:val="000000" w:themeColor="text1"/>
        </w:rPr>
        <w:t>c</w:t>
      </w:r>
      <w:r w:rsidRPr="00922E82">
        <w:rPr>
          <w:rFonts w:ascii="Palatino Linotype" w:hAnsi="Palatino Linotype"/>
          <w:bCs/>
          <w:color w:val="000000" w:themeColor="text1"/>
        </w:rPr>
        <w:t xml:space="preserve">orporation, in inter-operable scenario subject to certain compliances by stock exchanges and clearing corporations. </w:t>
      </w:r>
    </w:p>
    <w:p w:rsidR="00DD68D0" w:rsidRPr="008570C3" w:rsidRDefault="00DD68D0" w:rsidP="00DD68D0">
      <w:pPr>
        <w:shd w:val="clear" w:color="auto" w:fill="FFFFFF"/>
        <w:spacing w:line="276" w:lineRule="auto"/>
        <w:jc w:val="both"/>
        <w:rPr>
          <w:rFonts w:ascii="Palatino Linotype" w:hAnsi="Palatino Linotype"/>
          <w:color w:val="000000" w:themeColor="text1"/>
        </w:rPr>
      </w:pPr>
      <w:r w:rsidRPr="008570C3">
        <w:rPr>
          <w:rFonts w:ascii="Palatino Linotype" w:hAnsi="Palatino Linotype"/>
          <w:color w:val="000000" w:themeColor="text1"/>
        </w:rPr>
        <w:t xml:space="preserve"> </w:t>
      </w: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00922E82" w:rsidRPr="00922E82">
        <w:rPr>
          <w:rFonts w:ascii="Palatino Linotype" w:hAnsi="Palatino Linotype"/>
          <w:b/>
          <w:color w:val="000000" w:themeColor="text1"/>
        </w:rPr>
        <w:t>SEBI/HO/MRD2/DCAP/CIR/P/2021/03 dated January 08, 2021</w:t>
      </w:r>
    </w:p>
    <w:p w:rsidR="00E10EB8" w:rsidRDefault="00E10EB8" w:rsidP="00E10EB8"/>
    <w:p w:rsidR="00DD68D0" w:rsidRPr="008570C3" w:rsidRDefault="00922E82" w:rsidP="00DD68D0">
      <w:pPr>
        <w:shd w:val="clear" w:color="auto" w:fill="FFFFFF"/>
        <w:spacing w:line="276" w:lineRule="auto"/>
        <w:jc w:val="both"/>
        <w:rPr>
          <w:rFonts w:ascii="Palatino Linotype" w:hAnsi="Palatino Linotype"/>
          <w:b/>
          <w:color w:val="000000" w:themeColor="text1"/>
        </w:rPr>
      </w:pPr>
      <w:r w:rsidRPr="00922E82">
        <w:rPr>
          <w:rFonts w:ascii="Palatino Linotype" w:hAnsi="Palatino Linotype"/>
          <w:b/>
          <w:color w:val="000000" w:themeColor="text1"/>
        </w:rPr>
        <w:t>3.</w:t>
      </w:r>
      <w:r w:rsidRPr="00922E82">
        <w:rPr>
          <w:rFonts w:ascii="Palatino Linotype" w:hAnsi="Palatino Linotype"/>
          <w:b/>
          <w:color w:val="000000" w:themeColor="text1"/>
        </w:rPr>
        <w:tab/>
        <w:t>Monthly Reporting of Portfolio Managers</w:t>
      </w:r>
    </w:p>
    <w:p w:rsidR="00DD68D0" w:rsidRPr="008570C3" w:rsidRDefault="00DD68D0" w:rsidP="00DD68D0">
      <w:pPr>
        <w:shd w:val="clear" w:color="auto" w:fill="FFFFFF"/>
        <w:spacing w:line="276" w:lineRule="auto"/>
        <w:jc w:val="both"/>
        <w:rPr>
          <w:rFonts w:ascii="Palatino Linotype" w:hAnsi="Palatino Linotype"/>
          <w:b/>
          <w:color w:val="000000" w:themeColor="text1"/>
        </w:rPr>
      </w:pPr>
    </w:p>
    <w:p w:rsidR="00922E82" w:rsidRPr="00922E82" w:rsidRDefault="00922E82" w:rsidP="00922E82">
      <w:pPr>
        <w:shd w:val="clear" w:color="auto" w:fill="FFFFFF"/>
        <w:spacing w:line="276" w:lineRule="auto"/>
        <w:jc w:val="both"/>
        <w:rPr>
          <w:rFonts w:ascii="Palatino Linotype" w:hAnsi="Palatino Linotype"/>
          <w:bCs/>
          <w:color w:val="000000" w:themeColor="text1"/>
        </w:rPr>
      </w:pPr>
      <w:r w:rsidRPr="00922E82">
        <w:rPr>
          <w:rFonts w:ascii="Palatino Linotype" w:hAnsi="Palatino Linotype"/>
          <w:bCs/>
          <w:color w:val="000000" w:themeColor="text1"/>
        </w:rPr>
        <w:t xml:space="preserve">Vide circular dated February 13, 2020, portfolio managers were required to submit a monthly report regarding their portfolio management activity, on SEBI Intermediaries Portal within </w:t>
      </w:r>
      <w:r w:rsidR="004D681F">
        <w:rPr>
          <w:rFonts w:ascii="Palatino Linotype" w:hAnsi="Palatino Linotype"/>
          <w:bCs/>
          <w:color w:val="000000" w:themeColor="text1"/>
        </w:rPr>
        <w:t>seven</w:t>
      </w:r>
      <w:r w:rsidRPr="00922E82">
        <w:rPr>
          <w:rFonts w:ascii="Palatino Linotype" w:hAnsi="Palatino Linotype"/>
          <w:bCs/>
          <w:color w:val="000000" w:themeColor="text1"/>
        </w:rPr>
        <w:t xml:space="preserve"> working days of the end of each month, as per a prescribed format. </w:t>
      </w:r>
    </w:p>
    <w:p w:rsidR="00922E82" w:rsidRPr="00922E82" w:rsidRDefault="00922E82" w:rsidP="00922E82">
      <w:pPr>
        <w:shd w:val="clear" w:color="auto" w:fill="FFFFFF"/>
        <w:spacing w:line="276" w:lineRule="auto"/>
        <w:jc w:val="both"/>
        <w:rPr>
          <w:rFonts w:ascii="Palatino Linotype" w:hAnsi="Palatino Linotype"/>
          <w:bCs/>
          <w:color w:val="000000" w:themeColor="text1"/>
        </w:rPr>
      </w:pPr>
      <w:r w:rsidRPr="00922E82">
        <w:rPr>
          <w:rFonts w:ascii="Palatino Linotype" w:hAnsi="Palatino Linotype"/>
          <w:bCs/>
          <w:color w:val="000000" w:themeColor="text1"/>
        </w:rPr>
        <w:t xml:space="preserve"> </w:t>
      </w:r>
    </w:p>
    <w:p w:rsidR="00DD68D0" w:rsidRDefault="00922E82" w:rsidP="00DD68D0">
      <w:pPr>
        <w:shd w:val="clear" w:color="auto" w:fill="FFFFFF"/>
        <w:spacing w:line="276" w:lineRule="auto"/>
        <w:jc w:val="both"/>
        <w:rPr>
          <w:rFonts w:ascii="Palatino Linotype" w:hAnsi="Palatino Linotype"/>
          <w:bCs/>
          <w:color w:val="000000" w:themeColor="text1"/>
        </w:rPr>
      </w:pPr>
      <w:r w:rsidRPr="00922E82">
        <w:rPr>
          <w:rFonts w:ascii="Palatino Linotype" w:hAnsi="Palatino Linotype"/>
          <w:bCs/>
          <w:color w:val="000000" w:themeColor="text1"/>
        </w:rPr>
        <w:t xml:space="preserve">In order to broaden the information obtained under monthly reports, certain modifications are </w:t>
      </w:r>
      <w:r w:rsidR="004D681F">
        <w:rPr>
          <w:rFonts w:ascii="Palatino Linotype" w:hAnsi="Palatino Linotype"/>
          <w:bCs/>
          <w:color w:val="000000" w:themeColor="text1"/>
        </w:rPr>
        <w:t xml:space="preserve">indicated </w:t>
      </w:r>
      <w:r w:rsidRPr="00922E82">
        <w:rPr>
          <w:rFonts w:ascii="Palatino Linotype" w:hAnsi="Palatino Linotype"/>
          <w:bCs/>
          <w:color w:val="000000" w:themeColor="text1"/>
        </w:rPr>
        <w:t xml:space="preserve">in the </w:t>
      </w:r>
      <w:r w:rsidR="004D681F" w:rsidRPr="00922E82">
        <w:rPr>
          <w:rFonts w:ascii="Palatino Linotype" w:hAnsi="Palatino Linotype"/>
          <w:bCs/>
          <w:color w:val="000000" w:themeColor="text1"/>
        </w:rPr>
        <w:t xml:space="preserve">specified </w:t>
      </w:r>
      <w:r w:rsidRPr="00922E82">
        <w:rPr>
          <w:rFonts w:ascii="Palatino Linotype" w:hAnsi="Palatino Linotype"/>
          <w:bCs/>
          <w:color w:val="000000" w:themeColor="text1"/>
        </w:rPr>
        <w:t>format</w:t>
      </w:r>
      <w:r w:rsidR="00DD68D0" w:rsidRPr="00922E82">
        <w:rPr>
          <w:rFonts w:ascii="Palatino Linotype" w:hAnsi="Palatino Linotype"/>
          <w:bCs/>
          <w:color w:val="000000" w:themeColor="text1"/>
        </w:rPr>
        <w:t>.</w:t>
      </w:r>
    </w:p>
    <w:p w:rsidR="00922E82" w:rsidRPr="008570C3" w:rsidRDefault="00922E82" w:rsidP="00DD68D0">
      <w:pPr>
        <w:shd w:val="clear" w:color="auto" w:fill="FFFFFF"/>
        <w:spacing w:line="276" w:lineRule="auto"/>
        <w:jc w:val="both"/>
        <w:rPr>
          <w:rFonts w:ascii="Palatino Linotype" w:hAnsi="Palatino Linotype"/>
          <w:color w:val="000000" w:themeColor="text1"/>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00922E82" w:rsidRPr="00922E82">
        <w:rPr>
          <w:rFonts w:ascii="Palatino Linotype" w:hAnsi="Palatino Linotype"/>
          <w:b/>
          <w:color w:val="000000" w:themeColor="text1"/>
        </w:rPr>
        <w:t>SEBI/HO/IMD/DF1/CIR/P/2021/02 dated January 08, 2021</w:t>
      </w:r>
    </w:p>
    <w:p w:rsidR="00DD68D0" w:rsidRPr="008570C3" w:rsidRDefault="00DD68D0" w:rsidP="00DD68D0">
      <w:pPr>
        <w:jc w:val="both"/>
        <w:rPr>
          <w:rFonts w:ascii="Palatino Linotype" w:hAnsi="Palatino Linotype"/>
          <w:b/>
          <w:sz w:val="28"/>
          <w:szCs w:val="36"/>
          <w:u w:val="single"/>
        </w:rPr>
      </w:pPr>
    </w:p>
    <w:p w:rsidR="00DD68D0" w:rsidRPr="009D0E2F" w:rsidRDefault="00922E82" w:rsidP="00DD68D0">
      <w:pPr>
        <w:shd w:val="clear" w:color="auto" w:fill="FFFFFF"/>
        <w:spacing w:line="276" w:lineRule="auto"/>
        <w:jc w:val="both"/>
        <w:rPr>
          <w:rFonts w:ascii="Palatino Linotype" w:hAnsi="Palatino Linotype"/>
          <w:b/>
          <w:color w:val="000000" w:themeColor="text1"/>
        </w:rPr>
      </w:pPr>
      <w:r w:rsidRPr="00922E82">
        <w:rPr>
          <w:rFonts w:ascii="Palatino Linotype" w:hAnsi="Palatino Linotype"/>
          <w:b/>
          <w:color w:val="000000" w:themeColor="text1"/>
        </w:rPr>
        <w:t>4.</w:t>
      </w:r>
      <w:r w:rsidRPr="00922E82">
        <w:rPr>
          <w:rFonts w:ascii="Palatino Linotype" w:hAnsi="Palatino Linotype"/>
          <w:b/>
          <w:color w:val="000000" w:themeColor="text1"/>
        </w:rPr>
        <w:tab/>
        <w:t>Amendment to Regulation 20(6) of SEBI (Alternative Investment Funds) Regulations, 2012</w:t>
      </w:r>
    </w:p>
    <w:p w:rsidR="00DD68D0" w:rsidRDefault="00DD68D0" w:rsidP="00DD68D0">
      <w:pPr>
        <w:shd w:val="clear" w:color="auto" w:fill="FFFFFF"/>
        <w:spacing w:line="276" w:lineRule="auto"/>
        <w:jc w:val="both"/>
        <w:rPr>
          <w:rFonts w:ascii="Palatino Linotype" w:hAnsi="Palatino Linotype"/>
          <w:bCs/>
          <w:color w:val="000000" w:themeColor="text1"/>
        </w:rPr>
      </w:pPr>
    </w:p>
    <w:p w:rsidR="00922E82" w:rsidRPr="00922E82" w:rsidRDefault="00922E82" w:rsidP="00922E82">
      <w:pPr>
        <w:shd w:val="clear" w:color="auto" w:fill="FFFFFF"/>
        <w:spacing w:line="276" w:lineRule="auto"/>
        <w:jc w:val="both"/>
        <w:rPr>
          <w:rFonts w:ascii="Palatino Linotype" w:hAnsi="Palatino Linotype"/>
          <w:bCs/>
          <w:color w:val="000000" w:themeColor="text1"/>
        </w:rPr>
      </w:pPr>
      <w:r w:rsidRPr="00922E82">
        <w:rPr>
          <w:rFonts w:ascii="Palatino Linotype" w:hAnsi="Palatino Linotype"/>
          <w:bCs/>
          <w:color w:val="000000" w:themeColor="text1"/>
        </w:rPr>
        <w:t xml:space="preserve">In terms of the amendment to SEBI (Alternative Investment Funds) Regulations, 2012 (“AIF Regulations”), notified on January 08, 2021, exemption is granted from applicability of clause (i) and (ii) of the first proviso to Regulation 20(6), subject to certain conditions including each investor furnishing a waiver to the AIF in respect of compliance with these clauses, in the manner specified by SEBI. </w:t>
      </w:r>
    </w:p>
    <w:p w:rsidR="00922E82" w:rsidRPr="00922E82" w:rsidRDefault="00922E82" w:rsidP="00922E82">
      <w:pPr>
        <w:shd w:val="clear" w:color="auto" w:fill="FFFFFF"/>
        <w:spacing w:line="276" w:lineRule="auto"/>
        <w:jc w:val="both"/>
        <w:rPr>
          <w:rFonts w:ascii="Palatino Linotype" w:hAnsi="Palatino Linotype"/>
          <w:bCs/>
          <w:color w:val="000000" w:themeColor="text1"/>
        </w:rPr>
      </w:pPr>
    </w:p>
    <w:p w:rsidR="00922E82" w:rsidRDefault="00922E82" w:rsidP="00922E82">
      <w:pPr>
        <w:shd w:val="clear" w:color="auto" w:fill="FFFFFF"/>
        <w:spacing w:line="276" w:lineRule="auto"/>
        <w:jc w:val="both"/>
        <w:rPr>
          <w:rFonts w:ascii="Palatino Linotype" w:hAnsi="Palatino Linotype"/>
          <w:bCs/>
          <w:color w:val="000000" w:themeColor="text1"/>
        </w:rPr>
      </w:pPr>
      <w:r w:rsidRPr="00922E82">
        <w:rPr>
          <w:rFonts w:ascii="Palatino Linotype" w:hAnsi="Palatino Linotype"/>
          <w:bCs/>
          <w:color w:val="000000" w:themeColor="text1"/>
        </w:rPr>
        <w:t>A format was issued for waiver to be furnished by the investors in this regard.</w:t>
      </w:r>
    </w:p>
    <w:p w:rsidR="00DD68D0" w:rsidRPr="008570C3" w:rsidRDefault="00DD68D0" w:rsidP="00922E82">
      <w:pPr>
        <w:shd w:val="clear" w:color="auto" w:fill="FFFFFF"/>
        <w:spacing w:line="276" w:lineRule="auto"/>
        <w:jc w:val="both"/>
        <w:rPr>
          <w:rFonts w:ascii="Palatino Linotype" w:hAnsi="Palatino Linotype"/>
          <w:color w:val="000000" w:themeColor="text1"/>
        </w:rPr>
      </w:pPr>
      <w:r w:rsidRPr="008570C3">
        <w:rPr>
          <w:rFonts w:ascii="Palatino Linotype" w:hAnsi="Palatino Linotype"/>
          <w:color w:val="000000" w:themeColor="text1"/>
        </w:rPr>
        <w:t xml:space="preserve"> </w:t>
      </w: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00922E82" w:rsidRPr="00922E82">
        <w:rPr>
          <w:rFonts w:ascii="Palatino Linotype" w:hAnsi="Palatino Linotype"/>
          <w:b/>
          <w:color w:val="000000" w:themeColor="text1"/>
        </w:rPr>
        <w:t>SEBI/HO/IMD/DF6/CIR/P/2021/004 dated January 08, 2021</w:t>
      </w:r>
    </w:p>
    <w:p w:rsidR="00DD68D0" w:rsidRDefault="00DD68D0" w:rsidP="00E10EB8"/>
    <w:p w:rsidR="005F4FFF" w:rsidRPr="00D47CE5" w:rsidRDefault="00B1195C" w:rsidP="00B1195C">
      <w:pPr>
        <w:pStyle w:val="Default"/>
        <w:jc w:val="both"/>
        <w:rPr>
          <w:rFonts w:ascii="Palatino Linotype" w:hAnsi="Palatino Linotype"/>
        </w:rPr>
      </w:pPr>
      <w:r>
        <w:rPr>
          <w:rFonts w:ascii="Palatino Linotype" w:hAnsi="Palatino Linotype"/>
          <w:b/>
          <w:bCs/>
        </w:rPr>
        <w:t xml:space="preserve">5. </w:t>
      </w:r>
      <w:r w:rsidR="005F4FFF" w:rsidRPr="00D47CE5">
        <w:rPr>
          <w:rFonts w:ascii="Palatino Linotype" w:hAnsi="Palatino Linotype"/>
          <w:b/>
          <w:bCs/>
        </w:rPr>
        <w:t>Review of Volatility Scan Range for Option</w:t>
      </w:r>
      <w:r w:rsidR="005F4FFF">
        <w:rPr>
          <w:rFonts w:ascii="Palatino Linotype" w:hAnsi="Palatino Linotype"/>
          <w:b/>
          <w:bCs/>
        </w:rPr>
        <w:t>s</w:t>
      </w:r>
      <w:r w:rsidR="005F4FFF" w:rsidRPr="00D47CE5">
        <w:rPr>
          <w:rFonts w:ascii="Palatino Linotype" w:hAnsi="Palatino Linotype"/>
          <w:b/>
          <w:bCs/>
        </w:rPr>
        <w:t xml:space="preserve"> Contracts in Commodity Derivatives Segment</w:t>
      </w:r>
    </w:p>
    <w:p w:rsidR="005F4FFF" w:rsidRPr="00D47CE5" w:rsidRDefault="005F4FFF" w:rsidP="005F4FFF">
      <w:pPr>
        <w:pStyle w:val="Default"/>
        <w:jc w:val="both"/>
        <w:rPr>
          <w:rFonts w:ascii="Palatino Linotype" w:hAnsi="Palatino Linotype"/>
        </w:rPr>
      </w:pP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In consultation with the </w:t>
      </w:r>
      <w:r w:rsidR="004D681F" w:rsidRPr="00D47CE5">
        <w:rPr>
          <w:rFonts w:ascii="Palatino Linotype" w:hAnsi="Palatino Linotype"/>
        </w:rPr>
        <w:t>clearing corporations</w:t>
      </w:r>
      <w:r w:rsidR="004D681F">
        <w:rPr>
          <w:rFonts w:ascii="Palatino Linotype" w:hAnsi="Palatino Linotype"/>
        </w:rPr>
        <w:t xml:space="preserve"> (</w:t>
      </w:r>
      <w:r w:rsidRPr="00D47CE5">
        <w:rPr>
          <w:rFonts w:ascii="Palatino Linotype" w:hAnsi="Palatino Linotype"/>
        </w:rPr>
        <w:t>CCs</w:t>
      </w:r>
      <w:r w:rsidR="004D681F">
        <w:rPr>
          <w:rFonts w:ascii="Palatino Linotype" w:hAnsi="Palatino Linotype"/>
        </w:rPr>
        <w:t>)</w:t>
      </w:r>
      <w:r w:rsidRPr="00D47CE5">
        <w:rPr>
          <w:rFonts w:ascii="Palatino Linotype" w:hAnsi="Palatino Linotype"/>
        </w:rPr>
        <w:t xml:space="preserve">, the minimum </w:t>
      </w:r>
      <w:r w:rsidR="004D681F" w:rsidRPr="00D47CE5">
        <w:rPr>
          <w:rFonts w:ascii="Palatino Linotype" w:hAnsi="Palatino Linotype"/>
        </w:rPr>
        <w:t>Volatility Scan Range</w:t>
      </w:r>
      <w:r w:rsidR="004D681F" w:rsidRPr="00D47CE5">
        <w:rPr>
          <w:rFonts w:ascii="Palatino Linotype" w:hAnsi="Palatino Linotype"/>
          <w:b/>
          <w:bCs/>
        </w:rPr>
        <w:t xml:space="preserve"> </w:t>
      </w:r>
      <w:r w:rsidR="004D681F">
        <w:rPr>
          <w:rFonts w:ascii="Palatino Linotype" w:hAnsi="Palatino Linotype"/>
          <w:b/>
          <w:bCs/>
        </w:rPr>
        <w:t>(</w:t>
      </w:r>
      <w:r w:rsidRPr="00D47CE5">
        <w:rPr>
          <w:rFonts w:ascii="Palatino Linotype" w:hAnsi="Palatino Linotype"/>
        </w:rPr>
        <w:t>VSR</w:t>
      </w:r>
      <w:r w:rsidR="004D681F">
        <w:rPr>
          <w:rFonts w:ascii="Palatino Linotype" w:hAnsi="Palatino Linotype"/>
        </w:rPr>
        <w:t>)</w:t>
      </w:r>
      <w:r w:rsidRPr="00D47CE5">
        <w:rPr>
          <w:rFonts w:ascii="Palatino Linotype" w:hAnsi="Palatino Linotype"/>
        </w:rPr>
        <w:t xml:space="preserve"> values for underlying commodities were prescribed based on their volatility viz, high, medium and low as categorised in SEBI circular No. SEBI/HO/CDMRD/ DRMP/CIR/P/2020/15 dated January 27, 2020. </w:t>
      </w:r>
    </w:p>
    <w:p w:rsidR="005F4FFF" w:rsidRPr="00D47CE5" w:rsidRDefault="005F4FFF" w:rsidP="005F4FFF">
      <w:pPr>
        <w:pStyle w:val="Default"/>
        <w:jc w:val="both"/>
        <w:rPr>
          <w:rFonts w:ascii="Palatino Linotype" w:hAnsi="Palatino Linotype"/>
        </w:rPr>
      </w:pP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The VSR in respect of various categories of commodities shall be subject to the prescribed minimum values. CCs (providing clearing and settlement for options) </w:t>
      </w:r>
      <w:r w:rsidR="004D681F">
        <w:rPr>
          <w:rFonts w:ascii="Palatino Linotype" w:hAnsi="Palatino Linotype"/>
        </w:rPr>
        <w:t xml:space="preserve">were advised to </w:t>
      </w:r>
      <w:r w:rsidRPr="00D47CE5">
        <w:rPr>
          <w:rFonts w:ascii="Palatino Linotype" w:hAnsi="Palatino Linotype"/>
        </w:rPr>
        <w:t xml:space="preserve"> review the value of VSR by back testing on a monthly basis using last 3 years’ data by 15</w:t>
      </w:r>
      <w:r w:rsidRPr="00D22F0B">
        <w:rPr>
          <w:rFonts w:ascii="Palatino Linotype" w:hAnsi="Palatino Linotype"/>
          <w:vertAlign w:val="superscript"/>
        </w:rPr>
        <w:t>th</w:t>
      </w:r>
      <w:r w:rsidRPr="00D47CE5">
        <w:rPr>
          <w:rFonts w:ascii="Palatino Linotype" w:hAnsi="Palatino Linotype"/>
        </w:rPr>
        <w:t xml:space="preserve"> of every month and any change in VSR </w:t>
      </w:r>
      <w:r w:rsidR="004D681F">
        <w:rPr>
          <w:rFonts w:ascii="Palatino Linotype" w:hAnsi="Palatino Linotype"/>
        </w:rPr>
        <w:t>is required to</w:t>
      </w:r>
      <w:r w:rsidR="004D681F" w:rsidRPr="00D47CE5">
        <w:rPr>
          <w:rFonts w:ascii="Palatino Linotype" w:hAnsi="Palatino Linotype"/>
        </w:rPr>
        <w:t xml:space="preserve"> </w:t>
      </w:r>
      <w:r w:rsidRPr="00D47CE5">
        <w:rPr>
          <w:rFonts w:ascii="Palatino Linotype" w:hAnsi="Palatino Linotype"/>
        </w:rPr>
        <w:t>be implemented from 1</w:t>
      </w:r>
      <w:r w:rsidRPr="00D22F0B">
        <w:rPr>
          <w:rFonts w:ascii="Palatino Linotype" w:hAnsi="Palatino Linotype"/>
          <w:vertAlign w:val="superscript"/>
        </w:rPr>
        <w:t>st</w:t>
      </w:r>
      <w:r w:rsidRPr="00D47CE5">
        <w:rPr>
          <w:rFonts w:ascii="Palatino Linotype" w:hAnsi="Palatino Linotype"/>
        </w:rPr>
        <w:t xml:space="preserve"> trading day of the following month. </w:t>
      </w:r>
    </w:p>
    <w:p w:rsidR="005F4FFF" w:rsidRPr="00D47CE5" w:rsidRDefault="005F4FFF" w:rsidP="005F4FFF">
      <w:pPr>
        <w:pStyle w:val="Default"/>
        <w:jc w:val="both"/>
        <w:rPr>
          <w:rFonts w:ascii="Palatino Linotype" w:hAnsi="Palatino Linotype"/>
        </w:rPr>
      </w:pPr>
    </w:p>
    <w:p w:rsidR="005F4FFF" w:rsidRPr="00D47CE5" w:rsidRDefault="005F4FFF" w:rsidP="005F4FFF">
      <w:pPr>
        <w:pStyle w:val="Default"/>
        <w:jc w:val="both"/>
        <w:rPr>
          <w:rFonts w:ascii="Palatino Linotype" w:hAnsi="Palatino Linotype"/>
        </w:rPr>
      </w:pPr>
      <w:r w:rsidRPr="00D47CE5">
        <w:rPr>
          <w:rFonts w:ascii="Palatino Linotype" w:hAnsi="Palatino Linotype"/>
        </w:rPr>
        <w:t>The circular shall be effective from the first trading day of the month of April 01, 2021.</w:t>
      </w:r>
    </w:p>
    <w:p w:rsidR="005F4FFF" w:rsidRPr="00D47CE5" w:rsidRDefault="005F4FFF" w:rsidP="005F4FFF">
      <w:pPr>
        <w:pStyle w:val="Default"/>
        <w:jc w:val="both"/>
        <w:rPr>
          <w:rFonts w:ascii="Palatino Linotype" w:hAnsi="Palatino Linotype"/>
        </w:rPr>
      </w:pPr>
    </w:p>
    <w:p w:rsidR="005F4FFF" w:rsidRPr="00D47CE5" w:rsidRDefault="005F4FFF" w:rsidP="005F4FFF">
      <w:pPr>
        <w:pStyle w:val="Default"/>
        <w:jc w:val="both"/>
        <w:rPr>
          <w:rFonts w:ascii="Palatino Linotype" w:hAnsi="Palatino Linotype"/>
        </w:rPr>
      </w:pPr>
      <w:r w:rsidRPr="00D47CE5">
        <w:rPr>
          <w:rFonts w:ascii="Palatino Linotype" w:hAnsi="Palatino Linotype"/>
          <w:b/>
        </w:rPr>
        <w:t>Source: SEBI/HO/</w:t>
      </w:r>
      <w:r w:rsidRPr="00D47CE5">
        <w:rPr>
          <w:rFonts w:ascii="Palatino Linotype" w:hAnsi="Palatino Linotype"/>
        </w:rPr>
        <w:t xml:space="preserve"> </w:t>
      </w:r>
      <w:r w:rsidRPr="00D47CE5">
        <w:rPr>
          <w:rFonts w:ascii="Palatino Linotype" w:hAnsi="Palatino Linotype"/>
          <w:b/>
          <w:bCs/>
        </w:rPr>
        <w:t xml:space="preserve">CDMRD/DRMP/CIR/P/2021/08 </w:t>
      </w:r>
      <w:r w:rsidRPr="00D47CE5">
        <w:rPr>
          <w:rFonts w:ascii="Palatino Linotype" w:hAnsi="Palatino Linotype"/>
          <w:b/>
        </w:rPr>
        <w:t>dated January 11, 2021.</w:t>
      </w:r>
    </w:p>
    <w:p w:rsidR="005F4FFF" w:rsidRPr="00D47CE5" w:rsidRDefault="005F4FFF" w:rsidP="005F4FFF">
      <w:pPr>
        <w:shd w:val="clear" w:color="auto" w:fill="FFFFFF"/>
        <w:spacing w:line="276" w:lineRule="auto"/>
        <w:jc w:val="both"/>
        <w:rPr>
          <w:rFonts w:ascii="Palatino Linotype" w:hAnsi="Palatino Linotype"/>
          <w:b/>
          <w:color w:val="000000"/>
        </w:rPr>
      </w:pPr>
    </w:p>
    <w:p w:rsidR="005F4FFF" w:rsidRPr="00D47CE5" w:rsidRDefault="00B1195C" w:rsidP="00B1195C">
      <w:pPr>
        <w:pStyle w:val="Default"/>
        <w:shd w:val="clear" w:color="auto" w:fill="FFFFFF"/>
        <w:spacing w:line="276" w:lineRule="auto"/>
        <w:jc w:val="both"/>
        <w:rPr>
          <w:rFonts w:ascii="Palatino Linotype" w:hAnsi="Palatino Linotype"/>
          <w:b/>
          <w:bCs/>
        </w:rPr>
      </w:pPr>
      <w:r w:rsidRPr="00B1195C">
        <w:rPr>
          <w:rFonts w:ascii="Palatino Linotype" w:hAnsi="Palatino Linotype"/>
          <w:b/>
          <w:bCs/>
        </w:rPr>
        <w:t>6.</w:t>
      </w:r>
      <w:r w:rsidR="005F4FFF" w:rsidRPr="00D47CE5">
        <w:rPr>
          <w:rFonts w:ascii="Palatino Linotype" w:hAnsi="Palatino Linotype"/>
        </w:rPr>
        <w:t xml:space="preserve"> </w:t>
      </w:r>
      <w:r w:rsidR="005F4FFF" w:rsidRPr="00D47CE5">
        <w:rPr>
          <w:rFonts w:ascii="Palatino Linotype" w:hAnsi="Palatino Linotype"/>
          <w:b/>
          <w:bCs/>
        </w:rPr>
        <w:t>Revision in Daily Price Limits for Commodity Futures Contracts</w:t>
      </w: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 </w:t>
      </w: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Norms for Daily Prince Limits (DPL) for commodity futures contracts (excluding Index Futures and options) were revised. Accordingly, the base price for fixing the DPL slabs shall be the previous day’s closing price of the underlying contract on the respective stock exchange. A breach of the slab shall be considered when trading in a contract is executed at the upper or lower band of the prescribed slab. </w:t>
      </w:r>
    </w:p>
    <w:p w:rsidR="005F4FFF" w:rsidRPr="00D47CE5" w:rsidRDefault="005F4FFF" w:rsidP="005F4FFF">
      <w:pPr>
        <w:pStyle w:val="Default"/>
        <w:jc w:val="both"/>
        <w:rPr>
          <w:rFonts w:ascii="Palatino Linotype" w:hAnsi="Palatino Linotype"/>
        </w:rPr>
      </w:pPr>
    </w:p>
    <w:p w:rsidR="005F4FFF" w:rsidRPr="00D47CE5" w:rsidRDefault="005F4FFF" w:rsidP="005F4FFF">
      <w:pPr>
        <w:pStyle w:val="Default"/>
        <w:jc w:val="both"/>
        <w:rPr>
          <w:rFonts w:ascii="Palatino Linotype" w:hAnsi="Palatino Linotype"/>
        </w:rPr>
      </w:pPr>
      <w:r w:rsidRPr="00D47CE5">
        <w:rPr>
          <w:rFonts w:ascii="Palatino Linotype" w:hAnsi="Palatino Linotype"/>
          <w:b/>
        </w:rPr>
        <w:t>Source: SEBI/HO/</w:t>
      </w:r>
      <w:r w:rsidRPr="00D47CE5">
        <w:rPr>
          <w:rFonts w:ascii="Palatino Linotype" w:hAnsi="Palatino Linotype"/>
        </w:rPr>
        <w:t xml:space="preserve"> </w:t>
      </w:r>
      <w:r w:rsidRPr="00D47CE5">
        <w:rPr>
          <w:rFonts w:ascii="Palatino Linotype" w:hAnsi="Palatino Linotype"/>
          <w:b/>
          <w:bCs/>
        </w:rPr>
        <w:t xml:space="preserve">CDMRD/DRMP/CIR/P/2021/09 </w:t>
      </w:r>
      <w:r w:rsidRPr="00D47CE5">
        <w:rPr>
          <w:rFonts w:ascii="Palatino Linotype" w:hAnsi="Palatino Linotype"/>
          <w:b/>
        </w:rPr>
        <w:t>dated January 11, 2021.</w:t>
      </w:r>
    </w:p>
    <w:p w:rsidR="005F4FFF" w:rsidRPr="00D47CE5" w:rsidRDefault="005F4FFF" w:rsidP="005F4FFF">
      <w:pPr>
        <w:pStyle w:val="Default"/>
        <w:jc w:val="both"/>
        <w:rPr>
          <w:rFonts w:ascii="Palatino Linotype" w:hAnsi="Palatino Linotype"/>
        </w:rPr>
      </w:pPr>
    </w:p>
    <w:p w:rsidR="005F4FFF" w:rsidRPr="00D47CE5" w:rsidRDefault="005F4FFF" w:rsidP="005F4FFF">
      <w:pPr>
        <w:pStyle w:val="Default"/>
        <w:jc w:val="both"/>
        <w:rPr>
          <w:rFonts w:ascii="Palatino Linotype" w:hAnsi="Palatino Linotype"/>
        </w:rPr>
      </w:pPr>
    </w:p>
    <w:p w:rsidR="005F4FFF" w:rsidRPr="00D47CE5" w:rsidRDefault="00B1195C" w:rsidP="00B1195C">
      <w:pPr>
        <w:pStyle w:val="Default"/>
        <w:shd w:val="clear" w:color="auto" w:fill="FFFFFF"/>
        <w:spacing w:line="276" w:lineRule="auto"/>
        <w:jc w:val="both"/>
        <w:rPr>
          <w:rFonts w:ascii="Palatino Linotype" w:hAnsi="Palatino Linotype"/>
          <w:b/>
        </w:rPr>
      </w:pPr>
      <w:r w:rsidRPr="00B1195C">
        <w:rPr>
          <w:rFonts w:ascii="Palatino Linotype" w:hAnsi="Palatino Linotype"/>
          <w:b/>
          <w:bCs/>
        </w:rPr>
        <w:t>7.</w:t>
      </w:r>
      <w:r>
        <w:rPr>
          <w:rFonts w:ascii="Palatino Linotype" w:hAnsi="Palatino Linotype"/>
        </w:rPr>
        <w:t xml:space="preserve"> </w:t>
      </w:r>
      <w:r w:rsidR="005F4FFF" w:rsidRPr="00D47CE5">
        <w:rPr>
          <w:rFonts w:ascii="Palatino Linotype" w:hAnsi="Palatino Linotype"/>
        </w:rPr>
        <w:t xml:space="preserve"> </w:t>
      </w:r>
      <w:r w:rsidR="005F4FFF" w:rsidRPr="00D47CE5">
        <w:rPr>
          <w:rFonts w:ascii="Palatino Linotype" w:hAnsi="Palatino Linotype"/>
          <w:b/>
          <w:bCs/>
        </w:rPr>
        <w:t xml:space="preserve">Norms for Investment and Disclosure by Mutual Funds in Exchange Traded Commodity Derivatives </w:t>
      </w: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 </w:t>
      </w: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It was clarified that mutual funds shall not write options, or purchase instruments with embedded written options in goods or on commodity futures. </w:t>
      </w:r>
    </w:p>
    <w:p w:rsidR="005F4FFF" w:rsidRPr="00D47CE5" w:rsidRDefault="005F4FFF" w:rsidP="005F4FFF">
      <w:pPr>
        <w:pStyle w:val="Default"/>
        <w:shd w:val="clear" w:color="auto" w:fill="FFFFFF"/>
        <w:spacing w:line="276" w:lineRule="auto"/>
        <w:ind w:left="284"/>
        <w:jc w:val="both"/>
        <w:rPr>
          <w:rFonts w:ascii="Palatino Linotype" w:hAnsi="Palatino Linotype"/>
          <w:b/>
        </w:rPr>
      </w:pPr>
    </w:p>
    <w:p w:rsidR="005F4FFF" w:rsidRPr="00D47CE5" w:rsidRDefault="005F4FFF" w:rsidP="005F4FFF">
      <w:pPr>
        <w:pStyle w:val="Default"/>
        <w:jc w:val="both"/>
        <w:rPr>
          <w:rFonts w:ascii="Palatino Linotype" w:hAnsi="Palatino Linotype"/>
          <w:b/>
        </w:rPr>
      </w:pPr>
      <w:r w:rsidRPr="00D47CE5">
        <w:rPr>
          <w:rFonts w:ascii="Palatino Linotype" w:hAnsi="Palatino Linotype"/>
          <w:b/>
        </w:rPr>
        <w:t>Source: SEBI/HO/</w:t>
      </w:r>
      <w:r w:rsidRPr="00D47CE5">
        <w:rPr>
          <w:rFonts w:ascii="Palatino Linotype" w:hAnsi="Palatino Linotype"/>
          <w:b/>
          <w:bCs/>
        </w:rPr>
        <w:t xml:space="preserve">IMD/DF2/CIR/P/2021/10 </w:t>
      </w:r>
      <w:r w:rsidRPr="00D47CE5">
        <w:rPr>
          <w:rFonts w:ascii="Palatino Linotype" w:hAnsi="Palatino Linotype"/>
          <w:b/>
        </w:rPr>
        <w:t>dated January 15, 2021.</w:t>
      </w:r>
    </w:p>
    <w:p w:rsidR="005F4FFF" w:rsidRPr="00D47CE5" w:rsidRDefault="005F4FFF" w:rsidP="005F4FFF">
      <w:pPr>
        <w:pStyle w:val="Default"/>
        <w:jc w:val="both"/>
        <w:rPr>
          <w:rFonts w:ascii="Palatino Linotype" w:hAnsi="Palatino Linotype"/>
          <w:b/>
        </w:rPr>
      </w:pPr>
    </w:p>
    <w:p w:rsidR="005F4FFF" w:rsidRPr="00D47CE5" w:rsidRDefault="005F4FFF" w:rsidP="005F4FFF">
      <w:pPr>
        <w:pStyle w:val="Default"/>
        <w:jc w:val="both"/>
        <w:rPr>
          <w:rFonts w:ascii="Palatino Linotype" w:hAnsi="Palatino Linotype"/>
        </w:rPr>
      </w:pPr>
    </w:p>
    <w:p w:rsidR="005F4FFF" w:rsidRPr="00D47CE5" w:rsidRDefault="00B1195C" w:rsidP="00B1195C">
      <w:pPr>
        <w:pStyle w:val="Default"/>
        <w:jc w:val="both"/>
        <w:rPr>
          <w:rFonts w:ascii="Palatino Linotype" w:hAnsi="Palatino Linotype"/>
        </w:rPr>
      </w:pPr>
      <w:r w:rsidRPr="00B1195C">
        <w:rPr>
          <w:rFonts w:ascii="Palatino Linotype" w:hAnsi="Palatino Linotype"/>
          <w:b/>
          <w:bCs/>
        </w:rPr>
        <w:t>8.</w:t>
      </w:r>
      <w:r w:rsidR="005F4FFF" w:rsidRPr="00D47CE5">
        <w:rPr>
          <w:rFonts w:ascii="Palatino Linotype" w:hAnsi="Palatino Linotype"/>
        </w:rPr>
        <w:t xml:space="preserve"> </w:t>
      </w:r>
      <w:r w:rsidR="005F4FFF" w:rsidRPr="00D47CE5">
        <w:rPr>
          <w:rFonts w:ascii="Palatino Linotype" w:hAnsi="Palatino Linotype"/>
          <w:b/>
          <w:bCs/>
        </w:rPr>
        <w:t>Relaxation from Compliance with certain Provisions of the SEBI (Listing Obligations and Disclosure Requirements) Regulations, 2015 due to the COVID -19 Pandemic</w:t>
      </w:r>
    </w:p>
    <w:p w:rsidR="005F4FFF" w:rsidRPr="00D47CE5" w:rsidRDefault="005F4FFF" w:rsidP="005F4FFF">
      <w:pPr>
        <w:pStyle w:val="Default"/>
        <w:ind w:left="720"/>
        <w:jc w:val="both"/>
        <w:rPr>
          <w:rFonts w:ascii="Palatino Linotype" w:hAnsi="Palatino Linotype"/>
        </w:rPr>
      </w:pP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 </w:t>
      </w: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SEBI vide </w:t>
      </w:r>
      <w:r w:rsidR="004D681F">
        <w:rPr>
          <w:rFonts w:ascii="Palatino Linotype" w:hAnsi="Palatino Linotype"/>
        </w:rPr>
        <w:t>c</w:t>
      </w:r>
      <w:r w:rsidRPr="00D47CE5">
        <w:rPr>
          <w:rFonts w:ascii="Palatino Linotype" w:hAnsi="Palatino Linotype"/>
        </w:rPr>
        <w:t xml:space="preserve">ircular no. SEBI/HO/CFD/CMD1/CIR/P/2020/79 dated May 12, 2020 had </w:t>
      </w:r>
      <w:r w:rsidRPr="00D47CE5">
        <w:rPr>
          <w:rFonts w:ascii="Palatino Linotype" w:hAnsi="Palatino Linotype"/>
          <w:i/>
          <w:iCs/>
        </w:rPr>
        <w:t xml:space="preserve">inter-alia </w:t>
      </w:r>
      <w:r w:rsidRPr="00D47CE5">
        <w:rPr>
          <w:rFonts w:ascii="Palatino Linotype" w:hAnsi="Palatino Linotype"/>
        </w:rPr>
        <w:t xml:space="preserve">relaxed certain provisions of the SEBI (Listing Obligations and Disclosure Requirements) Regulations, 2015 related to general meetings, pursuant to relaxations by the Ministry of Corporate Affairs (MCA). </w:t>
      </w:r>
    </w:p>
    <w:p w:rsidR="005F4FFF" w:rsidRPr="00D47CE5" w:rsidRDefault="005F4FFF" w:rsidP="005F4FFF">
      <w:pPr>
        <w:pStyle w:val="Default"/>
        <w:jc w:val="both"/>
        <w:rPr>
          <w:rFonts w:ascii="Palatino Linotype" w:hAnsi="Palatino Linotype"/>
        </w:rPr>
      </w:pPr>
      <w:r w:rsidRPr="00D47CE5">
        <w:rPr>
          <w:rFonts w:ascii="Palatino Linotype" w:hAnsi="Palatino Linotype"/>
        </w:rPr>
        <w:t xml:space="preserve">In view of further relaxations by MCA, the relaxations in Paras 3 to 6 of the aforementioned SEBI </w:t>
      </w:r>
      <w:r w:rsidR="004D681F">
        <w:rPr>
          <w:rFonts w:ascii="Palatino Linotype" w:hAnsi="Palatino Linotype"/>
        </w:rPr>
        <w:t>c</w:t>
      </w:r>
      <w:r w:rsidRPr="00D47CE5">
        <w:rPr>
          <w:rFonts w:ascii="Palatino Linotype" w:hAnsi="Palatino Linotype"/>
        </w:rPr>
        <w:t xml:space="preserve">ircular dated May 12, 2020 in respect of sending physical copies of annual report to shareholders and requirement of proxy for general meetings held through electronic mode, are extended for listed entities, till December 31, 2021. </w:t>
      </w:r>
    </w:p>
    <w:p w:rsidR="005F4FFF" w:rsidRPr="00D47CE5" w:rsidRDefault="005F4FFF" w:rsidP="005F4FFF">
      <w:pPr>
        <w:pStyle w:val="Default"/>
        <w:jc w:val="both"/>
        <w:rPr>
          <w:rFonts w:ascii="Palatino Linotype" w:hAnsi="Palatino Linotype"/>
        </w:rPr>
      </w:pPr>
    </w:p>
    <w:p w:rsidR="005F4FFF" w:rsidRPr="00D47CE5" w:rsidRDefault="005F4FFF" w:rsidP="005F4FFF">
      <w:pPr>
        <w:pStyle w:val="Default"/>
        <w:jc w:val="both"/>
        <w:rPr>
          <w:rFonts w:ascii="Palatino Linotype" w:hAnsi="Palatino Linotype"/>
        </w:rPr>
      </w:pPr>
      <w:r w:rsidRPr="00D47CE5">
        <w:rPr>
          <w:rFonts w:ascii="Palatino Linotype" w:hAnsi="Palatino Linotype"/>
          <w:b/>
        </w:rPr>
        <w:t>Source: SEBI/HO/</w:t>
      </w:r>
      <w:r w:rsidRPr="00D47CE5">
        <w:rPr>
          <w:rFonts w:ascii="Palatino Linotype" w:hAnsi="Palatino Linotype"/>
          <w:b/>
          <w:bCs/>
        </w:rPr>
        <w:t xml:space="preserve">CFD/CMD2/CIR/P/2021/11 </w:t>
      </w:r>
      <w:r w:rsidRPr="00D47CE5">
        <w:rPr>
          <w:rFonts w:ascii="Palatino Linotype" w:hAnsi="Palatino Linotype"/>
          <w:b/>
        </w:rPr>
        <w:t>dated January 15, 2021.</w:t>
      </w:r>
      <w:r w:rsidRPr="00D47CE5">
        <w:rPr>
          <w:rFonts w:ascii="Palatino Linotype" w:hAnsi="Palatino Linotype"/>
        </w:rPr>
        <w:t xml:space="preserve"> </w:t>
      </w:r>
    </w:p>
    <w:p w:rsidR="00DD68D0" w:rsidRDefault="00DD68D0" w:rsidP="00E10EB8"/>
    <w:p w:rsidR="005F4FFF" w:rsidRDefault="005F4FFF" w:rsidP="00E10EB8"/>
    <w:p w:rsidR="005F4FFF" w:rsidRDefault="00B1195C" w:rsidP="005F4FFF">
      <w:pPr>
        <w:shd w:val="clear" w:color="auto" w:fill="FFFFFF"/>
        <w:spacing w:line="276" w:lineRule="auto"/>
        <w:jc w:val="both"/>
        <w:rPr>
          <w:rFonts w:ascii="Palatino Linotype" w:hAnsi="Palatino Linotype" w:cs="Arial"/>
          <w:b/>
          <w:bCs/>
          <w:color w:val="000000"/>
        </w:rPr>
      </w:pPr>
      <w:r>
        <w:rPr>
          <w:rFonts w:ascii="Palatino Linotype" w:hAnsi="Palatino Linotype" w:cs="Arial"/>
          <w:b/>
          <w:bCs/>
          <w:color w:val="000000"/>
        </w:rPr>
        <w:t>9</w:t>
      </w:r>
      <w:r w:rsidR="005F4FFF">
        <w:rPr>
          <w:rFonts w:ascii="Palatino Linotype" w:hAnsi="Palatino Linotype" w:cs="Arial"/>
          <w:b/>
          <w:bCs/>
          <w:color w:val="000000"/>
        </w:rPr>
        <w:t xml:space="preserve">. </w:t>
      </w:r>
      <w:r w:rsidR="005F4FFF" w:rsidRPr="0044654E">
        <w:rPr>
          <w:rFonts w:ascii="Palatino Linotype" w:hAnsi="Palatino Linotype" w:cs="Arial"/>
          <w:b/>
          <w:bCs/>
          <w:color w:val="000000"/>
        </w:rPr>
        <w:t xml:space="preserve">Relaxations relating to </w:t>
      </w:r>
      <w:r w:rsidR="004D681F">
        <w:rPr>
          <w:rFonts w:ascii="Palatino Linotype" w:hAnsi="Palatino Linotype" w:cs="Arial"/>
          <w:b/>
          <w:bCs/>
          <w:color w:val="000000"/>
        </w:rPr>
        <w:t>P</w:t>
      </w:r>
      <w:r w:rsidR="005F4FFF" w:rsidRPr="0044654E">
        <w:rPr>
          <w:rFonts w:ascii="Palatino Linotype" w:hAnsi="Palatino Linotype" w:cs="Arial"/>
          <w:b/>
          <w:bCs/>
          <w:color w:val="000000"/>
        </w:rPr>
        <w:t xml:space="preserve">rocedural </w:t>
      </w:r>
      <w:r w:rsidR="004D681F">
        <w:rPr>
          <w:rFonts w:ascii="Palatino Linotype" w:hAnsi="Palatino Linotype" w:cs="Arial"/>
          <w:b/>
          <w:bCs/>
          <w:color w:val="000000"/>
        </w:rPr>
        <w:t>M</w:t>
      </w:r>
      <w:r w:rsidR="005F4FFF" w:rsidRPr="0044654E">
        <w:rPr>
          <w:rFonts w:ascii="Palatino Linotype" w:hAnsi="Palatino Linotype" w:cs="Arial"/>
          <w:b/>
          <w:bCs/>
          <w:color w:val="000000"/>
        </w:rPr>
        <w:t>atters –Issues and Listing.</w:t>
      </w:r>
    </w:p>
    <w:p w:rsidR="005F4FFF" w:rsidRPr="0044654E" w:rsidRDefault="005F4FFF" w:rsidP="005F4FFF">
      <w:pPr>
        <w:shd w:val="clear" w:color="auto" w:fill="FFFFFF"/>
        <w:spacing w:line="276" w:lineRule="auto"/>
        <w:jc w:val="both"/>
        <w:rPr>
          <w:rFonts w:ascii="Palatino Linotype" w:hAnsi="Palatino Linotype" w:cs="Arial"/>
          <w:b/>
          <w:bCs/>
          <w:color w:val="000000"/>
        </w:rPr>
      </w:pPr>
    </w:p>
    <w:p w:rsidR="005F4FFF" w:rsidRPr="0044654E" w:rsidRDefault="004D681F" w:rsidP="005F4FFF">
      <w:pPr>
        <w:pStyle w:val="Default"/>
        <w:jc w:val="both"/>
        <w:rPr>
          <w:rFonts w:ascii="Palatino Linotype" w:hAnsi="Palatino Linotype"/>
        </w:rPr>
      </w:pPr>
      <w:r>
        <w:rPr>
          <w:rFonts w:ascii="Palatino Linotype" w:hAnsi="Palatino Linotype"/>
        </w:rPr>
        <w:t>V</w:t>
      </w:r>
      <w:r w:rsidR="005F4FFF" w:rsidRPr="0044654E">
        <w:rPr>
          <w:rFonts w:ascii="Palatino Linotype" w:hAnsi="Palatino Linotype"/>
        </w:rPr>
        <w:t xml:space="preserve">ide circular dated May </w:t>
      </w:r>
      <w:r w:rsidR="005F4FFF">
        <w:rPr>
          <w:rFonts w:ascii="Palatino Linotype" w:hAnsi="Palatino Linotype"/>
        </w:rPr>
        <w:t>0</w:t>
      </w:r>
      <w:r w:rsidR="005F4FFF" w:rsidRPr="0044654E">
        <w:rPr>
          <w:rFonts w:ascii="Palatino Linotype" w:hAnsi="Palatino Linotype"/>
        </w:rPr>
        <w:t>6, 2020 one-time relaxation from strict enforcement of certain ICDR Regulations, 2018 relating to right issues opening up to July 31, 2020</w:t>
      </w:r>
      <w:r>
        <w:rPr>
          <w:rFonts w:ascii="Palatino Linotype" w:hAnsi="Palatino Linotype"/>
        </w:rPr>
        <w:t xml:space="preserve"> were granted</w:t>
      </w:r>
      <w:r w:rsidR="005F4FFF" w:rsidRPr="0044654E">
        <w:rPr>
          <w:rFonts w:ascii="Palatino Linotype" w:hAnsi="Palatino Linotype"/>
        </w:rPr>
        <w:t xml:space="preserve">. Thereafter, based on the representation from market participants, these relaxations were extended up to December 31, 2020.  </w:t>
      </w:r>
      <w:r>
        <w:rPr>
          <w:rFonts w:ascii="Palatino Linotype" w:hAnsi="Palatino Linotype"/>
        </w:rPr>
        <w:t>T</w:t>
      </w:r>
      <w:r w:rsidR="005F4FFF" w:rsidRPr="0044654E">
        <w:rPr>
          <w:rFonts w:ascii="Palatino Linotype" w:hAnsi="Palatino Linotype"/>
        </w:rPr>
        <w:t xml:space="preserve">he relaxation mentioned at point (iv) of circular dated May 06, 2020 </w:t>
      </w:r>
      <w:r>
        <w:rPr>
          <w:rFonts w:ascii="Palatino Linotype" w:hAnsi="Palatino Linotype"/>
        </w:rPr>
        <w:t>were</w:t>
      </w:r>
      <w:r w:rsidR="005F4FFF" w:rsidRPr="0044654E">
        <w:rPr>
          <w:rFonts w:ascii="Palatino Linotype" w:hAnsi="Palatino Linotype"/>
        </w:rPr>
        <w:t xml:space="preserve"> further extended up to March 31, 2021, provided the lead manager(s) shall continue to comply with provisions of the said circular. </w:t>
      </w:r>
    </w:p>
    <w:p w:rsidR="005F4FFF" w:rsidRPr="0044654E" w:rsidRDefault="005F4FFF" w:rsidP="005F4FFF">
      <w:pPr>
        <w:shd w:val="clear" w:color="auto" w:fill="FFFFFF"/>
        <w:spacing w:line="276" w:lineRule="auto"/>
        <w:jc w:val="both"/>
        <w:rPr>
          <w:rFonts w:ascii="Palatino Linotype" w:hAnsi="Palatino Linotype" w:cs="Arial"/>
          <w:b/>
          <w:bCs/>
          <w:color w:val="000000"/>
        </w:rPr>
      </w:pPr>
    </w:p>
    <w:p w:rsidR="005F4FFF" w:rsidRPr="00D47CE5" w:rsidRDefault="005F4FFF" w:rsidP="005F4FFF">
      <w:pPr>
        <w:shd w:val="clear" w:color="auto" w:fill="FFFFFF"/>
        <w:spacing w:line="276" w:lineRule="auto"/>
        <w:jc w:val="both"/>
        <w:rPr>
          <w:rFonts w:ascii="Palatino Linotype" w:hAnsi="Palatino Linotype"/>
          <w:b/>
          <w:color w:val="000000"/>
        </w:rPr>
      </w:pPr>
      <w:r w:rsidRPr="0044654E">
        <w:rPr>
          <w:rFonts w:ascii="Palatino Linotype" w:hAnsi="Palatino Linotype" w:cs="Arial"/>
          <w:b/>
          <w:bCs/>
          <w:color w:val="000000"/>
        </w:rPr>
        <w:t>Source</w:t>
      </w:r>
      <w:r>
        <w:rPr>
          <w:rFonts w:ascii="Palatino Linotype" w:hAnsi="Palatino Linotype" w:cs="Arial"/>
          <w:b/>
          <w:bCs/>
          <w:color w:val="000000"/>
        </w:rPr>
        <w:t>:</w:t>
      </w:r>
      <w:r w:rsidRPr="0044654E">
        <w:rPr>
          <w:rFonts w:ascii="Palatino Linotype" w:hAnsi="Palatino Linotype" w:cs="Arial"/>
          <w:b/>
          <w:bCs/>
          <w:color w:val="000000"/>
        </w:rPr>
        <w:t xml:space="preserve"> SEBI/HO/CFD/DIL1/CIR/P/2021/13 dated January 19, 2021</w:t>
      </w:r>
    </w:p>
    <w:p w:rsidR="005F4FFF" w:rsidRDefault="005F4FFF" w:rsidP="00E10EB8"/>
    <w:p w:rsidR="005F4FFF" w:rsidRDefault="00B1195C" w:rsidP="005F4FFF">
      <w:pPr>
        <w:shd w:val="clear" w:color="auto" w:fill="FFFFFF"/>
        <w:spacing w:line="276" w:lineRule="auto"/>
        <w:jc w:val="both"/>
        <w:rPr>
          <w:rFonts w:ascii="Palatino Linotype" w:hAnsi="Palatino Linotype" w:cs="Arial"/>
          <w:b/>
          <w:bCs/>
          <w:color w:val="000000"/>
        </w:rPr>
      </w:pPr>
      <w:r>
        <w:rPr>
          <w:rFonts w:ascii="Palatino Linotype" w:hAnsi="Palatino Linotype" w:cs="Arial"/>
          <w:b/>
          <w:bCs/>
          <w:color w:val="000000"/>
        </w:rPr>
        <w:t>10</w:t>
      </w:r>
      <w:r w:rsidR="005F4FFF">
        <w:rPr>
          <w:rFonts w:ascii="Palatino Linotype" w:hAnsi="Palatino Linotype" w:cs="Arial"/>
          <w:b/>
          <w:bCs/>
          <w:color w:val="000000"/>
        </w:rPr>
        <w:t xml:space="preserve">. </w:t>
      </w:r>
      <w:r w:rsidR="005F4FFF" w:rsidRPr="00780A81">
        <w:rPr>
          <w:rFonts w:ascii="Palatino Linotype" w:hAnsi="Palatino Linotype" w:cs="Arial"/>
          <w:b/>
          <w:bCs/>
          <w:color w:val="000000"/>
        </w:rPr>
        <w:t xml:space="preserve">Revision of Monthly Cumulative Report </w:t>
      </w:r>
    </w:p>
    <w:p w:rsidR="005F4FFF" w:rsidRPr="0044654E" w:rsidRDefault="005F4FFF" w:rsidP="005F4FFF">
      <w:pPr>
        <w:shd w:val="clear" w:color="auto" w:fill="FFFFFF"/>
        <w:spacing w:line="276" w:lineRule="auto"/>
        <w:jc w:val="both"/>
        <w:rPr>
          <w:rFonts w:ascii="Palatino Linotype" w:hAnsi="Palatino Linotype" w:cs="Arial"/>
          <w:b/>
          <w:bCs/>
          <w:color w:val="000000"/>
        </w:rPr>
      </w:pPr>
    </w:p>
    <w:p w:rsidR="005F4FFF" w:rsidRDefault="004D681F" w:rsidP="005F4FFF">
      <w:pPr>
        <w:shd w:val="clear" w:color="auto" w:fill="FFFFFF"/>
        <w:spacing w:line="276" w:lineRule="auto"/>
        <w:jc w:val="both"/>
        <w:rPr>
          <w:rFonts w:ascii="Palatino Linotype" w:hAnsi="Palatino Linotype" w:cs="Arial"/>
          <w:b/>
          <w:bCs/>
          <w:color w:val="000000"/>
        </w:rPr>
      </w:pPr>
      <w:r>
        <w:rPr>
          <w:rFonts w:ascii="Palatino Linotype" w:hAnsi="Palatino Linotype" w:cs="Arial"/>
          <w:color w:val="000000"/>
        </w:rPr>
        <w:t>F</w:t>
      </w:r>
      <w:r w:rsidR="005F4FFF" w:rsidRPr="00780A81">
        <w:rPr>
          <w:rFonts w:ascii="Palatino Linotype" w:hAnsi="Palatino Linotype" w:cs="Arial"/>
          <w:color w:val="000000"/>
        </w:rPr>
        <w:t xml:space="preserve">ormat for reporting the Monthly Cumulative Report (MCR) </w:t>
      </w:r>
      <w:r>
        <w:rPr>
          <w:rFonts w:ascii="Palatino Linotype" w:hAnsi="Palatino Linotype" w:cs="Arial"/>
          <w:color w:val="000000"/>
        </w:rPr>
        <w:t xml:space="preserve">was prescribed </w:t>
      </w:r>
      <w:r w:rsidR="005F4FFF" w:rsidRPr="00780A81">
        <w:rPr>
          <w:rFonts w:ascii="Palatino Linotype" w:hAnsi="Palatino Linotype" w:cs="Arial"/>
          <w:color w:val="000000"/>
        </w:rPr>
        <w:t>vide circular dated January 22, 2019. Pursuant to introduction of a new scheme category and to bring transparency in reporting of segregated portfolios, MCR format</w:t>
      </w:r>
      <w:r>
        <w:rPr>
          <w:rFonts w:ascii="Palatino Linotype" w:hAnsi="Palatino Linotype" w:cs="Arial"/>
          <w:color w:val="000000"/>
        </w:rPr>
        <w:t xml:space="preserve"> is revised to be applicable</w:t>
      </w:r>
      <w:r w:rsidR="005F4FFF" w:rsidRPr="00780A81">
        <w:rPr>
          <w:rFonts w:ascii="Palatino Linotype" w:hAnsi="Palatino Linotype" w:cs="Arial"/>
          <w:color w:val="000000"/>
        </w:rPr>
        <w:t xml:space="preserve"> from January 2021 onwards. </w:t>
      </w:r>
    </w:p>
    <w:p w:rsidR="005F4FFF" w:rsidRPr="00D47CE5" w:rsidRDefault="005F4FFF" w:rsidP="005F4FFF">
      <w:pPr>
        <w:shd w:val="clear" w:color="auto" w:fill="FFFFFF"/>
        <w:spacing w:line="276" w:lineRule="auto"/>
        <w:jc w:val="both"/>
        <w:rPr>
          <w:rFonts w:ascii="Palatino Linotype" w:hAnsi="Palatino Linotype"/>
          <w:b/>
          <w:color w:val="000000"/>
        </w:rPr>
      </w:pPr>
      <w:r w:rsidRPr="0044654E">
        <w:rPr>
          <w:rFonts w:ascii="Palatino Linotype" w:hAnsi="Palatino Linotype" w:cs="Arial"/>
          <w:b/>
          <w:bCs/>
          <w:color w:val="000000"/>
        </w:rPr>
        <w:t>Source</w:t>
      </w:r>
      <w:r>
        <w:rPr>
          <w:rFonts w:ascii="Palatino Linotype" w:hAnsi="Palatino Linotype" w:cs="Arial"/>
          <w:b/>
          <w:bCs/>
          <w:color w:val="000000"/>
        </w:rPr>
        <w:t>:</w:t>
      </w:r>
      <w:r w:rsidRPr="0044654E">
        <w:rPr>
          <w:rFonts w:ascii="Palatino Linotype" w:hAnsi="Palatino Linotype" w:cs="Arial"/>
          <w:b/>
          <w:bCs/>
          <w:color w:val="000000"/>
        </w:rPr>
        <w:t xml:space="preserve"> </w:t>
      </w:r>
      <w:r w:rsidRPr="00780A81">
        <w:rPr>
          <w:rFonts w:ascii="Palatino Linotype" w:hAnsi="Palatino Linotype" w:cs="Arial"/>
          <w:b/>
          <w:bCs/>
          <w:color w:val="000000"/>
        </w:rPr>
        <w:t>SEBI/HO/IMD/DF3/CIR/P/2021/014 dated January 29, 2021</w:t>
      </w:r>
    </w:p>
    <w:p w:rsidR="005F4FFF" w:rsidRDefault="005F4FFF" w:rsidP="00E10EB8"/>
    <w:p w:rsidR="005F4FFF" w:rsidRDefault="005F4FFF" w:rsidP="00E10EB8"/>
    <w:p w:rsidR="00272724" w:rsidRDefault="00DD68D0" w:rsidP="00A07B14">
      <w:pPr>
        <w:spacing w:after="120"/>
        <w:rPr>
          <w:rFonts w:ascii="Garamond" w:hAnsi="Garamond" w:cs="Arial"/>
          <w:i/>
          <w:szCs w:val="32"/>
        </w:rPr>
      </w:pPr>
      <w:r w:rsidRPr="008570C3">
        <w:rPr>
          <w:rFonts w:ascii="Garamond" w:hAnsi="Garamond" w:cs="Arial"/>
          <w:i/>
          <w:szCs w:val="32"/>
        </w:rPr>
        <w:t>Disclaimer: The summary has been prepared for the convenience of readers. In case of any ambiguity, please refer to the original circular.</w:t>
      </w:r>
    </w:p>
    <w:p w:rsidR="00092887" w:rsidRDefault="00092887">
      <w:pPr>
        <w:rPr>
          <w:rFonts w:ascii="Palatino Linotype" w:hAnsi="Palatino Linotype"/>
          <w:b/>
          <w:bCs/>
        </w:rPr>
      </w:pPr>
      <w:r>
        <w:rPr>
          <w:rFonts w:ascii="Palatino Linotype" w:hAnsi="Palatino Linotype"/>
          <w:b/>
          <w:bCs/>
        </w:rPr>
        <w:br w:type="page"/>
      </w:r>
    </w:p>
    <w:p w:rsidR="00A07B14" w:rsidRDefault="00A07B14" w:rsidP="00A07B14">
      <w:pPr>
        <w:spacing w:after="120"/>
        <w:rPr>
          <w:rFonts w:ascii="Palatino Linotype" w:hAnsi="Palatino Linotype"/>
          <w:b/>
          <w:bCs/>
        </w:rPr>
      </w:pP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0660" w:type="dxa"/>
        <w:tblInd w:w="-176" w:type="dxa"/>
        <w:tblLayout w:type="fixed"/>
        <w:tblLook w:val="04A0" w:firstRow="1" w:lastRow="0" w:firstColumn="1" w:lastColumn="0" w:noHBand="0" w:noVBand="1"/>
      </w:tblPr>
      <w:tblGrid>
        <w:gridCol w:w="1447"/>
        <w:gridCol w:w="1842"/>
        <w:gridCol w:w="1134"/>
        <w:gridCol w:w="2694"/>
        <w:gridCol w:w="2123"/>
        <w:gridCol w:w="1420"/>
      </w:tblGrid>
      <w:tr w:rsidR="003D3F72"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F72" w:rsidRPr="00B83873" w:rsidRDefault="003D3F72"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rsidR="003D3F72" w:rsidRPr="00B83873" w:rsidRDefault="003D3F72"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3D3F72" w:rsidRPr="00B83873" w:rsidRDefault="003D3F72"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694" w:type="dxa"/>
            <w:tcBorders>
              <w:top w:val="single" w:sz="4" w:space="0" w:color="auto"/>
              <w:left w:val="nil"/>
              <w:bottom w:val="single" w:sz="4" w:space="0" w:color="auto"/>
              <w:right w:val="single" w:sz="4" w:space="0" w:color="auto"/>
            </w:tcBorders>
            <w:shd w:val="clear" w:color="auto" w:fill="auto"/>
            <w:noWrap/>
            <w:vAlign w:val="bottom"/>
            <w:hideMark/>
          </w:tcPr>
          <w:p w:rsidR="003D3F72" w:rsidRPr="00B83873" w:rsidRDefault="003D3F72"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123" w:type="dxa"/>
            <w:tcBorders>
              <w:top w:val="single" w:sz="4" w:space="0" w:color="auto"/>
              <w:left w:val="nil"/>
              <w:bottom w:val="single" w:sz="4" w:space="0" w:color="auto"/>
              <w:right w:val="single" w:sz="4" w:space="0" w:color="auto"/>
            </w:tcBorders>
            <w:shd w:val="clear" w:color="auto" w:fill="auto"/>
            <w:noWrap/>
            <w:vAlign w:val="bottom"/>
            <w:hideMark/>
          </w:tcPr>
          <w:p w:rsidR="003D3F72" w:rsidRPr="00B83873" w:rsidRDefault="003D3F72"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3D3F72" w:rsidRPr="00B83873" w:rsidRDefault="003D3F72"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sidR="00D22F0B">
              <w:rPr>
                <w:rFonts w:ascii="Palatino Linotype" w:hAnsi="Palatino Linotype" w:cs="Calibri"/>
                <w:b/>
                <w:bCs/>
                <w:color w:val="000000"/>
                <w:sz w:val="20"/>
                <w:szCs w:val="20"/>
                <w:lang w:val="en-IN" w:eastAsia="en-IN" w:bidi="hi-IN"/>
              </w:rPr>
              <w:t xml:space="preserve"> (</w:t>
            </w:r>
            <w:r w:rsidR="00D22F0B" w:rsidRPr="00D22F0B">
              <w:rPr>
                <w:rFonts w:ascii="Rupee Foradian" w:hAnsi="Rupee Foradian" w:cs="Calibri"/>
                <w:b/>
                <w:bCs/>
                <w:color w:val="000000"/>
                <w:sz w:val="20"/>
                <w:szCs w:val="20"/>
                <w:lang w:val="en-IN" w:eastAsia="en-IN" w:bidi="hi-IN"/>
              </w:rPr>
              <w:t>`</w:t>
            </w:r>
            <w:r w:rsidR="00D22F0B">
              <w:rPr>
                <w:rFonts w:ascii="Palatino Linotype" w:hAnsi="Palatino Linotype" w:cs="Calibri"/>
                <w:b/>
                <w:bCs/>
                <w:color w:val="000000"/>
                <w:sz w:val="20"/>
                <w:szCs w:val="20"/>
                <w:lang w:val="en-IN" w:eastAsia="en-IN" w:bidi="hi-IN"/>
              </w:rPr>
              <w:t>)</w:t>
            </w:r>
          </w:p>
        </w:tc>
      </w:tr>
      <w:tr w:rsidR="003D3F72"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center"/>
          </w:tcPr>
          <w:p w:rsidR="003D3F72" w:rsidRPr="00B83873" w:rsidRDefault="003D3F72" w:rsidP="003D3F72">
            <w:pPr>
              <w:jc w:val="cente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01/01/2021</w:t>
            </w:r>
          </w:p>
        </w:tc>
        <w:tc>
          <w:tcPr>
            <w:tcW w:w="1842" w:type="dxa"/>
            <w:tcBorders>
              <w:top w:val="nil"/>
              <w:left w:val="nil"/>
              <w:bottom w:val="single" w:sz="4" w:space="0" w:color="auto"/>
              <w:right w:val="single" w:sz="4" w:space="0" w:color="auto"/>
            </w:tcBorders>
            <w:shd w:val="clear" w:color="auto" w:fill="auto"/>
            <w:noWrap/>
            <w:vAlign w:val="center"/>
          </w:tcPr>
          <w:p w:rsidR="003D3F72" w:rsidRPr="00B83873" w:rsidRDefault="003D3F72" w:rsidP="003D3F72">
            <w:pP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 xml:space="preserve">Reliance Petroleum Limited (now known  as  Reliance </w:t>
            </w:r>
          </w:p>
          <w:p w:rsidR="003D3F72" w:rsidRPr="00B83873" w:rsidRDefault="003D3F72" w:rsidP="003D3F72">
            <w:pP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Industries Limited)</w:t>
            </w:r>
          </w:p>
          <w:p w:rsidR="003D3F72" w:rsidRPr="00B83873" w:rsidRDefault="003D3F72" w:rsidP="003D3F72">
            <w:pPr>
              <w:rPr>
                <w:rFonts w:ascii="Palatino Linotype" w:hAnsi="Palatino Linotype" w:cs="Calibri"/>
                <w:color w:val="000000"/>
                <w:sz w:val="20"/>
                <w:szCs w:val="20"/>
                <w:lang w:val="en-IN" w:eastAsia="en-IN" w:bidi="hi-IN"/>
              </w:rPr>
            </w:pPr>
          </w:p>
        </w:tc>
        <w:tc>
          <w:tcPr>
            <w:tcW w:w="1134" w:type="dxa"/>
            <w:tcBorders>
              <w:top w:val="nil"/>
              <w:left w:val="nil"/>
              <w:bottom w:val="single" w:sz="4" w:space="0" w:color="auto"/>
              <w:right w:val="single" w:sz="4" w:space="0" w:color="auto"/>
            </w:tcBorders>
            <w:shd w:val="clear" w:color="auto" w:fill="auto"/>
            <w:noWrap/>
            <w:vAlign w:val="center"/>
          </w:tcPr>
          <w:p w:rsidR="003D3F72" w:rsidRPr="00B83873" w:rsidRDefault="003D3F72" w:rsidP="003D3F72">
            <w:pPr>
              <w:jc w:val="cente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Adjudication</w:t>
            </w:r>
          </w:p>
        </w:tc>
        <w:tc>
          <w:tcPr>
            <w:tcW w:w="2694" w:type="dxa"/>
            <w:tcBorders>
              <w:top w:val="nil"/>
              <w:left w:val="nil"/>
              <w:bottom w:val="single" w:sz="4" w:space="0" w:color="auto"/>
              <w:right w:val="single" w:sz="4" w:space="0" w:color="auto"/>
            </w:tcBorders>
            <w:shd w:val="clear" w:color="auto" w:fill="auto"/>
            <w:noWrap/>
            <w:vAlign w:val="center"/>
          </w:tcPr>
          <w:p w:rsidR="003D3F72" w:rsidRPr="00B83873" w:rsidRDefault="003D3F72" w:rsidP="003D3F72">
            <w:pPr>
              <w:jc w:val="cente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Reliance Industries Ltd.;</w:t>
            </w:r>
          </w:p>
          <w:p w:rsidR="003D3F72" w:rsidRPr="00B83873" w:rsidRDefault="003D3F72" w:rsidP="003D3F72">
            <w:pPr>
              <w:jc w:val="cente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 xml:space="preserve"> Mukesh D. Ambani;</w:t>
            </w:r>
          </w:p>
          <w:p w:rsidR="003D3F72" w:rsidRPr="00B83873" w:rsidRDefault="003D3F72" w:rsidP="003D3F72">
            <w:pPr>
              <w:jc w:val="cente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 xml:space="preserve"> Mumbai SEZ Ltd.;</w:t>
            </w:r>
          </w:p>
          <w:p w:rsidR="003D3F72" w:rsidRPr="00B83873" w:rsidRDefault="003D3F72" w:rsidP="003D3F72">
            <w:pPr>
              <w:jc w:val="center"/>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 xml:space="preserve"> Navi Mumbai SEZ Pvt. Ltd.</w:t>
            </w:r>
          </w:p>
        </w:tc>
        <w:tc>
          <w:tcPr>
            <w:tcW w:w="2123" w:type="dxa"/>
            <w:tcBorders>
              <w:top w:val="nil"/>
              <w:left w:val="nil"/>
              <w:bottom w:val="single" w:sz="4" w:space="0" w:color="auto"/>
              <w:right w:val="single" w:sz="4" w:space="0" w:color="auto"/>
            </w:tcBorders>
            <w:shd w:val="clear" w:color="auto" w:fill="auto"/>
            <w:vAlign w:val="center"/>
          </w:tcPr>
          <w:p w:rsidR="003D3F72" w:rsidRPr="00B83873" w:rsidRDefault="003D3F72" w:rsidP="003D3F72">
            <w:pPr>
              <w:jc w:val="both"/>
              <w:rPr>
                <w:rFonts w:ascii="Palatino Linotype" w:hAnsi="Palatino Linotype" w:cs="Calibri"/>
                <w:color w:val="000000"/>
                <w:sz w:val="20"/>
                <w:szCs w:val="20"/>
                <w:lang w:val="en-IN" w:eastAsia="en-IN" w:bidi="hi-IN"/>
              </w:rPr>
            </w:pPr>
            <w:r w:rsidRPr="00B83873">
              <w:rPr>
                <w:rFonts w:ascii="Palatino Linotype" w:hAnsi="Palatino Linotype" w:cs="Calibri"/>
                <w:color w:val="000000"/>
                <w:sz w:val="20"/>
                <w:szCs w:val="20"/>
                <w:lang w:val="en-IN" w:eastAsia="en-IN" w:bidi="hi-IN"/>
              </w:rPr>
              <w:t>Section 12A(a), (b), (c) of SEBI Act and regulations 3 and 4 of PFUTP Regulations, 2003, Regulations 3(a), (b), (c), (d) and Regulations 4(1), 4(2) &amp; (e) of SEBI (Prohibition of Fraudulent and Unfair Trade   Practices   Relating   to   Securities   Market)   Regulations,   2003 and SEBI Circular no. SMDRP/DC/CIR-10/01 dated November 02, 2001</w:t>
            </w:r>
          </w:p>
        </w:tc>
        <w:tc>
          <w:tcPr>
            <w:tcW w:w="1420" w:type="dxa"/>
            <w:tcBorders>
              <w:top w:val="nil"/>
              <w:left w:val="nil"/>
              <w:bottom w:val="single" w:sz="4" w:space="0" w:color="auto"/>
              <w:right w:val="single" w:sz="4" w:space="0" w:color="auto"/>
            </w:tcBorders>
            <w:shd w:val="clear" w:color="auto" w:fill="auto"/>
            <w:noWrap/>
            <w:vAlign w:val="center"/>
          </w:tcPr>
          <w:p w:rsidR="003D3F72" w:rsidRPr="00B83873" w:rsidRDefault="003D3F72" w:rsidP="003D3F72">
            <w:pPr>
              <w:spacing w:after="160" w:line="259" w:lineRule="auto"/>
              <w:jc w:val="center"/>
              <w:rPr>
                <w:rFonts w:ascii="Palatino Linotype" w:eastAsia="Calibri" w:hAnsi="Palatino Linotype" w:cs="Calibri"/>
                <w:color w:val="000000"/>
                <w:sz w:val="20"/>
                <w:szCs w:val="20"/>
                <w:lang w:val="en-IN" w:bidi="hi-IN"/>
              </w:rPr>
            </w:pPr>
            <w:r w:rsidRPr="00B83873">
              <w:rPr>
                <w:rFonts w:ascii="Palatino Linotype" w:eastAsia="Calibri" w:hAnsi="Palatino Linotype" w:cs="Calibri"/>
                <w:color w:val="000000"/>
                <w:sz w:val="20"/>
                <w:szCs w:val="20"/>
                <w:lang w:val="en-IN" w:bidi="hi-IN"/>
              </w:rPr>
              <w:t>70,00,00,000</w:t>
            </w: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04/01/2021</w:t>
            </w:r>
          </w:p>
          <w:p w:rsidR="00065CF0" w:rsidRPr="00BE10DD" w:rsidRDefault="00065CF0" w:rsidP="00065CF0">
            <w:pPr>
              <w:rPr>
                <w:rFonts w:ascii="Palatino Linotype" w:hAnsi="Palatino Linotype" w:cs="Calibri"/>
                <w:color w:val="000000"/>
                <w:sz w:val="20"/>
                <w:szCs w:val="20"/>
              </w:rPr>
            </w:pPr>
          </w:p>
        </w:tc>
        <w:tc>
          <w:tcPr>
            <w:tcW w:w="1842"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 xml:space="preserve">GJ Advisory Services and Profit Ideas Advisory Services </w:t>
            </w:r>
          </w:p>
        </w:tc>
        <w:tc>
          <w:tcPr>
            <w:tcW w:w="113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11B</w:t>
            </w:r>
          </w:p>
        </w:tc>
        <w:tc>
          <w:tcPr>
            <w:tcW w:w="269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GJ Advisory Services and its  Proprietor Gourav Jain,  Profit Ideas Advisory Services and its  Proprietor  Poonam Jain</w:t>
            </w:r>
          </w:p>
        </w:tc>
        <w:tc>
          <w:tcPr>
            <w:tcW w:w="2123" w:type="dxa"/>
            <w:tcBorders>
              <w:top w:val="nil"/>
              <w:left w:val="nil"/>
              <w:bottom w:val="single" w:sz="4" w:space="0" w:color="auto"/>
              <w:right w:val="single" w:sz="4" w:space="0" w:color="auto"/>
            </w:tcBorders>
            <w:shd w:val="clear" w:color="auto" w:fill="auto"/>
            <w:vAlign w:val="bottom"/>
          </w:tcPr>
          <w:p w:rsidR="00065CF0" w:rsidRPr="00BE10DD" w:rsidRDefault="00065CF0" w:rsidP="00065CF0">
            <w:pPr>
              <w:rPr>
                <w:rFonts w:ascii="Palatino Linotype" w:hAnsi="Palatino Linotype" w:cs="Calibri"/>
                <w:color w:val="000000"/>
                <w:sz w:val="20"/>
                <w:szCs w:val="20"/>
              </w:rPr>
            </w:pPr>
          </w:p>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SEBI (Investment Advisers) Regulations, 2013</w:t>
            </w:r>
          </w:p>
        </w:tc>
        <w:tc>
          <w:tcPr>
            <w:tcW w:w="1420"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w:t>
            </w: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BE10DD" w:rsidRDefault="00065CF0" w:rsidP="00065CF0">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05/01/2021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EDynamics Solutions Limited</w:t>
            </w:r>
          </w:p>
        </w:tc>
        <w:tc>
          <w:tcPr>
            <w:tcW w:w="113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Adjudication</w:t>
            </w:r>
          </w:p>
        </w:tc>
        <w:tc>
          <w:tcPr>
            <w:tcW w:w="269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Edynamics Solutions Limited, Bharat Gupta, Anita Guota, Vinod Kumar, Vikas Saini</w:t>
            </w:r>
          </w:p>
        </w:tc>
        <w:tc>
          <w:tcPr>
            <w:tcW w:w="2123" w:type="dxa"/>
            <w:tcBorders>
              <w:top w:val="nil"/>
              <w:left w:val="nil"/>
              <w:bottom w:val="single" w:sz="4" w:space="0" w:color="auto"/>
              <w:right w:val="single" w:sz="4" w:space="0" w:color="auto"/>
            </w:tcBorders>
            <w:shd w:val="clear" w:color="auto" w:fill="auto"/>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 xml:space="preserve">Regulation 6(2)(a), (b) and (c) of SEBI (Listing Obligations and Disclosure Requirements) Regulations, 2015 -Others, Accounting Fraud </w:t>
            </w:r>
            <w:r w:rsidRPr="00BE10DD">
              <w:rPr>
                <w:rFonts w:ascii="Palatino Linotype" w:hAnsi="Palatino Linotype" w:cs="Calibri"/>
                <w:color w:val="000000"/>
                <w:sz w:val="20"/>
                <w:szCs w:val="20"/>
              </w:rPr>
              <w:br/>
              <w:t>Listing Agreement –Others;</w:t>
            </w:r>
            <w:r w:rsidRPr="00BE10DD">
              <w:rPr>
                <w:rFonts w:ascii="Palatino Linotype" w:hAnsi="Palatino Linotype" w:cs="Calibri"/>
                <w:color w:val="000000"/>
                <w:sz w:val="20"/>
                <w:szCs w:val="20"/>
              </w:rPr>
              <w:br/>
              <w:t>SEBI (Prohibition of Fraudulent and Unfair Trade Practices relating to Securities Market) Regulations, 2003 -Shell companies; SEBI Act, 1992-</w:t>
            </w:r>
            <w:r w:rsidRPr="00BE10DD">
              <w:rPr>
                <w:rFonts w:ascii="Palatino Linotype" w:hAnsi="Palatino Linotype" w:cs="Calibri"/>
                <w:color w:val="000000"/>
                <w:sz w:val="20"/>
                <w:szCs w:val="20"/>
              </w:rPr>
              <w:br/>
              <w:t>Securities Contracts (Regulation) Act, 1956-</w:t>
            </w:r>
          </w:p>
        </w:tc>
        <w:tc>
          <w:tcPr>
            <w:tcW w:w="1420"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 xml:space="preserve">       80,00,000 </w:t>
            </w: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center"/>
          </w:tcPr>
          <w:p w:rsidR="00065CF0" w:rsidRPr="00BE10DD" w:rsidRDefault="00065CF0" w:rsidP="00065CF0">
            <w:pPr>
              <w:jc w:val="center"/>
              <w:rPr>
                <w:rFonts w:ascii="Palatino Linotype" w:hAnsi="Palatino Linotype" w:cs="Calibri"/>
                <w:color w:val="000000"/>
                <w:sz w:val="20"/>
                <w:szCs w:val="20"/>
                <w:lang w:val="en-IN" w:eastAsia="en-IN" w:bidi="hi-IN"/>
              </w:rPr>
            </w:pPr>
          </w:p>
        </w:tc>
        <w:tc>
          <w:tcPr>
            <w:tcW w:w="1842" w:type="dxa"/>
            <w:tcBorders>
              <w:top w:val="nil"/>
              <w:left w:val="nil"/>
              <w:bottom w:val="single" w:sz="4" w:space="0" w:color="auto"/>
              <w:right w:val="single" w:sz="4" w:space="0" w:color="auto"/>
            </w:tcBorders>
            <w:shd w:val="clear" w:color="auto" w:fill="auto"/>
            <w:noWrap/>
            <w:vAlign w:val="center"/>
          </w:tcPr>
          <w:p w:rsidR="00065CF0" w:rsidRPr="00BE10DD" w:rsidRDefault="00065CF0" w:rsidP="00065CF0">
            <w:pPr>
              <w:rPr>
                <w:rFonts w:ascii="Palatino Linotype" w:hAnsi="Palatino Linotype" w:cs="Calibri"/>
                <w:color w:val="000000"/>
                <w:sz w:val="20"/>
                <w:szCs w:val="20"/>
                <w:lang w:val="en-IN" w:eastAsia="en-IN" w:bidi="hi-IN"/>
              </w:rPr>
            </w:pPr>
          </w:p>
        </w:tc>
        <w:tc>
          <w:tcPr>
            <w:tcW w:w="1134" w:type="dxa"/>
            <w:tcBorders>
              <w:top w:val="nil"/>
              <w:left w:val="nil"/>
              <w:bottom w:val="single" w:sz="4" w:space="0" w:color="auto"/>
              <w:right w:val="single" w:sz="4" w:space="0" w:color="auto"/>
            </w:tcBorders>
            <w:shd w:val="clear" w:color="auto" w:fill="auto"/>
            <w:noWrap/>
            <w:vAlign w:val="center"/>
          </w:tcPr>
          <w:p w:rsidR="00065CF0" w:rsidRPr="00BE10DD" w:rsidRDefault="00065CF0" w:rsidP="00065CF0">
            <w:pPr>
              <w:jc w:val="center"/>
              <w:rPr>
                <w:rFonts w:ascii="Palatino Linotype" w:hAnsi="Palatino Linotype" w:cs="Calibri"/>
                <w:color w:val="000000"/>
                <w:sz w:val="20"/>
                <w:szCs w:val="20"/>
                <w:lang w:val="en-IN" w:eastAsia="en-IN" w:bidi="hi-IN"/>
              </w:rPr>
            </w:pPr>
          </w:p>
        </w:tc>
        <w:tc>
          <w:tcPr>
            <w:tcW w:w="2694" w:type="dxa"/>
            <w:tcBorders>
              <w:top w:val="nil"/>
              <w:left w:val="nil"/>
              <w:bottom w:val="single" w:sz="4" w:space="0" w:color="auto"/>
              <w:right w:val="single" w:sz="4" w:space="0" w:color="auto"/>
            </w:tcBorders>
            <w:shd w:val="clear" w:color="auto" w:fill="auto"/>
            <w:noWrap/>
            <w:vAlign w:val="center"/>
          </w:tcPr>
          <w:p w:rsidR="00065CF0" w:rsidRPr="00BE10DD" w:rsidRDefault="00065CF0" w:rsidP="00065CF0">
            <w:pPr>
              <w:jc w:val="center"/>
              <w:rPr>
                <w:rFonts w:ascii="Palatino Linotype" w:hAnsi="Palatino Linotype" w:cs="Calibri"/>
                <w:color w:val="000000"/>
                <w:sz w:val="20"/>
                <w:szCs w:val="20"/>
                <w:lang w:val="en-IN" w:eastAsia="en-IN" w:bidi="hi-IN"/>
              </w:rPr>
            </w:pPr>
          </w:p>
        </w:tc>
        <w:tc>
          <w:tcPr>
            <w:tcW w:w="2123" w:type="dxa"/>
            <w:tcBorders>
              <w:top w:val="nil"/>
              <w:left w:val="nil"/>
              <w:bottom w:val="single" w:sz="4" w:space="0" w:color="auto"/>
              <w:right w:val="single" w:sz="4" w:space="0" w:color="auto"/>
            </w:tcBorders>
            <w:shd w:val="clear" w:color="auto" w:fill="auto"/>
            <w:vAlign w:val="center"/>
          </w:tcPr>
          <w:p w:rsidR="00065CF0" w:rsidRPr="00BE10DD" w:rsidRDefault="00065CF0" w:rsidP="00065CF0">
            <w:pPr>
              <w:jc w:val="center"/>
              <w:rPr>
                <w:rFonts w:ascii="Palatino Linotype" w:hAnsi="Palatino Linotype" w:cs="Calibri"/>
                <w:color w:val="000000"/>
                <w:sz w:val="20"/>
                <w:szCs w:val="20"/>
                <w:lang w:val="en-IN" w:eastAsia="en-IN" w:bidi="hi-IN"/>
              </w:rPr>
            </w:pPr>
          </w:p>
        </w:tc>
        <w:tc>
          <w:tcPr>
            <w:tcW w:w="1420" w:type="dxa"/>
            <w:tcBorders>
              <w:top w:val="nil"/>
              <w:left w:val="nil"/>
              <w:bottom w:val="single" w:sz="4" w:space="0" w:color="auto"/>
              <w:right w:val="single" w:sz="4" w:space="0" w:color="auto"/>
            </w:tcBorders>
            <w:shd w:val="clear" w:color="auto" w:fill="auto"/>
            <w:noWrap/>
            <w:vAlign w:val="center"/>
          </w:tcPr>
          <w:p w:rsidR="00065CF0" w:rsidRPr="00BE10DD" w:rsidRDefault="00065CF0" w:rsidP="00065CF0">
            <w:pPr>
              <w:spacing w:after="160" w:line="259" w:lineRule="auto"/>
              <w:jc w:val="center"/>
              <w:rPr>
                <w:rFonts w:ascii="Palatino Linotype" w:eastAsia="Calibri" w:hAnsi="Palatino Linotype" w:cs="Calibri"/>
                <w:color w:val="000000"/>
                <w:sz w:val="20"/>
                <w:szCs w:val="20"/>
                <w:lang w:val="en-IN" w:bidi="hi-IN"/>
              </w:rPr>
            </w:pP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BE10DD" w:rsidRDefault="00065CF0" w:rsidP="00BE10DD">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06/01/2021</w:t>
            </w:r>
          </w:p>
          <w:p w:rsidR="00065CF0" w:rsidRPr="00BE10DD" w:rsidRDefault="00065CF0" w:rsidP="00065CF0">
            <w:pPr>
              <w:rPr>
                <w:rFonts w:ascii="Palatino Linotype" w:hAnsi="Palatino Linotype" w:cs="Calibri"/>
                <w:color w:val="000000"/>
                <w:sz w:val="20"/>
                <w:szCs w:val="20"/>
              </w:rPr>
            </w:pPr>
          </w:p>
        </w:tc>
        <w:tc>
          <w:tcPr>
            <w:tcW w:w="1842"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shd w:val="clear" w:color="auto" w:fill="FFFFFF"/>
              <w:rPr>
                <w:rFonts w:ascii="Palatino Linotype" w:hAnsi="Palatino Linotype" w:cs="Calibri"/>
                <w:color w:val="000000"/>
                <w:sz w:val="20"/>
                <w:szCs w:val="20"/>
              </w:rPr>
            </w:pPr>
            <w:r w:rsidRPr="00BE10DD">
              <w:rPr>
                <w:rFonts w:ascii="Palatino Linotype" w:hAnsi="Palatino Linotype" w:cs="Calibri"/>
                <w:color w:val="000000"/>
                <w:sz w:val="20"/>
                <w:szCs w:val="20"/>
              </w:rPr>
              <w:t>Alliance</w:t>
            </w:r>
          </w:p>
          <w:p w:rsidR="00065CF0" w:rsidRPr="00BE10DD" w:rsidRDefault="00065CF0" w:rsidP="00065CF0">
            <w:pPr>
              <w:shd w:val="clear" w:color="auto" w:fill="FFFFFF"/>
              <w:rPr>
                <w:rFonts w:ascii="Palatino Linotype" w:hAnsi="Palatino Linotype" w:cs="Calibri"/>
                <w:color w:val="000000"/>
                <w:sz w:val="20"/>
                <w:szCs w:val="20"/>
              </w:rPr>
            </w:pPr>
            <w:r w:rsidRPr="00BE10DD">
              <w:rPr>
                <w:rFonts w:ascii="Palatino Linotype" w:hAnsi="Palatino Linotype" w:cs="Calibri"/>
                <w:color w:val="000000"/>
                <w:sz w:val="20"/>
                <w:szCs w:val="20"/>
              </w:rPr>
              <w:t>Research</w:t>
            </w:r>
          </w:p>
          <w:p w:rsidR="00065CF0" w:rsidRPr="00BE10DD" w:rsidRDefault="00065CF0" w:rsidP="00065CF0">
            <w:pPr>
              <w:rPr>
                <w:rFonts w:ascii="Palatino Linotype" w:hAnsi="Palatino Linotype" w:cs="Calibri"/>
                <w:color w:val="00000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11B</w:t>
            </w:r>
          </w:p>
        </w:tc>
        <w:tc>
          <w:tcPr>
            <w:tcW w:w="269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shd w:val="clear" w:color="auto" w:fill="FFFFFF"/>
              <w:rPr>
                <w:rFonts w:ascii="Palatino Linotype" w:hAnsi="Palatino Linotype" w:cs="Calibri"/>
                <w:color w:val="000000"/>
                <w:sz w:val="20"/>
                <w:szCs w:val="20"/>
              </w:rPr>
            </w:pPr>
            <w:r w:rsidRPr="00BE10DD">
              <w:rPr>
                <w:rFonts w:ascii="Palatino Linotype" w:hAnsi="Palatino Linotype" w:cs="Calibri"/>
                <w:color w:val="000000"/>
                <w:sz w:val="20"/>
                <w:szCs w:val="20"/>
              </w:rPr>
              <w:t>Mudassir</w:t>
            </w:r>
          </w:p>
          <w:p w:rsidR="00065CF0" w:rsidRPr="00BE10DD" w:rsidRDefault="00065CF0" w:rsidP="00065CF0">
            <w:pPr>
              <w:shd w:val="clear" w:color="auto" w:fill="FFFFFF"/>
              <w:rPr>
                <w:rFonts w:ascii="Palatino Linotype" w:hAnsi="Palatino Linotype" w:cs="Calibri"/>
                <w:color w:val="000000"/>
                <w:sz w:val="20"/>
                <w:szCs w:val="20"/>
              </w:rPr>
            </w:pPr>
            <w:r w:rsidRPr="00BE10DD">
              <w:rPr>
                <w:rFonts w:ascii="Palatino Linotype" w:hAnsi="Palatino Linotype" w:cs="Calibri"/>
                <w:color w:val="000000"/>
                <w:sz w:val="20"/>
                <w:szCs w:val="20"/>
              </w:rPr>
              <w:t>Hasan, Proprietor</w:t>
            </w:r>
          </w:p>
          <w:p w:rsidR="00065CF0" w:rsidRPr="00BE10DD" w:rsidRDefault="00065CF0" w:rsidP="00065CF0">
            <w:pPr>
              <w:shd w:val="clear" w:color="auto" w:fill="FFFFFF"/>
              <w:rPr>
                <w:rFonts w:ascii="Palatino Linotype" w:hAnsi="Palatino Linotype" w:cs="Calibri"/>
                <w:color w:val="000000"/>
                <w:sz w:val="20"/>
                <w:szCs w:val="20"/>
              </w:rPr>
            </w:pPr>
            <w:r w:rsidRPr="00BE10DD">
              <w:rPr>
                <w:rFonts w:ascii="Palatino Linotype" w:hAnsi="Palatino Linotype" w:cs="Calibri"/>
                <w:color w:val="000000"/>
                <w:sz w:val="20"/>
                <w:szCs w:val="20"/>
              </w:rPr>
              <w:t>of Alliance</w:t>
            </w:r>
          </w:p>
          <w:p w:rsidR="00065CF0" w:rsidRPr="00BE10DD" w:rsidRDefault="00065CF0" w:rsidP="00065CF0">
            <w:pPr>
              <w:shd w:val="clear" w:color="auto" w:fill="FFFFFF"/>
              <w:rPr>
                <w:rFonts w:ascii="Palatino Linotype" w:hAnsi="Palatino Linotype" w:cs="Calibri"/>
                <w:color w:val="000000"/>
                <w:sz w:val="20"/>
                <w:szCs w:val="20"/>
              </w:rPr>
            </w:pPr>
            <w:r w:rsidRPr="00BE10DD">
              <w:rPr>
                <w:rFonts w:ascii="Palatino Linotype" w:hAnsi="Palatino Linotype" w:cs="Calibri"/>
                <w:color w:val="000000"/>
                <w:sz w:val="20"/>
                <w:szCs w:val="20"/>
              </w:rPr>
              <w:t>Research</w:t>
            </w:r>
          </w:p>
          <w:p w:rsidR="00065CF0" w:rsidRPr="00BE10DD" w:rsidRDefault="00065CF0" w:rsidP="00065CF0">
            <w:pPr>
              <w:rPr>
                <w:rFonts w:ascii="Palatino Linotype" w:hAnsi="Palatino Linotype" w:cs="Calibri"/>
                <w:color w:val="000000"/>
                <w:sz w:val="20"/>
                <w:szCs w:val="20"/>
              </w:rPr>
            </w:pPr>
          </w:p>
        </w:tc>
        <w:tc>
          <w:tcPr>
            <w:tcW w:w="2123"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SEBI (Investment Advisers) Regulations, 2013 and SEBI (Prohibition of Fraudulent and Unfair Trade Practices relating to Securities Market) Regulations, 2003 (PFUTP Regulations)</w:t>
            </w:r>
          </w:p>
        </w:tc>
        <w:tc>
          <w:tcPr>
            <w:tcW w:w="1420"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w:t>
            </w: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BE10DD" w:rsidRDefault="00065CF0" w:rsidP="00065CF0">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07/01/2021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HPC Bioscience LTD</w:t>
            </w:r>
          </w:p>
        </w:tc>
        <w:tc>
          <w:tcPr>
            <w:tcW w:w="113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Adjudication</w:t>
            </w:r>
          </w:p>
        </w:tc>
        <w:tc>
          <w:tcPr>
            <w:tcW w:w="269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Mayur Development And Leasing Ltd</w:t>
            </w:r>
          </w:p>
        </w:tc>
        <w:tc>
          <w:tcPr>
            <w:tcW w:w="2123" w:type="dxa"/>
            <w:tcBorders>
              <w:top w:val="nil"/>
              <w:left w:val="nil"/>
              <w:bottom w:val="single" w:sz="4" w:space="0" w:color="auto"/>
              <w:right w:val="single" w:sz="4" w:space="0" w:color="auto"/>
            </w:tcBorders>
            <w:shd w:val="clear" w:color="auto" w:fill="auto"/>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Section 11(3) and 11C (3) of SEBI Act, 1992</w:t>
            </w:r>
          </w:p>
        </w:tc>
        <w:tc>
          <w:tcPr>
            <w:tcW w:w="1420"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 xml:space="preserve">       10,00,000 </w:t>
            </w: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BE10DD" w:rsidRDefault="00065CF0" w:rsidP="00065CF0">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07/01/2021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LN Industries India Ltd</w:t>
            </w:r>
          </w:p>
        </w:tc>
        <w:tc>
          <w:tcPr>
            <w:tcW w:w="113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Adjudication</w:t>
            </w:r>
          </w:p>
        </w:tc>
        <w:tc>
          <w:tcPr>
            <w:tcW w:w="269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China Jogiraju Patsamatla, Padma Mundunuri</w:t>
            </w:r>
          </w:p>
        </w:tc>
        <w:tc>
          <w:tcPr>
            <w:tcW w:w="2123" w:type="dxa"/>
            <w:tcBorders>
              <w:top w:val="nil"/>
              <w:left w:val="nil"/>
              <w:bottom w:val="single" w:sz="4" w:space="0" w:color="auto"/>
              <w:right w:val="single" w:sz="4" w:space="0" w:color="auto"/>
            </w:tcBorders>
            <w:shd w:val="clear" w:color="auto" w:fill="auto"/>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Regulations 3 (a), (b), (c), (d), 4 (1), 4 (2) (a), and 4 (2) (e) of SEBI (PFUTP)  Regulations,  2003</w:t>
            </w:r>
          </w:p>
        </w:tc>
        <w:tc>
          <w:tcPr>
            <w:tcW w:w="1420"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 xml:space="preserve">       10,00,000 </w:t>
            </w: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BE10DD" w:rsidRDefault="00065CF0" w:rsidP="00BE10DD">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07/01/2021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Thirani Projects Ltd</w:t>
            </w:r>
          </w:p>
        </w:tc>
        <w:tc>
          <w:tcPr>
            <w:tcW w:w="113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Adjudication</w:t>
            </w:r>
          </w:p>
        </w:tc>
        <w:tc>
          <w:tcPr>
            <w:tcW w:w="2694" w:type="dxa"/>
            <w:tcBorders>
              <w:top w:val="nil"/>
              <w:left w:val="nil"/>
              <w:bottom w:val="single" w:sz="4" w:space="0" w:color="auto"/>
              <w:right w:val="single" w:sz="4" w:space="0" w:color="auto"/>
            </w:tcBorders>
            <w:shd w:val="clear" w:color="auto" w:fill="auto"/>
            <w:noWrap/>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Mobonair Wireless Pvt Ltd</w:t>
            </w:r>
          </w:p>
        </w:tc>
        <w:tc>
          <w:tcPr>
            <w:tcW w:w="2123" w:type="dxa"/>
            <w:tcBorders>
              <w:top w:val="nil"/>
              <w:left w:val="nil"/>
              <w:bottom w:val="single" w:sz="4" w:space="0" w:color="auto"/>
              <w:right w:val="single" w:sz="4" w:space="0" w:color="auto"/>
            </w:tcBorders>
            <w:shd w:val="clear" w:color="auto" w:fill="auto"/>
            <w:vAlign w:val="bottom"/>
          </w:tcPr>
          <w:p w:rsidR="00065CF0" w:rsidRPr="00BE10DD" w:rsidRDefault="00065CF0" w:rsidP="00065CF0">
            <w:pPr>
              <w:rPr>
                <w:rFonts w:ascii="Palatino Linotype" w:hAnsi="Palatino Linotype" w:cs="Calibri"/>
                <w:color w:val="000000"/>
                <w:sz w:val="20"/>
                <w:szCs w:val="20"/>
              </w:rPr>
            </w:pPr>
            <w:r w:rsidRPr="00BE10DD">
              <w:rPr>
                <w:rFonts w:ascii="Palatino Linotype" w:hAnsi="Palatino Linotype" w:cs="Calibri"/>
                <w:color w:val="000000"/>
                <w:sz w:val="20"/>
                <w:szCs w:val="20"/>
              </w:rPr>
              <w:t xml:space="preserve">11 C (3) r/w 11C(2) of the SEBI Act,  1992  </w:t>
            </w:r>
          </w:p>
        </w:tc>
        <w:tc>
          <w:tcPr>
            <w:tcW w:w="1420" w:type="dxa"/>
            <w:tcBorders>
              <w:top w:val="nil"/>
              <w:left w:val="nil"/>
              <w:bottom w:val="single" w:sz="4" w:space="0" w:color="auto"/>
              <w:right w:val="single" w:sz="4" w:space="0" w:color="auto"/>
            </w:tcBorders>
            <w:shd w:val="clear" w:color="auto" w:fill="auto"/>
            <w:noWrap/>
            <w:vAlign w:val="bottom"/>
          </w:tcPr>
          <w:p w:rsidR="00065CF0" w:rsidRPr="00BE10DD" w:rsidRDefault="00065CF0" w:rsidP="00BE10DD">
            <w:pPr>
              <w:jc w:val="right"/>
              <w:rPr>
                <w:rFonts w:ascii="Palatino Linotype" w:hAnsi="Palatino Linotype" w:cs="Calibri"/>
                <w:color w:val="000000"/>
                <w:sz w:val="20"/>
                <w:szCs w:val="20"/>
              </w:rPr>
            </w:pPr>
            <w:r w:rsidRPr="00BE10DD">
              <w:rPr>
                <w:rFonts w:ascii="Palatino Linotype" w:hAnsi="Palatino Linotype" w:cs="Calibri"/>
                <w:color w:val="000000"/>
                <w:sz w:val="20"/>
                <w:szCs w:val="20"/>
              </w:rPr>
              <w:t xml:space="preserve">          5,00,000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08/01/2021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Anukaran Commercial Enterprises Limited</w:t>
            </w:r>
          </w:p>
        </w:tc>
        <w:tc>
          <w:tcPr>
            <w:tcW w:w="113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11B</w:t>
            </w:r>
          </w:p>
        </w:tc>
        <w:tc>
          <w:tcPr>
            <w:tcW w:w="269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Mountain View Developers Private Limited, Rajesh Chetanji Tawri, Aanand Balavantrai Boghani, Kaushik Bipinchandra Dhanki</w:t>
            </w:r>
          </w:p>
        </w:tc>
        <w:tc>
          <w:tcPr>
            <w:tcW w:w="2123" w:type="dxa"/>
            <w:tcBorders>
              <w:top w:val="nil"/>
              <w:left w:val="nil"/>
              <w:bottom w:val="single" w:sz="4" w:space="0" w:color="auto"/>
              <w:right w:val="single" w:sz="4" w:space="0" w:color="auto"/>
            </w:tcBorders>
            <w:shd w:val="clear" w:color="auto" w:fill="auto"/>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Regulation 3(a),(b),(c),(d) and Regulation 4(1), (2) (a),(e) of PFUTP 2003</w:t>
            </w:r>
          </w:p>
        </w:tc>
        <w:tc>
          <w:tcPr>
            <w:tcW w:w="1420"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 xml:space="preserve">                    -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08/01/2021</w:t>
            </w:r>
          </w:p>
          <w:p w:rsidR="00065CF0" w:rsidRPr="00EA2012" w:rsidRDefault="00065CF0" w:rsidP="00065CF0">
            <w:pPr>
              <w:jc w:val="right"/>
              <w:rPr>
                <w:rFonts w:ascii="Palatino Linotype" w:hAnsi="Palatino Linotype" w:cs="Calibri"/>
                <w:color w:val="000000"/>
                <w:sz w:val="20"/>
                <w:szCs w:val="20"/>
              </w:rPr>
            </w:pPr>
          </w:p>
        </w:tc>
        <w:tc>
          <w:tcPr>
            <w:tcW w:w="1842"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br/>
              <w:t>Maharashtra Polybutenes Ltd</w:t>
            </w:r>
          </w:p>
          <w:p w:rsidR="00065CF0" w:rsidRPr="00EA2012" w:rsidRDefault="00065CF0" w:rsidP="00065CF0">
            <w:pPr>
              <w:rPr>
                <w:rFonts w:ascii="Palatino Linotype" w:hAnsi="Palatino Linotype" w:cs="Calibri"/>
                <w:color w:val="00000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Other</w:t>
            </w:r>
          </w:p>
          <w:p w:rsidR="00065CF0" w:rsidRPr="00EA2012" w:rsidRDefault="00065CF0" w:rsidP="00065CF0">
            <w:pPr>
              <w:rPr>
                <w:rFonts w:ascii="Palatino Linotype" w:hAnsi="Palatino Linotype" w:cs="Calibri"/>
                <w:color w:val="000000"/>
                <w:sz w:val="20"/>
                <w:szCs w:val="20"/>
              </w:rPr>
            </w:pPr>
          </w:p>
        </w:tc>
        <w:tc>
          <w:tcPr>
            <w:tcW w:w="269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Vishal Vijay Shah</w:t>
            </w:r>
          </w:p>
          <w:p w:rsidR="00065CF0" w:rsidRPr="00EA2012" w:rsidRDefault="00065CF0" w:rsidP="00065CF0">
            <w:pPr>
              <w:rPr>
                <w:rFonts w:ascii="Palatino Linotype" w:hAnsi="Palatino Linotype" w:cs="Calibri"/>
                <w:color w:val="000000"/>
                <w:sz w:val="20"/>
                <w:szCs w:val="20"/>
              </w:rPr>
            </w:pPr>
          </w:p>
        </w:tc>
        <w:tc>
          <w:tcPr>
            <w:tcW w:w="2123" w:type="dxa"/>
            <w:tcBorders>
              <w:top w:val="nil"/>
              <w:left w:val="nil"/>
              <w:bottom w:val="single" w:sz="4" w:space="0" w:color="auto"/>
              <w:right w:val="single" w:sz="4" w:space="0" w:color="auto"/>
            </w:tcBorders>
            <w:shd w:val="clear" w:color="auto" w:fill="auto"/>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SEBI Circular No.  SEBI/MRD/SE/Cir33/2003/27 dated August 27, 2003 and Clauses A (1), (2), and (5) of the Code of  Conduct  of  Stock  Brokers  as specified in Schedule II of Regulation 7 of the SEBI (Stock Brokers) Regulations, 1992</w:t>
            </w:r>
          </w:p>
        </w:tc>
        <w:tc>
          <w:tcPr>
            <w:tcW w:w="1420"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EA2012">
            <w:pPr>
              <w:shd w:val="clear" w:color="auto" w:fill="FFFFFF"/>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08/01/2021</w:t>
            </w:r>
          </w:p>
          <w:p w:rsidR="00065CF0" w:rsidRPr="00EA2012" w:rsidRDefault="00065CF0" w:rsidP="00065CF0">
            <w:pPr>
              <w:shd w:val="clear" w:color="auto" w:fill="FFFFFF"/>
              <w:jc w:val="right"/>
              <w:rPr>
                <w:rFonts w:ascii="Palatino Linotype" w:hAnsi="Palatino Linotype" w:cs="Calibri"/>
                <w:color w:val="000000"/>
                <w:sz w:val="20"/>
                <w:szCs w:val="20"/>
              </w:rPr>
            </w:pP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Bengal &amp; Assam Company Limited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Exemp</w:t>
            </w:r>
            <w:r w:rsidR="00EA2012">
              <w:rPr>
                <w:rFonts w:ascii="Palatino Linotype" w:hAnsi="Palatino Linotype" w:cs="Calibri"/>
                <w:color w:val="000000"/>
                <w:sz w:val="20"/>
                <w:szCs w:val="20"/>
              </w:rPr>
              <w:t>-</w:t>
            </w:r>
            <w:r w:rsidRPr="00EA2012">
              <w:rPr>
                <w:rFonts w:ascii="Palatino Linotype" w:hAnsi="Palatino Linotype" w:cs="Calibri"/>
                <w:color w:val="000000"/>
                <w:sz w:val="20"/>
                <w:szCs w:val="20"/>
              </w:rPr>
              <w:t>tion to proposed acquirer</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Proposed Acquirer Bharat Hari Singhania Family Trust,</w:t>
            </w:r>
          </w:p>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 xml:space="preserve">Raghupati Singhania Family Trust, </w:t>
            </w:r>
          </w:p>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Vinita Singhania Family Trust</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Exemption from complying with the requirements of Regulation 3 and 4 of the Takeover Regulations 2011</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EA2012" w:rsidRDefault="00065CF0" w:rsidP="00EA2012">
            <w:pPr>
              <w:shd w:val="clear" w:color="auto" w:fill="FFFFFF"/>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08/01/2021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IL&amp;FS Securities</w:t>
            </w:r>
          </w:p>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Services Limited</w:t>
            </w:r>
          </w:p>
        </w:tc>
        <w:tc>
          <w:tcPr>
            <w:tcW w:w="113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11B</w:t>
            </w:r>
          </w:p>
        </w:tc>
        <w:tc>
          <w:tcPr>
            <w:tcW w:w="269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IL&amp;FS Securities</w:t>
            </w:r>
          </w:p>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Services Limited</w:t>
            </w:r>
          </w:p>
        </w:tc>
        <w:tc>
          <w:tcPr>
            <w:tcW w:w="2123" w:type="dxa"/>
            <w:tcBorders>
              <w:top w:val="nil"/>
              <w:left w:val="nil"/>
              <w:bottom w:val="single" w:sz="4" w:space="0" w:color="auto"/>
              <w:right w:val="single" w:sz="4" w:space="0" w:color="auto"/>
            </w:tcBorders>
            <w:shd w:val="clear" w:color="auto" w:fill="auto"/>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SEBI (Stock Brokers) Regulations, 1992, and SEBI PFUTP Regulations, 2003</w:t>
            </w:r>
          </w:p>
        </w:tc>
        <w:tc>
          <w:tcPr>
            <w:tcW w:w="1420"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08/01/2021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Kanchan International Limited</w:t>
            </w:r>
          </w:p>
        </w:tc>
        <w:tc>
          <w:tcPr>
            <w:tcW w:w="113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Adjudication</w:t>
            </w:r>
          </w:p>
        </w:tc>
        <w:tc>
          <w:tcPr>
            <w:tcW w:w="269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Satish Vasant Ghone</w:t>
            </w:r>
          </w:p>
        </w:tc>
        <w:tc>
          <w:tcPr>
            <w:tcW w:w="2123" w:type="dxa"/>
            <w:tcBorders>
              <w:top w:val="nil"/>
              <w:left w:val="nil"/>
              <w:bottom w:val="single" w:sz="4" w:space="0" w:color="auto"/>
              <w:right w:val="single" w:sz="4" w:space="0" w:color="auto"/>
            </w:tcBorders>
            <w:shd w:val="clear" w:color="auto" w:fill="auto"/>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Section 11(3) and 11C (3) of SEBI Act, 1992</w:t>
            </w:r>
          </w:p>
        </w:tc>
        <w:tc>
          <w:tcPr>
            <w:tcW w:w="1420"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 xml:space="preserve">       10,00,000 </w:t>
            </w:r>
          </w:p>
        </w:tc>
      </w:tr>
      <w:tr w:rsidR="00065CF0" w:rsidRPr="00B83873" w:rsidTr="00065CF0">
        <w:trPr>
          <w:trHeight w:val="300"/>
        </w:trPr>
        <w:tc>
          <w:tcPr>
            <w:tcW w:w="1447" w:type="dxa"/>
            <w:tcBorders>
              <w:top w:val="nil"/>
              <w:left w:val="single" w:sz="4" w:space="0" w:color="auto"/>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08/01/2021</w:t>
            </w:r>
          </w:p>
        </w:tc>
        <w:tc>
          <w:tcPr>
            <w:tcW w:w="1842"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Global Securities Ltd.</w:t>
            </w:r>
          </w:p>
        </w:tc>
        <w:tc>
          <w:tcPr>
            <w:tcW w:w="113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Adjudication</w:t>
            </w:r>
          </w:p>
        </w:tc>
        <w:tc>
          <w:tcPr>
            <w:tcW w:w="2694"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Yogesh Shah, Smita D Gandhi, Yogesh Bhai Shah Huf</w:t>
            </w:r>
          </w:p>
        </w:tc>
        <w:tc>
          <w:tcPr>
            <w:tcW w:w="2123" w:type="dxa"/>
            <w:tcBorders>
              <w:top w:val="nil"/>
              <w:left w:val="nil"/>
              <w:bottom w:val="single" w:sz="4" w:space="0" w:color="auto"/>
              <w:right w:val="single" w:sz="4" w:space="0" w:color="auto"/>
            </w:tcBorders>
            <w:shd w:val="clear" w:color="auto" w:fill="auto"/>
            <w:vAlign w:val="bottom"/>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Regulation 13(4A) read with 13(5) r/w Regulation 12 of the SEBI  (Prohibition  of  Insider  Trading)  Regulations, 2015-Regulation 13(4A) read with 13(5) r/w Regulation 12 of the SEBI (PIT) Regulations, 2015</w:t>
            </w:r>
          </w:p>
        </w:tc>
        <w:tc>
          <w:tcPr>
            <w:tcW w:w="1420" w:type="dxa"/>
            <w:tcBorders>
              <w:top w:val="nil"/>
              <w:left w:val="nil"/>
              <w:bottom w:val="single" w:sz="4" w:space="0" w:color="auto"/>
              <w:right w:val="single" w:sz="4" w:space="0" w:color="auto"/>
            </w:tcBorders>
            <w:shd w:val="clear" w:color="auto" w:fill="auto"/>
            <w:noWrap/>
            <w:vAlign w:val="bottom"/>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 xml:space="preserve">          6,00,000 </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11/01/2021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Orient Resorts India Pvt Limited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Adjudication</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Orient Resorts India Pvt Ltd;</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Darshanbhai Arvindbhai Shah;</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Dilpesh Vasantlal Shah</w:t>
            </w:r>
          </w:p>
          <w:p w:rsidR="00065CF0" w:rsidRPr="00EA2012" w:rsidRDefault="00065CF0" w:rsidP="00065CF0">
            <w:pPr>
              <w:rPr>
                <w:rFonts w:ascii="Palatino Linotype" w:hAnsi="Palatino Linotype" w:cs="Arial"/>
                <w:color w:val="000000"/>
                <w:sz w:val="20"/>
                <w:szCs w:val="20"/>
                <w:lang w:eastAsia="en-IN"/>
              </w:rPr>
            </w:pP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jc w:val="both"/>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 xml:space="preserve">Section 12(1B) of the SEBI Act and Regulation 3, 5, 73 and 74 of the SEBI (Collective Investment Schemes) Regulations, 1999 </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8500000</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11/01/2021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Fortis Healthcare Limited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Adjudication</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Fortis Healthcare Holdings Private Limited</w:t>
            </w: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jc w:val="both"/>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Regulations 29(2) read</w:t>
            </w:r>
          </w:p>
          <w:p w:rsidR="00065CF0" w:rsidRPr="00EA2012" w:rsidRDefault="00065CF0" w:rsidP="00065CF0">
            <w:pPr>
              <w:jc w:val="both"/>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 xml:space="preserve">with 29(3) of </w:t>
            </w:r>
          </w:p>
          <w:p w:rsidR="00065CF0" w:rsidRPr="00EA2012" w:rsidRDefault="00065CF0" w:rsidP="00065CF0">
            <w:pPr>
              <w:jc w:val="both"/>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 xml:space="preserve">SEBI (Substantial Acquisition of Shares and Takeovers) Regulations, 2011 </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1,00,000</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12/01/2021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Alora Trading Company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Adjudication</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Thakkar Jagdishchandra Dahyalal HUF;</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Jagdishbhai Dahyalal Thakkar;</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Bhavnaben Jagdishkumar Thakkar;</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Dhaval Jagdishkumar Thakkar</w:t>
            </w: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 xml:space="preserve">Regulations 29(1) r/w 29(3) of SEBI (Substantial Acquisition of Shares and Takeovers) Regulations, 2011 </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4,00,000</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13/01/2021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Calibri"/>
                <w:color w:val="000000"/>
                <w:sz w:val="20"/>
                <w:szCs w:val="20"/>
              </w:rPr>
              <w:t>CNBC Awaaz “Stock 20-20” Show</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11B</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Hemant Ghai;</w:t>
            </w:r>
          </w:p>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Shyam Mohini Ghai;</w:t>
            </w:r>
          </w:p>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Jaya Hemant Ghai.</w:t>
            </w: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Section 12A€ of the SEBI Act and Regulation 4(1) of the SEBI (Prohibition of Fraudulent and Unfair Trade Practices relating to Securities Market) Regulations, 2003</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jc w:val="right"/>
              <w:rPr>
                <w:rFonts w:ascii="Palatino Linotype" w:hAnsi="Palatino Linotype" w:cs="Calibri"/>
                <w:color w:val="000000"/>
                <w:sz w:val="20"/>
                <w:szCs w:val="20"/>
              </w:rPr>
            </w:pPr>
            <w:r w:rsidRPr="00EA2012">
              <w:rPr>
                <w:rFonts w:ascii="Palatino Linotype" w:hAnsi="Palatino Linotype" w:cs="Calibri"/>
                <w:color w:val="000000"/>
                <w:sz w:val="20"/>
                <w:szCs w:val="20"/>
              </w:rPr>
              <w:t>-</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13/01/2021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Moral Group of Companies</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11B</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Moral Devcon Limited and six Others.</w:t>
            </w: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 xml:space="preserve">SEBI (Issue </w:t>
            </w:r>
          </w:p>
          <w:p w:rsidR="00065CF0" w:rsidRPr="00EA2012" w:rsidRDefault="00065CF0" w:rsidP="00065CF0">
            <w:pPr>
              <w:shd w:val="clear" w:color="auto" w:fill="FFFFFF"/>
              <w:rPr>
                <w:rFonts w:ascii="Palatino Linotype" w:hAnsi="Palatino Linotype" w:cs="Calibri"/>
                <w:color w:val="000000"/>
                <w:sz w:val="20"/>
                <w:szCs w:val="20"/>
              </w:rPr>
            </w:pPr>
            <w:r w:rsidRPr="00EA2012">
              <w:rPr>
                <w:rFonts w:ascii="Palatino Linotype" w:hAnsi="Palatino Linotype" w:cs="Calibri"/>
                <w:color w:val="000000"/>
                <w:sz w:val="20"/>
                <w:szCs w:val="20"/>
              </w:rPr>
              <w:t>and  Listing  of  Debt  Securities)  Regulations,  2008  (ILDS  Regulations)</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rPr>
                <w:rFonts w:ascii="Palatino Linotype" w:hAnsi="Palatino Linotype" w:cs="Calibri"/>
                <w:color w:val="000000"/>
                <w:sz w:val="20"/>
                <w:szCs w:val="20"/>
              </w:rPr>
            </w:pPr>
            <w:r w:rsidRPr="00EA2012">
              <w:rPr>
                <w:rFonts w:ascii="Palatino Linotype" w:hAnsi="Palatino Linotype" w:cs="Calibri"/>
                <w:color w:val="000000"/>
                <w:sz w:val="20"/>
                <w:szCs w:val="20"/>
              </w:rPr>
              <w:t>-</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13/01/2021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Investigation in the matter of disclosures by Bhoruka Aluminium Ltd In respect of its GDR issue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Adjudication</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Ajay Kumar Dalmia</w:t>
            </w: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 xml:space="preserve">Section 12A(a), (b), (c) of SEBI Act, 1992 r/w Regulations 3(a), (b), (c), (d) and 4(1) of the SEBI (Prohibition of Fraudulent and Unfair Trade Practices relating to Securities Market) Regulations, 2003 </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2000000</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15/01/2021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GDR Issue of Farmax India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Adjudication</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Sanjay Aggarwal</w:t>
            </w: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jc w:val="both"/>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Section 12A9a), (b), (c) of SEBI Act, 1992 r/w Regulations 3(a), (b), (c), (d) and 4(1) of SEBI (Prohibition of Fraudulent and Unfair Trade Practices relating to Securities Market) Regulations, 2003</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10,00,000</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15/01/2021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Pankaj Piyush Trade and Investments Limited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11B</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Pankaj Piyush Trade and Investments Limited and 14 others</w:t>
            </w: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Sec 12A (b) and (c) of SEBI Act 1992 read with Regulation 3 (c)  and 4 (1 of SEBI (PFUTP) Regulations 2003 and 4(1) of the SEBI (Prohibition of Fraudulent and Unfair Trade Practices relating to Securities Market) Regulations, 2003</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 </w:t>
            </w:r>
          </w:p>
        </w:tc>
      </w:tr>
      <w:tr w:rsidR="00065CF0" w:rsidRPr="00B83873" w:rsidTr="00065CF0">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15/01/2021</w:t>
            </w:r>
          </w:p>
        </w:tc>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Garware Polyster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Adjudication</w:t>
            </w:r>
          </w:p>
        </w:tc>
        <w:tc>
          <w:tcPr>
            <w:tcW w:w="2694"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Garware Polyester Ltd;</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Sonia Garware;</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Sheela S Garware;</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Sarita Garware;</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Shashikant B Garware</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Monika Rajiv Garware Modi</w:t>
            </w:r>
          </w:p>
          <w:p w:rsidR="00065CF0" w:rsidRPr="00EA2012" w:rsidRDefault="00065CF0" w:rsidP="00065CF0">
            <w:pPr>
              <w:rPr>
                <w:rFonts w:ascii="Palatino Linotype" w:hAnsi="Palatino Linotype" w:cs="Arial"/>
                <w:color w:val="000000"/>
                <w:sz w:val="20"/>
                <w:szCs w:val="20"/>
                <w:lang w:eastAsia="en-IN"/>
              </w:rPr>
            </w:pPr>
          </w:p>
        </w:tc>
        <w:tc>
          <w:tcPr>
            <w:tcW w:w="2123" w:type="dxa"/>
            <w:tcBorders>
              <w:top w:val="single" w:sz="4" w:space="0" w:color="auto"/>
              <w:left w:val="single" w:sz="4" w:space="0" w:color="auto"/>
              <w:bottom w:val="single" w:sz="4" w:space="0" w:color="auto"/>
              <w:right w:val="single" w:sz="4" w:space="0" w:color="auto"/>
            </w:tcBorders>
            <w:shd w:val="clear" w:color="auto" w:fill="auto"/>
          </w:tcPr>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Regulation 13(6) of the SEBI (Prohibition of Insider Trading) Regulations, 1992</w:t>
            </w:r>
          </w:p>
          <w:p w:rsidR="00065CF0" w:rsidRPr="00EA2012" w:rsidRDefault="00065CF0" w:rsidP="00065CF0">
            <w:pPr>
              <w:rPr>
                <w:rFonts w:ascii="Palatino Linotype" w:hAnsi="Palatino Linotype" w:cs="Arial"/>
                <w:color w:val="000000"/>
                <w:sz w:val="20"/>
                <w:szCs w:val="20"/>
                <w:lang w:eastAsia="en-IN"/>
              </w:rPr>
            </w:pPr>
          </w:p>
          <w:p w:rsidR="00065CF0" w:rsidRPr="00EA2012" w:rsidRDefault="00065CF0" w:rsidP="00065CF0">
            <w:pPr>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Regulation 13(4) r/w 13(5) of the SEBI (Prohibition of Insider Trading) Regulations, 1992</w:t>
            </w:r>
          </w:p>
        </w:tc>
        <w:tc>
          <w:tcPr>
            <w:tcW w:w="1420" w:type="dxa"/>
            <w:tcBorders>
              <w:top w:val="single" w:sz="4" w:space="0" w:color="auto"/>
              <w:left w:val="single" w:sz="4" w:space="0" w:color="auto"/>
              <w:bottom w:val="single" w:sz="4" w:space="0" w:color="auto"/>
              <w:right w:val="single" w:sz="4" w:space="0" w:color="auto"/>
            </w:tcBorders>
            <w:noWrap/>
          </w:tcPr>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38,00,000</w:t>
            </w:r>
          </w:p>
          <w:p w:rsidR="00065CF0" w:rsidRPr="00EA2012" w:rsidRDefault="00065CF0" w:rsidP="00065CF0">
            <w:pPr>
              <w:jc w:val="right"/>
              <w:rPr>
                <w:rFonts w:ascii="Palatino Linotype" w:hAnsi="Palatino Linotype" w:cs="Arial"/>
                <w:color w:val="000000"/>
                <w:sz w:val="20"/>
                <w:szCs w:val="20"/>
                <w:lang w:eastAsia="en-IN"/>
              </w:rPr>
            </w:pPr>
          </w:p>
          <w:p w:rsidR="00065CF0" w:rsidRPr="00EA2012" w:rsidRDefault="00065CF0" w:rsidP="00065CF0">
            <w:pPr>
              <w:jc w:val="right"/>
              <w:rPr>
                <w:rFonts w:ascii="Palatino Linotype" w:hAnsi="Palatino Linotype" w:cs="Arial"/>
                <w:color w:val="000000"/>
                <w:sz w:val="20"/>
                <w:szCs w:val="20"/>
                <w:lang w:eastAsia="en-IN"/>
              </w:rPr>
            </w:pPr>
          </w:p>
          <w:p w:rsidR="00065CF0" w:rsidRPr="00EA2012" w:rsidRDefault="00065CF0" w:rsidP="00065CF0">
            <w:pPr>
              <w:jc w:val="right"/>
              <w:rPr>
                <w:rFonts w:ascii="Palatino Linotype" w:hAnsi="Palatino Linotype" w:cs="Arial"/>
                <w:color w:val="000000"/>
                <w:sz w:val="20"/>
                <w:szCs w:val="20"/>
                <w:lang w:eastAsia="en-IN"/>
              </w:rPr>
            </w:pPr>
          </w:p>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11,00,000</w:t>
            </w:r>
          </w:p>
          <w:p w:rsidR="00065CF0" w:rsidRPr="00EA2012" w:rsidRDefault="00065CF0" w:rsidP="00065CF0">
            <w:pPr>
              <w:jc w:val="right"/>
              <w:rPr>
                <w:rFonts w:ascii="Palatino Linotype" w:hAnsi="Palatino Linotype" w:cs="Arial"/>
                <w:color w:val="000000"/>
                <w:sz w:val="20"/>
                <w:szCs w:val="20"/>
                <w:lang w:eastAsia="en-IN"/>
              </w:rPr>
            </w:pPr>
          </w:p>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7,00,000</w:t>
            </w:r>
          </w:p>
          <w:p w:rsidR="00065CF0" w:rsidRPr="00EA2012" w:rsidRDefault="00065CF0" w:rsidP="00065CF0">
            <w:pPr>
              <w:jc w:val="right"/>
              <w:rPr>
                <w:rFonts w:ascii="Palatino Linotype" w:hAnsi="Palatino Linotype" w:cs="Arial"/>
                <w:color w:val="000000"/>
                <w:sz w:val="20"/>
                <w:szCs w:val="20"/>
                <w:lang w:eastAsia="en-IN"/>
              </w:rPr>
            </w:pPr>
          </w:p>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9,00,000</w:t>
            </w:r>
          </w:p>
          <w:p w:rsidR="00065CF0" w:rsidRPr="00EA2012" w:rsidRDefault="00065CF0" w:rsidP="00065CF0">
            <w:pPr>
              <w:jc w:val="right"/>
              <w:rPr>
                <w:rFonts w:ascii="Palatino Linotype" w:hAnsi="Palatino Linotype" w:cs="Arial"/>
                <w:color w:val="000000"/>
                <w:sz w:val="20"/>
                <w:szCs w:val="20"/>
                <w:lang w:eastAsia="en-IN"/>
              </w:rPr>
            </w:pPr>
          </w:p>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1,00,000</w:t>
            </w:r>
          </w:p>
          <w:p w:rsidR="00065CF0" w:rsidRPr="00EA2012" w:rsidRDefault="00065CF0" w:rsidP="00065CF0">
            <w:pPr>
              <w:jc w:val="right"/>
              <w:rPr>
                <w:rFonts w:ascii="Palatino Linotype" w:hAnsi="Palatino Linotype" w:cs="Arial"/>
                <w:color w:val="000000"/>
                <w:sz w:val="20"/>
                <w:szCs w:val="20"/>
                <w:lang w:eastAsia="en-IN"/>
              </w:rPr>
            </w:pPr>
          </w:p>
          <w:p w:rsidR="00065CF0" w:rsidRPr="00EA2012" w:rsidRDefault="00065CF0" w:rsidP="00065CF0">
            <w:pPr>
              <w:jc w:val="right"/>
              <w:rPr>
                <w:rFonts w:ascii="Palatino Linotype" w:hAnsi="Palatino Linotype" w:cs="Arial"/>
                <w:color w:val="000000"/>
                <w:sz w:val="20"/>
                <w:szCs w:val="20"/>
                <w:lang w:eastAsia="en-IN"/>
              </w:rPr>
            </w:pPr>
            <w:r w:rsidRPr="00EA2012">
              <w:rPr>
                <w:rFonts w:ascii="Palatino Linotype" w:hAnsi="Palatino Linotype" w:cs="Arial"/>
                <w:color w:val="000000"/>
                <w:sz w:val="20"/>
                <w:szCs w:val="20"/>
                <w:lang w:eastAsia="en-IN"/>
              </w:rPr>
              <w:t>10,00,000</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18/01/2021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Fairwealth Securities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Fairwealth Securities Limited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sz w:val="20"/>
                <w:szCs w:val="20"/>
                <w:lang w:val="en-IN" w:bidi="hi-IN"/>
              </w:rPr>
            </w:pPr>
            <w:r w:rsidRPr="00EA2012">
              <w:rPr>
                <w:rFonts w:ascii="Palatino Linotype" w:eastAsia="Calibri" w:hAnsi="Palatino Linotype" w:cs="Calibri"/>
                <w:sz w:val="20"/>
                <w:szCs w:val="20"/>
                <w:lang w:val="en-IN" w:bidi="hi-IN"/>
              </w:rPr>
              <w:t>Provisions of SEBI circular MIRSD/SE/Cir19/2009 dated December 03, 2009;</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Clauses 8, 2.4.2, 2.5.5</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 xml:space="preserve">and 2.6 of SEBI circular </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SEBI/HO/MIRSD/MIRSD/CIR/P/2016/95 dated September 26, 2016;</w:t>
            </w:r>
          </w:p>
          <w:p w:rsidR="00065CF0" w:rsidRPr="00EA2012" w:rsidRDefault="00065CF0" w:rsidP="00065CF0">
            <w:pPr>
              <w:jc w:val="both"/>
              <w:rPr>
                <w:rFonts w:ascii="Palatino Linotype" w:hAnsi="Palatino Linotype" w:cs="Calibri"/>
                <w:sz w:val="20"/>
                <w:szCs w:val="20"/>
                <w:lang w:val="en-IN" w:eastAsia="en-IN" w:bidi="hi-IN"/>
              </w:rPr>
            </w:pP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SEBI circular SEBI/HO/MIRSD/MIRSD2/CIR/P/2016/95 dated September 26, 2016;</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 xml:space="preserve"> </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 xml:space="preserve">Clause A(2) and A(5) of Code of Conduct for Stock Brokers specified in Regulation 9 of SEBI (Stock Brokers) Regulations, </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 xml:space="preserve">1992; and </w:t>
            </w:r>
          </w:p>
          <w:p w:rsidR="00065CF0" w:rsidRPr="00EA2012" w:rsidRDefault="00065CF0" w:rsidP="00065CF0">
            <w:pPr>
              <w:jc w:val="both"/>
              <w:rPr>
                <w:rFonts w:ascii="Palatino Linotype" w:hAnsi="Palatino Linotype" w:cs="Calibri"/>
                <w:sz w:val="20"/>
                <w:szCs w:val="20"/>
                <w:lang w:val="en-IN" w:eastAsia="en-IN" w:bidi="hi-IN"/>
              </w:rPr>
            </w:pP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 xml:space="preserve">provisions of SEBI </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circular no. SMD/SED/CIR/93/23321 dated November 18, 1993</w:t>
            </w:r>
          </w:p>
          <w:p w:rsidR="00065CF0" w:rsidRPr="00EA2012" w:rsidRDefault="00065CF0" w:rsidP="00065CF0">
            <w:pPr>
              <w:jc w:val="both"/>
              <w:rPr>
                <w:rFonts w:ascii="Palatino Linotype" w:hAnsi="Palatino Linotype" w:cs="Calibri"/>
                <w:sz w:val="20"/>
                <w:szCs w:val="20"/>
                <w:lang w:val="en-IN" w:eastAsia="en-IN" w:bidi="hi-IN"/>
              </w:rPr>
            </w:pPr>
            <w:r w:rsidRPr="00EA2012">
              <w:rPr>
                <w:rFonts w:ascii="Palatino Linotype" w:hAnsi="Palatino Linotype" w:cs="Calibri"/>
                <w:sz w:val="20"/>
                <w:szCs w:val="20"/>
                <w:lang w:val="en-IN" w:eastAsia="en-IN" w:bidi="hi-IN"/>
              </w:rPr>
              <w:t>.</w:t>
            </w: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30,00,000</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18/01/2021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Nicer Green Housing and Infrastructure Developers Limited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Nicer Green Housing And Infrastructure Developers Limited,</w:t>
            </w:r>
          </w:p>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Surinder Kaur,</w:t>
            </w:r>
          </w:p>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Pipal Singh Sidhu, </w:t>
            </w:r>
          </w:p>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Ranjit Singh, </w:t>
            </w:r>
          </w:p>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Karanjit Singh</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Regulation 3 of SEBI (Collective Investment Schemes) Regulations, 1999 r/w section 12(B) of the SEBI Act 1992.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70,00,000</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19/01/2021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Pankaj Piyush Tradeand Investments Limited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Vinod Kumar Bansal</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Sec 12A (a),(b),(c) of SEBI Act 1992 read with Reg. 3 (b), (c), (d) and Reg. 4 (1), (2)(a) of SEBI (PFUTP) Regulations 2003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0</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19/01/2021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Schneider Electric President Systems</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Schneider Electric President Systems</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Mangal"/>
                <w:sz w:val="20"/>
                <w:szCs w:val="20"/>
                <w:lang w:val="en-IN" w:bidi="hi-IN"/>
              </w:rPr>
              <w:t>Circular SEBI/HO/MRD/DSA/CIR/P/2016/110 o dated October 10, 2016</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0</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Asit C. Mehta Investment Intermediates Ltd.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Asit C. Mehta Investment Intermediates Ltd.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Provisions of section 23D of SCRA r/w Clause 1 of Annexure of SEBI Circular dated November 18, 1993;</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Clause 3 of Annexure of SEBI Circular dated September 26, 2016,</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Clause 3.2 of Annexure of SEBI Circular dated September 26, 2016;</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Clause 2 of Annexure of SEBI Circular dated September 26, 2016;</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SEBI Circular dated December 3, 2009 and Clause 8.1 of Annexure of SEBI Circular dated September 26, 2016;</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Clause A(5) of Schedule II r/w Regulation 9(f) of Stock Brokers Regulations r/w NSE Circular dated August 29, 2002, NSE Circular dated September 25, 2002 and NSE Circular dated February 13, 2013;</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Clause 2.4.2 of Annexure of SEBI Circular dated September 26, 2016 and Clause 12(e) of Annexure A of SEBI Circular dated December 3, 2009. </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27,00,000</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20/01/2021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Non-compliance with the order of disgorgement passed by SEBIs </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Firoz Rafiq Khanda, Mansoor Rafiq Khanda</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Non-Compliance with the directions issued vide SEBI Order dated June 20, 2018.</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25,00,000</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20/01/2021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Trading activities of certain entities in Illiquid Stock Options at BSE</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Rohan Finance &amp; Securities Limited</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Regulations 3(a), (b), (c), (d), 4(1) and 4(2)(a) of SEBI (PFUTP) Regulations,2003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5,00,000</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21/01/2021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Trading activities of certain entities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Sanjivani Multivit Herbal Products Limited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Regulations 3(a), (b), (c), (d), 4(1) and 4(2)(a) of SEBI (PFUTP) Regulations,2003 </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21,80,000</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22/01/2021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Winsome Yarns Limited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Shell Business Pvt. Ltd.</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Regulations 77(1) and 77(3) of SEBI (Issue of Capital and Disclosure Requirements) Regulations, 2009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5,00,000</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22/01/2021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Non-compliance  with summons in the matter of Dwitiya Trading Limited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Jahman Dealers Pvt. Ltd</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Sections 11C(2) &amp; 11C(3) of the SEBI Act, 1992</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5,00,000</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right"/>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21/01/2021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BRH Wealth Kreators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HDFC Bank Limited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15 HB of SEBI Act, 1992, Non–compliance with the Interim Order</w:t>
            </w:r>
          </w:p>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Penalty- 1 crore</w:t>
            </w:r>
          </w:p>
          <w:p w:rsidR="00065CF0" w:rsidRPr="00EA2012" w:rsidRDefault="00065CF0" w:rsidP="00065CF0">
            <w:pPr>
              <w:spacing w:after="160" w:line="259" w:lineRule="auto"/>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Disgorgement – 158.68 crore</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25/01/2021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1D0BCA" w:rsidP="00065CF0">
            <w:pPr>
              <w:spacing w:after="160" w:line="259" w:lineRule="auto"/>
              <w:jc w:val="both"/>
              <w:rPr>
                <w:rFonts w:ascii="Palatino Linotype" w:eastAsia="Calibri" w:hAnsi="Palatino Linotype" w:cs="Calibri"/>
                <w:color w:val="000000"/>
                <w:sz w:val="20"/>
                <w:szCs w:val="20"/>
                <w:lang w:val="en-IN" w:bidi="hi-IN"/>
              </w:rPr>
            </w:pPr>
            <w:hyperlink r:id="rId46" w:tgtFrame="_blank" w:tooltip="Adjudication Order in the matter of GDR issue of K Sera Sera Limited, now known as KSS Limited" w:history="1">
              <w:r w:rsidR="00065CF0" w:rsidRPr="00EA2012">
                <w:rPr>
                  <w:rFonts w:ascii="Palatino Linotype" w:eastAsia="Calibri" w:hAnsi="Palatino Linotype" w:cs="Calibri"/>
                  <w:color w:val="000000"/>
                  <w:sz w:val="20"/>
                  <w:szCs w:val="20"/>
                  <w:lang w:val="en-IN" w:bidi="hi-IN"/>
                </w:rPr>
                <w:t>K Sera Sera Limited, now known as KSS Limited</w:t>
              </w:r>
            </w:hyperlink>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KSS Limited, Rajesh Pavithram, Hussain Sattaf</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Section 11C(3) of SEBI Act, 1992; </w:t>
            </w: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Section 12A(a), (b), (c) of SEBI Act read with Regulations 3(b), (c), (d) and Regulations 4(2)(c), (f), (k) and (r) of SEBI (Prohibition of Fraudulent and Unfair Trade Practices relating to Securities Market) Regulations, 2003 </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14,10,00,000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25/01/2021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Genie Commercial Ventures Private Limited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Genie Commercial Ventures Private Limited</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Non-submission of financial results for financial year ended March 31, 2019; SEBI (Listing Obligations and Disclosure Requirements) Regulations, 2015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3,00,000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25/01/2021</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Bull</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Research</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Investment</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Advisors</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Private</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Limited</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Bull Research</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Investment Advisors</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Private Limited, Ashif</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Shaik, Vinit</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Satpute, Sandeep</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Kushwaha</w:t>
            </w:r>
          </w:p>
          <w:p w:rsidR="00065CF0" w:rsidRPr="00EA2012" w:rsidRDefault="00065CF0" w:rsidP="00065CF0">
            <w:pPr>
              <w:shd w:val="clear" w:color="auto" w:fill="FFFFFF"/>
              <w:jc w:val="both"/>
              <w:rPr>
                <w:rFonts w:ascii="Palatino Linotype" w:hAnsi="Palatino Linotype" w:cs="Arial"/>
                <w:sz w:val="20"/>
                <w:szCs w:val="20"/>
                <w:lang w:val="en-IN" w:eastAsia="en-IN" w:bidi="hi-IN"/>
              </w:rPr>
            </w:pP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16(a), 16(b)(ii)</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and 17(a)</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of SEBI (Investment Advisors) Regulations, 2013</w:t>
            </w: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and Section 12A(a), (b), (c) of the SEBI Act, 1992 and Regulations 3(a), (b) (c) and (d) of SEBI (Prohibition of Fraudulent and Unfair Trade Practices relating to Securities Market) Regulations, 2003</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25/01/2021</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Simply</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Earn</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Research</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Simply</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Earn</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Research, Animesh</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Parida, Parth</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 Trivedi</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Section 12(1) of SEBI Act r/w regulation 3(1) of the SEBI (Investment Advisors) Regulations, 2013;</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25/01/2021</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Vishwas Stocks Research Private Limited , Dalal Stocks Advisory Private Limited , Devki Stocks Private Limited and their Directors</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Vishwas Stocks Research Private Limited , Dalal Stocks Advisory Private Limited , Devki Stocks Private Limited and their Directors </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Section 12(1) of SEBI Act r/w regulation 3(1) of the SEBI (Investment Advisors) Regulations, 2013</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Sections 12A(a), (b), (c) of the SEBI Act, Regulations 3(a), (b), (c), (d) and Regulations 4(1) and 4(2)(k) of  SEBI (Prohibition of Fraudulent and Unfair Trade Practices relating to Securities Market) Regulations, 2003</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27/01/2021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MPS Infotecnics Ltd. (formerly Visesh Infotecnics Ltd.)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Peeyush Agarwal, Mr. Karun Jain, Mr. Sanjiv Bhavnani, Mr. Rajinder Singh</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SEBI (Prohibition of Fraudulent and Unfair Trade Practices relating to Securities Market) Regulations, 2003 </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50,00,000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27/01/2021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Trading activities of certain entities in Illiquid Stock Options on BSE</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Deejay Stocks Private Limited</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Provisions 3(a), (b), (c), (d) and 4(1), 4(2)(a) of SEBI (PFUTP) Regulations,2003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5,00,000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jc w:val="both"/>
              <w:rPr>
                <w:rFonts w:ascii="Palatino Linotype" w:eastAsia="Calibri" w:hAnsi="Palatino Linotype" w:cs="Calibri"/>
                <w:color w:val="000000"/>
                <w:sz w:val="20"/>
                <w:szCs w:val="20"/>
                <w:lang w:val="en-IN" w:eastAsia="en-IN" w:bidi="hi-IN"/>
              </w:rPr>
            </w:pPr>
            <w:r w:rsidRPr="00EA2012">
              <w:rPr>
                <w:rFonts w:ascii="Palatino Linotype" w:eastAsia="Calibri" w:hAnsi="Palatino Linotype" w:cs="Calibri"/>
                <w:color w:val="000000"/>
                <w:sz w:val="20"/>
                <w:szCs w:val="20"/>
                <w:lang w:val="en-IN" w:bidi="hi-IN"/>
              </w:rPr>
              <w:t>27/01/2021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Surabhi Chemicals and Investments Ltd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Akriti Advisory Services Pvt. Ltd. (Now Known As Jagruti Infra Developers Pvt. Ltd.), Sarvottam Advisory Pvt. Ltd., Saroj Devi Lakhani, Gita Devi Bhutra, Kailash Kumar Lakhani, Abhisek Bhutra, Heena Kaushik Mehta, Rajnikant Maganlal Mehta, Pravin Mahendra Pagare</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Regulations 3(a), (b), (c), (d) and Regulations 4(1), 4(2) (a), € of SEBI (Prohibition of Fraudulent and Unfair Trade Practices relating to Securities Market) Regulations, 2003</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27/01/2021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Kemrock Industries and Exports Ltd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Kemrock Industries And Exports Limited, Kaushik Bhatt, Mukund Bakshi, Kalpesh Mahendrabhai Patel, Dinesh Patel</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Sections 12A(a) to (c) of the SEBI Act, 1992 r/w Regulations 3(a) to (d) and 4(1) of the SEBI (Prohibition of Fraudulent and Unfair Trade Practices relating to Securities Market) Regulations, 2003 </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27/01/2021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Tradebizz Research</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Tradebizz Research Prop. Santosh Singh Parihar</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SEBI (Investment Advisers) Regulations 2013 -Unauthorized Investment Advisory;</w:t>
            </w:r>
            <w:r w:rsidRPr="00EA2012">
              <w:rPr>
                <w:rFonts w:ascii="Palatino Linotype" w:eastAsia="Calibri" w:hAnsi="Palatino Linotype" w:cs="Calibri"/>
                <w:color w:val="000000"/>
                <w:sz w:val="20"/>
                <w:szCs w:val="20"/>
                <w:lang w:val="en-IN" w:bidi="hi-IN"/>
              </w:rPr>
              <w:br/>
              <w:t>SEBI (Prohibition of Fraudulent and Unfair Trade Practices relating to Securities Market) Regulations, 2003 -Others</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28/01/2021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Unishire Urbanscape Pvt Ltd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Unishire Urbanscape Pvt Ltd, </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Provisions 52(1), 52(4) and 52(5) of SEBI (Listing Obligations and Disclosure Requirements) Regulations, 2015</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1,00,000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28/01/2021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Rajesh Housing Private Limited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Rajesh Housing Private Limited</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Provisions 52(1), 52(4) and 52(5) of SEBI (Listing Obligations and Disclosure Requirements) Regulations, 2015</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1,00,000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KGN Enterprises Ltd., Gemstone Investment Ltd &amp; Polytex India Ltd.</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Dilip Jain, Jatin Shah, Janak Chimanlal Dave, Kiran Madhusudan Sheth, Kiran Bhiku Bhanaes, Jigar Praful Ghoghari, Jinal Apurva Rawal, Kishan Balaram Shigvan, Bhupesh Rathod</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Section 11C(5) r/w 11C(6)(c) of SEBI Act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16,00,000 </w:t>
            </w:r>
          </w:p>
        </w:tc>
      </w:tr>
      <w:tr w:rsidR="00065CF0" w:rsidRPr="00B83873" w:rsidTr="00BA55C5">
        <w:trPr>
          <w:trHeight w:val="300"/>
        </w:trPr>
        <w:tc>
          <w:tcPr>
            <w:tcW w:w="1447" w:type="dxa"/>
            <w:tcBorders>
              <w:top w:val="nil"/>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Trading activities of certain entities in Illiquid Stock Options at BSE</w:t>
            </w:r>
          </w:p>
        </w:tc>
        <w:tc>
          <w:tcPr>
            <w:tcW w:w="113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Synergy Dealcom Private Limited ,Suyash Malu</w:t>
            </w:r>
          </w:p>
        </w:tc>
        <w:tc>
          <w:tcPr>
            <w:tcW w:w="2123" w:type="dxa"/>
            <w:tcBorders>
              <w:top w:val="nil"/>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Regulations 3(a), (b), (c), (d), 4(1) and 4(2) of SEBI (Prohibition of Fraudulent and Unfair Trade Practices relating to Securities Market) Regulations, 2003 </w:t>
            </w:r>
          </w:p>
        </w:tc>
        <w:tc>
          <w:tcPr>
            <w:tcW w:w="1420" w:type="dxa"/>
            <w:tcBorders>
              <w:top w:val="nil"/>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13,60,000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Pincon Lifestyle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Ashok Sharma, Sailesh Jha, Ecospace Infotech Private Limited, Pincers Commodities Private Limited, Cheroot Vanijya Pvt.Ltd., Darswana Vinimay Pvt. Ltd., Goldensight Commotrade Pvt. Ltd.,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12A(b) of SEBI Act r/w Regulations 3(a) and (c), 4(1), 4(2)(a), (e) of SEBI (Prohibition of Fraudulent and Unfair Trade Practices relating to Securities Market) Regulations, 2003 </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35,00,000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Master Capital Services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Master Capital Services Limited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SEBI circular No. MIRSD/DR-1/Cir-16/09 dated November 06, 2009 </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2,00,000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Steel Exchange India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Acuity Merchants Pvt Ltd and 22 Others.</w:t>
            </w: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Regulations 3(a), (b), (c), (d), 4(1), 4(2)(a) and (g) and of SEBI (Prohibition of Fraudulent and Unfair Trade Practices relating to Securities Market) Regulations, 2003 r/w Section 12A(a), (b) and (c) of the SEBI Act, 1992</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2,08,00,000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Manpasand Beverages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Mamta Agarwal</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Provisions of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SEBI circular MIRSD/ DR-1/ Cir-16 /09 dated November 06, 2009</w:t>
            </w:r>
          </w:p>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2,00,000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Rajasthan State Road Transport Corporation</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Rajasthan State Road Transport Corporation</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Provisions 52(1), 52(4) and 52(5) of SEBI (Listing Obligations and Disclosure Requirements) Regulations, 2015-</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2,00,000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Maharashtra Patbandhare Vittiya Company Limited (Erstwhile Sicom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Maharashtra Patbandhare Vittiya Company Limited (Erstwhile Sicom Limited)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Provisions 52(1), 52(4) and 52(5) of SEBI (Listing Obligations and Disclosure Requirements) Regulations, 2015</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4,00,000 </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Delayed/non-submission of financial results </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Adjudication</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Bright Buildtech Pvt. Ltd.</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Provisions 52(1), 52(4) and 52(5) of SEBI (Listing Obligations and Disclosure Requirements) Regulations, 2015</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Kassa Finvest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Private Ltd</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Kassa Finvest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Private Ltd</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Clause 12 of SEBI circular no. MIRSD/SE/Cir - 19/2009 dated December 03, 2009 and Clause 33 of Rights and Obligations document for Stock Brok ers, Sub - Brokers and Clients as prescribed by SEBI vide its circular dated August 22, 2011 ;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Regulations 12 A (a) (b) and (c) of the SEBI Act and regulations 3(b), (c) and (d) and regulations 4(1) and 4(2) (k) of the SEBI (Prohibition of Fraudulent and Unfair Trade Practices Relating to Securities Market) Regulations, 2003.</w:t>
            </w:r>
          </w:p>
          <w:p w:rsidR="00065CF0" w:rsidRPr="00EA2012" w:rsidRDefault="00065CF0" w:rsidP="00065CF0">
            <w:pPr>
              <w:autoSpaceDE w:val="0"/>
              <w:autoSpaceDN w:val="0"/>
              <w:adjustRightInd w:val="0"/>
              <w:rPr>
                <w:rFonts w:ascii="Palatino Linotype" w:eastAsia="Calibri" w:hAnsi="Palatino Linotype" w:cs="Garamond"/>
                <w:color w:val="000000"/>
                <w:sz w:val="20"/>
                <w:szCs w:val="20"/>
                <w:lang w:val="en-IN" w:eastAsia="en-IN" w:bidi="hi-IN"/>
              </w:rPr>
            </w:pP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SEBI/MRD/SE/Cir- 33/2003/27/08 dated August 27, 2003 and SEBI Master Circular on AML/ CFT CIR/ISD/AML/3/2010 dated December 31, 2010. </w:t>
            </w:r>
          </w:p>
          <w:p w:rsidR="00065CF0" w:rsidRPr="00EA2012" w:rsidRDefault="00065CF0" w:rsidP="00065CF0">
            <w:pPr>
              <w:autoSpaceDE w:val="0"/>
              <w:autoSpaceDN w:val="0"/>
              <w:adjustRightInd w:val="0"/>
              <w:jc w:val="both"/>
              <w:rPr>
                <w:rFonts w:ascii="Palatino Linotype" w:eastAsia="Calibri" w:hAnsi="Palatino Linotype" w:cs="Calibri"/>
                <w:color w:val="000000"/>
                <w:sz w:val="20"/>
                <w:szCs w:val="20"/>
                <w:lang w:val="en-IN" w:bidi="hi-IN"/>
              </w:rPr>
            </w:pPr>
          </w:p>
          <w:p w:rsidR="00065CF0" w:rsidRPr="00EA2012" w:rsidRDefault="00065CF0" w:rsidP="00065CF0">
            <w:pPr>
              <w:autoSpaceDE w:val="0"/>
              <w:autoSpaceDN w:val="0"/>
              <w:adjustRightInd w:val="0"/>
              <w:rPr>
                <w:rFonts w:ascii="Palatino Linotype" w:eastAsia="Calibri" w:hAnsi="Palatino Linotype" w:cs="Garamond"/>
                <w:color w:val="000000"/>
                <w:sz w:val="20"/>
                <w:szCs w:val="20"/>
                <w:lang w:val="en-IN" w:eastAsia="en-IN" w:bidi="hi-IN"/>
              </w:rPr>
            </w:pPr>
          </w:p>
          <w:p w:rsidR="00065CF0" w:rsidRPr="00EA2012" w:rsidRDefault="00065CF0" w:rsidP="00065CF0">
            <w:pPr>
              <w:autoSpaceDE w:val="0"/>
              <w:autoSpaceDN w:val="0"/>
              <w:adjustRightInd w:val="0"/>
              <w:rPr>
                <w:rFonts w:ascii="Palatino Linotype" w:eastAsia="Calibri" w:hAnsi="Palatino Linotype" w:cs="Garamond"/>
                <w:color w:val="000000"/>
                <w:sz w:val="20"/>
                <w:szCs w:val="20"/>
                <w:lang w:val="en-IN" w:eastAsia="en-IN" w:bidi="hi-IN"/>
              </w:rPr>
            </w:pPr>
            <w:r w:rsidRPr="00EA2012">
              <w:rPr>
                <w:rFonts w:ascii="Palatino Linotype" w:eastAsia="Calibri" w:hAnsi="Palatino Linotype" w:cs="Garamond"/>
                <w:color w:val="000000"/>
                <w:sz w:val="20"/>
                <w:szCs w:val="20"/>
                <w:lang w:val="en-IN" w:eastAsia="en-IN" w:bidi="hi-IN"/>
              </w:rPr>
              <w:t xml:space="preserve">no. CIR/MRD/ICC/30/2013 dated September 26, 2013 and the Conditions of registration as specified under regulation 9(e) of the SEBI (Stock Brokers and Sub Brokers) Regulations, 1992.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Cancellation of Certificates of Registration</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Vertex Spinning Limited</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Vertex Spinning Limited and 17 Others</w:t>
            </w: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Section 12A(a) of SEBI Act, 1992;</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Regulations 3(d ), 4(1), 4(2)(f), 4(2)(k) and 4(2)(r) of SEBI (Prohibition of Fraudulent and Unfair Trading Practices) Regulations, 2003 </w:t>
            </w: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Castor Seed Contracts at NCDEX</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11B</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Investmart Comodities Ltd., Neer Ocean Multitrade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Pvt.  Ltd.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and Mid-India Comodities Pvt.  Ltd.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Clause A (2) of the Code of Conduct as contained in Schedule II read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with Regulation 9 of the SEBI (Stock Broker) Regulations, 1992</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1,00,000</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Amit Saraogi  (Proprietor  of  Amit  Saraogi  and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Company)</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Final Order Section r 12(3) of SEBI Act, 1992</w:t>
            </w: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Amit  Saraogi  (Proprietor  of  Amit  Saraogi  and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Company)</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Regulations 21(1), 21(2) and 21(4) of the Stock  Brokers  Regulations</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t>
            </w:r>
          </w:p>
        </w:tc>
      </w:tr>
      <w:tr w:rsidR="00065CF0" w:rsidRPr="00B83873" w:rsidTr="00BA55C5">
        <w:trPr>
          <w:trHeight w:val="300"/>
        </w:trPr>
        <w:tc>
          <w:tcPr>
            <w:tcW w:w="1447" w:type="dxa"/>
            <w:tcBorders>
              <w:top w:val="single" w:sz="4" w:space="0" w:color="auto"/>
              <w:left w:val="single" w:sz="4" w:space="0" w:color="auto"/>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29/01/2021</w:t>
            </w:r>
          </w:p>
        </w:tc>
        <w:tc>
          <w:tcPr>
            <w:tcW w:w="1842"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Castor Seed Contracts at NCDEX</w:t>
            </w:r>
          </w:p>
        </w:tc>
        <w:tc>
          <w:tcPr>
            <w:tcW w:w="113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p>
        </w:tc>
        <w:tc>
          <w:tcPr>
            <w:tcW w:w="2694"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br/>
              <w:t xml:space="preserve">Investmart Comodities Ltd., Neer Ocean Multitrade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Pvt.  Ltd.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and Mid-India Comodities Pvt.  Ltd.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2123" w:type="dxa"/>
            <w:tcBorders>
              <w:top w:val="single" w:sz="4" w:space="0" w:color="auto"/>
              <w:left w:val="nil"/>
              <w:bottom w:val="single" w:sz="4" w:space="0" w:color="auto"/>
              <w:right w:val="single" w:sz="4" w:space="0" w:color="auto"/>
            </w:tcBorders>
            <w:shd w:val="clear" w:color="auto" w:fill="auto"/>
          </w:tcPr>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violating Clause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 xml:space="preserve">A (2) of the Code of Conduct as contained in Schedule II read </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with Regulation 9 of the SEBI (Stock Broker) Regulations, 1992</w:t>
            </w:r>
          </w:p>
          <w:p w:rsidR="00065CF0" w:rsidRPr="00EA2012" w:rsidRDefault="00065CF0" w:rsidP="00065CF0">
            <w:pPr>
              <w:shd w:val="clear" w:color="auto" w:fill="FFFFFF"/>
              <w:jc w:val="both"/>
              <w:rPr>
                <w:rFonts w:ascii="Palatino Linotype" w:eastAsia="Calibri" w:hAnsi="Palatino Linotype" w:cs="Calibri"/>
                <w:color w:val="000000"/>
                <w:sz w:val="20"/>
                <w:szCs w:val="20"/>
                <w:lang w:val="en-IN" w:bidi="hi-IN"/>
              </w:rPr>
            </w:pPr>
          </w:p>
        </w:tc>
        <w:tc>
          <w:tcPr>
            <w:tcW w:w="1420" w:type="dxa"/>
            <w:tcBorders>
              <w:top w:val="single" w:sz="4" w:space="0" w:color="auto"/>
              <w:left w:val="nil"/>
              <w:bottom w:val="single" w:sz="4" w:space="0" w:color="auto"/>
              <w:right w:val="single" w:sz="4" w:space="0" w:color="auto"/>
            </w:tcBorders>
            <w:shd w:val="clear" w:color="auto" w:fill="auto"/>
            <w:noWrap/>
          </w:tcPr>
          <w:p w:rsidR="00065CF0" w:rsidRPr="00EA2012" w:rsidRDefault="00065CF0" w:rsidP="00065CF0">
            <w:pPr>
              <w:spacing w:after="160" w:line="259" w:lineRule="auto"/>
              <w:jc w:val="both"/>
              <w:rPr>
                <w:rFonts w:ascii="Palatino Linotype" w:eastAsia="Calibri" w:hAnsi="Palatino Linotype" w:cs="Calibri"/>
                <w:color w:val="000000"/>
                <w:sz w:val="20"/>
                <w:szCs w:val="20"/>
                <w:lang w:val="en-IN" w:bidi="hi-IN"/>
              </w:rPr>
            </w:pPr>
            <w:r w:rsidRPr="00EA2012">
              <w:rPr>
                <w:rFonts w:ascii="Palatino Linotype" w:eastAsia="Calibri" w:hAnsi="Palatino Linotype" w:cs="Calibri"/>
                <w:color w:val="000000"/>
                <w:sz w:val="20"/>
                <w:szCs w:val="20"/>
                <w:lang w:val="en-IN" w:bidi="hi-IN"/>
              </w:rPr>
              <w:t>1,00,000</w:t>
            </w:r>
          </w:p>
        </w:tc>
      </w:tr>
    </w:tbl>
    <w:p w:rsidR="00272724" w:rsidRDefault="00272724" w:rsidP="00272724">
      <w:pPr>
        <w:pStyle w:val="ListParagraph"/>
        <w:rPr>
          <w:rFonts w:ascii="Garamond" w:hAnsi="Garamond"/>
          <w:sz w:val="24"/>
          <w:szCs w:val="24"/>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47"/>
      <w:headerReference w:type="default" r:id="rId48"/>
      <w:footerReference w:type="even" r:id="rId49"/>
      <w:footerReference w:type="default" r:id="rId50"/>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C28" w:rsidRDefault="003D3C28" w:rsidP="00E07645">
      <w:r>
        <w:separator/>
      </w:r>
    </w:p>
  </w:endnote>
  <w:endnote w:type="continuationSeparator" w:id="0">
    <w:p w:rsidR="003D3C28" w:rsidRDefault="003D3C28"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Rupee Foradian">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5C5" w:rsidRDefault="00BA55C5">
    <w:pPr>
      <w:pStyle w:val="Footer"/>
    </w:pPr>
  </w:p>
  <w:p w:rsidR="00BA55C5" w:rsidRDefault="00BA55C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5C5" w:rsidRDefault="00BA55C5" w:rsidP="005F4FFF">
    <w:pPr>
      <w:pStyle w:val="Footer"/>
      <w:pBdr>
        <w:top w:val="single" w:sz="4" w:space="1" w:color="D9D9D9"/>
      </w:pBdr>
      <w:jc w:val="right"/>
    </w:pPr>
    <w:r>
      <w:fldChar w:fldCharType="begin"/>
    </w:r>
    <w:r>
      <w:instrText xml:space="preserve"> PAGE   \* MERGEFORMAT </w:instrText>
    </w:r>
    <w:r>
      <w:fldChar w:fldCharType="separate"/>
    </w:r>
    <w:r w:rsidR="001D0BCA">
      <w:rPr>
        <w:noProof/>
      </w:rPr>
      <w:t>1</w:t>
    </w:r>
    <w:r>
      <w:rPr>
        <w:noProof/>
      </w:rPr>
      <w:fldChar w:fldCharType="end"/>
    </w:r>
    <w:r>
      <w:t xml:space="preserve"> | </w:t>
    </w:r>
    <w:r w:rsidRPr="00601592">
      <w:rPr>
        <w:color w:val="7F7F7F"/>
        <w:spacing w:val="60"/>
      </w:rPr>
      <w:t>Page</w:t>
    </w:r>
  </w:p>
  <w:p w:rsidR="00BA55C5" w:rsidRDefault="00BA55C5">
    <w:pPr>
      <w:pStyle w:val="Footer"/>
    </w:pPr>
  </w:p>
  <w:p w:rsidR="00BA55C5" w:rsidRDefault="00BA55C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5C5" w:rsidRDefault="00BA55C5">
    <w:pPr>
      <w:pStyle w:val="Footer"/>
    </w:pPr>
  </w:p>
  <w:p w:rsidR="00BA55C5" w:rsidRDefault="00BA55C5"/>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BA55C5" w:rsidRDefault="00BA55C5">
        <w:pPr>
          <w:pStyle w:val="Footer"/>
          <w:pBdr>
            <w:top w:val="single" w:sz="4" w:space="1" w:color="D9D9D9" w:themeColor="background1" w:themeShade="D9"/>
          </w:pBdr>
          <w:jc w:val="right"/>
        </w:pPr>
        <w:r>
          <w:fldChar w:fldCharType="begin"/>
        </w:r>
        <w:r>
          <w:instrText xml:space="preserve"> PAGE   \* MERGEFORMAT </w:instrText>
        </w:r>
        <w:r>
          <w:fldChar w:fldCharType="separate"/>
        </w:r>
        <w:r w:rsidR="007C1332">
          <w:rPr>
            <w:noProof/>
          </w:rPr>
          <w:t>52</w:t>
        </w:r>
        <w:r>
          <w:rPr>
            <w:noProof/>
          </w:rPr>
          <w:fldChar w:fldCharType="end"/>
        </w:r>
        <w:r>
          <w:t xml:space="preserve"> | </w:t>
        </w:r>
        <w:r>
          <w:rPr>
            <w:color w:val="7F7F7F" w:themeColor="background1" w:themeShade="7F"/>
            <w:spacing w:val="60"/>
          </w:rPr>
          <w:t>Page</w:t>
        </w:r>
      </w:p>
    </w:sdtContent>
  </w:sdt>
  <w:p w:rsidR="00BA55C5" w:rsidRDefault="00BA55C5">
    <w:pPr>
      <w:pStyle w:val="Footer"/>
    </w:pPr>
  </w:p>
  <w:p w:rsidR="00BA55C5" w:rsidRDefault="00BA55C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C28" w:rsidRDefault="003D3C28" w:rsidP="00E07645">
      <w:r>
        <w:separator/>
      </w:r>
    </w:p>
  </w:footnote>
  <w:footnote w:type="continuationSeparator" w:id="0">
    <w:p w:rsidR="003D3C28" w:rsidRDefault="003D3C28" w:rsidP="00E07645">
      <w:r>
        <w:continuationSeparator/>
      </w:r>
    </w:p>
  </w:footnote>
  <w:footnote w:id="1">
    <w:p w:rsidR="00BA55C5" w:rsidRPr="005B5517" w:rsidRDefault="00BA55C5" w:rsidP="00B25705">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BA55C5" w:rsidRDefault="00BA55C5" w:rsidP="002F3AF7">
      <w:pPr>
        <w:pStyle w:val="FootnoteText"/>
      </w:pPr>
      <w:r>
        <w:rPr>
          <w:rStyle w:val="FootnoteReference"/>
        </w:rPr>
        <w:footnoteRef/>
      </w:r>
      <w:r>
        <w:t xml:space="preserve"> Based on data available on World Federation of Exchanges as on 15 January, 2020. BSE data from WFE has not been included as BSE is no longer providing data to WFE since June 2019.</w:t>
      </w:r>
    </w:p>
  </w:footnote>
  <w:footnote w:id="3">
    <w:p w:rsidR="00BA55C5" w:rsidRDefault="00BA55C5" w:rsidP="002F3AF7">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4">
    <w:p w:rsidR="00BA55C5" w:rsidRDefault="00BA55C5" w:rsidP="002F3AF7">
      <w:pPr>
        <w:pStyle w:val="FootnoteText"/>
      </w:pPr>
      <w:r>
        <w:rPr>
          <w:rStyle w:val="FootnoteReference"/>
        </w:rPr>
        <w:footnoteRef/>
      </w:r>
      <w:r>
        <w:t xml:space="preserve"> Germany, Spain, USA, UK, Japan, India, China, Brazil and Russia.</w:t>
      </w:r>
    </w:p>
  </w:footnote>
  <w:footnote w:id="5">
    <w:p w:rsidR="00BA55C5" w:rsidRDefault="00BA55C5" w:rsidP="002F3AF7">
      <w:pPr>
        <w:pStyle w:val="FootnoteText"/>
      </w:pPr>
      <w:r>
        <w:rPr>
          <w:rStyle w:val="FootnoteReference"/>
        </w:rPr>
        <w:footnoteRef/>
      </w:r>
      <w:r>
        <w:t xml:space="preserve"> Data available on as on 15</w:t>
      </w:r>
      <w:r w:rsidRPr="00AB2F55">
        <w:rPr>
          <w:vertAlign w:val="superscript"/>
        </w:rPr>
        <w:t>th</w:t>
      </w:r>
      <w:r>
        <w:t xml:space="preserve"> Feb 2020 on WFE as submitted by exchanges which are members of WFE,</w:t>
      </w:r>
    </w:p>
  </w:footnote>
  <w:footnote w:id="6">
    <w:p w:rsidR="00BA55C5" w:rsidRDefault="00BA55C5" w:rsidP="002F3AF7">
      <w:pPr>
        <w:pStyle w:val="FootnoteText"/>
      </w:pPr>
      <w:r>
        <w:rPr>
          <w:rStyle w:val="FootnoteReference"/>
        </w:rPr>
        <w:footnoteRef/>
      </w:r>
      <w:r>
        <w:t xml:space="preserve"> USA, UK, Germany, France, Japan, Singapore, Hong Kong, China, Russia, India, S. Korea and Australia.</w:t>
      </w:r>
    </w:p>
  </w:footnote>
  <w:footnote w:id="7">
    <w:p w:rsidR="00BA55C5" w:rsidRDefault="00BA55C5" w:rsidP="002F3AF7">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5C5" w:rsidRDefault="00BA55C5">
    <w:pPr>
      <w:pStyle w:val="Header"/>
    </w:pPr>
  </w:p>
  <w:p w:rsidR="00BA55C5" w:rsidRDefault="00BA55C5"/>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5C5" w:rsidRDefault="00BA55C5">
    <w:pPr>
      <w:pStyle w:val="Header"/>
    </w:pPr>
  </w:p>
  <w:p w:rsidR="00BA55C5" w:rsidRDefault="00BA55C5"/>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5C5" w:rsidRDefault="00BA55C5">
    <w:pPr>
      <w:pStyle w:val="Header"/>
    </w:pPr>
  </w:p>
  <w:p w:rsidR="00BA55C5" w:rsidRDefault="00BA55C5"/>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5C5" w:rsidRDefault="00BA55C5">
    <w:pPr>
      <w:pStyle w:val="Header"/>
    </w:pPr>
  </w:p>
  <w:p w:rsidR="00BA55C5" w:rsidRDefault="00BA55C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7980DCB"/>
    <w:multiLevelType w:val="hybridMultilevel"/>
    <w:tmpl w:val="FF2E1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64439A5"/>
    <w:multiLevelType w:val="hybridMultilevel"/>
    <w:tmpl w:val="47CCC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1"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C49255A"/>
    <w:multiLevelType w:val="hybridMultilevel"/>
    <w:tmpl w:val="E850E076"/>
    <w:lvl w:ilvl="0" w:tplc="5AC22932">
      <w:numFmt w:val="bullet"/>
      <w:lvlText w:val=""/>
      <w:lvlJc w:val="left"/>
      <w:pPr>
        <w:ind w:left="1080" w:hanging="360"/>
      </w:pPr>
      <w:rPr>
        <w:rFonts w:ascii="Symbol" w:eastAsia="Palatino Linotype" w:hAnsi="Symbol" w:cs="Palatino Linotype"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699105C"/>
    <w:multiLevelType w:val="hybridMultilevel"/>
    <w:tmpl w:val="9926BFE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0"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33"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7"/>
  </w:num>
  <w:num w:numId="2">
    <w:abstractNumId w:val="35"/>
  </w:num>
  <w:num w:numId="3">
    <w:abstractNumId w:val="28"/>
  </w:num>
  <w:num w:numId="4">
    <w:abstractNumId w:val="8"/>
  </w:num>
  <w:num w:numId="5">
    <w:abstractNumId w:val="5"/>
  </w:num>
  <w:num w:numId="6">
    <w:abstractNumId w:val="31"/>
  </w:num>
  <w:num w:numId="7">
    <w:abstractNumId w:val="33"/>
  </w:num>
  <w:num w:numId="8">
    <w:abstractNumId w:val="21"/>
  </w:num>
  <w:num w:numId="9">
    <w:abstractNumId w:val="16"/>
  </w:num>
  <w:num w:numId="10">
    <w:abstractNumId w:val="12"/>
  </w:num>
  <w:num w:numId="11">
    <w:abstractNumId w:val="26"/>
  </w:num>
  <w:num w:numId="12">
    <w:abstractNumId w:val="36"/>
  </w:num>
  <w:num w:numId="13">
    <w:abstractNumId w:val="3"/>
  </w:num>
  <w:num w:numId="14">
    <w:abstractNumId w:val="1"/>
  </w:num>
  <w:num w:numId="15">
    <w:abstractNumId w:val="2"/>
  </w:num>
  <w:num w:numId="16">
    <w:abstractNumId w:val="0"/>
  </w:num>
  <w:num w:numId="17">
    <w:abstractNumId w:val="4"/>
  </w:num>
  <w:num w:numId="18">
    <w:abstractNumId w:val="17"/>
  </w:num>
  <w:num w:numId="19">
    <w:abstractNumId w:val="18"/>
  </w:num>
  <w:num w:numId="20">
    <w:abstractNumId w:val="10"/>
  </w:num>
  <w:num w:numId="21">
    <w:abstractNumId w:val="23"/>
  </w:num>
  <w:num w:numId="22">
    <w:abstractNumId w:val="30"/>
  </w:num>
  <w:num w:numId="23">
    <w:abstractNumId w:val="13"/>
  </w:num>
  <w:num w:numId="24">
    <w:abstractNumId w:val="24"/>
  </w:num>
  <w:num w:numId="25">
    <w:abstractNumId w:val="25"/>
  </w:num>
  <w:num w:numId="26">
    <w:abstractNumId w:val="14"/>
  </w:num>
  <w:num w:numId="27">
    <w:abstractNumId w:val="15"/>
  </w:num>
  <w:num w:numId="28">
    <w:abstractNumId w:val="34"/>
  </w:num>
  <w:num w:numId="29">
    <w:abstractNumId w:val="20"/>
  </w:num>
  <w:num w:numId="30">
    <w:abstractNumId w:val="32"/>
  </w:num>
  <w:num w:numId="31">
    <w:abstractNumId w:val="27"/>
  </w:num>
  <w:num w:numId="32">
    <w:abstractNumId w:val="11"/>
  </w:num>
  <w:num w:numId="33">
    <w:abstractNumId w:val="22"/>
  </w:num>
  <w:num w:numId="34">
    <w:abstractNumId w:val="9"/>
  </w:num>
  <w:num w:numId="35">
    <w:abstractNumId w:val="19"/>
  </w:num>
  <w:num w:numId="36">
    <w:abstractNumId w:val="29"/>
  </w:num>
  <w:num w:numId="37">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F02FB"/>
    <w:rsid w:val="000F0612"/>
    <w:rsid w:val="000F0BF4"/>
    <w:rsid w:val="000F17E5"/>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093A"/>
    <w:rsid w:val="001D0BCA"/>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3AF7"/>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3C28"/>
    <w:rsid w:val="003D3F72"/>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A95"/>
    <w:rsid w:val="003F3BBB"/>
    <w:rsid w:val="003F537A"/>
    <w:rsid w:val="003F5475"/>
    <w:rsid w:val="003F560E"/>
    <w:rsid w:val="003F5A24"/>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191E"/>
    <w:rsid w:val="00512441"/>
    <w:rsid w:val="00512785"/>
    <w:rsid w:val="00513E19"/>
    <w:rsid w:val="0051508B"/>
    <w:rsid w:val="00515FF5"/>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00E"/>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25EE"/>
    <w:rsid w:val="00722972"/>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5D12"/>
    <w:rsid w:val="007978DE"/>
    <w:rsid w:val="007A291E"/>
    <w:rsid w:val="007A54BA"/>
    <w:rsid w:val="007A583C"/>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972B4"/>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AA5"/>
    <w:rsid w:val="00A072C1"/>
    <w:rsid w:val="00A07B14"/>
    <w:rsid w:val="00A113B3"/>
    <w:rsid w:val="00A11694"/>
    <w:rsid w:val="00A12F12"/>
    <w:rsid w:val="00A134B2"/>
    <w:rsid w:val="00A139E6"/>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F98"/>
    <w:rsid w:val="00CE4A4A"/>
    <w:rsid w:val="00CE4B31"/>
    <w:rsid w:val="00CE5886"/>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4282"/>
    <w:rsid w:val="00DF4DB1"/>
    <w:rsid w:val="00DF4F75"/>
    <w:rsid w:val="00DF61AF"/>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C48"/>
    <w:rsid w:val="00E23764"/>
    <w:rsid w:val="00E25497"/>
    <w:rsid w:val="00E25BD9"/>
    <w:rsid w:val="00E26147"/>
    <w:rsid w:val="00E263F0"/>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5332"/>
    <w:rsid w:val="00E7624D"/>
    <w:rsid w:val="00E8001E"/>
    <w:rsid w:val="00E808D0"/>
    <w:rsid w:val="00E80A7D"/>
    <w:rsid w:val="00E8251D"/>
    <w:rsid w:val="00E8490D"/>
    <w:rsid w:val="00E85B1B"/>
    <w:rsid w:val="00E86EA2"/>
    <w:rsid w:val="00E87E37"/>
    <w:rsid w:val="00E90138"/>
    <w:rsid w:val="00E92CFD"/>
    <w:rsid w:val="00E933DC"/>
    <w:rsid w:val="00E94C05"/>
    <w:rsid w:val="00E94CA0"/>
    <w:rsid w:val="00E9744A"/>
    <w:rsid w:val="00E974CF"/>
    <w:rsid w:val="00E97AE2"/>
    <w:rsid w:val="00EA169B"/>
    <w:rsid w:val="00EA2012"/>
    <w:rsid w:val="00EA26A1"/>
    <w:rsid w:val="00EA4711"/>
    <w:rsid w:val="00EA538F"/>
    <w:rsid w:val="00EA5938"/>
    <w:rsid w:val="00EA5A39"/>
    <w:rsid w:val="00EA5B35"/>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9B1"/>
    <w:rsid w:val="00F368EA"/>
    <w:rsid w:val="00F378C2"/>
    <w:rsid w:val="00F37BB4"/>
    <w:rsid w:val="00F42930"/>
    <w:rsid w:val="00F42B5D"/>
    <w:rsid w:val="00F42F9E"/>
    <w:rsid w:val="00F437A5"/>
    <w:rsid w:val="00F43DB2"/>
    <w:rsid w:val="00F45A36"/>
    <w:rsid w:val="00F4639C"/>
    <w:rsid w:val="00F47CE2"/>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A1"/>
    <w:rsid w:val="00FC2FF6"/>
    <w:rsid w:val="00FC3171"/>
    <w:rsid w:val="00FC57AE"/>
    <w:rsid w:val="00FC5D27"/>
    <w:rsid w:val="00FC5E32"/>
    <w:rsid w:val="00FC60B4"/>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ettings" Target="settings.xml"/><Relationship Id="rId18" Type="http://schemas.openxmlformats.org/officeDocument/2006/relationships/hyperlink" Target="mailto:bulletin@sebi.gov.in" TargetMode="External"/><Relationship Id="rId26" Type="http://schemas.openxmlformats.org/officeDocument/2006/relationships/chart" Target="charts/chart8.xml"/><Relationship Id="rId39" Type="http://schemas.openxmlformats.org/officeDocument/2006/relationships/image" Target="media/image4.png"/><Relationship Id="rId21" Type="http://schemas.openxmlformats.org/officeDocument/2006/relationships/chart" Target="charts/chart3.xml"/><Relationship Id="rId34" Type="http://schemas.openxmlformats.org/officeDocument/2006/relationships/chart" Target="charts/chart16.xml"/><Relationship Id="rId42" Type="http://schemas.openxmlformats.org/officeDocument/2006/relationships/header" Target="header1.xm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endnotes" Target="endnotes.xml"/><Relationship Id="rId29" Type="http://schemas.openxmlformats.org/officeDocument/2006/relationships/chart" Target="charts/chart11.xml"/><Relationship Id="rId11" Type="http://schemas.openxmlformats.org/officeDocument/2006/relationships/numbering" Target="numbering.xml"/><Relationship Id="rId24" Type="http://schemas.openxmlformats.org/officeDocument/2006/relationships/chart" Target="charts/chart6.xml"/><Relationship Id="rId32" Type="http://schemas.openxmlformats.org/officeDocument/2006/relationships/chart" Target="charts/chart14.xm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1.png"/><Relationship Id="rId49" Type="http://schemas.openxmlformats.org/officeDocument/2006/relationships/footer" Target="footer3.xml"/><Relationship Id="rId10" Type="http://schemas.openxmlformats.org/officeDocument/2006/relationships/customXml" Target="../customXml/item10.xml"/><Relationship Id="rId19" Type="http://schemas.openxmlformats.org/officeDocument/2006/relationships/chart" Target="charts/chart1.xml"/><Relationship Id="rId31" Type="http://schemas.openxmlformats.org/officeDocument/2006/relationships/chart" Target="charts/chart13.xml"/><Relationship Id="rId44"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chart" Target="charts/chart12.xml"/><Relationship Id="rId35" Type="http://schemas.openxmlformats.org/officeDocument/2006/relationships/chart" Target="charts/chart17.xml"/><Relationship Id="rId43" Type="http://schemas.openxmlformats.org/officeDocument/2006/relationships/header" Target="header2.xml"/><Relationship Id="rId48" Type="http://schemas.openxmlformats.org/officeDocument/2006/relationships/header" Target="header4.xml"/><Relationship Id="rId8" Type="http://schemas.openxmlformats.org/officeDocument/2006/relationships/customXml" Target="../customXml/item8.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styles" Target="styles.xml"/><Relationship Id="rId17" Type="http://schemas.openxmlformats.org/officeDocument/2006/relationships/hyperlink" Target="http://www.sebi.gov.in" TargetMode="External"/><Relationship Id="rId25" Type="http://schemas.openxmlformats.org/officeDocument/2006/relationships/chart" Target="charts/chart7.xml"/><Relationship Id="rId33" Type="http://schemas.openxmlformats.org/officeDocument/2006/relationships/chart" Target="charts/chart15.xml"/><Relationship Id="rId38" Type="http://schemas.openxmlformats.org/officeDocument/2006/relationships/image" Target="media/image3.png"/><Relationship Id="rId46" Type="http://schemas.openxmlformats.org/officeDocument/2006/relationships/hyperlink" Target="https://www.sebi.gov.in/enforcement/orders/jan-2021/adjudication-order-in-the-matter-of-gdr-issue-of-k-sera-sera-limited-now-known-as-kss-limited_48875.html" TargetMode="External"/><Relationship Id="rId20" Type="http://schemas.openxmlformats.org/officeDocument/2006/relationships/chart" Target="charts/chart2.xm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F:\C%20DRIVE%20DATA%20BACKUP%2013-11-2019\Documents\Work_HO_DEPA\2020-21\Bulletin\Feb%202021\CMR%20Feb%20202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F:\C%20DRIVE%20DATA%20BACKUP%2013-11-2019\Documents\Work_HO_DEPA\2020-21\Bulletin\Feb%202021\CMR%20Feb%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F:\C%20DRIVE%20DATA%20BACKUP%2013-11-2019\Documents\Work_HO_DEPA\2020-21\Bulletin\Feb%202021\CMR%20Feb%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F:\C%20DRIVE%20DATA%20BACKUP%2013-11-2019\Documents\Work_HO_DEPA\2020-21\Bulletin\Feb%202021\CMR%20Feb%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F:\C%20DRIVE%20DATA%20BACKUP%2013-11-2019\Documents\Work_HO_DEPA\2020-21\Bulletin\Feb%202021\CMR%20Feb%202021..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F:\C%20DRIVE%20DATA%20BACKUP%2013-11-2019\Documents\Work_HO_DEPA\2020-21\Bulletin\Feb%202021\CMR%20Feb%202021..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file:///F:\C%20DRIVE%20DATA%20BACKUP%2013-11-2019\Documents\Work_HO_DEPA\2020-21\Bulletin\Feb%202021\CMR%20Feb%202021..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1.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F:\C%20DRIVE%20DATA%20BACKUP%2013-11-2019\Documents\Work_HO_DEPA\2020-21\Bulletin\Feb%202021\CMR%20Feb%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2.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3.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4.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2201\Desktop\Month-wise%20Bulletin\Bulletin%20Jan.%202021%20to%20Dec.%202021\Jan.%202021\Graphs%20%20data%20for%20bulletin%20Jan.%20%202021.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2201\Desktop\Month-wise%20Bulletin\Bulletin%20Jan.%202021%20to%20Dec.%202021\Jan.%202021\Graphs%20%20data%20for%20bulletin%20Jan.%20%202021.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2201\Desktop\Month-wise%20Bulletin\Bulletin%20Jan.%202021%20to%20Dec.%202021\Jan.%202021\Graphs%20%20data%20for%20bulletin%20Jan.%20%202021.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2201\Desktop\Month-wise%20Bulletin\Bulletin%20Jan.%202021%20to%20Dec.%202021\Jan.%202021\Graphs%20%20data%20for%20bulletin%20Jan.%20%2020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2"/>
          <c:order val="0"/>
          <c:tx>
            <c:strRef>
              <c:f>'F1'!$D$1</c:f>
              <c:strCache>
                <c:ptCount val="1"/>
                <c:pt idx="0">
                  <c:v>Nifty </c:v>
                </c:pt>
              </c:strCache>
            </c:strRef>
          </c:tx>
          <c:spPr>
            <a:ln w="28575" cap="rnd">
              <a:solidFill>
                <a:srgbClr val="00B050"/>
              </a:solidFill>
              <a:round/>
            </a:ln>
            <a:effectLst/>
          </c:spPr>
          <c:marker>
            <c:symbol val="none"/>
          </c:marker>
          <c:cat>
            <c:numRef>
              <c:f>'F1'!$A$2:$A$21</c:f>
              <c:numCache>
                <c:formatCode>d\-mmm\-yy</c:formatCode>
                <c:ptCount val="20"/>
                <c:pt idx="0">
                  <c:v>44197</c:v>
                </c:pt>
                <c:pt idx="1">
                  <c:v>44200</c:v>
                </c:pt>
                <c:pt idx="2">
                  <c:v>44201</c:v>
                </c:pt>
                <c:pt idx="3">
                  <c:v>44202</c:v>
                </c:pt>
                <c:pt idx="4">
                  <c:v>44203</c:v>
                </c:pt>
                <c:pt idx="5">
                  <c:v>44204</c:v>
                </c:pt>
                <c:pt idx="6">
                  <c:v>44207</c:v>
                </c:pt>
                <c:pt idx="7">
                  <c:v>44208</c:v>
                </c:pt>
                <c:pt idx="8">
                  <c:v>44209</c:v>
                </c:pt>
                <c:pt idx="9">
                  <c:v>44210</c:v>
                </c:pt>
                <c:pt idx="10">
                  <c:v>44211</c:v>
                </c:pt>
                <c:pt idx="11">
                  <c:v>44214</c:v>
                </c:pt>
                <c:pt idx="12">
                  <c:v>44215</c:v>
                </c:pt>
                <c:pt idx="13">
                  <c:v>44216</c:v>
                </c:pt>
                <c:pt idx="14">
                  <c:v>44217</c:v>
                </c:pt>
                <c:pt idx="15">
                  <c:v>44218</c:v>
                </c:pt>
                <c:pt idx="16">
                  <c:v>44221</c:v>
                </c:pt>
                <c:pt idx="17">
                  <c:v>44223</c:v>
                </c:pt>
                <c:pt idx="18">
                  <c:v>44224</c:v>
                </c:pt>
                <c:pt idx="19">
                  <c:v>44225</c:v>
                </c:pt>
              </c:numCache>
            </c:numRef>
          </c:cat>
          <c:val>
            <c:numRef>
              <c:f>'F1'!$D$2:$D$21</c:f>
              <c:numCache>
                <c:formatCode>0.0</c:formatCode>
                <c:ptCount val="20"/>
                <c:pt idx="0">
                  <c:v>100</c:v>
                </c:pt>
                <c:pt idx="1">
                  <c:v>100.81606448621466</c:v>
                </c:pt>
                <c:pt idx="2">
                  <c:v>101.29115097906339</c:v>
                </c:pt>
                <c:pt idx="3">
                  <c:v>100.91129578770911</c:v>
                </c:pt>
                <c:pt idx="4">
                  <c:v>100.84780825337948</c:v>
                </c:pt>
                <c:pt idx="5">
                  <c:v>102.34511538324359</c:v>
                </c:pt>
                <c:pt idx="6">
                  <c:v>103.32596212148235</c:v>
                </c:pt>
                <c:pt idx="7">
                  <c:v>103.8873631272961</c:v>
                </c:pt>
                <c:pt idx="8">
                  <c:v>103.89734993044907</c:v>
                </c:pt>
                <c:pt idx="9">
                  <c:v>104.11670292827337</c:v>
                </c:pt>
                <c:pt idx="10">
                  <c:v>102.96180047793989</c:v>
                </c:pt>
                <c:pt idx="11">
                  <c:v>101.87466562043016</c:v>
                </c:pt>
                <c:pt idx="12">
                  <c:v>103.58561900345974</c:v>
                </c:pt>
                <c:pt idx="13">
                  <c:v>104.46695438170991</c:v>
                </c:pt>
                <c:pt idx="14">
                  <c:v>104.07925241644972</c:v>
                </c:pt>
                <c:pt idx="15">
                  <c:v>102.52095445304421</c:v>
                </c:pt>
                <c:pt idx="16">
                  <c:v>101.57220815351145</c:v>
                </c:pt>
                <c:pt idx="17">
                  <c:v>99.636195027998738</c:v>
                </c:pt>
                <c:pt idx="18">
                  <c:v>98.566537076006725</c:v>
                </c:pt>
                <c:pt idx="19">
                  <c:v>97.261475906837418</c:v>
                </c:pt>
              </c:numCache>
            </c:numRef>
          </c:val>
          <c:smooth val="0"/>
          <c:extLst>
            <c:ext xmlns:c16="http://schemas.microsoft.com/office/drawing/2014/chart" uri="{C3380CC4-5D6E-409C-BE32-E72D297353CC}">
              <c16:uniqueId val="{00000000-939F-41BC-AAA3-E3005F5786A9}"/>
            </c:ext>
          </c:extLst>
        </c:ser>
        <c:ser>
          <c:idx val="3"/>
          <c:order val="1"/>
          <c:tx>
            <c:strRef>
              <c:f>'F1'!$E$1</c:f>
              <c:strCache>
                <c:ptCount val="1"/>
                <c:pt idx="0">
                  <c:v>Sensex </c:v>
                </c:pt>
              </c:strCache>
            </c:strRef>
          </c:tx>
          <c:spPr>
            <a:ln w="28575" cap="rnd">
              <a:solidFill>
                <a:srgbClr val="FF0000"/>
              </a:solidFill>
              <a:round/>
            </a:ln>
            <a:effectLst/>
          </c:spPr>
          <c:marker>
            <c:symbol val="none"/>
          </c:marker>
          <c:cat>
            <c:numRef>
              <c:f>'F1'!$A$2:$A$21</c:f>
              <c:numCache>
                <c:formatCode>d\-mmm\-yy</c:formatCode>
                <c:ptCount val="20"/>
                <c:pt idx="0">
                  <c:v>44197</c:v>
                </c:pt>
                <c:pt idx="1">
                  <c:v>44200</c:v>
                </c:pt>
                <c:pt idx="2">
                  <c:v>44201</c:v>
                </c:pt>
                <c:pt idx="3">
                  <c:v>44202</c:v>
                </c:pt>
                <c:pt idx="4">
                  <c:v>44203</c:v>
                </c:pt>
                <c:pt idx="5">
                  <c:v>44204</c:v>
                </c:pt>
                <c:pt idx="6">
                  <c:v>44207</c:v>
                </c:pt>
                <c:pt idx="7">
                  <c:v>44208</c:v>
                </c:pt>
                <c:pt idx="8">
                  <c:v>44209</c:v>
                </c:pt>
                <c:pt idx="9">
                  <c:v>44210</c:v>
                </c:pt>
                <c:pt idx="10">
                  <c:v>44211</c:v>
                </c:pt>
                <c:pt idx="11">
                  <c:v>44214</c:v>
                </c:pt>
                <c:pt idx="12">
                  <c:v>44215</c:v>
                </c:pt>
                <c:pt idx="13">
                  <c:v>44216</c:v>
                </c:pt>
                <c:pt idx="14">
                  <c:v>44217</c:v>
                </c:pt>
                <c:pt idx="15">
                  <c:v>44218</c:v>
                </c:pt>
                <c:pt idx="16">
                  <c:v>44221</c:v>
                </c:pt>
                <c:pt idx="17">
                  <c:v>44223</c:v>
                </c:pt>
                <c:pt idx="18">
                  <c:v>44224</c:v>
                </c:pt>
                <c:pt idx="19">
                  <c:v>44225</c:v>
                </c:pt>
              </c:numCache>
            </c:numRef>
          </c:cat>
          <c:val>
            <c:numRef>
              <c:f>'F1'!$E$2:$E$21</c:f>
              <c:numCache>
                <c:formatCode>0.0</c:formatCode>
                <c:ptCount val="20"/>
                <c:pt idx="0" formatCode="0">
                  <c:v>100</c:v>
                </c:pt>
                <c:pt idx="1">
                  <c:v>100.64304691681336</c:v>
                </c:pt>
                <c:pt idx="2">
                  <c:v>101.18824340940627</c:v>
                </c:pt>
                <c:pt idx="3">
                  <c:v>100.63732295946144</c:v>
                </c:pt>
                <c:pt idx="4">
                  <c:v>100.46865423077745</c:v>
                </c:pt>
                <c:pt idx="5">
                  <c:v>101.90839662762819</c:v>
                </c:pt>
                <c:pt idx="6">
                  <c:v>102.92536001393808</c:v>
                </c:pt>
                <c:pt idx="7">
                  <c:v>103.44300212789163</c:v>
                </c:pt>
                <c:pt idx="8">
                  <c:v>103.39121493710545</c:v>
                </c:pt>
                <c:pt idx="9">
                  <c:v>103.58307196017132</c:v>
                </c:pt>
                <c:pt idx="10">
                  <c:v>102.43516782684739</c:v>
                </c:pt>
                <c:pt idx="11">
                  <c:v>101.45248551358314</c:v>
                </c:pt>
                <c:pt idx="12">
                  <c:v>103.19478292622908</c:v>
                </c:pt>
                <c:pt idx="13">
                  <c:v>104.017507788969</c:v>
                </c:pt>
                <c:pt idx="14">
                  <c:v>103.66788680268519</c:v>
                </c:pt>
                <c:pt idx="15">
                  <c:v>102.10900670956434</c:v>
                </c:pt>
                <c:pt idx="16">
                  <c:v>100.99983329496473</c:v>
                </c:pt>
                <c:pt idx="17">
                  <c:v>99.041028240000117</c:v>
                </c:pt>
                <c:pt idx="18">
                  <c:v>97.922203481252382</c:v>
                </c:pt>
                <c:pt idx="19">
                  <c:v>96.692618058709414</c:v>
                </c:pt>
              </c:numCache>
            </c:numRef>
          </c:val>
          <c:smooth val="0"/>
          <c:extLst>
            <c:ext xmlns:c16="http://schemas.microsoft.com/office/drawing/2014/chart" uri="{C3380CC4-5D6E-409C-BE32-E72D297353CC}">
              <c16:uniqueId val="{00000001-939F-41BC-AAA3-E3005F5786A9}"/>
            </c:ext>
          </c:extLst>
        </c:ser>
        <c:dLbls>
          <c:showLegendKey val="0"/>
          <c:showVal val="0"/>
          <c:showCatName val="0"/>
          <c:showSerName val="0"/>
          <c:showPercent val="0"/>
          <c:showBubbleSize val="0"/>
        </c:dLbls>
        <c:smooth val="0"/>
        <c:axId val="400057544"/>
        <c:axId val="400059112"/>
      </c:lineChart>
      <c:dateAx>
        <c:axId val="400057544"/>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0059112"/>
        <c:crosses val="autoZero"/>
        <c:auto val="1"/>
        <c:lblOffset val="100"/>
        <c:baseTimeUnit val="days"/>
      </c:dateAx>
      <c:valAx>
        <c:axId val="400059112"/>
        <c:scaling>
          <c:orientation val="minMax"/>
          <c:min val="9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0057544"/>
        <c:crosses val="autoZero"/>
        <c:crossBetween val="between"/>
        <c:majorUnit val="2"/>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'F2&amp;F3'!$D$3</c:f>
              <c:strCache>
                <c:ptCount val="1"/>
                <c:pt idx="0">
                  <c:v>ADT at NSE (LHS)</c:v>
                </c:pt>
              </c:strCache>
            </c:strRef>
          </c:tx>
          <c:spPr>
            <a:solidFill>
              <a:srgbClr val="00B050"/>
            </a:solidFill>
            <a:ln>
              <a:noFill/>
            </a:ln>
            <a:effectLst/>
          </c:spPr>
          <c:invertIfNegative val="0"/>
          <c:cat>
            <c:numRef>
              <c:f>'F2&amp;F3'!$A$4:$A$15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'F2&amp;F3'!$D$4:$D$15</c:f>
              <c:numCache>
                <c:formatCode>#,##0</c:formatCode>
                <c:ptCount val="12"/>
                <c:pt idx="0">
                  <c:v>39838.41244</c:v>
                </c:pt>
                <c:pt idx="1">
                  <c:v>47916.596666666665</c:v>
                </c:pt>
                <c:pt idx="2">
                  <c:v>50322.35</c:v>
                </c:pt>
                <c:pt idx="3">
                  <c:v>52655.6</c:v>
                </c:pt>
                <c:pt idx="4">
                  <c:v>61394.58</c:v>
                </c:pt>
                <c:pt idx="5" formatCode="[&gt;=10000000]#\,##\,##\,##0;[&gt;=100000]#\,##\,##0;##,##0">
                  <c:v>58631.347159999998</c:v>
                </c:pt>
                <c:pt idx="6" formatCode="[&gt;=10000000]#\,##\,##\,##0;[&gt;=100000]#\,##\,##0;##,##0">
                  <c:v>61074.12</c:v>
                </c:pt>
                <c:pt idx="7" formatCode="[&gt;=10000000]#\,##\,##\,##0;[&gt;=100000]#\,##\,##0;##,##0">
                  <c:v>55605.851524328958</c:v>
                </c:pt>
                <c:pt idx="8" formatCode="[&gt;=10000000]#\,##\,##\,##0;[&gt;=100000]#\,##\,##0;##,##0">
                  <c:v>52327.798311617102</c:v>
                </c:pt>
                <c:pt idx="9" formatCode="[&gt;=10000000]#\,##\,##\,##0;[&gt;=100000]#\,##\,##0;##,##0">
                  <c:v>66863.595756470837</c:v>
                </c:pt>
                <c:pt idx="10" formatCode="[&gt;=10000000]#\,##\,##\,##0;[&gt;=100000]#\,##\,##0;##,##0">
                  <c:v>62479.615040464567</c:v>
                </c:pt>
                <c:pt idx="11" formatCode="[&gt;=10000000]#\,##\,##\,##0;[&gt;=100000]#\,##\,##0;##,##0">
                  <c:v>72472.244728850172</c:v>
                </c:pt>
              </c:numCache>
            </c:numRef>
          </c:val>
          <c:extLst>
            <c:ext xmlns:c16="http://schemas.microsoft.com/office/drawing/2014/chart" uri="{C3380CC4-5D6E-409C-BE32-E72D297353CC}">
              <c16:uniqueId val="{00000000-C4BC-4A16-A9E1-0F9DFBDE69FA}"/>
            </c:ext>
          </c:extLst>
        </c:ser>
        <c:dLbls>
          <c:showLegendKey val="0"/>
          <c:showVal val="0"/>
          <c:showCatName val="0"/>
          <c:showSerName val="0"/>
          <c:showPercent val="0"/>
          <c:showBubbleSize val="0"/>
        </c:dLbls>
        <c:gapWidth val="219"/>
        <c:overlap val="-27"/>
        <c:axId val="400055976"/>
        <c:axId val="399557768"/>
      </c:barChart>
      <c:lineChart>
        <c:grouping val="standard"/>
        <c:varyColors val="0"/>
        <c:ser>
          <c:idx val="3"/>
          <c:order val="1"/>
          <c:tx>
            <c:strRef>
              <c:f>'F2&amp;F3'!$E$3</c:f>
              <c:strCache>
                <c:ptCount val="1"/>
                <c:pt idx="0">
                  <c:v>ADV of Nifty 50 (RHS)</c:v>
                </c:pt>
              </c:strCache>
            </c:strRef>
          </c:tx>
          <c:spPr>
            <a:ln w="28575" cap="rnd">
              <a:solidFill>
                <a:srgbClr val="FF0000"/>
              </a:solidFill>
              <a:round/>
            </a:ln>
            <a:effectLst/>
          </c:spPr>
          <c:marker>
            <c:symbol val="none"/>
          </c:marker>
          <c:cat>
            <c:numRef>
              <c:f>'F2&amp;F3'!$A$4:$A$15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'F2&amp;F3'!$E$4:$E$15</c:f>
              <c:numCache>
                <c:formatCode>#,##0</c:formatCode>
                <c:ptCount val="12"/>
                <c:pt idx="0">
                  <c:v>11934.472499999998</c:v>
                </c:pt>
                <c:pt idx="1">
                  <c:v>9426.3119047619057</c:v>
                </c:pt>
                <c:pt idx="2">
                  <c:v>9063.58</c:v>
                </c:pt>
                <c:pt idx="3">
                  <c:v>9192.01</c:v>
                </c:pt>
                <c:pt idx="4">
                  <c:v>10116.450000000001</c:v>
                </c:pt>
                <c:pt idx="5">
                  <c:v>10897.695652173914</c:v>
                </c:pt>
                <c:pt idx="6" formatCode="[&gt;=10000000]#\,##\,##\,##0;[&gt;=100000]#\,##\,##0;##,##0">
                  <c:v>11318.57</c:v>
                </c:pt>
                <c:pt idx="7" formatCode="[&gt;=10000000]#\,##\,##\,##0;[&gt;=100000]#\,##\,##0;##,##0">
                  <c:v>11336.702272727271</c:v>
                </c:pt>
                <c:pt idx="8" formatCode="[&gt;=10000000]#\,##\,##\,##0;[&gt;=100000]#\,##\,##0;##,##0">
                  <c:v>11789.709523809524</c:v>
                </c:pt>
                <c:pt idx="9" formatCode="[&gt;=10000000]#\,##\,##\,##0;[&gt;=100000]#\,##\,##0;##,##0">
                  <c:v>12602.3225</c:v>
                </c:pt>
                <c:pt idx="10" formatCode="[&gt;=10000000]#\,##\,##\,##0;[&gt;=100000]#\,##\,##0;##,##0">
                  <c:v>13550.44090909091</c:v>
                </c:pt>
                <c:pt idx="11" formatCode="[&gt;=10000000]#\,##\,##\,##0;[&gt;=100000]#\,##\,##0;##,##0">
                  <c:v>14284.602499999999</c:v>
                </c:pt>
              </c:numCache>
            </c:numRef>
          </c:val>
          <c:smooth val="0"/>
          <c:extLst>
            <c:ext xmlns:c16="http://schemas.microsoft.com/office/drawing/2014/chart" uri="{C3380CC4-5D6E-409C-BE32-E72D297353CC}">
              <c16:uniqueId val="{00000001-C4BC-4A16-A9E1-0F9DFBDE69FA}"/>
            </c:ext>
          </c:extLst>
        </c:ser>
        <c:dLbls>
          <c:showLegendKey val="0"/>
          <c:showVal val="0"/>
          <c:showCatName val="0"/>
          <c:showSerName val="0"/>
          <c:showPercent val="0"/>
          <c:showBubbleSize val="0"/>
        </c:dLbls>
        <c:marker val="1"/>
        <c:smooth val="0"/>
        <c:axId val="399559728"/>
        <c:axId val="399560120"/>
      </c:lineChart>
      <c:dateAx>
        <c:axId val="4000559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9557768"/>
        <c:crosses val="autoZero"/>
        <c:auto val="1"/>
        <c:lblOffset val="100"/>
        <c:baseTimeUnit val="months"/>
      </c:dateAx>
      <c:valAx>
        <c:axId val="399557768"/>
        <c:scaling>
          <c:orientation val="minMax"/>
          <c:min val="35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0055976"/>
        <c:crosses val="autoZero"/>
        <c:crossBetween val="between"/>
        <c:majorUnit val="5000.01"/>
      </c:valAx>
      <c:valAx>
        <c:axId val="399560120"/>
        <c:scaling>
          <c:orientation val="minMax"/>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9559728"/>
        <c:crosses val="max"/>
        <c:crossBetween val="between"/>
      </c:valAx>
      <c:dateAx>
        <c:axId val="399559728"/>
        <c:scaling>
          <c:orientation val="minMax"/>
        </c:scaling>
        <c:delete val="1"/>
        <c:axPos val="b"/>
        <c:numFmt formatCode="[$-409]mmm\-yy" sourceLinked="1"/>
        <c:majorTickMark val="out"/>
        <c:minorTickMark val="none"/>
        <c:tickLblPos val="nextTo"/>
        <c:crossAx val="399560120"/>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'F2&amp;F3'!$B$3</c:f>
              <c:strCache>
                <c:ptCount val="1"/>
                <c:pt idx="0">
                  <c:v>ADT at BSE (LHS)</c:v>
                </c:pt>
              </c:strCache>
            </c:strRef>
          </c:tx>
          <c:spPr>
            <a:solidFill>
              <a:srgbClr val="00B050"/>
            </a:solidFill>
            <a:ln>
              <a:noFill/>
            </a:ln>
            <a:effectLst/>
          </c:spPr>
          <c:invertIfNegative val="0"/>
          <c:cat>
            <c:numRef>
              <c:f>'F2&amp;F3'!$A$4:$A$15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'F2&amp;F3'!$B$4:$B$15</c:f>
              <c:numCache>
                <c:formatCode>[&gt;=10000000]#\,##\,##\,##0;[&gt;=100000]#\,##\,##0;##,##0</c:formatCode>
                <c:ptCount val="12"/>
                <c:pt idx="0">
                  <c:v>2785.4995000000004</c:v>
                </c:pt>
                <c:pt idx="1">
                  <c:v>3903.431428571429</c:v>
                </c:pt>
                <c:pt idx="2">
                  <c:v>2470.91</c:v>
                </c:pt>
                <c:pt idx="3">
                  <c:v>3422.05</c:v>
                </c:pt>
                <c:pt idx="4">
                  <c:v>5008.76</c:v>
                </c:pt>
                <c:pt idx="5">
                  <c:v>3482.2930434782606</c:v>
                </c:pt>
                <c:pt idx="6">
                  <c:v>4432.38</c:v>
                </c:pt>
                <c:pt idx="7">
                  <c:v>3182.9668181818183</c:v>
                </c:pt>
                <c:pt idx="8">
                  <c:v>2755.5385714285712</c:v>
                </c:pt>
                <c:pt idx="9">
                  <c:v>3533.7944999999991</c:v>
                </c:pt>
                <c:pt idx="10">
                  <c:v>4518.8545454545456</c:v>
                </c:pt>
                <c:pt idx="11">
                  <c:v>5203.16</c:v>
                </c:pt>
              </c:numCache>
            </c:numRef>
          </c:val>
          <c:extLst>
            <c:ext xmlns:c16="http://schemas.microsoft.com/office/drawing/2014/chart" uri="{C3380CC4-5D6E-409C-BE32-E72D297353CC}">
              <c16:uniqueId val="{00000000-7459-4DE2-90D8-10FACF5A9DC1}"/>
            </c:ext>
          </c:extLst>
        </c:ser>
        <c:dLbls>
          <c:showLegendKey val="0"/>
          <c:showVal val="0"/>
          <c:showCatName val="0"/>
          <c:showSerName val="0"/>
          <c:showPercent val="0"/>
          <c:showBubbleSize val="0"/>
        </c:dLbls>
        <c:gapWidth val="219"/>
        <c:overlap val="-27"/>
        <c:axId val="399557376"/>
        <c:axId val="399559336"/>
      </c:barChart>
      <c:lineChart>
        <c:grouping val="standard"/>
        <c:varyColors val="0"/>
        <c:ser>
          <c:idx val="1"/>
          <c:order val="1"/>
          <c:tx>
            <c:strRef>
              <c:f>'F2&amp;F3'!$C$3</c:f>
              <c:strCache>
                <c:ptCount val="1"/>
                <c:pt idx="0">
                  <c:v>ADV of Sensex (RHS)</c:v>
                </c:pt>
              </c:strCache>
            </c:strRef>
          </c:tx>
          <c:spPr>
            <a:ln w="28575" cap="rnd">
              <a:solidFill>
                <a:srgbClr val="FF0000"/>
              </a:solidFill>
              <a:round/>
            </a:ln>
            <a:effectLst/>
          </c:spPr>
          <c:marker>
            <c:symbol val="none"/>
          </c:marker>
          <c:cat>
            <c:numRef>
              <c:f>'F2&amp;F3'!$A$4:$A$15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'F2&amp;F3'!$C$4:$C$15</c:f>
              <c:numCache>
                <c:formatCode>[&gt;=10000000]#\,##\,##\,##0;[&gt;=100000]#\,##\,##0;##,##0</c:formatCode>
                <c:ptCount val="12"/>
                <c:pt idx="0" formatCode="#,##0">
                  <c:v>40674.324000000001</c:v>
                </c:pt>
                <c:pt idx="1">
                  <c:v>32254.451428571429</c:v>
                </c:pt>
                <c:pt idx="2">
                  <c:v>30966</c:v>
                </c:pt>
                <c:pt idx="3">
                  <c:v>31294</c:v>
                </c:pt>
                <c:pt idx="4">
                  <c:v>34263</c:v>
                </c:pt>
                <c:pt idx="5" formatCode="0">
                  <c:v>37030.641739130428</c:v>
                </c:pt>
                <c:pt idx="6">
                  <c:v>38347</c:v>
                </c:pt>
                <c:pt idx="7">
                  <c:v>38378.977272727272</c:v>
                </c:pt>
                <c:pt idx="8">
                  <c:v>40115.386666666658</c:v>
                </c:pt>
                <c:pt idx="9">
                  <c:v>43011.3845</c:v>
                </c:pt>
                <c:pt idx="10">
                  <c:v>46211.837272727265</c:v>
                </c:pt>
                <c:pt idx="11">
                  <c:v>48580.33</c:v>
                </c:pt>
              </c:numCache>
            </c:numRef>
          </c:val>
          <c:smooth val="0"/>
          <c:extLst>
            <c:ext xmlns:c16="http://schemas.microsoft.com/office/drawing/2014/chart" uri="{C3380CC4-5D6E-409C-BE32-E72D297353CC}">
              <c16:uniqueId val="{00000001-7459-4DE2-90D8-10FACF5A9DC1}"/>
            </c:ext>
          </c:extLst>
        </c:ser>
        <c:dLbls>
          <c:showLegendKey val="0"/>
          <c:showVal val="0"/>
          <c:showCatName val="0"/>
          <c:showSerName val="0"/>
          <c:showPercent val="0"/>
          <c:showBubbleSize val="0"/>
        </c:dLbls>
        <c:marker val="1"/>
        <c:smooth val="0"/>
        <c:axId val="399556984"/>
        <c:axId val="399556592"/>
      </c:lineChart>
      <c:dateAx>
        <c:axId val="3995573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9559336"/>
        <c:crosses val="autoZero"/>
        <c:auto val="1"/>
        <c:lblOffset val="100"/>
        <c:baseTimeUnit val="months"/>
      </c:dateAx>
      <c:valAx>
        <c:axId val="399559336"/>
        <c:scaling>
          <c:orientation val="minMax"/>
          <c:min val="2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9557376"/>
        <c:crosses val="autoZero"/>
        <c:crossBetween val="between"/>
      </c:valAx>
      <c:valAx>
        <c:axId val="399556592"/>
        <c:scaling>
          <c:orientation val="minMax"/>
          <c:min val="30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9556984"/>
        <c:crosses val="max"/>
        <c:crossBetween val="between"/>
        <c:majorUnit val="5000"/>
      </c:valAx>
      <c:dateAx>
        <c:axId val="399556984"/>
        <c:scaling>
          <c:orientation val="minMax"/>
        </c:scaling>
        <c:delete val="1"/>
        <c:axPos val="b"/>
        <c:numFmt formatCode="[$-409]mmm\-yy" sourceLinked="1"/>
        <c:majorTickMark val="out"/>
        <c:minorTickMark val="none"/>
        <c:tickLblPos val="nextTo"/>
        <c:crossAx val="399556592"/>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4.7717648151854843E-2"/>
          <c:w val="0.79673627753052612"/>
          <c:h val="0.74142146210218351"/>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'F4&amp;5 '!$D$5:$D$14</c:f>
              <c:strCache>
                <c:ptCount val="10"/>
                <c:pt idx="0">
                  <c:v> S&amp;P BSE Auto</c:v>
                </c:pt>
                <c:pt idx="1">
                  <c:v> S&amp;P BSE Capital Goods</c:v>
                </c:pt>
                <c:pt idx="2">
                  <c:v> S&amp;P BSE Teck</c:v>
                </c:pt>
                <c:pt idx="3">
                  <c:v> S&amp;P BSE PSU</c:v>
                </c:pt>
                <c:pt idx="4">
                  <c:v> S&amp;P BSE Consumer Durables</c:v>
                </c:pt>
                <c:pt idx="5">
                  <c:v> S&amp;P BSE Oil &amp; Gas</c:v>
                </c:pt>
                <c:pt idx="6">
                  <c:v> S&amp;P BSE Realty</c:v>
                </c:pt>
                <c:pt idx="7">
                  <c:v> S&amp;P BSE Power</c:v>
                </c:pt>
                <c:pt idx="8">
                  <c:v> S&amp;P BSE Bankex</c:v>
                </c:pt>
                <c:pt idx="9">
                  <c:v> S&amp;P BSE Metal</c:v>
                </c:pt>
              </c:strCache>
            </c:strRef>
          </c:cat>
          <c:val>
            <c:numRef>
              <c:f>'F4&amp;5 '!$E$5:$E$14</c:f>
              <c:numCache>
                <c:formatCode>0.0</c:formatCode>
                <c:ptCount val="10"/>
                <c:pt idx="0">
                  <c:v>6.3243909974730173</c:v>
                </c:pt>
                <c:pt idx="1">
                  <c:v>3.9304275643672559</c:v>
                </c:pt>
                <c:pt idx="2">
                  <c:v>2.5199032178445213</c:v>
                </c:pt>
                <c:pt idx="3">
                  <c:v>-0.9615501038695573</c:v>
                </c:pt>
                <c:pt idx="4">
                  <c:v>-0.96892427657230273</c:v>
                </c:pt>
                <c:pt idx="5">
                  <c:v>-1.9736594637216109</c:v>
                </c:pt>
                <c:pt idx="6">
                  <c:v>-2.4058366355411698</c:v>
                </c:pt>
                <c:pt idx="7">
                  <c:v>-2.787409135214558</c:v>
                </c:pt>
                <c:pt idx="8">
                  <c:v>-3.415892925907571</c:v>
                </c:pt>
                <c:pt idx="9">
                  <c:v>-4.8993009127188287</c:v>
                </c:pt>
              </c:numCache>
            </c:numRef>
          </c:val>
          <c:extLst>
            <c:ext xmlns:c16="http://schemas.microsoft.com/office/drawing/2014/chart" uri="{C3380CC4-5D6E-409C-BE32-E72D297353CC}">
              <c16:uniqueId val="{00000000-D9CE-44E8-BD61-FB12C5FD77BA}"/>
            </c:ext>
          </c:extLst>
        </c:ser>
        <c:dLbls>
          <c:showLegendKey val="0"/>
          <c:showVal val="0"/>
          <c:showCatName val="0"/>
          <c:showSerName val="0"/>
          <c:showPercent val="0"/>
          <c:showBubbleSize val="0"/>
        </c:dLbls>
        <c:gapWidth val="219"/>
        <c:axId val="618406744"/>
        <c:axId val="618409488"/>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'!$D$5:$D$14</c:f>
              <c:strCache>
                <c:ptCount val="10"/>
                <c:pt idx="0">
                  <c:v> S&amp;P BSE Auto</c:v>
                </c:pt>
                <c:pt idx="1">
                  <c:v> S&amp;P BSE Capital Goods</c:v>
                </c:pt>
                <c:pt idx="2">
                  <c:v> S&amp;P BSE Teck</c:v>
                </c:pt>
                <c:pt idx="3">
                  <c:v> S&amp;P BSE PSU</c:v>
                </c:pt>
                <c:pt idx="4">
                  <c:v> S&amp;P BSE Consumer Durables</c:v>
                </c:pt>
                <c:pt idx="5">
                  <c:v> S&amp;P BSE Oil &amp; Gas</c:v>
                </c:pt>
                <c:pt idx="6">
                  <c:v> S&amp;P BSE Realty</c:v>
                </c:pt>
                <c:pt idx="7">
                  <c:v> S&amp;P BSE Power</c:v>
                </c:pt>
                <c:pt idx="8">
                  <c:v> S&amp;P BSE Bankex</c:v>
                </c:pt>
                <c:pt idx="9">
                  <c:v> S&amp;P BSE Metal</c:v>
                </c:pt>
              </c:strCache>
            </c:strRef>
          </c:cat>
          <c:val>
            <c:numRef>
              <c:f>'F4&amp;5 '!$F$5:$F$14</c:f>
              <c:numCache>
                <c:formatCode>0.0</c:formatCode>
                <c:ptCount val="10"/>
                <c:pt idx="0">
                  <c:v>1.6036833669032686</c:v>
                </c:pt>
                <c:pt idx="1">
                  <c:v>1.1678048229065496</c:v>
                </c:pt>
                <c:pt idx="2">
                  <c:v>1.5274096513995008</c:v>
                </c:pt>
                <c:pt idx="3">
                  <c:v>1.448997084914452</c:v>
                </c:pt>
                <c:pt idx="4">
                  <c:v>0.95223959027311234</c:v>
                </c:pt>
                <c:pt idx="5">
                  <c:v>1.4027606136725503</c:v>
                </c:pt>
                <c:pt idx="6">
                  <c:v>1.74860841032853</c:v>
                </c:pt>
                <c:pt idx="7">
                  <c:v>1.1695037670246302</c:v>
                </c:pt>
                <c:pt idx="8">
                  <c:v>1.21522960621569</c:v>
                </c:pt>
                <c:pt idx="9">
                  <c:v>2.3315004610352958</c:v>
                </c:pt>
              </c:numCache>
            </c:numRef>
          </c:val>
          <c:smooth val="0"/>
          <c:extLst>
            <c:ext xmlns:c16="http://schemas.microsoft.com/office/drawing/2014/chart" uri="{C3380CC4-5D6E-409C-BE32-E72D297353CC}">
              <c16:uniqueId val="{00000001-D9CE-44E8-BD61-FB12C5FD77BA}"/>
            </c:ext>
          </c:extLst>
        </c:ser>
        <c:dLbls>
          <c:showLegendKey val="0"/>
          <c:showVal val="0"/>
          <c:showCatName val="0"/>
          <c:showSerName val="0"/>
          <c:showPercent val="0"/>
          <c:showBubbleSize val="0"/>
        </c:dLbls>
        <c:marker val="1"/>
        <c:smooth val="0"/>
        <c:axId val="618407528"/>
        <c:axId val="618407136"/>
      </c:lineChart>
      <c:catAx>
        <c:axId val="6184067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2220000" spcFirstLastPara="1" vertOverflow="ellipsis"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8409488"/>
        <c:crosses val="autoZero"/>
        <c:auto val="1"/>
        <c:lblAlgn val="ctr"/>
        <c:lblOffset val="100"/>
        <c:noMultiLvlLbl val="0"/>
      </c:catAx>
      <c:valAx>
        <c:axId val="618409488"/>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layout/>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8406744"/>
        <c:crosses val="autoZero"/>
        <c:crossBetween val="between"/>
      </c:valAx>
      <c:valAx>
        <c:axId val="618407136"/>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layout/>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8407528"/>
        <c:crosses val="max"/>
        <c:crossBetween val="between"/>
      </c:valAx>
      <c:catAx>
        <c:axId val="618407528"/>
        <c:scaling>
          <c:orientation val="minMax"/>
        </c:scaling>
        <c:delete val="1"/>
        <c:axPos val="b"/>
        <c:numFmt formatCode="General" sourceLinked="1"/>
        <c:majorTickMark val="out"/>
        <c:minorTickMark val="none"/>
        <c:tickLblPos val="nextTo"/>
        <c:crossAx val="618407136"/>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782239720034995"/>
          <c:y val="5.4726368159203981E-2"/>
          <c:w val="0.78614177073003921"/>
          <c:h val="0.61491177302177902"/>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'F4&amp;5 '!$A$5:$A$14</c:f>
              <c:strCache>
                <c:ptCount val="10"/>
                <c:pt idx="0">
                  <c:v>Nifty PSU Bank  </c:v>
                </c:pt>
                <c:pt idx="1">
                  <c:v>Nifty IT  </c:v>
                </c:pt>
                <c:pt idx="2">
                  <c:v>Nifty Infrastructure  </c:v>
                </c:pt>
                <c:pt idx="3">
                  <c:v>Nifty Service Sector  </c:v>
                </c:pt>
                <c:pt idx="4">
                  <c:v>Nifty Bank Nifty  </c:v>
                </c:pt>
                <c:pt idx="5">
                  <c:v>Nifty Realty  </c:v>
                </c:pt>
                <c:pt idx="6">
                  <c:v>Nifty PSE  </c:v>
                </c:pt>
                <c:pt idx="7">
                  <c:v>Nifty FMCG  </c:v>
                </c:pt>
                <c:pt idx="8">
                  <c:v>Nifty Energy  </c:v>
                </c:pt>
                <c:pt idx="9">
                  <c:v>Nifty Pharma  </c:v>
                </c:pt>
              </c:strCache>
            </c:strRef>
          </c:cat>
          <c:val>
            <c:numRef>
              <c:f>'F4&amp;5 '!$B$5:$B$14</c:f>
              <c:numCache>
                <c:formatCode>0.0</c:formatCode>
                <c:ptCount val="10"/>
                <c:pt idx="0">
                  <c:v>3.500313801563304</c:v>
                </c:pt>
                <c:pt idx="1">
                  <c:v>1.62630121622096</c:v>
                </c:pt>
                <c:pt idx="2">
                  <c:v>0.57245374491570189</c:v>
                </c:pt>
                <c:pt idx="3">
                  <c:v>-2.1443602586378341</c:v>
                </c:pt>
                <c:pt idx="4">
                  <c:v>-2.234355433796964</c:v>
                </c:pt>
                <c:pt idx="5">
                  <c:v>-2.6127130794965869</c:v>
                </c:pt>
                <c:pt idx="6">
                  <c:v>-2.6867112366379509</c:v>
                </c:pt>
                <c:pt idx="7">
                  <c:v>-3.0899344882977076</c:v>
                </c:pt>
                <c:pt idx="8">
                  <c:v>-4.5105628600975001</c:v>
                </c:pt>
                <c:pt idx="9">
                  <c:v>-5.7731168559682189</c:v>
                </c:pt>
              </c:numCache>
            </c:numRef>
          </c:val>
          <c:extLst>
            <c:ext xmlns:c16="http://schemas.microsoft.com/office/drawing/2014/chart" uri="{C3380CC4-5D6E-409C-BE32-E72D297353CC}">
              <c16:uniqueId val="{00000000-AF08-4A9B-B2AA-BB729C868C6C}"/>
            </c:ext>
          </c:extLst>
        </c:ser>
        <c:dLbls>
          <c:showLegendKey val="0"/>
          <c:showVal val="0"/>
          <c:showCatName val="0"/>
          <c:showSerName val="0"/>
          <c:showPercent val="0"/>
          <c:showBubbleSize val="0"/>
        </c:dLbls>
        <c:gapWidth val="219"/>
        <c:axId val="618406352"/>
        <c:axId val="618407920"/>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'!$A$5:$A$14</c:f>
              <c:strCache>
                <c:ptCount val="10"/>
                <c:pt idx="0">
                  <c:v>Nifty PSU Bank  </c:v>
                </c:pt>
                <c:pt idx="1">
                  <c:v>Nifty IT  </c:v>
                </c:pt>
                <c:pt idx="2">
                  <c:v>Nifty Infrastructure  </c:v>
                </c:pt>
                <c:pt idx="3">
                  <c:v>Nifty Service Sector  </c:v>
                </c:pt>
                <c:pt idx="4">
                  <c:v>Nifty Bank Nifty  </c:v>
                </c:pt>
                <c:pt idx="5">
                  <c:v>Nifty Realty  </c:v>
                </c:pt>
                <c:pt idx="6">
                  <c:v>Nifty PSE  </c:v>
                </c:pt>
                <c:pt idx="7">
                  <c:v>Nifty FMCG  </c:v>
                </c:pt>
                <c:pt idx="8">
                  <c:v>Nifty Energy  </c:v>
                </c:pt>
                <c:pt idx="9">
                  <c:v>Nifty Pharma  </c:v>
                </c:pt>
              </c:strCache>
            </c:strRef>
          </c:cat>
          <c:val>
            <c:numRef>
              <c:f>'F4&amp;5 '!$C$5:$C$14</c:f>
              <c:numCache>
                <c:formatCode>0.0</c:formatCode>
                <c:ptCount val="10"/>
                <c:pt idx="0">
                  <c:v>2.3369669220581857</c:v>
                </c:pt>
                <c:pt idx="1">
                  <c:v>1.8513235436002116</c:v>
                </c:pt>
                <c:pt idx="2">
                  <c:v>1.1429458293781274</c:v>
                </c:pt>
                <c:pt idx="3">
                  <c:v>1.1035904696708227</c:v>
                </c:pt>
                <c:pt idx="4">
                  <c:v>1.2626846148011073</c:v>
                </c:pt>
                <c:pt idx="5">
                  <c:v>1.771820950687869</c:v>
                </c:pt>
                <c:pt idx="6">
                  <c:v>1.4340999298093517</c:v>
                </c:pt>
                <c:pt idx="7">
                  <c:v>0.80950488900356965</c:v>
                </c:pt>
                <c:pt idx="8">
                  <c:v>1.275535917132935</c:v>
                </c:pt>
                <c:pt idx="9">
                  <c:v>1.3304394975845075</c:v>
                </c:pt>
              </c:numCache>
            </c:numRef>
          </c:val>
          <c:smooth val="0"/>
          <c:extLst>
            <c:ext xmlns:c16="http://schemas.microsoft.com/office/drawing/2014/chart" uri="{C3380CC4-5D6E-409C-BE32-E72D297353CC}">
              <c16:uniqueId val="{00000001-AF08-4A9B-B2AA-BB729C868C6C}"/>
            </c:ext>
          </c:extLst>
        </c:ser>
        <c:dLbls>
          <c:showLegendKey val="0"/>
          <c:showVal val="0"/>
          <c:showCatName val="0"/>
          <c:showSerName val="0"/>
          <c:showPercent val="0"/>
          <c:showBubbleSize val="0"/>
        </c:dLbls>
        <c:marker val="1"/>
        <c:smooth val="0"/>
        <c:axId val="618408704"/>
        <c:axId val="618408312"/>
      </c:lineChart>
      <c:catAx>
        <c:axId val="61840635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8407920"/>
        <c:crosses val="autoZero"/>
        <c:auto val="1"/>
        <c:lblAlgn val="ctr"/>
        <c:lblOffset val="100"/>
        <c:noMultiLvlLbl val="0"/>
      </c:catAx>
      <c:valAx>
        <c:axId val="618407920"/>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8406352"/>
        <c:crosses val="autoZero"/>
        <c:crossBetween val="between"/>
      </c:valAx>
      <c:valAx>
        <c:axId val="618408312"/>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8408704"/>
        <c:crosses val="max"/>
        <c:crossBetween val="between"/>
      </c:valAx>
      <c:catAx>
        <c:axId val="618408704"/>
        <c:scaling>
          <c:orientation val="minMax"/>
        </c:scaling>
        <c:delete val="1"/>
        <c:axPos val="b"/>
        <c:numFmt formatCode="General" sourceLinked="1"/>
        <c:majorTickMark val="out"/>
        <c:minorTickMark val="none"/>
        <c:tickLblPos val="nextTo"/>
        <c:crossAx val="618408312"/>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BSE (RHS)</c:v>
                </c:pt>
              </c:strCache>
            </c:strRef>
          </c:tx>
          <c:spPr>
            <a:solidFill>
              <a:srgbClr val="00B050"/>
            </a:solidFill>
            <a:ln>
              <a:noFill/>
            </a:ln>
            <a:effectLst/>
          </c:spPr>
          <c:invertIfNegative val="0"/>
          <c:cat>
            <c:numRef>
              <c:f>'F4 '!$A$2:$A$13</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'F4 '!$E$2:$E$13</c:f>
              <c:numCache>
                <c:formatCode>[&gt;=10000000]#\,##\,##\,##0;[&gt;=100000]#\,##\,##0;##,##0</c:formatCode>
                <c:ptCount val="12"/>
                <c:pt idx="0">
                  <c:v>1741439.3000650001</c:v>
                </c:pt>
                <c:pt idx="1">
                  <c:v>1178404.6602869804</c:v>
                </c:pt>
                <c:pt idx="2">
                  <c:v>1149076.579714505</c:v>
                </c:pt>
                <c:pt idx="3">
                  <c:v>1306943.7383416786</c:v>
                </c:pt>
                <c:pt idx="4">
                  <c:v>1668626.379107326</c:v>
                </c:pt>
                <c:pt idx="5">
                  <c:v>1910248.1950051249</c:v>
                </c:pt>
                <c:pt idx="6">
                  <c:v>1877589.023486543</c:v>
                </c:pt>
                <c:pt idx="7">
                  <c:v>2157023.5625705258</c:v>
                </c:pt>
                <c:pt idx="8">
                  <c:v>2632458.2987257265</c:v>
                </c:pt>
                <c:pt idx="9">
                  <c:v>2844478.2670458574</c:v>
                </c:pt>
                <c:pt idx="10">
                  <c:v>3057374.9092755187</c:v>
                </c:pt>
                <c:pt idx="11">
                  <c:v>3595657.0081937932</c:v>
                </c:pt>
              </c:numCache>
            </c:numRef>
          </c:val>
          <c:extLst>
            <c:ext xmlns:c16="http://schemas.microsoft.com/office/drawing/2014/chart" uri="{C3380CC4-5D6E-409C-BE32-E72D297353CC}">
              <c16:uniqueId val="{00000000-1600-4D8F-912E-C094424673D8}"/>
            </c:ext>
          </c:extLst>
        </c:ser>
        <c:dLbls>
          <c:showLegendKey val="0"/>
          <c:showVal val="0"/>
          <c:showCatName val="0"/>
          <c:showSerName val="0"/>
          <c:showPercent val="0"/>
          <c:showBubbleSize val="0"/>
        </c:dLbls>
        <c:gapWidth val="219"/>
        <c:overlap val="-27"/>
        <c:axId val="638344344"/>
        <c:axId val="638341600"/>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'!$A$2:$A$13</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'F4 '!$D$2:$D$13</c:f>
              <c:numCache>
                <c:formatCode>#,##0</c:formatCode>
                <c:ptCount val="12"/>
                <c:pt idx="0">
                  <c:v>3589.6710801875001</c:v>
                </c:pt>
                <c:pt idx="1">
                  <c:v>5191.4561904761904</c:v>
                </c:pt>
                <c:pt idx="2">
                  <c:v>6063.8816666666662</c:v>
                </c:pt>
                <c:pt idx="3">
                  <c:v>6197.3447368421057</c:v>
                </c:pt>
                <c:pt idx="4">
                  <c:v>7.0372727272727271</c:v>
                </c:pt>
                <c:pt idx="5">
                  <c:v>26196.207826086957</c:v>
                </c:pt>
                <c:pt idx="6">
                  <c:v>88005.567619047622</c:v>
                </c:pt>
                <c:pt idx="7">
                  <c:v>123934.84768617614</c:v>
                </c:pt>
                <c:pt idx="8">
                  <c:v>161548.20265396428</c:v>
                </c:pt>
                <c:pt idx="9">
                  <c:v>218924.7232084875</c:v>
                </c:pt>
                <c:pt idx="10">
                  <c:v>222827.48463496024</c:v>
                </c:pt>
                <c:pt idx="11">
                  <c:v>246651.46454715001</c:v>
                </c:pt>
              </c:numCache>
            </c:numRef>
          </c:val>
          <c:smooth val="0"/>
          <c:extLst>
            <c:ext xmlns:c16="http://schemas.microsoft.com/office/drawing/2014/chart" uri="{C3380CC4-5D6E-409C-BE32-E72D297353CC}">
              <c16:uniqueId val="{00000001-1600-4D8F-912E-C094424673D8}"/>
            </c:ext>
          </c:extLst>
        </c:ser>
        <c:dLbls>
          <c:showLegendKey val="0"/>
          <c:showVal val="0"/>
          <c:showCatName val="0"/>
          <c:showSerName val="0"/>
          <c:showPercent val="0"/>
          <c:showBubbleSize val="0"/>
        </c:dLbls>
        <c:marker val="1"/>
        <c:smooth val="0"/>
        <c:axId val="638343560"/>
        <c:axId val="638343952"/>
      </c:lineChart>
      <c:dateAx>
        <c:axId val="63834356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38343952"/>
        <c:crosses val="autoZero"/>
        <c:auto val="1"/>
        <c:lblOffset val="100"/>
        <c:baseTimeUnit val="months"/>
      </c:dateAx>
      <c:valAx>
        <c:axId val="638343952"/>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BSE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38343560"/>
        <c:crosses val="autoZero"/>
        <c:crossBetween val="between"/>
      </c:valAx>
      <c:valAx>
        <c:axId val="638341600"/>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38344344"/>
        <c:crosses val="max"/>
        <c:crossBetween val="between"/>
      </c:valAx>
      <c:dateAx>
        <c:axId val="638344344"/>
        <c:scaling>
          <c:orientation val="minMax"/>
        </c:scaling>
        <c:delete val="1"/>
        <c:axPos val="b"/>
        <c:numFmt formatCode="[$-409]mmm\-yy" sourceLinked="1"/>
        <c:majorTickMark val="out"/>
        <c:minorTickMark val="none"/>
        <c:tickLblPos val="nextTo"/>
        <c:crossAx val="638341600"/>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1"/>
        <c:ser>
          <c:idx val="0"/>
          <c:order val="0"/>
          <c:tx>
            <c:strRef>
              <c:f>'Index Option'!$E$16</c:f>
              <c:strCache>
                <c:ptCount val="1"/>
                <c:pt idx="0">
                  <c:v>Dec-20</c:v>
                </c:pt>
              </c:strCache>
            </c:strRef>
          </c:tx>
          <c:spPr>
            <a:solidFill>
              <a:srgbClr val="FF000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Option'!$F$15:$H$15</c:f>
              <c:strCache>
                <c:ptCount val="3"/>
                <c:pt idx="0">
                  <c:v>Weekly</c:v>
                </c:pt>
                <c:pt idx="1">
                  <c:v>1 Month</c:v>
                </c:pt>
                <c:pt idx="2">
                  <c:v>&gt; 1 Month</c:v>
                </c:pt>
              </c:strCache>
            </c:strRef>
          </c:cat>
          <c:val>
            <c:numRef>
              <c:f>'Index Option'!$F$16:$H$16</c:f>
              <c:numCache>
                <c:formatCode>#,##0.0</c:formatCode>
                <c:ptCount val="3"/>
                <c:pt idx="0">
                  <c:v>79.030105856786847</c:v>
                </c:pt>
                <c:pt idx="1">
                  <c:v>20.464809823085179</c:v>
                </c:pt>
                <c:pt idx="2">
                  <c:v>0.505084320127966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BB5E-4CF7-BCDD-DC512E81E349}"/>
            </c:ext>
          </c:extLst>
        </c:ser>
        <c:ser>
          <c:idx val="1"/>
          <c:order val="1"/>
          <c:tx>
            <c:strRef>
              <c:f>'Index Option'!$E$17</c:f>
              <c:strCache>
                <c:ptCount val="1"/>
                <c:pt idx="0">
                  <c:v>Jan-21</c:v>
                </c:pt>
              </c:strCache>
            </c:strRef>
          </c:tx>
          <c:spPr>
            <a:solidFill>
              <a:srgbClr val="00B05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Option'!$F$15:$H$15</c:f>
              <c:strCache>
                <c:ptCount val="3"/>
                <c:pt idx="0">
                  <c:v>Weekly</c:v>
                </c:pt>
                <c:pt idx="1">
                  <c:v>1 Month</c:v>
                </c:pt>
                <c:pt idx="2">
                  <c:v>&gt; 1 Month</c:v>
                </c:pt>
              </c:strCache>
            </c:strRef>
          </c:cat>
          <c:val>
            <c:numRef>
              <c:f>'Index Option'!$F$17:$H$17</c:f>
              <c:numCache>
                <c:formatCode>#,##0.0</c:formatCode>
                <c:ptCount val="3"/>
                <c:pt idx="0">
                  <c:v>72.798958037115909</c:v>
                </c:pt>
                <c:pt idx="1">
                  <c:v>26.636013384536945</c:v>
                </c:pt>
                <c:pt idx="2">
                  <c:v>0.56502857834712672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BB5E-4CF7-BCDD-DC512E81E349}"/>
            </c:ext>
          </c:extLst>
        </c:ser>
        <c:dLbls>
          <c:showLegendKey val="0"/>
          <c:showVal val="0"/>
          <c:showCatName val="0"/>
          <c:showSerName val="0"/>
          <c:showPercent val="0"/>
          <c:showBubbleSize val="0"/>
        </c:dLbls>
        <c:gapWidth val="150"/>
        <c:axId val="638341992"/>
        <c:axId val="638342384"/>
      </c:barChart>
      <c:catAx>
        <c:axId val="638341992"/>
        <c:scaling>
          <c:orientation val="minMax"/>
        </c:scaling>
        <c:delete val="0"/>
        <c:axPos val="l"/>
        <c:numFmt formatCode="General" sourceLinked="1"/>
        <c:majorTickMark val="out"/>
        <c:minorTickMark val="cross"/>
        <c:tickLblPos val="nextTo"/>
        <c:crossAx val="638342384"/>
        <c:crosses val="autoZero"/>
        <c:auto val="1"/>
        <c:lblAlgn val="ctr"/>
        <c:lblOffset val="100"/>
        <c:noMultiLvlLbl val="1"/>
      </c:catAx>
      <c:valAx>
        <c:axId val="638342384"/>
        <c:scaling>
          <c:orientation val="minMax"/>
        </c:scaling>
        <c:delete val="1"/>
        <c:axPos val="t"/>
        <c:numFmt formatCode="#,##0.0" sourceLinked="1"/>
        <c:majorTickMark val="out"/>
        <c:minorTickMark val="cross"/>
        <c:tickLblPos val="nextTo"/>
        <c:crossAx val="638341992"/>
        <c:crosses val="max"/>
        <c:crossBetween val="between"/>
      </c:valAx>
    </c:plotArea>
    <c:legend>
      <c:legendPos val="b"/>
      <c:layout/>
      <c:overlay val="0"/>
    </c:legend>
    <c:plotVisOnly val="1"/>
    <c:dispBlanksAs val="zero"/>
    <c:showDLblsOverMax val="1"/>
  </c:chart>
  <c:spPr>
    <a:solidFill>
      <a:srgbClr val="FFFFFF"/>
    </a:solidFill>
  </c:spPr>
  <c:txPr>
    <a:bodyPr/>
    <a:lstStyle/>
    <a:p>
      <a:pPr>
        <a:defRPr sz="10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'F6'!$B$2</c:f>
              <c:strCache>
                <c:ptCount val="1"/>
                <c:pt idx="0">
                  <c:v>NSE (LHS)</c:v>
                </c:pt>
              </c:strCache>
            </c:strRef>
          </c:tx>
          <c:spPr>
            <a:ln w="28575" cap="rnd">
              <a:solidFill>
                <a:schemeClr val="accent1"/>
              </a:solidFill>
              <a:round/>
            </a:ln>
            <a:effectLst/>
          </c:spPr>
          <c:marker>
            <c:symbol val="none"/>
          </c:marker>
          <c:cat>
            <c:numRef>
              <c:f>'F6'!$A$3:$A$14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'F6'!$B$3:$B$14</c:f>
              <c:numCache>
                <c:formatCode>[&gt;=10000000]#\,##\,##\,##0;[&gt;=100000]#\,##\,##0;##,##0</c:formatCode>
                <c:ptCount val="12"/>
                <c:pt idx="0">
                  <c:v>788012.82889999996</c:v>
                </c:pt>
                <c:pt idx="1">
                  <c:v>1231222.4816374592</c:v>
                </c:pt>
                <c:pt idx="2">
                  <c:v>696282.45724269352</c:v>
                </c:pt>
                <c:pt idx="3">
                  <c:v>729527.23581414134</c:v>
                </c:pt>
                <c:pt idx="4">
                  <c:v>949170.06959089276</c:v>
                </c:pt>
                <c:pt idx="5" formatCode="0\,00\,000;\-0\,00\,000;0">
                  <c:v>943395.67188321159</c:v>
                </c:pt>
                <c:pt idx="6" formatCode="0\,00\,000;\-0\,00\,000;0">
                  <c:v>976864.32951144269</c:v>
                </c:pt>
                <c:pt idx="7" formatCode="0\,00\,000;\-0\,00\,000;0">
                  <c:v>1120073.5900000001</c:v>
                </c:pt>
                <c:pt idx="8" formatCode="0\,00\,000;\-0\,00\,000;0">
                  <c:v>977668.28209999995</c:v>
                </c:pt>
                <c:pt idx="9" formatCode="0\,00\,000;\-0\,00\,000;0">
                  <c:v>1024112.012</c:v>
                </c:pt>
                <c:pt idx="10" formatCode="0\,00\,000;\-0\,00\,000;0">
                  <c:v>1160618.8376070948</c:v>
                </c:pt>
                <c:pt idx="11" formatCode="0\,00\,000;\-0\,00\,000;0">
                  <c:v>1001205.5174880214</c:v>
                </c:pt>
              </c:numCache>
            </c:numRef>
          </c:val>
          <c:smooth val="0"/>
          <c:extLst>
            <c:ext xmlns:c16="http://schemas.microsoft.com/office/drawing/2014/chart" uri="{C3380CC4-5D6E-409C-BE32-E72D297353CC}">
              <c16:uniqueId val="{00000000-EB5A-4926-A126-951E79654910}"/>
            </c:ext>
          </c:extLst>
        </c:ser>
        <c:ser>
          <c:idx val="2"/>
          <c:order val="2"/>
          <c:tx>
            <c:strRef>
              <c:f>'F6'!$D$2</c:f>
              <c:strCache>
                <c:ptCount val="1"/>
                <c:pt idx="0">
                  <c:v>BSE  (LHS)</c:v>
                </c:pt>
              </c:strCache>
            </c:strRef>
          </c:tx>
          <c:spPr>
            <a:ln w="28575" cap="rnd">
              <a:solidFill>
                <a:schemeClr val="accent3"/>
              </a:solidFill>
              <a:round/>
            </a:ln>
            <a:effectLst/>
          </c:spPr>
          <c:marker>
            <c:symbol val="none"/>
          </c:marker>
          <c:cat>
            <c:numRef>
              <c:f>'F6'!$A$3:$A$14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'F6'!$D$3:$D$14</c:f>
              <c:numCache>
                <c:formatCode>[&gt;=10000000]#\,##\,##\,##0;[&gt;=100000]#\,##\,##0;##,##0</c:formatCode>
                <c:ptCount val="12"/>
                <c:pt idx="0">
                  <c:v>439995.65480000008</c:v>
                </c:pt>
                <c:pt idx="1">
                  <c:v>471806.4</c:v>
                </c:pt>
                <c:pt idx="2">
                  <c:v>271144.38</c:v>
                </c:pt>
                <c:pt idx="3">
                  <c:v>306144.90000000002</c:v>
                </c:pt>
                <c:pt idx="4">
                  <c:v>467245.2</c:v>
                </c:pt>
                <c:pt idx="5" formatCode="0\,00\,000;\-0\,00\,000;0">
                  <c:v>437166.34</c:v>
                </c:pt>
                <c:pt idx="6" formatCode="0\,00\,000;\-0\,00\,000;0">
                  <c:v>451790.26</c:v>
                </c:pt>
                <c:pt idx="7" formatCode="0\,00\,000;\-0\,00\,000;0">
                  <c:v>429477.39090000006</c:v>
                </c:pt>
                <c:pt idx="8" formatCode="0\,00\,000;\-0\,00\,000;0">
                  <c:v>408890.7488</c:v>
                </c:pt>
                <c:pt idx="9" formatCode="0\,00\,000;\-0\,00\,000;0">
                  <c:v>402246.89210000006</c:v>
                </c:pt>
                <c:pt idx="10" formatCode="0\,00\,000;\-0\,00\,000;0">
                  <c:v>496940.56949999998</c:v>
                </c:pt>
                <c:pt idx="11" formatCode="#,##0">
                  <c:v>440262.21429999999</c:v>
                </c:pt>
              </c:numCache>
            </c:numRef>
          </c:val>
          <c:smooth val="0"/>
          <c:extLst>
            <c:ext xmlns:c16="http://schemas.microsoft.com/office/drawing/2014/chart" uri="{C3380CC4-5D6E-409C-BE32-E72D297353CC}">
              <c16:uniqueId val="{00000001-EB5A-4926-A126-951E79654910}"/>
            </c:ext>
          </c:extLst>
        </c:ser>
        <c:dLbls>
          <c:showLegendKey val="0"/>
          <c:showVal val="0"/>
          <c:showCatName val="0"/>
          <c:showSerName val="0"/>
          <c:showPercent val="0"/>
          <c:showBubbleSize val="0"/>
        </c:dLbls>
        <c:marker val="1"/>
        <c:smooth val="0"/>
        <c:axId val="638343168"/>
        <c:axId val="628345584"/>
      </c:lineChart>
      <c:lineChart>
        <c:grouping val="standard"/>
        <c:varyColors val="0"/>
        <c:ser>
          <c:idx val="1"/>
          <c:order val="1"/>
          <c:tx>
            <c:strRef>
              <c:f>'F6'!$C$2</c:f>
              <c:strCache>
                <c:ptCount val="1"/>
                <c:pt idx="0">
                  <c:v>MSEI (RHS)</c:v>
                </c:pt>
              </c:strCache>
            </c:strRef>
          </c:tx>
          <c:spPr>
            <a:ln w="28575" cap="rnd">
              <a:solidFill>
                <a:schemeClr val="accent2"/>
              </a:solidFill>
              <a:round/>
            </a:ln>
            <a:effectLst/>
          </c:spPr>
          <c:marker>
            <c:symbol val="none"/>
          </c:marker>
          <c:cat>
            <c:numRef>
              <c:f>'F6'!$A$3:$A$14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'F6'!$C$3:$C$14</c:f>
              <c:numCache>
                <c:formatCode>[&gt;=10000000]#\,##\,##\,##0;[&gt;=100000]#\,##\,##0;##,##0</c:formatCode>
                <c:ptCount val="12"/>
                <c:pt idx="0">
                  <c:v>5313.5327112499999</c:v>
                </c:pt>
                <c:pt idx="1">
                  <c:v>6404.1278092499997</c:v>
                </c:pt>
                <c:pt idx="2">
                  <c:v>1785.2814207500001</c:v>
                </c:pt>
                <c:pt idx="3">
                  <c:v>1702.4234337499997</c:v>
                </c:pt>
                <c:pt idx="4">
                  <c:v>2854.2512265</c:v>
                </c:pt>
                <c:pt idx="5" formatCode="#,##0;\-#,##0;0">
                  <c:v>4064.4222235000007</c:v>
                </c:pt>
                <c:pt idx="6" formatCode="#,##0;\-#,##0;0">
                  <c:v>5291.3987129999996</c:v>
                </c:pt>
                <c:pt idx="7" formatCode="#,##0;\-#,##0;0">
                  <c:v>6888.6162975000007</c:v>
                </c:pt>
                <c:pt idx="8" formatCode="#,##0;\-#,##0;0">
                  <c:v>9075.2012660000019</c:v>
                </c:pt>
                <c:pt idx="9" formatCode="#,##0;\-#,##0;0">
                  <c:v>12344.712834499998</c:v>
                </c:pt>
                <c:pt idx="10" formatCode="#,##0;\-#,##0;0">
                  <c:v>14310.276320249999</c:v>
                </c:pt>
                <c:pt idx="11" formatCode="#,##0;\-#,##0;0">
                  <c:v>13562.270864749999</c:v>
                </c:pt>
              </c:numCache>
            </c:numRef>
          </c:val>
          <c:smooth val="0"/>
          <c:extLst>
            <c:ext xmlns:c16="http://schemas.microsoft.com/office/drawing/2014/chart" uri="{C3380CC4-5D6E-409C-BE32-E72D297353CC}">
              <c16:uniqueId val="{00000002-EB5A-4926-A126-951E79654910}"/>
            </c:ext>
          </c:extLst>
        </c:ser>
        <c:dLbls>
          <c:showLegendKey val="0"/>
          <c:showVal val="0"/>
          <c:showCatName val="0"/>
          <c:showSerName val="0"/>
          <c:showPercent val="0"/>
          <c:showBubbleSize val="0"/>
        </c:dLbls>
        <c:marker val="1"/>
        <c:smooth val="0"/>
        <c:axId val="628345976"/>
        <c:axId val="628343624"/>
      </c:lineChart>
      <c:dateAx>
        <c:axId val="63834316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8345584"/>
        <c:crosses val="autoZero"/>
        <c:auto val="1"/>
        <c:lblOffset val="100"/>
        <c:baseTimeUnit val="months"/>
      </c:dateAx>
      <c:valAx>
        <c:axId val="62834558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38343168"/>
        <c:crosses val="autoZero"/>
        <c:crossBetween val="between"/>
      </c:valAx>
      <c:valAx>
        <c:axId val="628343624"/>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8345976"/>
        <c:crosses val="max"/>
        <c:crossBetween val="between"/>
      </c:valAx>
      <c:dateAx>
        <c:axId val="628345976"/>
        <c:scaling>
          <c:orientation val="minMax"/>
        </c:scaling>
        <c:delete val="1"/>
        <c:axPos val="b"/>
        <c:numFmt formatCode="[$-409]mmm\-yy" sourceLinked="1"/>
        <c:majorTickMark val="out"/>
        <c:minorTickMark val="none"/>
        <c:tickLblPos val="nextTo"/>
        <c:crossAx val="628343624"/>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'F7'!$B$3:$B$14</c:f>
              <c:numCache>
                <c:formatCode>[&gt;9999999]##\,##\,##\,##0;[&gt;99999]##\,##\,##0;##,##0</c:formatCode>
                <c:ptCount val="12"/>
                <c:pt idx="0">
                  <c:v>5829.3091999999997</c:v>
                </c:pt>
                <c:pt idx="1">
                  <c:v>11042.703600000001</c:v>
                </c:pt>
                <c:pt idx="2" formatCode="0.00">
                  <c:v>2394.6293999999998</c:v>
                </c:pt>
                <c:pt idx="3" formatCode="[&gt;9999999]##.####\,##\,##0;[&gt;99999]##.####\,##0;##,##0.00">
                  <c:v>1898.7684999999999</c:v>
                </c:pt>
                <c:pt idx="4" formatCode="[&gt;9999999]##.####\,##\,##0;[&gt;99999]##.####\,##0;##,##0.00">
                  <c:v>4307.7403000000004</c:v>
                </c:pt>
                <c:pt idx="5" formatCode="[&gt;9999999]##.####\,##\,##0;[&gt;99999]##.####\,##0;##,##0.00">
                  <c:v>4082.3089</c:v>
                </c:pt>
                <c:pt idx="6" formatCode="[&gt;9999999]##.####\,##\,##0;[&gt;99999]##.####\,##0;##,##0.00">
                  <c:v>1339.4258</c:v>
                </c:pt>
                <c:pt idx="7" formatCode="[&gt;9999999]##.00\,##\,##\,##0;[&gt;99999]##.00\,##\,##0;##,##0.00">
                  <c:v>618.83699999999999</c:v>
                </c:pt>
                <c:pt idx="8" formatCode="[&gt;9999999]##.00\,##\,##\,##0;[&gt;99999]##.00\,##\,##0;##,##0.00">
                  <c:v>1949.4366000000005</c:v>
                </c:pt>
                <c:pt idx="9" formatCode="[&gt;9999999]##.00\,##\,##\,##0;[&gt;99999]##.00\,##\,##0;##,##0.00">
                  <c:v>3284.3459999999995</c:v>
                </c:pt>
                <c:pt idx="10" formatCode="[&gt;9999999]##.00\,##\,##\,##0;[&gt;99999]##.00\,##\,##0;##,##0.00">
                  <c:v>1087.3935000000001</c:v>
                </c:pt>
                <c:pt idx="11" formatCode="[&gt;9999999]##.00\,##\,##\,##0;[&gt;99999]##.00\,##\,##0;##,##0.00">
                  <c:v>1100.9360999999999</c:v>
                </c:pt>
              </c:numCache>
            </c:numRef>
          </c:val>
          <c:smooth val="0"/>
          <c:extLst>
            <c:ext xmlns:c16="http://schemas.microsoft.com/office/drawing/2014/chart" uri="{C3380CC4-5D6E-409C-BE32-E72D297353CC}">
              <c16:uniqueId val="{00000000-6B02-42F9-9AF2-06678A678708}"/>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'F7'!$C$3:$C$14</c:f>
              <c:numCache>
                <c:formatCode>[&gt;9999999]##\,##\,##\,##0;[&gt;99999]##\,##\,##0;##,##0</c:formatCode>
                <c:ptCount val="12"/>
                <c:pt idx="0">
                  <c:v>30879.879639999999</c:v>
                </c:pt>
                <c:pt idx="1">
                  <c:v>33798.002293999991</c:v>
                </c:pt>
                <c:pt idx="2">
                  <c:v>9733.7467485000016</c:v>
                </c:pt>
                <c:pt idx="3" formatCode="#,##0;\-#,##0;0">
                  <c:v>12197.847997499997</c:v>
                </c:pt>
                <c:pt idx="4" formatCode="#,##0;\-#,##0;0">
                  <c:v>16790.040404000003</c:v>
                </c:pt>
                <c:pt idx="5" formatCode="#,##0;\-#,##0;0">
                  <c:v>11477.779758999999</c:v>
                </c:pt>
                <c:pt idx="6" formatCode="#,##0;\-#,##0;0">
                  <c:v>8836.0223354999998</c:v>
                </c:pt>
                <c:pt idx="7" formatCode="#,##0;\-#,##0;0">
                  <c:v>7968.2005550000003</c:v>
                </c:pt>
                <c:pt idx="8" formatCode="#,##0;\-#,##0;0">
                  <c:v>5969.361613</c:v>
                </c:pt>
                <c:pt idx="9" formatCode="#,##0;\-#,##0;0">
                  <c:v>3735.2176584999997</c:v>
                </c:pt>
                <c:pt idx="10" formatCode="#,##0;\-#,##0;0">
                  <c:v>5464.1321635000004</c:v>
                </c:pt>
                <c:pt idx="11" formatCode="#,##0;\-#,##0;0">
                  <c:v>4093.5442204999999</c:v>
                </c:pt>
              </c:numCache>
            </c:numRef>
          </c:val>
          <c:smooth val="0"/>
          <c:extLst>
            <c:ext xmlns:c16="http://schemas.microsoft.com/office/drawing/2014/chart" uri="{C3380CC4-5D6E-409C-BE32-E72D297353CC}">
              <c16:uniqueId val="{00000001-6B02-42F9-9AF2-06678A678708}"/>
            </c:ext>
          </c:extLst>
        </c:ser>
        <c:dLbls>
          <c:showLegendKey val="0"/>
          <c:showVal val="0"/>
          <c:showCatName val="0"/>
          <c:showSerName val="0"/>
          <c:showPercent val="0"/>
          <c:showBubbleSize val="0"/>
        </c:dLbls>
        <c:smooth val="0"/>
        <c:axId val="628346368"/>
        <c:axId val="628344800"/>
      </c:lineChart>
      <c:dateAx>
        <c:axId val="62834636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8344800"/>
        <c:crosses val="autoZero"/>
        <c:auto val="1"/>
        <c:lblOffset val="100"/>
        <c:baseTimeUnit val="months"/>
      </c:dateAx>
      <c:valAx>
        <c:axId val="628344800"/>
        <c:scaling>
          <c:orientation val="minMax"/>
        </c:scaling>
        <c:delete val="0"/>
        <c:axPos val="l"/>
        <c:numFmt formatCode="[&gt;9999999]##\,##\,##\,##0;[&gt;99999]##\,##\,##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834636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'F11'!$A$5:$A$16</c:f>
              <c:strCache>
                <c:ptCount val="12"/>
                <c:pt idx="0">
                  <c:v>Feb-20</c:v>
                </c:pt>
                <c:pt idx="1">
                  <c:v>Mar-20</c:v>
                </c:pt>
                <c:pt idx="2">
                  <c:v>Apr-20</c:v>
                </c:pt>
                <c:pt idx="3">
                  <c:v>May-20</c:v>
                </c:pt>
                <c:pt idx="4">
                  <c:v>Jun-20</c:v>
                </c:pt>
                <c:pt idx="5">
                  <c:v>Jul-20</c:v>
                </c:pt>
                <c:pt idx="6">
                  <c:v>Aug-20</c:v>
                </c:pt>
                <c:pt idx="7">
                  <c:v>Sep-20</c:v>
                </c:pt>
                <c:pt idx="8">
                  <c:v>Oct-20</c:v>
                </c:pt>
                <c:pt idx="9">
                  <c:v>Nov-20</c:v>
                </c:pt>
                <c:pt idx="10">
                  <c:v>Dec-20</c:v>
                </c:pt>
                <c:pt idx="11">
                  <c:v>Jan-21</c:v>
                </c:pt>
              </c:strCache>
            </c:strRef>
          </c:cat>
          <c:val>
            <c:numRef>
              <c:f>'F11'!$C$5:$C$16</c:f>
              <c:numCache>
                <c:formatCode>#,##0;\-#,##0;0</c:formatCode>
                <c:ptCount val="12"/>
                <c:pt idx="0">
                  <c:v>63973.440000000002</c:v>
                </c:pt>
                <c:pt idx="1">
                  <c:v>82283.460000000006</c:v>
                </c:pt>
                <c:pt idx="2">
                  <c:v>65285.07</c:v>
                </c:pt>
                <c:pt idx="3">
                  <c:v>64964.767999999996</c:v>
                </c:pt>
                <c:pt idx="4">
                  <c:v>76987.05</c:v>
                </c:pt>
                <c:pt idx="5">
                  <c:v>80074.63</c:v>
                </c:pt>
                <c:pt idx="6">
                  <c:v>53915.519999999997</c:v>
                </c:pt>
                <c:pt idx="7">
                  <c:v>50693.919999999998</c:v>
                </c:pt>
                <c:pt idx="8">
                  <c:v>42448.36</c:v>
                </c:pt>
                <c:pt idx="9">
                  <c:v>35255.333224302012</c:v>
                </c:pt>
                <c:pt idx="10">
                  <c:v>34626.160000000003</c:v>
                </c:pt>
                <c:pt idx="11">
                  <c:v>48384.845524290002</c:v>
                </c:pt>
              </c:numCache>
            </c:numRef>
          </c:val>
          <c:extLst>
            <c:ext xmlns:c16="http://schemas.microsoft.com/office/drawing/2014/chart" uri="{C3380CC4-5D6E-409C-BE32-E72D297353CC}">
              <c16:uniqueId val="{00000000-7EC2-4E14-9AA9-14322FD18445}"/>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'F11'!$A$5:$A$16</c:f>
              <c:strCache>
                <c:ptCount val="12"/>
                <c:pt idx="0">
                  <c:v>Feb-20</c:v>
                </c:pt>
                <c:pt idx="1">
                  <c:v>Mar-20</c:v>
                </c:pt>
                <c:pt idx="2">
                  <c:v>Apr-20</c:v>
                </c:pt>
                <c:pt idx="3">
                  <c:v>May-20</c:v>
                </c:pt>
                <c:pt idx="4">
                  <c:v>Jun-20</c:v>
                </c:pt>
                <c:pt idx="5">
                  <c:v>Jul-20</c:v>
                </c:pt>
                <c:pt idx="6">
                  <c:v>Aug-20</c:v>
                </c:pt>
                <c:pt idx="7">
                  <c:v>Sep-20</c:v>
                </c:pt>
                <c:pt idx="8">
                  <c:v>Oct-20</c:v>
                </c:pt>
                <c:pt idx="9">
                  <c:v>Nov-20</c:v>
                </c:pt>
                <c:pt idx="10">
                  <c:v>Dec-20</c:v>
                </c:pt>
                <c:pt idx="11">
                  <c:v>Jan-21</c:v>
                </c:pt>
              </c:strCache>
            </c:strRef>
          </c:cat>
          <c:val>
            <c:numRef>
              <c:f>'F11'!$E$5:$E$16</c:f>
              <c:numCache>
                <c:formatCode>0\,00\,000;\-0\,00\,000;0</c:formatCode>
                <c:ptCount val="12"/>
                <c:pt idx="0">
                  <c:v>119569.31</c:v>
                </c:pt>
                <c:pt idx="1">
                  <c:v>149081.53</c:v>
                </c:pt>
                <c:pt idx="2">
                  <c:v>149229.69</c:v>
                </c:pt>
                <c:pt idx="3">
                  <c:v>131841.63199999998</c:v>
                </c:pt>
                <c:pt idx="4">
                  <c:v>130256.79</c:v>
                </c:pt>
                <c:pt idx="5">
                  <c:v>121730.01</c:v>
                </c:pt>
                <c:pt idx="6" formatCode="#,##0">
                  <c:v>89136.44</c:v>
                </c:pt>
                <c:pt idx="7" formatCode="#,##0">
                  <c:v>90782.64</c:v>
                </c:pt>
                <c:pt idx="8" formatCode="#,##0">
                  <c:v>88404.000000000015</c:v>
                </c:pt>
                <c:pt idx="9" formatCode="#,##0">
                  <c:v>79665.3</c:v>
                </c:pt>
                <c:pt idx="10" formatCode="#,##0">
                  <c:v>76874.000000000015</c:v>
                </c:pt>
                <c:pt idx="11" formatCode="#,##0">
                  <c:v>83618.37999999999</c:v>
                </c:pt>
              </c:numCache>
            </c:numRef>
          </c:val>
          <c:extLst>
            <c:ext xmlns:c16="http://schemas.microsoft.com/office/drawing/2014/chart" uri="{C3380CC4-5D6E-409C-BE32-E72D297353CC}">
              <c16:uniqueId val="{00000001-7EC2-4E14-9AA9-14322FD18445}"/>
            </c:ext>
          </c:extLst>
        </c:ser>
        <c:dLbls>
          <c:showLegendKey val="0"/>
          <c:showVal val="0"/>
          <c:showCatName val="0"/>
          <c:showSerName val="0"/>
          <c:showPercent val="0"/>
          <c:showBubbleSize val="0"/>
        </c:dLbls>
        <c:gapWidth val="219"/>
        <c:overlap val="-27"/>
        <c:axId val="628343232"/>
        <c:axId val="628344016"/>
      </c:barChart>
      <c:catAx>
        <c:axId val="628343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8344016"/>
        <c:crosses val="autoZero"/>
        <c:auto val="1"/>
        <c:lblAlgn val="ctr"/>
        <c:lblOffset val="100"/>
        <c:noMultiLvlLbl val="0"/>
      </c:catAx>
      <c:valAx>
        <c:axId val="628344016"/>
        <c:scaling>
          <c:orientation val="minMax"/>
          <c:min val="30000"/>
        </c:scaling>
        <c:delete val="1"/>
        <c:axPos val="l"/>
        <c:numFmt formatCode="#,##0;\-#,##0;0" sourceLinked="1"/>
        <c:majorTickMark val="none"/>
        <c:minorTickMark val="none"/>
        <c:tickLblPos val="nextTo"/>
        <c:crossAx val="62834323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'F12'!$B$3:$B$14</c:f>
              <c:numCache>
                <c:formatCode>[&gt;9999999]##\,##\,##\,##0;[&gt;99999]##\,##\,##0;##,##0</c:formatCode>
                <c:ptCount val="12"/>
                <c:pt idx="0">
                  <c:v>9989.82</c:v>
                </c:pt>
                <c:pt idx="1">
                  <c:v>30285.64</c:v>
                </c:pt>
                <c:pt idx="2">
                  <c:v>-7965.5</c:v>
                </c:pt>
                <c:pt idx="3">
                  <c:v>6522.45</c:v>
                </c:pt>
                <c:pt idx="4">
                  <c:v>-501.5</c:v>
                </c:pt>
                <c:pt idx="5" formatCode="#,##0;\-#,##0;0">
                  <c:v>-9195.0400000000009</c:v>
                </c:pt>
                <c:pt idx="6" formatCode="#,##0;\-#,##0;0">
                  <c:v>-9213.44</c:v>
                </c:pt>
                <c:pt idx="7" formatCode="#,##0;\-#,##0;0">
                  <c:v>-4134.37</c:v>
                </c:pt>
                <c:pt idx="8" formatCode="#,##0;\-#,##0;0">
                  <c:v>-14491.79</c:v>
                </c:pt>
                <c:pt idx="9" formatCode="#,##0;\-#,##0;0">
                  <c:v>-30760.07</c:v>
                </c:pt>
                <c:pt idx="10" formatCode="#,##0;\-#,##0;0">
                  <c:v>-26427.83</c:v>
                </c:pt>
                <c:pt idx="11" formatCode="#,##0;\-#,##0;0">
                  <c:v>-13031.78</c:v>
                </c:pt>
              </c:numCache>
            </c:numRef>
          </c:val>
          <c:extLst>
            <c:ext xmlns:c16="http://schemas.microsoft.com/office/drawing/2014/chart" uri="{C3380CC4-5D6E-409C-BE32-E72D297353CC}">
              <c16:uniqueId val="{00000000-66F4-4F0B-8B6C-10637765170A}"/>
            </c:ext>
          </c:extLst>
        </c:ser>
        <c:ser>
          <c:idx val="1"/>
          <c:order val="1"/>
          <c:tx>
            <c:strRef>
              <c:f>'F12'!$C$2</c:f>
              <c:strCache>
                <c:ptCount val="1"/>
                <c:pt idx="0">
                  <c:v>Debt</c:v>
                </c:pt>
              </c:strCache>
            </c:strRef>
          </c:tx>
          <c:spPr>
            <a:solidFill>
              <a:schemeClr val="accent2"/>
            </a:solidFill>
            <a:ln>
              <a:noFill/>
            </a:ln>
            <a:effectLst/>
          </c:spPr>
          <c:invertIfNegative val="0"/>
          <c:cat>
            <c:numRef>
              <c:f>'F12'!$A$3:$A$14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'F12'!$C$3:$C$14</c:f>
              <c:numCache>
                <c:formatCode>[&gt;9999999]##\,##\,##\,##0;[&gt;99999]##\,##\,##0;##,##0</c:formatCode>
                <c:ptCount val="12"/>
                <c:pt idx="0">
                  <c:v>17920.55</c:v>
                </c:pt>
                <c:pt idx="1">
                  <c:v>-19645.759999999998</c:v>
                </c:pt>
                <c:pt idx="2">
                  <c:v>-9794.5400000000009</c:v>
                </c:pt>
                <c:pt idx="3">
                  <c:v>10699.37</c:v>
                </c:pt>
                <c:pt idx="4">
                  <c:v>41364.71</c:v>
                </c:pt>
                <c:pt idx="5" formatCode="#,##0;\-#,##0;0">
                  <c:v>31897.85</c:v>
                </c:pt>
                <c:pt idx="6" formatCode="#,##0;\-#,##0;0">
                  <c:v>25780.28</c:v>
                </c:pt>
                <c:pt idx="7" formatCode="#,##0;\-#,##0;0">
                  <c:v>17004.97</c:v>
                </c:pt>
                <c:pt idx="8" formatCode="#,##0;\-#,##0;0">
                  <c:v>31975.11</c:v>
                </c:pt>
                <c:pt idx="9" formatCode="#,##0;\-#,##0;0">
                  <c:v>20349.349999999999</c:v>
                </c:pt>
                <c:pt idx="10" formatCode="#,##0;\-#,##0;0">
                  <c:v>23368.42</c:v>
                </c:pt>
                <c:pt idx="11" formatCode="#,##0;\-#,##0;0">
                  <c:v>11831.74</c:v>
                </c:pt>
              </c:numCache>
            </c:numRef>
          </c:val>
          <c:extLst>
            <c:ext xmlns:c16="http://schemas.microsoft.com/office/drawing/2014/chart" uri="{C3380CC4-5D6E-409C-BE32-E72D297353CC}">
              <c16:uniqueId val="{00000001-66F4-4F0B-8B6C-10637765170A}"/>
            </c:ext>
          </c:extLst>
        </c:ser>
        <c:dLbls>
          <c:showLegendKey val="0"/>
          <c:showVal val="0"/>
          <c:showCatName val="0"/>
          <c:showSerName val="0"/>
          <c:showPercent val="0"/>
          <c:showBubbleSize val="0"/>
        </c:dLbls>
        <c:gapWidth val="219"/>
        <c:overlap val="-27"/>
        <c:axId val="626859528"/>
        <c:axId val="626856392"/>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'F12'!$A$3:$A$14</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'F12'!$D$3:$D$14</c:f>
              <c:numCache>
                <c:formatCode>[&gt;9999999]##\,##\,##\,##0;[&gt;99999]##\,##\,##0;##,##0</c:formatCode>
                <c:ptCount val="12"/>
                <c:pt idx="0">
                  <c:v>27910.37</c:v>
                </c:pt>
                <c:pt idx="1">
                  <c:v>10639.880000000001</c:v>
                </c:pt>
                <c:pt idx="2">
                  <c:v>-17760.04</c:v>
                </c:pt>
                <c:pt idx="3">
                  <c:v>17221.82</c:v>
                </c:pt>
                <c:pt idx="4">
                  <c:v>40863.21</c:v>
                </c:pt>
                <c:pt idx="5">
                  <c:v>22702.809999999998</c:v>
                </c:pt>
                <c:pt idx="6">
                  <c:v>16566.839999999997</c:v>
                </c:pt>
                <c:pt idx="7">
                  <c:v>12870.600000000002</c:v>
                </c:pt>
                <c:pt idx="8">
                  <c:v>17483.32</c:v>
                </c:pt>
                <c:pt idx="9">
                  <c:v>-10410.720000000001</c:v>
                </c:pt>
                <c:pt idx="10">
                  <c:v>-3059.4100000000035</c:v>
                </c:pt>
                <c:pt idx="11">
                  <c:v>-1200.0400000000009</c:v>
                </c:pt>
              </c:numCache>
            </c:numRef>
          </c:val>
          <c:smooth val="0"/>
          <c:extLst>
            <c:ext xmlns:c16="http://schemas.microsoft.com/office/drawing/2014/chart" uri="{C3380CC4-5D6E-409C-BE32-E72D297353CC}">
              <c16:uniqueId val="{00000002-66F4-4F0B-8B6C-10637765170A}"/>
            </c:ext>
          </c:extLst>
        </c:ser>
        <c:dLbls>
          <c:showLegendKey val="0"/>
          <c:showVal val="0"/>
          <c:showCatName val="0"/>
          <c:showSerName val="0"/>
          <c:showPercent val="0"/>
          <c:showBubbleSize val="0"/>
        </c:dLbls>
        <c:marker val="1"/>
        <c:smooth val="0"/>
        <c:axId val="626859528"/>
        <c:axId val="626856392"/>
      </c:lineChart>
      <c:dateAx>
        <c:axId val="626859528"/>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6856392"/>
        <c:crosses val="autoZero"/>
        <c:auto val="1"/>
        <c:lblOffset val="100"/>
        <c:baseTimeUnit val="months"/>
      </c:dateAx>
      <c:valAx>
        <c:axId val="626856392"/>
        <c:scaling>
          <c:orientation val="minMax"/>
        </c:scaling>
        <c:delete val="0"/>
        <c:axPos val="l"/>
        <c:numFmt formatCode="[&gt;9999999]##\,##\,##\,##0;[&gt;99999]##\,##\,##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685952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 13'!$B$4:$B$15</c:f>
              <c:numCache>
                <c:formatCode>#,##0</c:formatCode>
                <c:ptCount val="12"/>
                <c:pt idx="0">
                  <c:v>1820</c:v>
                </c:pt>
                <c:pt idx="1">
                  <c:v>-61973</c:v>
                </c:pt>
                <c:pt idx="2">
                  <c:v>-6884</c:v>
                </c:pt>
                <c:pt idx="3">
                  <c:v>14569</c:v>
                </c:pt>
                <c:pt idx="4">
                  <c:v>21832</c:v>
                </c:pt>
                <c:pt idx="5">
                  <c:v>7563</c:v>
                </c:pt>
                <c:pt idx="6">
                  <c:v>47080</c:v>
                </c:pt>
                <c:pt idx="7">
                  <c:v>-7783</c:v>
                </c:pt>
                <c:pt idx="8">
                  <c:v>19541</c:v>
                </c:pt>
                <c:pt idx="9">
                  <c:v>60358</c:v>
                </c:pt>
                <c:pt idx="10">
                  <c:v>62016</c:v>
                </c:pt>
                <c:pt idx="11">
                  <c:v>19473</c:v>
                </c:pt>
              </c:numCache>
            </c:numRef>
          </c:val>
          <c:extLst>
            <c:ext xmlns:c16="http://schemas.microsoft.com/office/drawing/2014/chart" uri="{C3380CC4-5D6E-409C-BE32-E72D297353CC}">
              <c16:uniqueId val="{00000000-041E-4C10-BEFF-26469449A5CD}"/>
            </c:ext>
          </c:extLst>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 13'!$C$4:$C$15</c:f>
              <c:numCache>
                <c:formatCode>#,##0</c:formatCode>
                <c:ptCount val="12"/>
                <c:pt idx="0">
                  <c:v>2097</c:v>
                </c:pt>
                <c:pt idx="1">
                  <c:v>-60376</c:v>
                </c:pt>
                <c:pt idx="2">
                  <c:v>-12552</c:v>
                </c:pt>
                <c:pt idx="3">
                  <c:v>-22935</c:v>
                </c:pt>
                <c:pt idx="4">
                  <c:v>-1545</c:v>
                </c:pt>
                <c:pt idx="5">
                  <c:v>-2476</c:v>
                </c:pt>
                <c:pt idx="6">
                  <c:v>-3310</c:v>
                </c:pt>
                <c:pt idx="7">
                  <c:v>3958</c:v>
                </c:pt>
                <c:pt idx="8">
                  <c:v>1641</c:v>
                </c:pt>
                <c:pt idx="9">
                  <c:v>-1806</c:v>
                </c:pt>
                <c:pt idx="10">
                  <c:v>4079</c:v>
                </c:pt>
                <c:pt idx="11">
                  <c:v>-2518</c:v>
                </c:pt>
              </c:numCache>
            </c:numRef>
          </c:val>
          <c:extLst>
            <c:ext xmlns:c16="http://schemas.microsoft.com/office/drawing/2014/chart" uri="{C3380CC4-5D6E-409C-BE32-E72D297353CC}">
              <c16:uniqueId val="{00000001-041E-4C10-BEFF-26469449A5CD}"/>
            </c:ext>
          </c:extLst>
        </c:ser>
        <c:dLbls>
          <c:showLegendKey val="0"/>
          <c:showVal val="0"/>
          <c:showCatName val="0"/>
          <c:showSerName val="0"/>
          <c:showPercent val="0"/>
          <c:showBubbleSize val="0"/>
        </c:dLbls>
        <c:gapWidth val="219"/>
        <c:overlap val="-27"/>
        <c:axId val="626856000"/>
        <c:axId val="626857176"/>
      </c:barChart>
      <c:barChart>
        <c:barDir val="col"/>
        <c:grouping val="clustered"/>
        <c:varyColors val="0"/>
        <c:ser>
          <c:idx val="2"/>
          <c:order val="2"/>
          <c:tx>
            <c:strRef>
              <c:f>'F 13'!$D$3</c:f>
              <c:strCache>
                <c:ptCount val="1"/>
                <c:pt idx="0">
                  <c:v>Debt-VRR (RHS)</c:v>
                </c:pt>
              </c:strCache>
            </c:strRef>
          </c:tx>
          <c:spPr>
            <a:solidFill>
              <a:schemeClr val="accent3"/>
            </a:solidFill>
            <a:ln>
              <a:noFill/>
            </a:ln>
            <a:effectLst/>
          </c:spPr>
          <c:invertIfNegative val="0"/>
          <c:cat>
            <c:numRef>
              <c:f>'F 13'!$A$4:$A$15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 13'!$D$4:$D$15</c:f>
              <c:numCache>
                <c:formatCode>#,##0</c:formatCode>
                <c:ptCount val="12"/>
                <c:pt idx="0">
                  <c:v>2637</c:v>
                </c:pt>
                <c:pt idx="1">
                  <c:v>4165</c:v>
                </c:pt>
                <c:pt idx="2">
                  <c:v>4033</c:v>
                </c:pt>
                <c:pt idx="3">
                  <c:v>1000</c:v>
                </c:pt>
                <c:pt idx="4">
                  <c:v>3766</c:v>
                </c:pt>
                <c:pt idx="5">
                  <c:v>-1786</c:v>
                </c:pt>
                <c:pt idx="6">
                  <c:v>2762</c:v>
                </c:pt>
                <c:pt idx="7">
                  <c:v>406</c:v>
                </c:pt>
                <c:pt idx="8">
                  <c:v>851</c:v>
                </c:pt>
                <c:pt idx="9">
                  <c:v>4399</c:v>
                </c:pt>
                <c:pt idx="10">
                  <c:v>2463</c:v>
                </c:pt>
                <c:pt idx="11">
                  <c:v>-2306</c:v>
                </c:pt>
              </c:numCache>
            </c:numRef>
          </c:val>
          <c:extLst>
            <c:ext xmlns:c16="http://schemas.microsoft.com/office/drawing/2014/chart" uri="{C3380CC4-5D6E-409C-BE32-E72D297353CC}">
              <c16:uniqueId val="{00000002-041E-4C10-BEFF-26469449A5CD}"/>
            </c:ext>
          </c:extLst>
        </c:ser>
        <c:ser>
          <c:idx val="3"/>
          <c:order val="3"/>
          <c:tx>
            <c:strRef>
              <c:f>'F 13'!$E$3</c:f>
              <c:strCache>
                <c:ptCount val="1"/>
                <c:pt idx="0">
                  <c:v>Hybrid  (RHS)</c:v>
                </c:pt>
              </c:strCache>
            </c:strRef>
          </c:tx>
          <c:spPr>
            <a:solidFill>
              <a:schemeClr val="accent4"/>
            </a:solidFill>
            <a:ln>
              <a:noFill/>
            </a:ln>
            <a:effectLst/>
          </c:spPr>
          <c:invertIfNegative val="0"/>
          <c:cat>
            <c:numRef>
              <c:f>'F 13'!$A$4:$A$15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 13'!$E$4:$E$15</c:f>
              <c:numCache>
                <c:formatCode>#,##0</c:formatCode>
                <c:ptCount val="12"/>
                <c:pt idx="0">
                  <c:v>2416</c:v>
                </c:pt>
                <c:pt idx="1">
                  <c:v>-19</c:v>
                </c:pt>
                <c:pt idx="2">
                  <c:v>544</c:v>
                </c:pt>
                <c:pt idx="3">
                  <c:v>11</c:v>
                </c:pt>
                <c:pt idx="4">
                  <c:v>1957</c:v>
                </c:pt>
                <c:pt idx="5">
                  <c:v>1</c:v>
                </c:pt>
                <c:pt idx="6">
                  <c:v>3347</c:v>
                </c:pt>
                <c:pt idx="7">
                  <c:v>2222</c:v>
                </c:pt>
                <c:pt idx="8">
                  <c:v>-207</c:v>
                </c:pt>
                <c:pt idx="9">
                  <c:v>-169</c:v>
                </c:pt>
                <c:pt idx="10">
                  <c:v>2489</c:v>
                </c:pt>
                <c:pt idx="11">
                  <c:v>-17</c:v>
                </c:pt>
              </c:numCache>
            </c:numRef>
          </c:val>
          <c:extLst>
            <c:ext xmlns:c16="http://schemas.microsoft.com/office/drawing/2014/chart" uri="{C3380CC4-5D6E-409C-BE32-E72D297353CC}">
              <c16:uniqueId val="{00000003-041E-4C10-BEFF-26469449A5CD}"/>
            </c:ext>
          </c:extLst>
        </c:ser>
        <c:dLbls>
          <c:showLegendKey val="0"/>
          <c:showVal val="0"/>
          <c:showCatName val="0"/>
          <c:showSerName val="0"/>
          <c:showPercent val="0"/>
          <c:showBubbleSize val="0"/>
        </c:dLbls>
        <c:gapWidth val="219"/>
        <c:overlap val="-27"/>
        <c:axId val="626859136"/>
        <c:axId val="626858352"/>
      </c:barChart>
      <c:lineChart>
        <c:grouping val="standard"/>
        <c:varyColors val="0"/>
        <c:ser>
          <c:idx val="4"/>
          <c:order val="4"/>
          <c:tx>
            <c:strRef>
              <c:f>'F 13'!$F$3</c:f>
              <c:strCache>
                <c:ptCount val="1"/>
                <c:pt idx="0">
                  <c:v>Total (LHS)</c:v>
                </c:pt>
              </c:strCache>
            </c:strRef>
          </c:tx>
          <c:spPr>
            <a:ln w="28575" cap="rnd">
              <a:solidFill>
                <a:schemeClr val="accent5"/>
              </a:solidFill>
              <a:round/>
            </a:ln>
            <a:effectLst/>
          </c:spPr>
          <c:marker>
            <c:symbol val="none"/>
          </c:marker>
          <c:cat>
            <c:numRef>
              <c:f>'F 13'!$A$4:$A$15</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 13'!$F$4:$F$15</c:f>
              <c:numCache>
                <c:formatCode>#,##0</c:formatCode>
                <c:ptCount val="12"/>
                <c:pt idx="0">
                  <c:v>8970</c:v>
                </c:pt>
                <c:pt idx="1">
                  <c:v>-118203</c:v>
                </c:pt>
                <c:pt idx="2">
                  <c:v>-14859</c:v>
                </c:pt>
                <c:pt idx="3">
                  <c:v>-7356</c:v>
                </c:pt>
                <c:pt idx="4">
                  <c:v>26009</c:v>
                </c:pt>
                <c:pt idx="5">
                  <c:v>3301</c:v>
                </c:pt>
                <c:pt idx="6">
                  <c:v>49879</c:v>
                </c:pt>
                <c:pt idx="7">
                  <c:v>-1196</c:v>
                </c:pt>
                <c:pt idx="8">
                  <c:v>21826</c:v>
                </c:pt>
                <c:pt idx="9">
                  <c:v>62782</c:v>
                </c:pt>
                <c:pt idx="10">
                  <c:v>71046</c:v>
                </c:pt>
                <c:pt idx="11">
                  <c:v>14631</c:v>
                </c:pt>
              </c:numCache>
            </c:numRef>
          </c:val>
          <c:smooth val="0"/>
          <c:extLst>
            <c:ext xmlns:c16="http://schemas.microsoft.com/office/drawing/2014/chart" uri="{C3380CC4-5D6E-409C-BE32-E72D297353CC}">
              <c16:uniqueId val="{00000004-041E-4C10-BEFF-26469449A5CD}"/>
            </c:ext>
          </c:extLst>
        </c:ser>
        <c:dLbls>
          <c:showLegendKey val="0"/>
          <c:showVal val="0"/>
          <c:showCatName val="0"/>
          <c:showSerName val="0"/>
          <c:showPercent val="0"/>
          <c:showBubbleSize val="0"/>
        </c:dLbls>
        <c:marker val="1"/>
        <c:smooth val="0"/>
        <c:axId val="626856000"/>
        <c:axId val="626857176"/>
      </c:lineChart>
      <c:dateAx>
        <c:axId val="626856000"/>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6857176"/>
        <c:crosses val="autoZero"/>
        <c:auto val="1"/>
        <c:lblOffset val="100"/>
        <c:baseTimeUnit val="months"/>
      </c:dateAx>
      <c:valAx>
        <c:axId val="626857176"/>
        <c:scaling>
          <c:orientation val="minMax"/>
          <c:max val="80000"/>
          <c:min val="-12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6856000"/>
        <c:crosses val="autoZero"/>
        <c:crossBetween val="between"/>
      </c:valAx>
      <c:valAx>
        <c:axId val="626858352"/>
        <c:scaling>
          <c:orientation val="minMax"/>
          <c:max val="8000"/>
          <c:min val="-12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6859136"/>
        <c:crosses val="max"/>
        <c:crossBetween val="between"/>
      </c:valAx>
      <c:dateAx>
        <c:axId val="626859136"/>
        <c:scaling>
          <c:orientation val="minMax"/>
        </c:scaling>
        <c:delete val="1"/>
        <c:axPos val="b"/>
        <c:numFmt formatCode="[$-409]mmm\-yy" sourceLinked="1"/>
        <c:majorTickMark val="out"/>
        <c:minorTickMark val="none"/>
        <c:tickLblPos val="nextTo"/>
        <c:crossAx val="626858352"/>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'F14'!$A$6:$A$17</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'F14'!$I$6:$I$17</c:f>
              <c:numCache>
                <c:formatCode>#,##0;\-#,##0;0.0</c:formatCode>
                <c:ptCount val="12"/>
                <c:pt idx="0">
                  <c:v>20.440000000000001</c:v>
                </c:pt>
                <c:pt idx="1">
                  <c:v>465.13</c:v>
                </c:pt>
                <c:pt idx="2">
                  <c:v>3.72</c:v>
                </c:pt>
                <c:pt idx="3" formatCode="General">
                  <c:v>0</c:v>
                </c:pt>
                <c:pt idx="4">
                  <c:v>1088.1099999999999</c:v>
                </c:pt>
                <c:pt idx="5">
                  <c:v>528.16</c:v>
                </c:pt>
                <c:pt idx="6">
                  <c:v>3861.67</c:v>
                </c:pt>
                <c:pt idx="7">
                  <c:v>3010.3900000000003</c:v>
                </c:pt>
                <c:pt idx="8">
                  <c:v>480.5</c:v>
                </c:pt>
                <c:pt idx="9" formatCode="General">
                  <c:v>0</c:v>
                </c:pt>
                <c:pt idx="10" formatCode="0.0">
                  <c:v>47.49</c:v>
                </c:pt>
                <c:pt idx="11" formatCode="0.0">
                  <c:v>140.80000000000001</c:v>
                </c:pt>
              </c:numCache>
            </c:numRef>
          </c:val>
          <c:extLst>
            <c:ext xmlns:c16="http://schemas.microsoft.com/office/drawing/2014/chart" uri="{C3380CC4-5D6E-409C-BE32-E72D297353CC}">
              <c16:uniqueId val="{00000000-73D0-4A08-8002-B6DCF77C1FFC}"/>
            </c:ext>
          </c:extLst>
        </c:ser>
        <c:dLbls>
          <c:showLegendKey val="0"/>
          <c:showVal val="0"/>
          <c:showCatName val="0"/>
          <c:showSerName val="0"/>
          <c:showPercent val="0"/>
          <c:showBubbleSize val="0"/>
        </c:dLbls>
        <c:gapWidth val="219"/>
        <c:axId val="322373656"/>
        <c:axId val="322373264"/>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'F14'!$A$6:$A$17</c:f>
              <c:numCache>
                <c:formatCode>[$-409]mmm\-yy</c:formatCode>
                <c:ptCount val="12"/>
                <c:pt idx="0">
                  <c:v>43871</c:v>
                </c:pt>
                <c:pt idx="1">
                  <c:v>43900</c:v>
                </c:pt>
                <c:pt idx="2">
                  <c:v>43931</c:v>
                </c:pt>
                <c:pt idx="3">
                  <c:v>43961</c:v>
                </c:pt>
                <c:pt idx="4">
                  <c:v>43992</c:v>
                </c:pt>
                <c:pt idx="5">
                  <c:v>44022</c:v>
                </c:pt>
                <c:pt idx="6">
                  <c:v>44053</c:v>
                </c:pt>
                <c:pt idx="7">
                  <c:v>44084</c:v>
                </c:pt>
                <c:pt idx="8">
                  <c:v>44114</c:v>
                </c:pt>
                <c:pt idx="9">
                  <c:v>44145</c:v>
                </c:pt>
                <c:pt idx="10">
                  <c:v>44175</c:v>
                </c:pt>
                <c:pt idx="11">
                  <c:v>44206</c:v>
                </c:pt>
              </c:numCache>
            </c:numRef>
          </c:cat>
          <c:val>
            <c:numRef>
              <c:f>'F14'!$H$6:$H$17</c:f>
              <c:numCache>
                <c:formatCode>General</c:formatCode>
                <c:ptCount val="12"/>
                <c:pt idx="0">
                  <c:v>1</c:v>
                </c:pt>
                <c:pt idx="1">
                  <c:v>7</c:v>
                </c:pt>
                <c:pt idx="2">
                  <c:v>3</c:v>
                </c:pt>
                <c:pt idx="3">
                  <c:v>0</c:v>
                </c:pt>
                <c:pt idx="4">
                  <c:v>4</c:v>
                </c:pt>
                <c:pt idx="5">
                  <c:v>2</c:v>
                </c:pt>
                <c:pt idx="6">
                  <c:v>9</c:v>
                </c:pt>
                <c:pt idx="7">
                  <c:v>6</c:v>
                </c:pt>
                <c:pt idx="8">
                  <c:v>6</c:v>
                </c:pt>
                <c:pt idx="9">
                  <c:v>0</c:v>
                </c:pt>
                <c:pt idx="10">
                  <c:v>4</c:v>
                </c:pt>
                <c:pt idx="11">
                  <c:v>3</c:v>
                </c:pt>
              </c:numCache>
            </c:numRef>
          </c:val>
          <c:smooth val="0"/>
          <c:extLst>
            <c:ext xmlns:c16="http://schemas.microsoft.com/office/drawing/2014/chart" uri="{C3380CC4-5D6E-409C-BE32-E72D297353CC}">
              <c16:uniqueId val="{00000001-73D0-4A08-8002-B6DCF77C1FFC}"/>
            </c:ext>
          </c:extLst>
        </c:ser>
        <c:dLbls>
          <c:showLegendKey val="0"/>
          <c:showVal val="0"/>
          <c:showCatName val="0"/>
          <c:showSerName val="0"/>
          <c:showPercent val="0"/>
          <c:showBubbleSize val="0"/>
        </c:dLbls>
        <c:marker val="1"/>
        <c:smooth val="0"/>
        <c:axId val="626857960"/>
        <c:axId val="322371696"/>
      </c:lineChart>
      <c:dateAx>
        <c:axId val="62685796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22371696"/>
        <c:crosses val="autoZero"/>
        <c:auto val="1"/>
        <c:lblOffset val="100"/>
        <c:baseTimeUnit val="months"/>
      </c:dateAx>
      <c:valAx>
        <c:axId val="322371696"/>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26857960"/>
        <c:crosses val="autoZero"/>
        <c:crossBetween val="between"/>
        <c:majorUnit val="2"/>
      </c:valAx>
      <c:valAx>
        <c:axId val="322373264"/>
        <c:scaling>
          <c:orientation val="minMax"/>
          <c:max val="4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sz="1000" b="1" i="0" u="none" strike="noStrike" kern="1200" baseline="0">
                    <a:solidFill>
                      <a:sysClr val="windowText" lastClr="000000">
                        <a:lumMod val="65000"/>
                        <a:lumOff val="35000"/>
                      </a:sysClr>
                    </a:solidFill>
                    <a:latin typeface="Palatino Linotype" panose="02040502050505030304" pitchFamily="18" charset="0"/>
                    <a:ea typeface="+mn-ea"/>
                    <a:cs typeface="+mn-cs"/>
                  </a:rPr>
                  <a:t>`</a:t>
                </a:r>
                <a:r>
                  <a:rPr lang="en-IN"/>
                  <a:t> Crore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22373656"/>
        <c:crosses val="max"/>
        <c:crossBetween val="between"/>
      </c:valAx>
      <c:dateAx>
        <c:axId val="322373656"/>
        <c:scaling>
          <c:orientation val="minMax"/>
        </c:scaling>
        <c:delete val="1"/>
        <c:axPos val="b"/>
        <c:numFmt formatCode="[$-409]mmm\-yy" sourceLinked="1"/>
        <c:majorTickMark val="out"/>
        <c:minorTickMark val="none"/>
        <c:tickLblPos val="nextTo"/>
        <c:crossAx val="322373264"/>
        <c:crosses val="autoZero"/>
        <c:auto val="1"/>
        <c:lblOffset val="100"/>
        <c:baseTimeUnit val="month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MCX iCOMDEX composite index</c:v>
          </c:tx>
          <c:spPr>
            <a:ln w="28575" cap="rnd">
              <a:solidFill>
                <a:schemeClr val="accent1"/>
              </a:solidFill>
              <a:round/>
            </a:ln>
            <a:effectLst/>
          </c:spPr>
          <c:marker>
            <c:symbol val="none"/>
          </c:marker>
          <c:cat>
            <c:numRef>
              <c:f>Graph!$D$195:$D$215</c:f>
              <c:numCache>
                <c:formatCode>d\-mmm\-yy</c:formatCode>
                <c:ptCount val="21"/>
                <c:pt idx="0">
                  <c:v>44196</c:v>
                </c:pt>
                <c:pt idx="1">
                  <c:v>44197</c:v>
                </c:pt>
                <c:pt idx="2">
                  <c:v>44200</c:v>
                </c:pt>
                <c:pt idx="3">
                  <c:v>44201</c:v>
                </c:pt>
                <c:pt idx="4">
                  <c:v>44202</c:v>
                </c:pt>
                <c:pt idx="5">
                  <c:v>44203</c:v>
                </c:pt>
                <c:pt idx="6">
                  <c:v>44204</c:v>
                </c:pt>
                <c:pt idx="7">
                  <c:v>44207</c:v>
                </c:pt>
                <c:pt idx="8">
                  <c:v>44208</c:v>
                </c:pt>
                <c:pt idx="9">
                  <c:v>44209</c:v>
                </c:pt>
                <c:pt idx="10">
                  <c:v>44210</c:v>
                </c:pt>
                <c:pt idx="11">
                  <c:v>44211</c:v>
                </c:pt>
                <c:pt idx="12">
                  <c:v>44214</c:v>
                </c:pt>
                <c:pt idx="13">
                  <c:v>44215</c:v>
                </c:pt>
                <c:pt idx="14">
                  <c:v>44216</c:v>
                </c:pt>
                <c:pt idx="15">
                  <c:v>44217</c:v>
                </c:pt>
                <c:pt idx="16">
                  <c:v>44218</c:v>
                </c:pt>
                <c:pt idx="17">
                  <c:v>44221</c:v>
                </c:pt>
                <c:pt idx="18">
                  <c:v>44223</c:v>
                </c:pt>
                <c:pt idx="19">
                  <c:v>44224</c:v>
                </c:pt>
                <c:pt idx="20">
                  <c:v>44225</c:v>
                </c:pt>
              </c:numCache>
            </c:numRef>
          </c:cat>
          <c:val>
            <c:numRef>
              <c:f>Graph!$E$195:$E$215</c:f>
              <c:numCache>
                <c:formatCode>_(* #,##0.00_);_(* \(#,##0.00\);_(* "-"??_);_(@_)</c:formatCode>
                <c:ptCount val="21"/>
                <c:pt idx="0">
                  <c:v>100</c:v>
                </c:pt>
                <c:pt idx="1">
                  <c:v>100.17298534432366</c:v>
                </c:pt>
                <c:pt idx="2">
                  <c:v>101.91607211879914</c:v>
                </c:pt>
                <c:pt idx="3">
                  <c:v>103.55776682299133</c:v>
                </c:pt>
                <c:pt idx="4">
                  <c:v>102.90019402538894</c:v>
                </c:pt>
                <c:pt idx="5">
                  <c:v>103.70647519274013</c:v>
                </c:pt>
                <c:pt idx="6">
                  <c:v>100.90976772171541</c:v>
                </c:pt>
                <c:pt idx="7">
                  <c:v>100.73183177865491</c:v>
                </c:pt>
                <c:pt idx="8">
                  <c:v>101.23936335300242</c:v>
                </c:pt>
                <c:pt idx="9">
                  <c:v>101.40492279922084</c:v>
                </c:pt>
                <c:pt idx="10">
                  <c:v>101.60665969774689</c:v>
                </c:pt>
                <c:pt idx="11">
                  <c:v>100.04969639501206</c:v>
                </c:pt>
                <c:pt idx="12">
                  <c:v>100.38576588618571</c:v>
                </c:pt>
                <c:pt idx="13">
                  <c:v>100.72735719902738</c:v>
                </c:pt>
                <c:pt idx="14">
                  <c:v>101.56629327727728</c:v>
                </c:pt>
                <c:pt idx="15">
                  <c:v>101.63655369781161</c:v>
                </c:pt>
                <c:pt idx="16">
                  <c:v>100.85036053687335</c:v>
                </c:pt>
                <c:pt idx="17">
                  <c:v>100.9449931358044</c:v>
                </c:pt>
                <c:pt idx="18">
                  <c:v>100.64348263196673</c:v>
                </c:pt>
                <c:pt idx="19">
                  <c:v>100.55675195025024</c:v>
                </c:pt>
                <c:pt idx="20">
                  <c:v>101.2779209008566</c:v>
                </c:pt>
              </c:numCache>
            </c:numRef>
          </c:val>
          <c:smooth val="0"/>
          <c:extLst>
            <c:ext xmlns:c16="http://schemas.microsoft.com/office/drawing/2014/chart" uri="{C3380CC4-5D6E-409C-BE32-E72D297353CC}">
              <c16:uniqueId val="{00000000-2613-4EC8-82C9-200DDA4ECBE8}"/>
            </c:ext>
          </c:extLst>
        </c:ser>
        <c:ser>
          <c:idx val="1"/>
          <c:order val="1"/>
          <c:tx>
            <c:v>Nkrishi NCDEX index</c:v>
          </c:tx>
          <c:spPr>
            <a:ln w="28575" cap="rnd">
              <a:solidFill>
                <a:schemeClr val="accent2"/>
              </a:solidFill>
              <a:round/>
            </a:ln>
            <a:effectLst/>
          </c:spPr>
          <c:marker>
            <c:symbol val="none"/>
          </c:marker>
          <c:cat>
            <c:numRef>
              <c:f>Graph!$D$195:$D$215</c:f>
              <c:numCache>
                <c:formatCode>d\-mmm\-yy</c:formatCode>
                <c:ptCount val="21"/>
                <c:pt idx="0">
                  <c:v>44196</c:v>
                </c:pt>
                <c:pt idx="1">
                  <c:v>44197</c:v>
                </c:pt>
                <c:pt idx="2">
                  <c:v>44200</c:v>
                </c:pt>
                <c:pt idx="3">
                  <c:v>44201</c:v>
                </c:pt>
                <c:pt idx="4">
                  <c:v>44202</c:v>
                </c:pt>
                <c:pt idx="5">
                  <c:v>44203</c:v>
                </c:pt>
                <c:pt idx="6">
                  <c:v>44204</c:v>
                </c:pt>
                <c:pt idx="7">
                  <c:v>44207</c:v>
                </c:pt>
                <c:pt idx="8">
                  <c:v>44208</c:v>
                </c:pt>
                <c:pt idx="9">
                  <c:v>44209</c:v>
                </c:pt>
                <c:pt idx="10">
                  <c:v>44210</c:v>
                </c:pt>
                <c:pt idx="11">
                  <c:v>44211</c:v>
                </c:pt>
                <c:pt idx="12">
                  <c:v>44214</c:v>
                </c:pt>
                <c:pt idx="13">
                  <c:v>44215</c:v>
                </c:pt>
                <c:pt idx="14">
                  <c:v>44216</c:v>
                </c:pt>
                <c:pt idx="15">
                  <c:v>44217</c:v>
                </c:pt>
                <c:pt idx="16">
                  <c:v>44218</c:v>
                </c:pt>
                <c:pt idx="17">
                  <c:v>44221</c:v>
                </c:pt>
                <c:pt idx="18">
                  <c:v>44223</c:v>
                </c:pt>
                <c:pt idx="19">
                  <c:v>44224</c:v>
                </c:pt>
                <c:pt idx="20">
                  <c:v>44225</c:v>
                </c:pt>
              </c:numCache>
            </c:numRef>
          </c:cat>
          <c:val>
            <c:numRef>
              <c:f>Graph!$F$195:$F$215</c:f>
              <c:numCache>
                <c:formatCode>_(* #,##0.00_);_(* \(#,##0.00\);_(* "-"??_);_(@_)</c:formatCode>
                <c:ptCount val="21"/>
                <c:pt idx="0">
                  <c:v>100</c:v>
                </c:pt>
                <c:pt idx="1">
                  <c:v>100.9699918985491</c:v>
                </c:pt>
                <c:pt idx="2">
                  <c:v>103.82841290667508</c:v>
                </c:pt>
                <c:pt idx="3">
                  <c:v>102.57664327156769</c:v>
                </c:pt>
                <c:pt idx="4">
                  <c:v>102.94980100981718</c:v>
                </c:pt>
                <c:pt idx="5">
                  <c:v>102.15329472641915</c:v>
                </c:pt>
                <c:pt idx="6">
                  <c:v>102.8666042918595</c:v>
                </c:pt>
                <c:pt idx="7">
                  <c:v>102.07228021745709</c:v>
                </c:pt>
                <c:pt idx="8">
                  <c:v>101.55864277511515</c:v>
                </c:pt>
                <c:pt idx="9">
                  <c:v>101.31341703923336</c:v>
                </c:pt>
                <c:pt idx="10">
                  <c:v>100.64456998207858</c:v>
                </c:pt>
                <c:pt idx="11">
                  <c:v>100.47299379979866</c:v>
                </c:pt>
                <c:pt idx="12">
                  <c:v>100.75204377511241</c:v>
                </c:pt>
                <c:pt idx="13">
                  <c:v>100.23458746702815</c:v>
                </c:pt>
                <c:pt idx="14">
                  <c:v>99.803601190394957</c:v>
                </c:pt>
                <c:pt idx="15">
                  <c:v>100.66120932567009</c:v>
                </c:pt>
                <c:pt idx="16">
                  <c:v>100.64975272844313</c:v>
                </c:pt>
                <c:pt idx="17">
                  <c:v>99.437262855256762</c:v>
                </c:pt>
                <c:pt idx="18">
                  <c:v>100.0395525380454</c:v>
                </c:pt>
                <c:pt idx="19">
                  <c:v>100.93125768887695</c:v>
                </c:pt>
                <c:pt idx="20">
                  <c:v>101.14593249882019</c:v>
                </c:pt>
              </c:numCache>
            </c:numRef>
          </c:val>
          <c:smooth val="0"/>
          <c:extLst>
            <c:ext xmlns:c16="http://schemas.microsoft.com/office/drawing/2014/chart" uri="{C3380CC4-5D6E-409C-BE32-E72D297353CC}">
              <c16:uniqueId val="{00000001-2613-4EC8-82C9-200DDA4ECBE8}"/>
            </c:ext>
          </c:extLst>
        </c:ser>
        <c:dLbls>
          <c:showLegendKey val="0"/>
          <c:showVal val="0"/>
          <c:showCatName val="0"/>
          <c:showSerName val="0"/>
          <c:showPercent val="0"/>
          <c:showBubbleSize val="0"/>
        </c:dLbls>
        <c:smooth val="0"/>
        <c:axId val="322372088"/>
        <c:axId val="322372480"/>
      </c:lineChart>
      <c:dateAx>
        <c:axId val="322372088"/>
        <c:scaling>
          <c:orientation val="minMax"/>
          <c:min val="44196"/>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2372480"/>
        <c:crosses val="autoZero"/>
        <c:auto val="1"/>
        <c:lblOffset val="100"/>
        <c:baseTimeUnit val="days"/>
        <c:majorUnit val="2"/>
        <c:majorTimeUnit val="days"/>
      </c:dateAx>
      <c:valAx>
        <c:axId val="322372480"/>
        <c:scaling>
          <c:orientation val="minMax"/>
          <c:max val="105"/>
          <c:min val="98"/>
        </c:scaling>
        <c:delete val="0"/>
        <c:axPos val="l"/>
        <c:majorGridlines>
          <c:spPr>
            <a:ln w="9525" cap="flat" cmpd="sng" algn="ctr">
              <a:solidFill>
                <a:srgbClr val="0070C0"/>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2372088"/>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027752615371433"/>
          <c:y val="2.3414388003439247E-2"/>
          <c:w val="0.78749864010268145"/>
          <c:h val="0.6404271248767360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charts'!$A$41:$A$53</c:f>
              <c:numCache>
                <c:formatCode>mmm\-yy</c:formatCode>
                <c:ptCount val="12"/>
                <c:pt idx="0">
                  <c:v>43862</c:v>
                </c:pt>
                <c:pt idx="1">
                  <c:v>43891</c:v>
                </c:pt>
                <c:pt idx="2">
                  <c:v>43922</c:v>
                </c:pt>
                <c:pt idx="3">
                  <c:v>43952</c:v>
                </c:pt>
                <c:pt idx="4">
                  <c:v>43983</c:v>
                </c:pt>
                <c:pt idx="5">
                  <c:v>44013</c:v>
                </c:pt>
                <c:pt idx="6">
                  <c:v>44044</c:v>
                </c:pt>
                <c:pt idx="7">
                  <c:v>44075</c:v>
                </c:pt>
                <c:pt idx="8">
                  <c:v>44105</c:v>
                </c:pt>
                <c:pt idx="9">
                  <c:v>44136</c:v>
                </c:pt>
                <c:pt idx="10">
                  <c:v>44166</c:v>
                </c:pt>
                <c:pt idx="11">
                  <c:v>44197</c:v>
                </c:pt>
              </c:numCache>
              <c:extLst/>
            </c:numRef>
          </c:cat>
          <c:val>
            <c:numRef>
              <c:f>'Turnover charts'!$B$41:$B$53</c:f>
              <c:numCache>
                <c:formatCode>#,##0</c:formatCode>
                <c:ptCount val="12"/>
                <c:pt idx="0">
                  <c:v>10289.779631199997</c:v>
                </c:pt>
                <c:pt idx="1">
                  <c:v>9969.8466008000014</c:v>
                </c:pt>
                <c:pt idx="2">
                  <c:v>3671.8557304000001</c:v>
                </c:pt>
                <c:pt idx="3">
                  <c:v>4106.3184176000004</c:v>
                </c:pt>
                <c:pt idx="4">
                  <c:v>6367.6581902000007</c:v>
                </c:pt>
                <c:pt idx="5">
                  <c:v>7277.3962512000026</c:v>
                </c:pt>
                <c:pt idx="6">
                  <c:v>5824.4504842000024</c:v>
                </c:pt>
                <c:pt idx="7">
                  <c:v>6838.5318600000001</c:v>
                </c:pt>
                <c:pt idx="8">
                  <c:v>7096.0901250000006</c:v>
                </c:pt>
                <c:pt idx="9">
                  <c:v>10138.218927400003</c:v>
                </c:pt>
                <c:pt idx="10">
                  <c:v>10747.937155000003</c:v>
                </c:pt>
                <c:pt idx="11">
                  <c:v>12653.105590599998</c:v>
                </c:pt>
              </c:numCache>
              <c:extLst/>
            </c:numRef>
          </c:val>
          <c:extLst>
            <c:ext xmlns:c16="http://schemas.microsoft.com/office/drawing/2014/chart" uri="{C3380CC4-5D6E-409C-BE32-E72D297353CC}">
              <c16:uniqueId val="{00000000-BD15-4C6C-970B-AFA90D7BDE08}"/>
            </c:ext>
          </c:extLst>
        </c:ser>
        <c:ser>
          <c:idx val="1"/>
          <c:order val="1"/>
          <c:tx>
            <c:strRef>
              <c:f>'Turnover charts'!$C$3</c:f>
              <c:strCache>
                <c:ptCount val="1"/>
                <c:pt idx="0">
                  <c:v>NCDEX Agri Futures &amp; Options (LHS)</c:v>
                </c:pt>
              </c:strCache>
            </c:strRef>
          </c:tx>
          <c:spPr>
            <a:solidFill>
              <a:srgbClr val="00B050"/>
            </a:solidFill>
            <a:ln>
              <a:solidFill>
                <a:schemeClr val="accent3">
                  <a:lumMod val="75000"/>
                </a:schemeClr>
              </a:solidFill>
            </a:ln>
            <a:effectLst/>
          </c:spPr>
          <c:invertIfNegative val="0"/>
          <c:cat>
            <c:numRef>
              <c:f>'Turnover charts'!$A$41:$A$53</c:f>
              <c:numCache>
                <c:formatCode>mmm\-yy</c:formatCode>
                <c:ptCount val="12"/>
                <c:pt idx="0">
                  <c:v>43862</c:v>
                </c:pt>
                <c:pt idx="1">
                  <c:v>43891</c:v>
                </c:pt>
                <c:pt idx="2">
                  <c:v>43922</c:v>
                </c:pt>
                <c:pt idx="3">
                  <c:v>43952</c:v>
                </c:pt>
                <c:pt idx="4">
                  <c:v>43983</c:v>
                </c:pt>
                <c:pt idx="5">
                  <c:v>44013</c:v>
                </c:pt>
                <c:pt idx="6">
                  <c:v>44044</c:v>
                </c:pt>
                <c:pt idx="7">
                  <c:v>44075</c:v>
                </c:pt>
                <c:pt idx="8">
                  <c:v>44105</c:v>
                </c:pt>
                <c:pt idx="9">
                  <c:v>44136</c:v>
                </c:pt>
                <c:pt idx="10">
                  <c:v>44166</c:v>
                </c:pt>
                <c:pt idx="11">
                  <c:v>44197</c:v>
                </c:pt>
              </c:numCache>
              <c:extLst/>
            </c:numRef>
          </c:cat>
          <c:val>
            <c:numRef>
              <c:f>'Turnover charts'!$C$41:$C$53</c:f>
              <c:numCache>
                <c:formatCode>#,##0</c:formatCode>
                <c:ptCount val="12"/>
                <c:pt idx="0">
                  <c:v>27400.083519999989</c:v>
                </c:pt>
                <c:pt idx="1">
                  <c:v>25485.03999999999</c:v>
                </c:pt>
                <c:pt idx="2">
                  <c:v>12561.501194999999</c:v>
                </c:pt>
                <c:pt idx="3">
                  <c:v>11168.988342500001</c:v>
                </c:pt>
                <c:pt idx="4">
                  <c:v>18922.815102500001</c:v>
                </c:pt>
                <c:pt idx="5">
                  <c:v>18054.253055000005</c:v>
                </c:pt>
                <c:pt idx="6">
                  <c:v>23929.732684999995</c:v>
                </c:pt>
                <c:pt idx="7">
                  <c:v>28599.374342499999</c:v>
                </c:pt>
                <c:pt idx="8">
                  <c:v>32560.999704999991</c:v>
                </c:pt>
                <c:pt idx="9">
                  <c:v>31297.897227500001</c:v>
                </c:pt>
                <c:pt idx="10">
                  <c:v>34267.000512499995</c:v>
                </c:pt>
                <c:pt idx="11">
                  <c:v>32707</c:v>
                </c:pt>
              </c:numCache>
              <c:extLst/>
            </c:numRef>
          </c:val>
          <c:extLst>
            <c:ext xmlns:c16="http://schemas.microsoft.com/office/drawing/2014/chart" uri="{C3380CC4-5D6E-409C-BE32-E72D297353CC}">
              <c16:uniqueId val="{00000001-BD15-4C6C-970B-AFA90D7BDE08}"/>
            </c:ext>
          </c:extLst>
        </c:ser>
        <c:dLbls>
          <c:showLegendKey val="0"/>
          <c:showVal val="0"/>
          <c:showCatName val="0"/>
          <c:showSerName val="0"/>
          <c:showPercent val="0"/>
          <c:showBubbleSize val="0"/>
        </c:dLbls>
        <c:gapWidth val="219"/>
        <c:axId val="322374048"/>
        <c:axId val="322374440"/>
      </c:barChart>
      <c:lineChart>
        <c:grouping val="standard"/>
        <c:varyColors val="0"/>
        <c:ser>
          <c:idx val="2"/>
          <c:order val="2"/>
          <c:tx>
            <c:strRef>
              <c:f>'Turnover charts'!$D$3</c:f>
              <c:strCache>
                <c:ptCount val="1"/>
                <c:pt idx="0">
                  <c:v>ICEX Agri Futures (RHS)</c:v>
                </c:pt>
              </c:strCache>
            </c:strRef>
          </c:tx>
          <c:spPr>
            <a:ln w="28575" cap="rnd">
              <a:solidFill>
                <a:schemeClr val="accent2">
                  <a:lumMod val="75000"/>
                </a:schemeClr>
              </a:solidFill>
              <a:round/>
            </a:ln>
            <a:effectLst/>
          </c:spPr>
          <c:marker>
            <c:symbol val="none"/>
          </c:marker>
          <c:cat>
            <c:numRef>
              <c:f>'Turnover charts'!$A$41:$A$53</c:f>
              <c:numCache>
                <c:formatCode>mmm\-yy</c:formatCode>
                <c:ptCount val="12"/>
                <c:pt idx="0">
                  <c:v>43862</c:v>
                </c:pt>
                <c:pt idx="1">
                  <c:v>43891</c:v>
                </c:pt>
                <c:pt idx="2">
                  <c:v>43922</c:v>
                </c:pt>
                <c:pt idx="3">
                  <c:v>43952</c:v>
                </c:pt>
                <c:pt idx="4">
                  <c:v>43983</c:v>
                </c:pt>
                <c:pt idx="5">
                  <c:v>44013</c:v>
                </c:pt>
                <c:pt idx="6">
                  <c:v>44044</c:v>
                </c:pt>
                <c:pt idx="7">
                  <c:v>44075</c:v>
                </c:pt>
                <c:pt idx="8">
                  <c:v>44105</c:v>
                </c:pt>
                <c:pt idx="9">
                  <c:v>44136</c:v>
                </c:pt>
                <c:pt idx="10">
                  <c:v>44166</c:v>
                </c:pt>
                <c:pt idx="11">
                  <c:v>44197</c:v>
                </c:pt>
              </c:numCache>
              <c:extLst/>
            </c:numRef>
          </c:cat>
          <c:val>
            <c:numRef>
              <c:f>'Turnover charts'!$D$40:$D$52</c:f>
              <c:numCache>
                <c:formatCode>#,##0</c:formatCode>
                <c:ptCount val="12"/>
                <c:pt idx="0">
                  <c:v>428.81</c:v>
                </c:pt>
                <c:pt idx="1">
                  <c:v>391.17</c:v>
                </c:pt>
                <c:pt idx="2">
                  <c:v>432.61574500000017</c:v>
                </c:pt>
                <c:pt idx="3">
                  <c:v>213.02189999999999</c:v>
                </c:pt>
                <c:pt idx="4">
                  <c:v>53.65</c:v>
                </c:pt>
                <c:pt idx="5">
                  <c:v>16.16</c:v>
                </c:pt>
                <c:pt idx="6">
                  <c:v>22.481598000000002</c:v>
                </c:pt>
                <c:pt idx="7">
                  <c:v>2.2767149999999998</c:v>
                </c:pt>
                <c:pt idx="8" formatCode="#,##0.0">
                  <c:v>4.0599999999999997E-2</c:v>
                </c:pt>
                <c:pt idx="9" formatCode="#,##0.0">
                  <c:v>0</c:v>
                </c:pt>
                <c:pt idx="10" formatCode="#,##0.0">
                  <c:v>0</c:v>
                </c:pt>
                <c:pt idx="11" formatCode="#,##0.0">
                  <c:v>0.89</c:v>
                </c:pt>
              </c:numCache>
              <c:extLst/>
            </c:numRef>
          </c:val>
          <c:smooth val="0"/>
          <c:extLst>
            <c:ext xmlns:c16="http://schemas.microsoft.com/office/drawing/2014/chart" uri="{C3380CC4-5D6E-409C-BE32-E72D297353CC}">
              <c16:uniqueId val="{00000002-BD15-4C6C-970B-AFA90D7BDE08}"/>
            </c:ext>
          </c:extLst>
        </c:ser>
        <c:ser>
          <c:idx val="3"/>
          <c:order val="3"/>
          <c:tx>
            <c:strRef>
              <c:f>'Turnover charts'!$E$3</c:f>
              <c:strCache>
                <c:ptCount val="1"/>
                <c:pt idx="0">
                  <c:v>BSE Agri Futures (RHS)</c:v>
                </c:pt>
              </c:strCache>
            </c:strRef>
          </c:tx>
          <c:spPr>
            <a:ln w="28575" cap="rnd">
              <a:solidFill>
                <a:schemeClr val="tx1"/>
              </a:solidFill>
              <a:round/>
            </a:ln>
            <a:effectLst/>
          </c:spPr>
          <c:marker>
            <c:symbol val="none"/>
          </c:marker>
          <c:cat>
            <c:numRef>
              <c:f>'Turnover charts'!$A$41:$A$53</c:f>
              <c:numCache>
                <c:formatCode>mmm\-yy</c:formatCode>
                <c:ptCount val="12"/>
                <c:pt idx="0">
                  <c:v>43862</c:v>
                </c:pt>
                <c:pt idx="1">
                  <c:v>43891</c:v>
                </c:pt>
                <c:pt idx="2">
                  <c:v>43922</c:v>
                </c:pt>
                <c:pt idx="3">
                  <c:v>43952</c:v>
                </c:pt>
                <c:pt idx="4">
                  <c:v>43983</c:v>
                </c:pt>
                <c:pt idx="5">
                  <c:v>44013</c:v>
                </c:pt>
                <c:pt idx="6">
                  <c:v>44044</c:v>
                </c:pt>
                <c:pt idx="7">
                  <c:v>44075</c:v>
                </c:pt>
                <c:pt idx="8">
                  <c:v>44105</c:v>
                </c:pt>
                <c:pt idx="9">
                  <c:v>44136</c:v>
                </c:pt>
                <c:pt idx="10">
                  <c:v>44166</c:v>
                </c:pt>
                <c:pt idx="11">
                  <c:v>44197</c:v>
                </c:pt>
              </c:numCache>
              <c:extLst/>
            </c:numRef>
          </c:cat>
          <c:val>
            <c:numRef>
              <c:f>'Turnover charts'!$E$41:$E$53</c:f>
              <c:numCache>
                <c:formatCode>#,##0</c:formatCode>
                <c:ptCount val="12"/>
                <c:pt idx="0">
                  <c:v>1729.52</c:v>
                </c:pt>
                <c:pt idx="1">
                  <c:v>2006.22</c:v>
                </c:pt>
                <c:pt idx="2">
                  <c:v>1001.73313</c:v>
                </c:pt>
                <c:pt idx="3">
                  <c:v>847.49</c:v>
                </c:pt>
                <c:pt idx="4">
                  <c:v>1565.29</c:v>
                </c:pt>
                <c:pt idx="5">
                  <c:v>323.74</c:v>
                </c:pt>
                <c:pt idx="6">
                  <c:v>153.78</c:v>
                </c:pt>
                <c:pt idx="7">
                  <c:v>181.2</c:v>
                </c:pt>
                <c:pt idx="8">
                  <c:v>236.58</c:v>
                </c:pt>
                <c:pt idx="9">
                  <c:v>165.86</c:v>
                </c:pt>
                <c:pt idx="10">
                  <c:v>110.01</c:v>
                </c:pt>
                <c:pt idx="11">
                  <c:v>86.66</c:v>
                </c:pt>
              </c:numCache>
              <c:extLst/>
            </c:numRef>
          </c:val>
          <c:smooth val="0"/>
          <c:extLst>
            <c:ext xmlns:c16="http://schemas.microsoft.com/office/drawing/2014/chart" uri="{C3380CC4-5D6E-409C-BE32-E72D297353CC}">
              <c16:uniqueId val="{00000003-BD15-4C6C-970B-AFA90D7BDE08}"/>
            </c:ext>
          </c:extLst>
        </c:ser>
        <c:ser>
          <c:idx val="4"/>
          <c:order val="4"/>
          <c:tx>
            <c:strRef>
              <c:f>'Turnover charts'!$F$3</c:f>
              <c:strCache>
                <c:ptCount val="1"/>
                <c:pt idx="0">
                  <c:v>NSE Agri. Futures(RHS)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'Turnover charts'!$A$41:$A$53</c:f>
              <c:numCache>
                <c:formatCode>mmm\-yy</c:formatCode>
                <c:ptCount val="12"/>
                <c:pt idx="0">
                  <c:v>43862</c:v>
                </c:pt>
                <c:pt idx="1">
                  <c:v>43891</c:v>
                </c:pt>
                <c:pt idx="2">
                  <c:v>43922</c:v>
                </c:pt>
                <c:pt idx="3">
                  <c:v>43952</c:v>
                </c:pt>
                <c:pt idx="4">
                  <c:v>43983</c:v>
                </c:pt>
                <c:pt idx="5">
                  <c:v>44013</c:v>
                </c:pt>
                <c:pt idx="6">
                  <c:v>44044</c:v>
                </c:pt>
                <c:pt idx="7">
                  <c:v>44075</c:v>
                </c:pt>
                <c:pt idx="8">
                  <c:v>44105</c:v>
                </c:pt>
                <c:pt idx="9">
                  <c:v>44136</c:v>
                </c:pt>
                <c:pt idx="10">
                  <c:v>44166</c:v>
                </c:pt>
                <c:pt idx="11">
                  <c:v>44197</c:v>
                </c:pt>
              </c:numCache>
              <c:extLst/>
            </c:numRef>
          </c:cat>
          <c:val>
            <c:numRef>
              <c:f>'Turnover charts'!$F$41:$F$53</c:f>
              <c:numCache>
                <c:formatCode>#,##0</c:formatCode>
                <c:ptCount val="12"/>
                <c:pt idx="0">
                  <c:v>0</c:v>
                </c:pt>
                <c:pt idx="1">
                  <c:v>0</c:v>
                </c:pt>
                <c:pt idx="2">
                  <c:v>0</c:v>
                </c:pt>
                <c:pt idx="3">
                  <c:v>0</c:v>
                </c:pt>
                <c:pt idx="4">
                  <c:v>0</c:v>
                </c:pt>
                <c:pt idx="5">
                  <c:v>0</c:v>
                </c:pt>
                <c:pt idx="6">
                  <c:v>0</c:v>
                </c:pt>
                <c:pt idx="7">
                  <c:v>0</c:v>
                </c:pt>
                <c:pt idx="8">
                  <c:v>0</c:v>
                </c:pt>
                <c:pt idx="9">
                  <c:v>0</c:v>
                </c:pt>
                <c:pt idx="10">
                  <c:v>1433.9238400000006</c:v>
                </c:pt>
                <c:pt idx="11">
                  <c:v>826.19159999999999</c:v>
                </c:pt>
              </c:numCache>
              <c:extLst/>
            </c:numRef>
          </c:val>
          <c:smooth val="0"/>
          <c:extLst>
            <c:ext xmlns:c16="http://schemas.microsoft.com/office/drawing/2014/chart" uri="{C3380CC4-5D6E-409C-BE32-E72D297353CC}">
              <c16:uniqueId val="{00000004-BD15-4C6C-970B-AFA90D7BDE08}"/>
            </c:ext>
          </c:extLst>
        </c:ser>
        <c:dLbls>
          <c:showLegendKey val="0"/>
          <c:showVal val="0"/>
          <c:showCatName val="0"/>
          <c:showSerName val="0"/>
          <c:showPercent val="0"/>
          <c:showBubbleSize val="0"/>
        </c:dLbls>
        <c:marker val="1"/>
        <c:smooth val="0"/>
        <c:axId val="623169032"/>
        <c:axId val="322374832"/>
      </c:lineChart>
      <c:dateAx>
        <c:axId val="322374048"/>
        <c:scaling>
          <c:orientation val="minMax"/>
          <c:max val="44197"/>
          <c:min val="43862"/>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322374440"/>
        <c:crosses val="autoZero"/>
        <c:auto val="0"/>
        <c:lblOffset val="100"/>
        <c:baseTimeUnit val="months"/>
        <c:majorUnit val="1"/>
        <c:majorTimeUnit val="months"/>
      </c:dateAx>
      <c:valAx>
        <c:axId val="322374440"/>
        <c:scaling>
          <c:orientation val="minMax"/>
          <c:max val="4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322374048"/>
        <c:crosses val="autoZero"/>
        <c:crossBetween val="between"/>
      </c:valAx>
      <c:valAx>
        <c:axId val="322374832"/>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23169032"/>
        <c:crosses val="max"/>
        <c:crossBetween val="between"/>
        <c:majorUnit val="1000"/>
      </c:valAx>
      <c:dateAx>
        <c:axId val="623169032"/>
        <c:scaling>
          <c:orientation val="minMax"/>
        </c:scaling>
        <c:delete val="1"/>
        <c:axPos val="b"/>
        <c:numFmt formatCode="mmm\-yy" sourceLinked="1"/>
        <c:majorTickMark val="out"/>
        <c:minorTickMark val="none"/>
        <c:tickLblPos val="nextTo"/>
        <c:crossAx val="322374832"/>
        <c:crosses val="autoZero"/>
        <c:auto val="0"/>
        <c:lblOffset val="100"/>
        <c:baseTimeUnit val="months"/>
      </c:dateAx>
      <c:spPr>
        <a:noFill/>
        <a:ln>
          <a:noFill/>
        </a:ln>
        <a:effectLst/>
      </c:spPr>
    </c:plotArea>
    <c:legend>
      <c:legendPos val="b"/>
      <c:layout>
        <c:manualLayout>
          <c:xMode val="edge"/>
          <c:yMode val="edge"/>
          <c:x val="0.10164675814571447"/>
          <c:y val="0.81530778480276167"/>
          <c:w val="0.82665128174197633"/>
          <c:h val="0.184692245034357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strRef>
              <c:f>'Turnover charts'!$K$3</c:f>
              <c:strCache>
                <c:ptCount val="1"/>
                <c:pt idx="0">
                  <c:v>MCX Futures (RHS)</c:v>
                </c:pt>
              </c:strCache>
            </c:strRef>
          </c:tx>
          <c:spPr>
            <a:solidFill>
              <a:srgbClr val="92D050"/>
            </a:solidFill>
            <a:ln>
              <a:solidFill>
                <a:sysClr val="windowText" lastClr="000000"/>
              </a:solidFill>
            </a:ln>
            <a:effectLst/>
          </c:spPr>
          <c:invertIfNegative val="0"/>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charts'!$K$4:$K$53</c:f>
              <c:numCache>
                <c:formatCode>_(* #,##0_);_(* \(#,##0\);_(* "-"??_);_(@_)</c:formatCode>
                <c:ptCount val="35"/>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pt idx="12">
                  <c:v>567761.35483295005</c:v>
                </c:pt>
                <c:pt idx="13">
                  <c:v>516307.34400520008</c:v>
                </c:pt>
                <c:pt idx="14">
                  <c:v>615537.92995134997</c:v>
                </c:pt>
                <c:pt idx="15">
                  <c:v>569240.9336420499</c:v>
                </c:pt>
                <c:pt idx="16">
                  <c:v>716525.07049199997</c:v>
                </c:pt>
                <c:pt idx="17">
                  <c:v>728211.15374000021</c:v>
                </c:pt>
                <c:pt idx="18">
                  <c:v>781695.78193319985</c:v>
                </c:pt>
                <c:pt idx="19">
                  <c:v>668208.51480580005</c:v>
                </c:pt>
                <c:pt idx="20">
                  <c:v>672255.75945409993</c:v>
                </c:pt>
                <c:pt idx="21">
                  <c:v>644422.79156839987</c:v>
                </c:pt>
                <c:pt idx="22">
                  <c:v>827755.84935100004</c:v>
                </c:pt>
                <c:pt idx="23">
                  <c:v>781969.06022450014</c:v>
                </c:pt>
                <c:pt idx="24">
                  <c:v>774725.27535569982</c:v>
                </c:pt>
                <c:pt idx="25">
                  <c:v>278174.58910059999</c:v>
                </c:pt>
                <c:pt idx="26">
                  <c:v>494950.96162219997</c:v>
                </c:pt>
                <c:pt idx="27">
                  <c:v>623568.06468549999</c:v>
                </c:pt>
                <c:pt idx="28">
                  <c:v>846844.32924410037</c:v>
                </c:pt>
                <c:pt idx="29">
                  <c:v>904796.19616849977</c:v>
                </c:pt>
                <c:pt idx="30">
                  <c:v>745965.04735440004</c:v>
                </c:pt>
                <c:pt idx="31">
                  <c:v>691669.15749930032</c:v>
                </c:pt>
                <c:pt idx="32">
                  <c:v>722827.83065649983</c:v>
                </c:pt>
                <c:pt idx="33">
                  <c:v>649285.71545270004</c:v>
                </c:pt>
                <c:pt idx="34">
                  <c:v>631081.49217339978</c:v>
                </c:pt>
              </c:numCache>
            </c:numRef>
          </c:val>
          <c:extLst xmlns:c15="http://schemas.microsoft.com/office/drawing/2012/chart">
            <c:ext xmlns:c16="http://schemas.microsoft.com/office/drawing/2014/chart" uri="{C3380CC4-5D6E-409C-BE32-E72D297353CC}">
              <c16:uniqueId val="{00000000-34C2-4117-BA57-493ECB6AB6DE}"/>
            </c:ext>
          </c:extLst>
        </c:ser>
        <c:dLbls>
          <c:showLegendKey val="0"/>
          <c:showVal val="0"/>
          <c:showCatName val="0"/>
          <c:showSerName val="0"/>
          <c:showPercent val="0"/>
          <c:showBubbleSize val="0"/>
        </c:dLbls>
        <c:gapWidth val="219"/>
        <c:overlap val="100"/>
        <c:axId val="623167072"/>
        <c:axId val="623165504"/>
        <c:extLst>
          <c:ext xmlns:c15="http://schemas.microsoft.com/office/drawing/2012/chart" uri="{02D57815-91ED-43cb-92C2-25804820EDAC}">
            <c15:filteredBarSeries>
              <c15:ser>
                <c:idx val="1"/>
                <c:order val="1"/>
                <c:tx>
                  <c:strRef>
                    <c:extLst>
                      <c:ext uri="{02D57815-91ED-43cb-92C2-25804820EDAC}">
                        <c15:formulaRef>
                          <c15:sqref>'Turnover charts'!$L$3</c15:sqref>
                        </c15:formulaRef>
                      </c:ext>
                    </c:extLst>
                    <c:strCache>
                      <c:ptCount val="1"/>
                      <c:pt idx="0">
                        <c:v>MCX Options (LHS)</c:v>
                      </c:pt>
                    </c:strCache>
                  </c:strRef>
                </c:tx>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charts'!$J$4:$J$53</c15:sqref>
                        </c15:formulaRef>
                      </c:ext>
                    </c:extLst>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extLst>
                      <c:ext uri="{02D57815-91ED-43cb-92C2-25804820EDAC}">
                        <c15:formulaRef>
                          <c15:sqref>'Turnover charts'!$L$4:$L$53</c15:sqref>
                        </c15:formulaRef>
                      </c:ext>
                    </c:extLst>
                    <c:numCache>
                      <c:formatCode>_(* #,##0_);_(* \(#,##0\);_(* "-"??_);_(@_)</c:formatCode>
                      <c:ptCount val="35"/>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numCache>
                  </c:numRef>
                </c:val>
                <c:extLst>
                  <c:ext xmlns:c16="http://schemas.microsoft.com/office/drawing/2014/chart" uri="{C3380CC4-5D6E-409C-BE32-E72D297353CC}">
                    <c16:uniqueId val="{00000005-34C2-4117-BA57-493ECB6AB6DE}"/>
                  </c:ext>
                </c:extLst>
              </c15:ser>
            </c15:filteredBarSeries>
          </c:ext>
        </c:extLst>
      </c:barChart>
      <c:lineChart>
        <c:grouping val="standard"/>
        <c:varyColors val="0"/>
        <c:ser>
          <c:idx val="2"/>
          <c:order val="2"/>
          <c:tx>
            <c:strRef>
              <c:f>'Turnover charts'!$M$3</c:f>
              <c:strCache>
                <c:ptCount val="1"/>
                <c:pt idx="0">
                  <c:v>BSE Futures (LHS)</c:v>
                </c:pt>
              </c:strCache>
            </c:strRef>
          </c:tx>
          <c:spPr>
            <a:ln w="19050" cap="rnd">
              <a:solidFill>
                <a:srgbClr val="0070C0"/>
              </a:solidFill>
              <a:prstDash val="dash"/>
              <a:round/>
            </a:ln>
            <a:effectLst/>
          </c:spPr>
          <c:marker>
            <c:symbol val="diamond"/>
            <c:size val="5"/>
            <c:spPr>
              <a:solidFill>
                <a:srgbClr val="7030A0"/>
              </a:solidFill>
              <a:ln w="19050">
                <a:solidFill>
                  <a:srgbClr val="0070C0"/>
                </a:solidFill>
                <a:prstDash val="dash"/>
              </a:ln>
              <a:effectLst/>
            </c:spPr>
          </c:marker>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charts'!$M$4:$M$53</c:f>
              <c:numCache>
                <c:formatCode>General</c:formatCode>
                <c:ptCount val="35"/>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1990.250556</c:v>
                </c:pt>
                <c:pt idx="12" formatCode="_(* #,##0_);_(* \(#,##0\);_(* &quot;-&quot;??_);_(@_)">
                  <c:v>1523.74</c:v>
                </c:pt>
                <c:pt idx="13" formatCode="_(* #,##0_);_(* \(#,##0\);_(* &quot;-&quot;??_);_(@_)">
                  <c:v>2218.23</c:v>
                </c:pt>
                <c:pt idx="14" formatCode="_(* #,##0_);_(* \(#,##0\);_(* &quot;-&quot;??_);_(@_)">
                  <c:v>2157.7899499999999</c:v>
                </c:pt>
                <c:pt idx="15" formatCode="_(* #,##0_);_(* \(#,##0\);_(* &quot;-&quot;??_);_(@_)">
                  <c:v>1756.83</c:v>
                </c:pt>
                <c:pt idx="16" formatCode="_(* #,##0_);_(* \(#,##0\);_(* &quot;-&quot;??_);_(@_)">
                  <c:v>713.38525000000004</c:v>
                </c:pt>
                <c:pt idx="17" formatCode="_(* #,##0_);_(* \(#,##0\);_(* &quot;-&quot;??_);_(@_)">
                  <c:v>521.28</c:v>
                </c:pt>
                <c:pt idx="18" formatCode="_(* #,##0_);_(* \(#,##0\);_(* &quot;-&quot;??_);_(@_)">
                  <c:v>523.60118499999999</c:v>
                </c:pt>
                <c:pt idx="19" formatCode="_(* #,##0_);_(* \(#,##0\);_(* &quot;-&quot;??_);_(@_)">
                  <c:v>317.45999999999998</c:v>
                </c:pt>
                <c:pt idx="20" formatCode="_(* #,##0_);_(* \(#,##0\);_(* &quot;-&quot;??_);_(@_)">
                  <c:v>102.15</c:v>
                </c:pt>
                <c:pt idx="21" formatCode="_(* #,##0_);_(* \(#,##0\);_(* &quot;-&quot;??_);_(@_)">
                  <c:v>49.92</c:v>
                </c:pt>
                <c:pt idx="22" formatCode="_(* #,##0_);_(* \(#,##0\);_(* &quot;-&quot;??_);_(@_)">
                  <c:v>506.52000000000004</c:v>
                </c:pt>
                <c:pt idx="23" formatCode="_(* #,##0_);_(* \(#,##0\);_(* &quot;-&quot;??_);_(@_)">
                  <c:v>995.73</c:v>
                </c:pt>
                <c:pt idx="24" formatCode="_(* #,##0_);_(* \(#,##0\);_(* &quot;-&quot;??_);_(@_)">
                  <c:v>259.89</c:v>
                </c:pt>
                <c:pt idx="25" formatCode="0.00">
                  <c:v>0</c:v>
                </c:pt>
                <c:pt idx="26" formatCode="_(* #,##0_);_(* \(#,##0\);_(* &quot;-&quot;??_);_(@_)">
                  <c:v>0</c:v>
                </c:pt>
                <c:pt idx="27" formatCode="_(* #,##0_);_(* \(#,##0\);_(* &quot;-&quot;??_);_(@_)">
                  <c:v>18.64</c:v>
                </c:pt>
                <c:pt idx="28" formatCode="0.00">
                  <c:v>0</c:v>
                </c:pt>
                <c:pt idx="29" formatCode="0.00">
                  <c:v>0</c:v>
                </c:pt>
                <c:pt idx="30" formatCode="_(* #,##0_);_(* \(#,##0\);_(* &quot;-&quot;??_);_(@_)">
                  <c:v>4.01</c:v>
                </c:pt>
                <c:pt idx="31" formatCode="_(* #,##0_);_(* \(#,##0\);_(* &quot;-&quot;??_);_(@_)">
                  <c:v>11.15</c:v>
                </c:pt>
                <c:pt idx="32" formatCode="_(* #,##0_);_(* \(#,##0\);_(* &quot;-&quot;??_);_(@_)">
                  <c:v>10.53</c:v>
                </c:pt>
                <c:pt idx="33" formatCode="_(* #,##0_);_(* \(#,##0\);_(* &quot;-&quot;??_);_(@_)">
                  <c:v>11.42</c:v>
                </c:pt>
                <c:pt idx="34" formatCode="_(* #,##0_);_(* \(#,##0\);_(* &quot;-&quot;??_);_(@_)">
                  <c:v>10.02</c:v>
                </c:pt>
              </c:numCache>
            </c:numRef>
          </c:val>
          <c:smooth val="0"/>
          <c:extLst>
            <c:ext xmlns:c16="http://schemas.microsoft.com/office/drawing/2014/chart" uri="{C3380CC4-5D6E-409C-BE32-E72D297353CC}">
              <c16:uniqueId val="{00000001-34C2-4117-BA57-493ECB6AB6DE}"/>
            </c:ext>
          </c:extLst>
        </c:ser>
        <c:ser>
          <c:idx val="4"/>
          <c:order val="4"/>
          <c:tx>
            <c:strRef>
              <c:f>'Turnover charts'!$O$3</c:f>
              <c:strCache>
                <c:ptCount val="1"/>
                <c:pt idx="0">
                  <c:v>NSE Futures (LHS)</c:v>
                </c:pt>
              </c:strCache>
            </c:strRef>
          </c:tx>
          <c:spPr>
            <a:ln w="19050" cap="rnd">
              <a:solidFill>
                <a:sysClr val="windowText" lastClr="000000"/>
              </a:solidFill>
              <a:prstDash val="sysDash"/>
              <a:round/>
            </a:ln>
            <a:effectLst/>
          </c:spPr>
          <c:marker>
            <c:symbol val="none"/>
          </c:marker>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charts'!$O$4:$O$53</c:f>
              <c:numCache>
                <c:formatCode>General</c:formatCode>
                <c:ptCount val="35"/>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pt idx="12" formatCode="_(* #,##0_);_(* \(#,##0\);_(* &quot;-&quot;??_);_(@_)">
                  <c:v>429.59991599999989</c:v>
                </c:pt>
                <c:pt idx="13" formatCode="_ * #,##0_ ;_ * \-#,##0_ ;_ * &quot;-&quot;??_ ;_ @_ ">
                  <c:v>489.78634199999982</c:v>
                </c:pt>
                <c:pt idx="14" formatCode="_ * #,##0_ ;_ * \-#,##0_ ;_ * &quot;-&quot;??_ ;_ @_ ">
                  <c:v>442.31177699999989</c:v>
                </c:pt>
                <c:pt idx="15" formatCode="_ * #,##0_ ;_ * \-#,##0_ ;_ * &quot;-&quot;??_ ;_ @_ ">
                  <c:v>433.71475299999997</c:v>
                </c:pt>
                <c:pt idx="16" formatCode="_ * #,##0_ ;_ * \-#,##0_ ;_ * &quot;-&quot;??_ ;_ @_ ">
                  <c:v>503.29481899999996</c:v>
                </c:pt>
                <c:pt idx="17" formatCode="_ * #,##0_ ;_ * \-#,##0_ ;_ * &quot;-&quot;??_ ;_ @_ ">
                  <c:v>1488.9719589999997</c:v>
                </c:pt>
                <c:pt idx="18" formatCode="_ * #,##0_ ;_ * \-#,##0_ ;_ * &quot;-&quot;??_ ;_ @_ ">
                  <c:v>935.04276299999981</c:v>
                </c:pt>
                <c:pt idx="19" formatCode="_ * #,##0_ ;_ * \-#,##0_ ;_ * &quot;-&quot;??_ ;_ @_ ">
                  <c:v>866.89360199999999</c:v>
                </c:pt>
                <c:pt idx="20" formatCode="_ * #,##0_ ;_ * \-#,##0_ ;_ * &quot;-&quot;??_ ;_ @_ ">
                  <c:v>721.01195100000018</c:v>
                </c:pt>
                <c:pt idx="21" formatCode="_ * #,##0_ ;_ * \-#,##0_ ;_ * &quot;-&quot;??_ ;_ @_ ">
                  <c:v>118.52533</c:v>
                </c:pt>
                <c:pt idx="22" formatCode="_ * #,##0_ ;_ * \-#,##0_ ;_ * &quot;-&quot;??_ ;_ @_ ">
                  <c:v>112.63363</c:v>
                </c:pt>
                <c:pt idx="23" formatCode="_ * #,##0_ ;_ * \-#,##0_ ;_ * &quot;-&quot;??_ ;_ @_ ">
                  <c:v>157.351113</c:v>
                </c:pt>
                <c:pt idx="24" formatCode="_(* #,##0_);_(* \(#,##0\);_(* &quot;-&quot;??_);_(@_)">
                  <c:v>92.761235999999997</c:v>
                </c:pt>
                <c:pt idx="25" formatCode="_(* #,##0_);_(* \(#,##0\);_(* &quot;-&quot;??_);_(@_)">
                  <c:v>57.360366999999997</c:v>
                </c:pt>
                <c:pt idx="26" formatCode="_(* #,##0_);_(* \(#,##0\);_(* &quot;-&quot;??_);_(@_)">
                  <c:v>76.517431000000016</c:v>
                </c:pt>
                <c:pt idx="27" formatCode="_(* #,##0_);_(* \(#,##0\);_(* &quot;-&quot;??_);_(@_)">
                  <c:v>209.17937999999998</c:v>
                </c:pt>
                <c:pt idx="28" formatCode="_(* #,##0_);_(* \(#,##0\);_(* &quot;-&quot;??_);_(@_)">
                  <c:v>45.493170000000013</c:v>
                </c:pt>
                <c:pt idx="29" formatCode="_(* #,##0_);_(* \(#,##0\);_(* &quot;-&quot;??_);_(@_)">
                  <c:v>92.012484999999998</c:v>
                </c:pt>
                <c:pt idx="30" formatCode="_(* #,##0_);_(* \(#,##0\);_(* &quot;-&quot;??_);_(@_)">
                  <c:v>65.526607000000013</c:v>
                </c:pt>
                <c:pt idx="31" formatCode="_(* #,##0_);_(* \(#,##0\);_(* &quot;-&quot;??_);_(@_)">
                  <c:v>14.122890999999999</c:v>
                </c:pt>
                <c:pt idx="32" formatCode="_(* #,##0_);_(* \(#,##0\);_(* &quot;-&quot;??_);_(@_)">
                  <c:v>18.669679000000002</c:v>
                </c:pt>
                <c:pt idx="33" formatCode="_(* #,##0_);_(* \(#,##0\);_(* &quot;-&quot;??_);_(@_)">
                  <c:v>15.143264000000002</c:v>
                </c:pt>
                <c:pt idx="34" formatCode="_(* #,##0_);_(* \(#,##0\);_(* &quot;-&quot;??_);_(@_)">
                  <c:v>11.035423000000002</c:v>
                </c:pt>
              </c:numCache>
            </c:numRef>
          </c:val>
          <c:smooth val="0"/>
          <c:extLst>
            <c:ext xmlns:c16="http://schemas.microsoft.com/office/drawing/2014/chart" uri="{C3380CC4-5D6E-409C-BE32-E72D297353CC}">
              <c16:uniqueId val="{00000002-34C2-4117-BA57-493ECB6AB6DE}"/>
            </c:ext>
          </c:extLst>
        </c:ser>
        <c:ser>
          <c:idx val="7"/>
          <c:order val="7"/>
          <c:tx>
            <c:strRef>
              <c:f>'Turnover charts'!$R$3</c:f>
              <c:strCache>
                <c:ptCount val="1"/>
                <c:pt idx="0">
                  <c:v>ICEX Futures (LHS)</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charts'!$R$4:$R$53</c:f>
              <c:numCache>
                <c:formatCode>_(* #,##0_);_(* \(#,##0\);_(* "-"??_);_(@_)</c:formatCode>
                <c:ptCount val="35"/>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pt idx="12" formatCode="_ * #,##0_ ;_ * \-#,##0_ ;_ * &quot;-&quot;??_ ;_ @_ ">
                  <c:v>4639</c:v>
                </c:pt>
                <c:pt idx="13" formatCode="_ * #,##0_ ;_ * \-#,##0_ ;_ * &quot;-&quot;??_ ;_ @_ ">
                  <c:v>4213.75</c:v>
                </c:pt>
                <c:pt idx="14" formatCode="_ * #,##0_ ;_ * \-#,##0_ ;_ * &quot;-&quot;??_ ;_ @_ ">
                  <c:v>4377.28</c:v>
                </c:pt>
                <c:pt idx="15" formatCode="_ * #,##0_ ;_ * \-#,##0_ ;_ * &quot;-&quot;??_ ;_ @_ ">
                  <c:v>2098.69</c:v>
                </c:pt>
                <c:pt idx="16" formatCode="_ * #,##0_ ;_ * \-#,##0_ ;_ * &quot;-&quot;??_ ;_ @_ ">
                  <c:v>1620.43</c:v>
                </c:pt>
                <c:pt idx="17" formatCode="_ * #,##0_ ;_ * \-#,##0_ ;_ * &quot;-&quot;??_ ;_ @_ ">
                  <c:v>1905.46</c:v>
                </c:pt>
                <c:pt idx="18" formatCode="_ * #,##0_ ;_ * \-#,##0_ ;_ * &quot;-&quot;??_ ;_ @_ ">
                  <c:v>1203.5981999999999</c:v>
                </c:pt>
                <c:pt idx="19" formatCode="_ * #,##0_ ;_ * \-#,##0_ ;_ * &quot;-&quot;??_ ;_ @_ ">
                  <c:v>3028.555050220004</c:v>
                </c:pt>
                <c:pt idx="20" formatCode="_ * #,##0_ ;_ * \-#,##0_ ;_ * &quot;-&quot;??_ ;_ @_ ">
                  <c:v>2871.1499999999996</c:v>
                </c:pt>
                <c:pt idx="21" formatCode="_ * #,##0_ ;_ * \-#,##0_ ;_ * &quot;-&quot;??_ ;_ @_ ">
                  <c:v>3042.59</c:v>
                </c:pt>
                <c:pt idx="22" formatCode="_ * #,##0_ ;_ * \-#,##0_ ;_ * &quot;-&quot;??_ ;_ @_ ">
                  <c:v>4160.09</c:v>
                </c:pt>
                <c:pt idx="23" formatCode="_ * #,##0_ ;_ * \-#,##0_ ;_ * &quot;-&quot;??_ ;_ @_ ">
                  <c:v>3755.1499999999996</c:v>
                </c:pt>
                <c:pt idx="24" formatCode="_ * #,##0_ ;_ * \-#,##0_ ;_ * &quot;-&quot;??_ ;_ @_ ">
                  <c:v>2881.026557055</c:v>
                </c:pt>
                <c:pt idx="25" formatCode="_ * #,##0_ ;_ * \-#,##0_ ;_ * &quot;-&quot;??_ ;_ @_ ">
                  <c:v>723.36930000000007</c:v>
                </c:pt>
                <c:pt idx="26" formatCode="_ * #,##0_ ;_ * \-#,##0_ ;_ * &quot;-&quot;??_ ;_ @_ ">
                  <c:v>489.81</c:v>
                </c:pt>
                <c:pt idx="27" formatCode="_ * #,##0_ ;_ * \-#,##0_ ;_ * &quot;-&quot;??_ ;_ @_ ">
                  <c:v>83.703000000000003</c:v>
                </c:pt>
                <c:pt idx="28" formatCode="_ * #,##0_ ;_ * \-#,##0_ ;_ * &quot;-&quot;??_ ;_ @_ ">
                  <c:v>4.3270248599999999</c:v>
                </c:pt>
                <c:pt idx="29" formatCode="_ * #,##0.000_ ;_ * \-#,##0.000_ ;_ * &quot;-&quot;??_ ;_ @_ ">
                  <c:v>1.6379999999999999E-3</c:v>
                </c:pt>
                <c:pt idx="30" formatCode="_ * #,##0.0_ ;_ * \-#,##0.0_ ;_ * &quot;-&quot;??_ ;_ @_ ">
                  <c:v>0.1153</c:v>
                </c:pt>
                <c:pt idx="31" formatCode="_ * #,##0.0_ ;_ * \-#,##0.0_ ;_ * &quot;-&quot;??_ ;_ @_ ">
                  <c:v>0.1066</c:v>
                </c:pt>
                <c:pt idx="32" formatCode="_(* #,##0.00_);_(* \(#,##0.00\);_(* &quot;-&quot;??_);_(@_)">
                  <c:v>2.7824999999999999E-2</c:v>
                </c:pt>
                <c:pt idx="33" formatCode="_(* #,##0.00_);_(* \(#,##0.00\);_(* &quot;-&quot;??_);_(@_)">
                  <c:v>1.8845000000000001</c:v>
                </c:pt>
                <c:pt idx="34" formatCode="_(* #,##0.00_);_(* \(#,##0.00\);_(* &quot;-&quot;??_);_(@_)">
                  <c:v>10.392370000000001</c:v>
                </c:pt>
              </c:numCache>
            </c:numRef>
          </c:val>
          <c:smooth val="0"/>
          <c:extLst>
            <c:ext xmlns:c16="http://schemas.microsoft.com/office/drawing/2014/chart" uri="{C3380CC4-5D6E-409C-BE32-E72D297353CC}">
              <c16:uniqueId val="{00000003-34C2-4117-BA57-493ECB6AB6DE}"/>
            </c:ext>
          </c:extLst>
        </c:ser>
        <c:dLbls>
          <c:showLegendKey val="0"/>
          <c:showVal val="0"/>
          <c:showCatName val="0"/>
          <c:showSerName val="0"/>
          <c:showPercent val="0"/>
          <c:showBubbleSize val="0"/>
        </c:dLbls>
        <c:marker val="1"/>
        <c:smooth val="0"/>
        <c:axId val="623167856"/>
        <c:axId val="623167464"/>
        <c:extLst>
          <c:ext xmlns:c15="http://schemas.microsoft.com/office/drawing/2012/chart" uri="{02D57815-91ED-43cb-92C2-25804820EDAC}">
            <c15:filteredLineSeries>
              <c15:ser>
                <c:idx val="3"/>
                <c:order val="3"/>
                <c:tx>
                  <c:strRef>
                    <c:extLst>
                      <c:ext uri="{02D57815-91ED-43cb-92C2-25804820EDAC}">
                        <c15:formulaRef>
                          <c15:sqref>'Turnover charts'!$N$3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charts'!$J$4:$J$53</c15:sqref>
                        </c15:formulaRef>
                      </c:ext>
                    </c:extLst>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extLst>
                      <c:ext uri="{02D57815-91ED-43cb-92C2-25804820EDAC}">
                        <c15:formulaRef>
                          <c15:sqref>'Turnover charts'!$N$4:$N$53</c15:sqref>
                        </c15:formulaRef>
                      </c:ext>
                    </c:extLst>
                    <c:numCache>
                      <c:formatCode>General</c:formatCode>
                      <c:ptCount val="35"/>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numCache>
                  </c:numRef>
                </c:val>
                <c:smooth val="0"/>
                <c:extLst>
                  <c:ext xmlns:c16="http://schemas.microsoft.com/office/drawing/2014/chart" uri="{C3380CC4-5D6E-409C-BE32-E72D297353CC}">
                    <c16:uniqueId val="{00000006-34C2-4117-BA57-493ECB6AB6DE}"/>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charts'!$P$3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charts'!$J$4:$J$53</c15:sqref>
                        </c15:formulaRef>
                      </c:ext>
                    </c:extLst>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extLst xmlns:c15="http://schemas.microsoft.com/office/drawing/2012/chart">
                      <c:ext xmlns:c15="http://schemas.microsoft.com/office/drawing/2012/chart" uri="{02D57815-91ED-43cb-92C2-25804820EDAC}">
                        <c15:formulaRef>
                          <c15:sqref>'Turnover charts'!$P$4:$P$53</c15:sqref>
                        </c15:formulaRef>
                      </c:ext>
                    </c:extLst>
                    <c:numCache>
                      <c:formatCode>General</c:formatCode>
                      <c:ptCount val="35"/>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numCache>
                  </c:numRef>
                </c:val>
                <c:smooth val="0"/>
                <c:extLst xmlns:c15="http://schemas.microsoft.com/office/drawing/2012/chart">
                  <c:ext xmlns:c16="http://schemas.microsoft.com/office/drawing/2014/chart" uri="{C3380CC4-5D6E-409C-BE32-E72D297353CC}">
                    <c16:uniqueId val="{00000007-34C2-4117-BA57-493ECB6AB6DE}"/>
                  </c:ext>
                </c:extLst>
              </c15:ser>
            </c15:filteredLineSeries>
          </c:ext>
        </c:extLst>
      </c:lineChart>
      <c:lineChart>
        <c:grouping val="standard"/>
        <c:varyColors val="0"/>
        <c:ser>
          <c:idx val="6"/>
          <c:order val="6"/>
          <c:tx>
            <c:strRef>
              <c:f>'Turnover charts'!$Q$3</c:f>
              <c:strCache>
                <c:ptCount val="1"/>
                <c:pt idx="0">
                  <c:v>NCDEX futures (LHS)</c:v>
                </c:pt>
              </c:strCache>
            </c:strRef>
          </c:tx>
          <c:spPr>
            <a:ln w="19050" cap="rnd">
              <a:solidFill>
                <a:srgbClr val="FF0000"/>
              </a:solidFill>
              <a:round/>
            </a:ln>
            <a:effectLst/>
          </c:spPr>
          <c:marker>
            <c:symbol val="circle"/>
            <c:size val="5"/>
            <c:spPr>
              <a:solidFill>
                <a:schemeClr val="accent1">
                  <a:lumMod val="60000"/>
                </a:schemeClr>
              </a:solidFill>
              <a:ln w="9525">
                <a:solidFill>
                  <a:srgbClr val="FF0000"/>
                </a:solidFill>
              </a:ln>
              <a:effectLst/>
            </c:spPr>
          </c:marker>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charts'!$Q$4:$Q$53</c:f>
              <c:numCache>
                <c:formatCode>_(* #,##0_);_(* \(#,##0\);_(* "-"??_);_(@_)</c:formatCode>
                <c:ptCount val="35"/>
                <c:pt idx="0">
                  <c:v>0</c:v>
                </c:pt>
                <c:pt idx="1">
                  <c:v>0</c:v>
                </c:pt>
                <c:pt idx="2">
                  <c:v>0</c:v>
                </c:pt>
                <c:pt idx="3">
                  <c:v>0</c:v>
                </c:pt>
                <c:pt idx="4">
                  <c:v>0</c:v>
                </c:pt>
                <c:pt idx="5">
                  <c:v>0</c:v>
                </c:pt>
                <c:pt idx="6" formatCode="_ * #,##0_ ;_ * \-#,##0_ ;_ * &quot;-&quot;??_ ;_ @_ ">
                  <c:v>0</c:v>
                </c:pt>
                <c:pt idx="7" formatCode="_ * #,##0_ ;_ * \-#,##0_ ;_ * &quot;-&quot;??_ ;_ @_ ">
                  <c:v>0</c:v>
                </c:pt>
                <c:pt idx="8" formatCode="_ * #,##0_ ;_ * \-#,##0_ ;_ * &quot;-&quot;??_ ;_ @_ ">
                  <c:v>0</c:v>
                </c:pt>
                <c:pt idx="9" formatCode="_ * #,##0_ ;_ * \-#,##0_ ;_ * &quot;-&quot;??_ ;_ @_ ">
                  <c:v>0</c:v>
                </c:pt>
                <c:pt idx="10" formatCode="_ * #,##0_ ;_ * \-#,##0_ ;_ * &quot;-&quot;??_ ;_ @_ ">
                  <c:v>0</c:v>
                </c:pt>
                <c:pt idx="11" formatCode="_ * #,##0_ ;_ * \-#,##0_ ;_ * &quot;-&quot;??_ ;_ @_ ">
                  <c:v>0</c:v>
                </c:pt>
                <c:pt idx="12" formatCode="_ * #,##0_ ;_ * \-#,##0_ ;_ * &quot;-&quot;??_ ;_ @_ ">
                  <c:v>0</c:v>
                </c:pt>
                <c:pt idx="13" formatCode="_ * #,##0_ ;_ * \-#,##0_ ;_ * &quot;-&quot;??_ ;_ @_ ">
                  <c:v>0</c:v>
                </c:pt>
                <c:pt idx="14" formatCode="_ * #,##0_ ;_ * \-#,##0_ ;_ * &quot;-&quot;??_ ;_ @_ ">
                  <c:v>0</c:v>
                </c:pt>
                <c:pt idx="15" formatCode="_ * #,##0_ ;_ * \-#,##0_ ;_ * &quot;-&quot;??_ ;_ @_ ">
                  <c:v>0</c:v>
                </c:pt>
                <c:pt idx="16" formatCode="_ * #,##0_ ;_ * \-#,##0_ ;_ * &quot;-&quot;??_ ;_ @_ ">
                  <c:v>0</c:v>
                </c:pt>
                <c:pt idx="17">
                  <c:v>0</c:v>
                </c:pt>
                <c:pt idx="18">
                  <c:v>0</c:v>
                </c:pt>
                <c:pt idx="19">
                  <c:v>0</c:v>
                </c:pt>
                <c:pt idx="20">
                  <c:v>0</c:v>
                </c:pt>
                <c:pt idx="21">
                  <c:v>0</c:v>
                </c:pt>
                <c:pt idx="22">
                  <c:v>0</c:v>
                </c:pt>
                <c:pt idx="23">
                  <c:v>0</c:v>
                </c:pt>
                <c:pt idx="24">
                  <c:v>0</c:v>
                </c:pt>
                <c:pt idx="25">
                  <c:v>0</c:v>
                </c:pt>
                <c:pt idx="26" formatCode="_ * #,##0_ ;_ * \-#,##0_ ;_ * &quot;-&quot;??_ ;_ @_ ">
                  <c:v>0</c:v>
                </c:pt>
                <c:pt idx="27" formatCode="_ * #,##0_ ;_ * \-#,##0_ ;_ * &quot;-&quot;??_ ;_ @_ ">
                  <c:v>0</c:v>
                </c:pt>
                <c:pt idx="28" formatCode="_ * #,##0_ ;_ * \-#,##0_ ;_ * &quot;-&quot;??_ ;_ @_ ">
                  <c:v>0</c:v>
                </c:pt>
                <c:pt idx="29" formatCode="_ * #,##0_ ;_ * \-#,##0_ ;_ * &quot;-&quot;??_ ;_ @_ ">
                  <c:v>0</c:v>
                </c:pt>
                <c:pt idx="30" formatCode="_ * #,##0_ ;_ * \-#,##0_ ;_ * &quot;-&quot;??_ ;_ @_ ">
                  <c:v>0</c:v>
                </c:pt>
                <c:pt idx="31" formatCode="_ * #,##0_ ;_ * \-#,##0_ ;_ * &quot;-&quot;??_ ;_ @_ ">
                  <c:v>0</c:v>
                </c:pt>
                <c:pt idx="32" formatCode="_ * #,##0_ ;_ * \-#,##0_ ;_ * &quot;-&quot;??_ ;_ @_ ">
                  <c:v>0</c:v>
                </c:pt>
                <c:pt idx="33" formatCode="_ * #,##0_ ;_ * \-#,##0_ ;_ * &quot;-&quot;??_ ;_ @_ ">
                  <c:v>0</c:v>
                </c:pt>
                <c:pt idx="34" formatCode="_ * #,##0_ ;_ * \-#,##0_ ;_ * &quot;-&quot;??_ ;_ @_ ">
                  <c:v>24</c:v>
                </c:pt>
              </c:numCache>
            </c:numRef>
          </c:val>
          <c:smooth val="0"/>
          <c:extLst>
            <c:ext xmlns:c16="http://schemas.microsoft.com/office/drawing/2014/chart" uri="{C3380CC4-5D6E-409C-BE32-E72D297353CC}">
              <c16:uniqueId val="{00000004-34C2-4117-BA57-493ECB6AB6DE}"/>
            </c:ext>
          </c:extLst>
        </c:ser>
        <c:dLbls>
          <c:showLegendKey val="0"/>
          <c:showVal val="0"/>
          <c:showCatName val="0"/>
          <c:showSerName val="0"/>
          <c:showPercent val="0"/>
          <c:showBubbleSize val="0"/>
        </c:dLbls>
        <c:marker val="1"/>
        <c:smooth val="0"/>
        <c:axId val="623167072"/>
        <c:axId val="623165504"/>
      </c:lineChart>
      <c:dateAx>
        <c:axId val="623167856"/>
        <c:scaling>
          <c:orientation val="minMax"/>
          <c:min val="4386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23167464"/>
        <c:crosses val="autoZero"/>
        <c:auto val="1"/>
        <c:lblOffset val="100"/>
        <c:baseTimeUnit val="months"/>
      </c:dateAx>
      <c:valAx>
        <c:axId val="623167464"/>
        <c:scaling>
          <c:orientation val="minMax"/>
          <c:max val="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23167856"/>
        <c:crosses val="autoZero"/>
        <c:crossBetween val="between"/>
        <c:majorUnit val="1000"/>
      </c:valAx>
      <c:valAx>
        <c:axId val="623165504"/>
        <c:scaling>
          <c:orientation val="minMax"/>
          <c:max val="100000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23167072"/>
        <c:crosses val="max"/>
        <c:crossBetween val="between"/>
      </c:valAx>
      <c:dateAx>
        <c:axId val="623167072"/>
        <c:scaling>
          <c:orientation val="minMax"/>
        </c:scaling>
        <c:delete val="1"/>
        <c:axPos val="b"/>
        <c:numFmt formatCode="mmm\-yy" sourceLinked="1"/>
        <c:majorTickMark val="out"/>
        <c:minorTickMark val="none"/>
        <c:tickLblPos val="nextTo"/>
        <c:crossAx val="623165504"/>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73554005798164013"/>
          <c:h val="0.1044547531214697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6899943817894811"/>
          <c:h val="0.72457814568050793"/>
        </c:manualLayout>
      </c:layout>
      <c:barChart>
        <c:barDir val="col"/>
        <c:grouping val="stacked"/>
        <c:varyColors val="0"/>
        <c:ser>
          <c:idx val="1"/>
          <c:order val="0"/>
          <c:tx>
            <c:v>MCX Options (LHS)</c:v>
          </c:tx>
          <c:spPr>
            <a:solidFill>
              <a:schemeClr val="accent2"/>
            </a:solidFill>
            <a:ln w="12700">
              <a:solidFill>
                <a:schemeClr val="tx1">
                  <a:lumMod val="75000"/>
                  <a:lumOff val="25000"/>
                </a:schemeClr>
              </a:solidFill>
            </a:ln>
            <a:effectLst/>
          </c:spPr>
          <c:invertIfNegative val="0"/>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charts'!$L$4:$L$53</c:f>
              <c:numCache>
                <c:formatCode>_(* #,##0_);_(* \(#,##0\);_(* "-"??_);_(@_)</c:formatCode>
                <c:ptCount val="35"/>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numCache>
            </c:numRef>
          </c:val>
          <c:extLst>
            <c:ext xmlns:c16="http://schemas.microsoft.com/office/drawing/2014/chart" uri="{C3380CC4-5D6E-409C-BE32-E72D297353CC}">
              <c16:uniqueId val="{00000000-BDB8-4C5A-8D73-4EBD39B8B36F}"/>
            </c:ext>
          </c:extLst>
        </c:ser>
        <c:dLbls>
          <c:showLegendKey val="0"/>
          <c:showVal val="0"/>
          <c:showCatName val="0"/>
          <c:showSerName val="0"/>
          <c:showPercent val="0"/>
          <c:showBubbleSize val="0"/>
        </c:dLbls>
        <c:gapWidth val="219"/>
        <c:overlap val="100"/>
        <c:axId val="623166288"/>
        <c:axId val="623168248"/>
      </c:barChart>
      <c:lineChart>
        <c:grouping val="standard"/>
        <c:varyColors val="0"/>
        <c:ser>
          <c:idx val="5"/>
          <c:order val="2"/>
          <c:tx>
            <c:v>NSE Options (LHS)</c:v>
          </c:tx>
          <c:spPr>
            <a:ln w="28575" cap="rnd">
              <a:solidFill>
                <a:schemeClr val="accent6"/>
              </a:solidFill>
              <a:round/>
            </a:ln>
            <a:effectLst/>
          </c:spPr>
          <c:marker>
            <c:symbol val="none"/>
          </c:marker>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charts'!$P$4:$P$53</c:f>
              <c:numCache>
                <c:formatCode>General</c:formatCode>
                <c:ptCount val="35"/>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numCache>
            </c:numRef>
          </c:val>
          <c:smooth val="0"/>
          <c:extLst>
            <c:ext xmlns:c16="http://schemas.microsoft.com/office/drawing/2014/chart" uri="{C3380CC4-5D6E-409C-BE32-E72D297353CC}">
              <c16:uniqueId val="{00000001-BDB8-4C5A-8D73-4EBD39B8B36F}"/>
            </c:ext>
          </c:extLst>
        </c:ser>
        <c:dLbls>
          <c:showLegendKey val="0"/>
          <c:showVal val="0"/>
          <c:showCatName val="0"/>
          <c:showSerName val="0"/>
          <c:showPercent val="0"/>
          <c:showBubbleSize val="0"/>
        </c:dLbls>
        <c:marker val="1"/>
        <c:smooth val="0"/>
        <c:axId val="623166288"/>
        <c:axId val="623168248"/>
      </c:lineChart>
      <c:lineChart>
        <c:grouping val="standard"/>
        <c:varyColors val="0"/>
        <c:ser>
          <c:idx val="3"/>
          <c:order val="1"/>
          <c:tx>
            <c:strRef>
              <c:f>'Turnover charts'!$N$3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charts'!$J$4:$J$53</c:f>
              <c:numCache>
                <c:formatCode>mmm\-yy</c:formatCode>
                <c:ptCount val="35"/>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numCache>
            </c:numRef>
          </c:cat>
          <c:val>
            <c:numRef>
              <c:f>'Turnover charts'!$N$4:$N$53</c:f>
              <c:numCache>
                <c:formatCode>General</c:formatCode>
                <c:ptCount val="35"/>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numCache>
            </c:numRef>
          </c:val>
          <c:smooth val="0"/>
          <c:extLst>
            <c:ext xmlns:c16="http://schemas.microsoft.com/office/drawing/2014/chart" uri="{C3380CC4-5D6E-409C-BE32-E72D297353CC}">
              <c16:uniqueId val="{00000002-BDB8-4C5A-8D73-4EBD39B8B36F}"/>
            </c:ext>
          </c:extLst>
        </c:ser>
        <c:dLbls>
          <c:showLegendKey val="0"/>
          <c:showVal val="0"/>
          <c:showCatName val="0"/>
          <c:showSerName val="0"/>
          <c:showPercent val="0"/>
          <c:showBubbleSize val="0"/>
        </c:dLbls>
        <c:marker val="1"/>
        <c:smooth val="0"/>
        <c:axId val="653447680"/>
        <c:axId val="623168640"/>
      </c:lineChart>
      <c:dateAx>
        <c:axId val="623166288"/>
        <c:scaling>
          <c:orientation val="minMax"/>
          <c:min val="4386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23168248"/>
        <c:crosses val="autoZero"/>
        <c:auto val="1"/>
        <c:lblOffset val="100"/>
        <c:baseTimeUnit val="months"/>
      </c:dateAx>
      <c:valAx>
        <c:axId val="623168248"/>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23166288"/>
        <c:crosses val="autoZero"/>
        <c:crossBetween val="between"/>
        <c:majorUnit val="5000"/>
        <c:minorUnit val="5000"/>
      </c:valAx>
      <c:valAx>
        <c:axId val="623168640"/>
        <c:scaling>
          <c:orientation val="minMax"/>
          <c:max val="75000"/>
          <c:min val="0"/>
        </c:scaling>
        <c:delete val="0"/>
        <c:axPos val="r"/>
        <c:title>
          <c:tx>
            <c:rich>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802305074641692"/>
              <c:y val="0.31903100347750651"/>
            </c:manualLayout>
          </c:layout>
          <c:overlay val="0"/>
          <c:spPr>
            <a:noFill/>
            <a:ln>
              <a:noFill/>
            </a:ln>
            <a:effectLst/>
          </c:spPr>
          <c:txPr>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53447680"/>
        <c:crosses val="max"/>
        <c:crossBetween val="between"/>
        <c:majorUnit val="10000"/>
      </c:valAx>
      <c:dateAx>
        <c:axId val="653447680"/>
        <c:scaling>
          <c:orientation val="minMax"/>
        </c:scaling>
        <c:delete val="1"/>
        <c:axPos val="b"/>
        <c:numFmt formatCode="mmm\-yy" sourceLinked="1"/>
        <c:majorTickMark val="out"/>
        <c:minorTickMark val="none"/>
        <c:tickLblPos val="nextTo"/>
        <c:crossAx val="623168640"/>
        <c:crossesAt val="0"/>
        <c:auto val="1"/>
        <c:lblOffset val="100"/>
        <c:baseTimeUnit val="months"/>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4.xml>
</file>

<file path=customXml/item5.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6.xml>
</file>

<file path=customXml/item7.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8.xml>
</file>

<file path=customXml/item9.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43C77-5EBC-46F2-AC21-5D702358D3EF}">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D7543C77-5EBC-46F2-AC21-5D702358D3EF}">
  <ds:schemaRefs/>
</ds:datastoreItem>
</file>

<file path=customXml/itemProps4.xml><?xml version="1.0" encoding="utf-8"?>
<ds:datastoreItem xmlns:ds="http://schemas.openxmlformats.org/officeDocument/2006/customXml" ds:itemID="{F1A90E88-F8CE-47CC-B1F2-2802B9D4F2FE}"/>
</file>

<file path=customXml/itemProps5.xml><?xml version="1.0" encoding="utf-8"?>
<ds:datastoreItem xmlns:ds="http://schemas.openxmlformats.org/officeDocument/2006/customXml" ds:itemID="{D7543C77-5EBC-46F2-AC21-5D702358D3EF}">
  <ds:schemaRefs/>
</ds:datastoreItem>
</file>

<file path=customXml/itemProps6.xml><?xml version="1.0" encoding="utf-8"?>
<ds:datastoreItem xmlns:ds="http://schemas.openxmlformats.org/officeDocument/2006/customXml" ds:itemID="{8A5DE7B4-0207-485C-AD2D-76752FDBC33F}"/>
</file>

<file path=customXml/itemProps7.xml><?xml version="1.0" encoding="utf-8"?>
<ds:datastoreItem xmlns:ds="http://schemas.openxmlformats.org/officeDocument/2006/customXml" ds:itemID="{AC874CF5-52D4-4685-80EC-6F1B86646A89}">
  <ds:schemaRefs/>
</ds:datastoreItem>
</file>

<file path=customXml/itemProps8.xml><?xml version="1.0" encoding="utf-8"?>
<ds:datastoreItem xmlns:ds="http://schemas.openxmlformats.org/officeDocument/2006/customXml" ds:itemID="{FFFCDC47-2152-406C-A3E3-98A02192763B}"/>
</file>

<file path=customXml/itemProps9.xml><?xml version="1.0" encoding="utf-8"?>
<ds:datastoreItem xmlns:ds="http://schemas.openxmlformats.org/officeDocument/2006/customXml" ds:itemID="{2C38164C-8094-471D-AC2C-77D018C8E0F2}">
  <ds:schemaRefs/>
</ds:datastoreItem>
</file>

<file path=customXml/itemProps10.xml><?xml version="1.0" encoding="utf-8"?>
<ds:datastoreItem xmlns:ds="http://schemas.openxmlformats.org/officeDocument/2006/customXml" ds:itemID="{EC8FA60C-4F3D-449A-B6E1-046F7B389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11906</Words>
  <Characters>67867</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2</cp:revision>
  <cp:lastPrinted>2021-01-25T05:51:00Z</cp:lastPrinted>
  <dcterms:created xsi:type="dcterms:W3CDTF">2021-03-04T07:33:00Z</dcterms:created>
  <dcterms:modified xsi:type="dcterms:W3CDTF">2021-03-04T07:33:00Z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