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4.xml" ContentType="application/vnd.openxmlformats-officedocument.themeOverrid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5.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b.xml" ContentType="application/vnd.openxmlformats-officedocument.customXmlProperties+xml"/>
  <Override PartName="/customXML/itemPropsc.xml" ContentType="application/vnd.openxmlformats-officedocument.customXmlProperties+xml"/>
  <Override PartName="/customXML/itemPropsd.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816E4C">
      <w:pPr>
        <w:pStyle w:val="Heading4"/>
      </w:pPr>
    </w:p>
    <w:p w:rsidR="003E1929" w:rsidRDefault="003E1929" w:rsidP="003E1929">
      <w:pPr>
        <w:rPr>
          <w:lang w:val="en-IN" w:eastAsia="en-IN"/>
        </w:rPr>
      </w:pPr>
    </w:p>
    <w:p w:rsidR="003E1929" w:rsidRDefault="003E1929" w:rsidP="003E1929">
      <w:pPr>
        <w:rPr>
          <w:lang w:val="en-IN" w:eastAsia="en-IN"/>
        </w:rPr>
      </w:pPr>
    </w:p>
    <w:p w:rsidR="003E1929" w:rsidRDefault="003E1929" w:rsidP="003E1929">
      <w:pPr>
        <w:rPr>
          <w:lang w:val="en-IN" w:eastAsia="en-IN"/>
        </w:rPr>
      </w:pPr>
    </w:p>
    <w:p w:rsidR="003E1929" w:rsidRPr="003E1929" w:rsidRDefault="003E1929" w:rsidP="003E1929">
      <w:pPr>
        <w:rPr>
          <w:lang w:val="en-IN" w:eastAsia="en-IN"/>
        </w:rPr>
      </w:pPr>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B43812"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MARCH</w:t>
      </w:r>
      <w:r w:rsidR="001B5B2F">
        <w:rPr>
          <w:rFonts w:ascii="Palatino Linotype" w:hAnsi="Palatino Linotype"/>
          <w:b/>
          <w:color w:val="000080"/>
          <w:sz w:val="22"/>
          <w:szCs w:val="22"/>
        </w:rPr>
        <w:t xml:space="preserve"> </w:t>
      </w:r>
      <w:r w:rsidR="00074803">
        <w:rPr>
          <w:rFonts w:ascii="Palatino Linotype" w:hAnsi="Palatino Linotype"/>
          <w:b/>
          <w:color w:val="000080"/>
          <w:sz w:val="22"/>
          <w:szCs w:val="22"/>
        </w:rPr>
        <w:t>2</w:t>
      </w:r>
      <w:r w:rsidR="009B7E61">
        <w:rPr>
          <w:rFonts w:ascii="Palatino Linotype" w:hAnsi="Palatino Linotype"/>
          <w:b/>
          <w:color w:val="000080"/>
          <w:sz w:val="22"/>
          <w:szCs w:val="22"/>
        </w:rPr>
        <w:t>02</w:t>
      </w:r>
      <w:r w:rsidR="002361F1">
        <w:rPr>
          <w:rFonts w:ascii="Palatino Linotype" w:hAnsi="Palatino Linotype"/>
          <w:b/>
          <w:color w:val="000080"/>
          <w:sz w:val="22"/>
          <w:szCs w:val="22"/>
        </w:rPr>
        <w:t>1</w:t>
      </w:r>
      <w:r w:rsidR="008E4467">
        <w:rPr>
          <w:rFonts w:ascii="Palatino Linotype" w:hAnsi="Palatino Linotype"/>
          <w:b/>
          <w:color w:val="000080"/>
          <w:sz w:val="22"/>
          <w:szCs w:val="22"/>
        </w:rPr>
        <w:t xml:space="preserve">   VOL. 1</w:t>
      </w:r>
      <w:r w:rsidR="002361F1">
        <w:rPr>
          <w:rFonts w:ascii="Palatino Linotype" w:hAnsi="Palatino Linotype"/>
          <w:b/>
          <w:color w:val="000080"/>
          <w:sz w:val="22"/>
          <w:szCs w:val="22"/>
        </w:rPr>
        <w:t>9</w:t>
      </w:r>
      <w:r w:rsidR="008E4467">
        <w:rPr>
          <w:rFonts w:ascii="Palatino Linotype" w:hAnsi="Palatino Linotype"/>
          <w:b/>
          <w:color w:val="000080"/>
          <w:sz w:val="22"/>
          <w:szCs w:val="22"/>
        </w:rPr>
        <w:t xml:space="preserve">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2361F1">
        <w:rPr>
          <w:rFonts w:ascii="Palatino Linotype" w:hAnsi="Palatino Linotype"/>
          <w:b/>
          <w:color w:val="FF0000"/>
          <w:sz w:val="22"/>
          <w:szCs w:val="22"/>
        </w:rPr>
        <w:t>0</w:t>
      </w:r>
      <w:r>
        <w:rPr>
          <w:rFonts w:ascii="Palatino Linotype" w:hAnsi="Palatino Linotype"/>
          <w:b/>
          <w:color w:val="FF0000"/>
          <w:sz w:val="22"/>
          <w:szCs w:val="22"/>
        </w:rPr>
        <w:t>3</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E4439E" w:rsidRDefault="00E4439E" w:rsidP="002C3645">
      <w:pPr>
        <w:spacing w:line="20" w:lineRule="atLeast"/>
        <w:jc w:val="both"/>
        <w:outlineLvl w:val="0"/>
        <w:rPr>
          <w:rFonts w:ascii="Palatino Linotype" w:hAnsi="Palatino Linotype"/>
          <w:b/>
          <w:sz w:val="22"/>
          <w:szCs w:val="22"/>
        </w:rPr>
      </w:pPr>
      <w:r w:rsidRPr="009E322F">
        <w:rPr>
          <w:rFonts w:ascii="Palatino Linotype" w:eastAsia="Times New Roman" w:hAnsi="Palatino Linotype"/>
          <w:b/>
          <w:sz w:val="22"/>
          <w:szCs w:val="22"/>
        </w:rPr>
        <w:t xml:space="preserve">Shri </w:t>
      </w:r>
      <w:r w:rsidRPr="00FE77E0">
        <w:rPr>
          <w:rFonts w:ascii="Palatino Linotype" w:eastAsia="Times New Roman" w:hAnsi="Palatino Linotype"/>
          <w:b/>
          <w:sz w:val="22"/>
          <w:szCs w:val="22"/>
        </w:rPr>
        <w:t>Amarjeet Singh</w:t>
      </w:r>
      <w:r w:rsidRPr="009A0EB3">
        <w:rPr>
          <w:rFonts w:ascii="Palatino Linotype" w:hAnsi="Palatino Linotype"/>
          <w:b/>
          <w:sz w:val="22"/>
          <w:szCs w:val="22"/>
        </w:rPr>
        <w:t xml:space="preserve"> </w:t>
      </w:r>
    </w:p>
    <w:p w:rsidR="002C3645"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 xml:space="preserve">Dr. </w:t>
      </w:r>
      <w:r w:rsidR="004A4D62">
        <w:rPr>
          <w:rFonts w:ascii="Palatino Linotype" w:hAnsi="Palatino Linotype"/>
          <w:b/>
          <w:sz w:val="22"/>
          <w:szCs w:val="22"/>
        </w:rPr>
        <w:t xml:space="preserve"> </w:t>
      </w:r>
      <w:r w:rsidRPr="009A0EB3">
        <w:rPr>
          <w:rFonts w:ascii="Palatino Linotype" w:hAnsi="Palatino Linotype"/>
          <w:b/>
          <w:sz w:val="22"/>
          <w:szCs w:val="22"/>
        </w:rPr>
        <w:t>Prabhakar R. Patil</w:t>
      </w:r>
    </w:p>
    <w:p w:rsidR="00E71481"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 Prabhas Rath</w:t>
      </w:r>
    </w:p>
    <w:p w:rsidR="00012FAA" w:rsidRPr="009A0EB3" w:rsidRDefault="00012FAA"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Sangeeta Rathod</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Ms. Deepthi L.S.</w:t>
      </w:r>
    </w:p>
    <w:p w:rsidR="002C3645" w:rsidRPr="009A0EB3" w:rsidRDefault="00FD185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Dr.</w:t>
      </w:r>
      <w:r w:rsidR="002C3645" w:rsidRPr="009A0EB3">
        <w:rPr>
          <w:rFonts w:ascii="Palatino Linotype" w:hAnsi="Palatino Linotype"/>
          <w:b/>
          <w:sz w:val="22"/>
          <w:szCs w:val="22"/>
        </w:rPr>
        <w:t xml:space="preserve"> </w:t>
      </w:r>
      <w:r>
        <w:rPr>
          <w:rFonts w:ascii="Palatino Linotype" w:hAnsi="Palatino Linotype"/>
          <w:b/>
          <w:sz w:val="22"/>
          <w:szCs w:val="22"/>
        </w:rPr>
        <w:t xml:space="preserve"> Deepali Dixit</w:t>
      </w:r>
    </w:p>
    <w:p w:rsidR="002C3645" w:rsidRPr="009A0EB3" w:rsidRDefault="00E71481" w:rsidP="002C3645">
      <w:pPr>
        <w:spacing w:line="20" w:lineRule="atLeast"/>
        <w:jc w:val="both"/>
        <w:outlineLvl w:val="0"/>
        <w:rPr>
          <w:rFonts w:ascii="Palatino Linotype" w:hAnsi="Palatino Linotype"/>
          <w:b/>
          <w:sz w:val="22"/>
          <w:szCs w:val="22"/>
        </w:rPr>
      </w:pPr>
      <w:r>
        <w:rPr>
          <w:rFonts w:ascii="Palatino Linotype" w:hAnsi="Palatino Linotype"/>
          <w:b/>
          <w:sz w:val="22"/>
          <w:szCs w:val="22"/>
        </w:rPr>
        <w:t>Shri</w:t>
      </w:r>
      <w:r w:rsidR="002C3645" w:rsidRPr="009A0EB3">
        <w:rPr>
          <w:rFonts w:ascii="Palatino Linotype" w:hAnsi="Palatino Linotype"/>
          <w:b/>
          <w:sz w:val="22"/>
          <w:szCs w:val="22"/>
        </w:rPr>
        <w:t xml:space="preserve"> </w:t>
      </w:r>
      <w:r w:rsidR="00FD1851">
        <w:rPr>
          <w:rFonts w:ascii="Palatino Linotype" w:hAnsi="Palatino Linotype"/>
          <w:b/>
          <w:sz w:val="22"/>
          <w:szCs w:val="22"/>
        </w:rPr>
        <w:t>Jitendra Kumar</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w:t>
      </w:r>
      <w:r w:rsidRPr="009A0EB3">
        <w:rPr>
          <w:rFonts w:ascii="Palatino Linotype" w:hAnsi="Palatino Linotype"/>
          <w:bCs/>
          <w:sz w:val="22"/>
          <w:szCs w:val="22"/>
        </w:rPr>
        <w:t xml:space="preserve">A readable version of SEBI Bulletin is available at </w:t>
      </w:r>
      <w:hyperlink r:id="rId17"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w:t>
      </w:r>
      <w:r w:rsidR="00E71481">
        <w:rPr>
          <w:rFonts w:ascii="Palatino Linotype" w:hAnsi="Palatino Linotype"/>
          <w:bCs/>
          <w:sz w:val="22"/>
          <w:szCs w:val="22"/>
        </w:rPr>
        <w:t xml:space="preserve"> </w:t>
      </w:r>
      <w:r w:rsidR="00E71481" w:rsidRPr="00E71481">
        <w:rPr>
          <w:rFonts w:ascii="Palatino Linotype" w:hAnsi="Palatino Linotype"/>
          <w:bCs/>
          <w:sz w:val="22"/>
          <w:szCs w:val="22"/>
        </w:rPr>
        <w:t xml:space="preserve">Further,  soft copy of SEBI Bulletin is available free of cost to the subscribers/readers, who register at bulletin@sebi.gov.in along with their complete address. </w:t>
      </w:r>
      <w:r w:rsidRPr="009A0EB3">
        <w:rPr>
          <w:rFonts w:ascii="Palatino Linotype" w:hAnsi="Palatino Linotype"/>
          <w:bCs/>
          <w:sz w:val="22"/>
          <w:szCs w:val="22"/>
        </w:rPr>
        <w:t xml:space="preserve">Any comments and suggestions on any of the features/sections may be sent to </w:t>
      </w:r>
      <w:hyperlink r:id="rId18"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E77E0" w:rsidRDefault="00B43812" w:rsidP="00FE77E0">
      <w:pPr>
        <w:spacing w:line="20" w:lineRule="atLeast"/>
        <w:jc w:val="both"/>
        <w:rPr>
          <w:rFonts w:ascii="Palatino Linotype" w:hAnsi="Palatino Linotype"/>
          <w:b/>
          <w:color w:val="0000FF"/>
          <w:sz w:val="22"/>
          <w:szCs w:val="22"/>
        </w:rPr>
      </w:pPr>
      <w:r>
        <w:rPr>
          <w:rFonts w:ascii="Palatino Linotype" w:hAnsi="Palatino Linotype"/>
          <w:b/>
          <w:color w:val="0000FF"/>
          <w:sz w:val="22"/>
          <w:szCs w:val="22"/>
        </w:rPr>
        <w:t>CHAIRMAN’S SPEECH</w:t>
      </w:r>
    </w:p>
    <w:p w:rsidR="00B43812" w:rsidRDefault="00B43812" w:rsidP="00FE77E0">
      <w:pPr>
        <w:spacing w:line="20" w:lineRule="atLeast"/>
        <w:jc w:val="both"/>
        <w:rPr>
          <w:rFonts w:ascii="Palatino Linotype" w:hAnsi="Palatino Linotype"/>
          <w:b/>
          <w:color w:val="0000FF"/>
          <w:sz w:val="22"/>
          <w:szCs w:val="22"/>
        </w:rPr>
      </w:pPr>
    </w:p>
    <w:p w:rsidR="00B43812" w:rsidRDefault="00B43812" w:rsidP="003F384D">
      <w:pPr>
        <w:pStyle w:val="ListParagraph"/>
        <w:numPr>
          <w:ilvl w:val="0"/>
          <w:numId w:val="11"/>
        </w:numPr>
        <w:spacing w:line="20" w:lineRule="atLeast"/>
        <w:jc w:val="both"/>
        <w:rPr>
          <w:rFonts w:ascii="Palatino Linotype" w:hAnsi="Palatino Linotype"/>
          <w:b/>
          <w:color w:val="0000FF"/>
          <w:sz w:val="22"/>
          <w:szCs w:val="22"/>
        </w:rPr>
      </w:pPr>
      <w:r w:rsidRPr="00B43812">
        <w:rPr>
          <w:rFonts w:ascii="Palatino Linotype" w:hAnsi="Palatino Linotype"/>
          <w:b/>
          <w:color w:val="0000FF"/>
          <w:sz w:val="22"/>
          <w:szCs w:val="22"/>
        </w:rPr>
        <w:t>India’s Corporate Bond Market: Bonds that build a nation</w:t>
      </w:r>
      <w:r>
        <w:rPr>
          <w:rFonts w:ascii="Palatino Linotype" w:hAnsi="Palatino Linotype"/>
          <w:b/>
          <w:color w:val="0000FF"/>
          <w:sz w:val="22"/>
          <w:szCs w:val="22"/>
        </w:rPr>
        <w:t xml:space="preserve"> dated February 24, 2021</w:t>
      </w:r>
    </w:p>
    <w:p w:rsidR="00207133" w:rsidRPr="00B43812" w:rsidRDefault="00207133" w:rsidP="00207133">
      <w:pPr>
        <w:pStyle w:val="ListParagraph"/>
        <w:spacing w:line="20" w:lineRule="atLeast"/>
        <w:jc w:val="both"/>
        <w:rPr>
          <w:rFonts w:ascii="Palatino Linotype" w:hAnsi="Palatino Linotype"/>
          <w:b/>
          <w:color w:val="0000FF"/>
          <w:sz w:val="22"/>
          <w:szCs w:val="22"/>
        </w:rPr>
      </w:pPr>
    </w:p>
    <w:p w:rsidR="001B5B2F" w:rsidRPr="00207133" w:rsidRDefault="00207133" w:rsidP="003F384D">
      <w:pPr>
        <w:pStyle w:val="ListParagraph"/>
        <w:numPr>
          <w:ilvl w:val="0"/>
          <w:numId w:val="11"/>
        </w:numPr>
        <w:spacing w:line="20" w:lineRule="atLeast"/>
        <w:jc w:val="both"/>
        <w:rPr>
          <w:rFonts w:ascii="Palatino Linotype" w:hAnsi="Palatino Linotype"/>
          <w:b/>
          <w:color w:val="0000FF"/>
          <w:sz w:val="22"/>
          <w:szCs w:val="22"/>
        </w:rPr>
      </w:pPr>
      <w:r w:rsidRPr="00207133">
        <w:rPr>
          <w:rFonts w:ascii="Palatino Linotype" w:hAnsi="Palatino Linotype"/>
          <w:b/>
          <w:color w:val="0000FF"/>
          <w:sz w:val="22"/>
          <w:szCs w:val="22"/>
        </w:rPr>
        <w:t>“Behavior of Securities Market-Sighting of Black Swan”</w:t>
      </w:r>
      <w:r>
        <w:rPr>
          <w:rFonts w:ascii="Palatino Linotype" w:hAnsi="Palatino Linotype"/>
          <w:b/>
          <w:color w:val="0000FF"/>
          <w:sz w:val="22"/>
          <w:szCs w:val="22"/>
        </w:rPr>
        <w:t xml:space="preserve"> dated </w:t>
      </w:r>
      <w:r w:rsidRPr="00207133">
        <w:rPr>
          <w:rFonts w:ascii="Palatino Linotype" w:hAnsi="Palatino Linotype"/>
          <w:b/>
          <w:color w:val="0000FF"/>
          <w:sz w:val="22"/>
          <w:szCs w:val="22"/>
        </w:rPr>
        <w:t>February 25, 2021</w:t>
      </w:r>
    </w:p>
    <w:p w:rsidR="002C1136" w:rsidRDefault="002C1136" w:rsidP="00A36146">
      <w:pPr>
        <w:spacing w:line="20" w:lineRule="atLeast"/>
        <w:jc w:val="both"/>
        <w:rPr>
          <w:rFonts w:ascii="Palatino Linotype" w:hAnsi="Palatino Linotype"/>
          <w:b/>
          <w:color w:val="0000FF"/>
          <w:sz w:val="22"/>
          <w:szCs w:val="22"/>
        </w:rPr>
      </w:pPr>
    </w:p>
    <w:p w:rsidR="00B43812" w:rsidRDefault="002C1136" w:rsidP="00A36146">
      <w:pPr>
        <w:spacing w:line="20" w:lineRule="atLeast"/>
        <w:jc w:val="both"/>
        <w:rPr>
          <w:rFonts w:ascii="Palatino Linotype" w:hAnsi="Palatino Linotype"/>
          <w:b/>
          <w:color w:val="0000FF"/>
          <w:sz w:val="22"/>
          <w:szCs w:val="22"/>
        </w:rPr>
      </w:pPr>
      <w:r>
        <w:rPr>
          <w:rFonts w:ascii="Palatino Linotype" w:hAnsi="Palatino Linotype"/>
          <w:b/>
          <w:color w:val="0000FF"/>
          <w:sz w:val="22"/>
          <w:szCs w:val="22"/>
        </w:rPr>
        <w:t xml:space="preserve">A WRITE-UP ON </w:t>
      </w:r>
      <w:r w:rsidR="0019451C">
        <w:rPr>
          <w:rFonts w:ascii="Palatino Linotype" w:hAnsi="Palatino Linotype"/>
          <w:b/>
          <w:color w:val="0000FF"/>
          <w:sz w:val="22"/>
          <w:szCs w:val="22"/>
        </w:rPr>
        <w:t xml:space="preserve">SECOND </w:t>
      </w:r>
      <w:r>
        <w:rPr>
          <w:rFonts w:ascii="Palatino Linotype" w:hAnsi="Palatino Linotype"/>
          <w:b/>
          <w:color w:val="0000FF"/>
          <w:sz w:val="22"/>
          <w:szCs w:val="22"/>
        </w:rPr>
        <w:t>SEBI</w:t>
      </w:r>
      <w:r w:rsidR="00F461C7">
        <w:rPr>
          <w:rFonts w:ascii="Palatino Linotype" w:hAnsi="Palatino Linotype"/>
          <w:b/>
          <w:color w:val="0000FF"/>
          <w:sz w:val="22"/>
          <w:szCs w:val="22"/>
        </w:rPr>
        <w:t>-NISM</w:t>
      </w:r>
      <w:r>
        <w:rPr>
          <w:rFonts w:ascii="Palatino Linotype" w:hAnsi="Palatino Linotype"/>
          <w:b/>
          <w:color w:val="0000FF"/>
          <w:sz w:val="22"/>
          <w:szCs w:val="22"/>
        </w:rPr>
        <w:t xml:space="preserve"> RESEARCH CONFERENCE </w:t>
      </w:r>
    </w:p>
    <w:p w:rsidR="002C1136" w:rsidRPr="00A36146" w:rsidRDefault="002C1136" w:rsidP="00A36146">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r w:rsidR="00E71481">
        <w:rPr>
          <w:rFonts w:ascii="Palatino Linotype" w:hAnsi="Palatino Linotype"/>
          <w:b/>
          <w:color w:val="0000FF"/>
          <w:sz w:val="22"/>
          <w:szCs w:val="22"/>
        </w:rPr>
        <w:t>AT SEBI</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6A566F" w:rsidRDefault="006A566F" w:rsidP="00B25DA6">
      <w:pPr>
        <w:jc w:val="center"/>
        <w:outlineLvl w:val="0"/>
        <w:rPr>
          <w:rFonts w:ascii="Palatino Linotype" w:hAnsi="Palatino Linotype" w:cs="Helvetica"/>
          <w:b/>
          <w:color w:val="000099"/>
          <w:sz w:val="22"/>
          <w:szCs w:val="22"/>
        </w:rPr>
      </w:pPr>
    </w:p>
    <w:p w:rsidR="00B43812" w:rsidRPr="00207133" w:rsidRDefault="00B43812" w:rsidP="00B43812">
      <w:pPr>
        <w:spacing w:line="360" w:lineRule="auto"/>
        <w:jc w:val="center"/>
        <w:outlineLvl w:val="0"/>
        <w:rPr>
          <w:rFonts w:ascii="Palatino Linotype" w:hAnsi="Palatino Linotype" w:cs="Helvetica"/>
          <w:b/>
          <w:sz w:val="22"/>
          <w:szCs w:val="22"/>
        </w:rPr>
      </w:pPr>
      <w:r w:rsidRPr="00207133">
        <w:rPr>
          <w:rFonts w:ascii="Palatino Linotype" w:hAnsi="Palatino Linotype" w:cs="Helvetica"/>
          <w:b/>
          <w:sz w:val="22"/>
          <w:szCs w:val="22"/>
        </w:rPr>
        <w:t>SEBI CHAIRMAN’S ADDRESS AT CRISIL 6</w:t>
      </w:r>
      <w:r w:rsidRPr="00207133">
        <w:rPr>
          <w:rFonts w:ascii="Palatino Linotype" w:hAnsi="Palatino Linotype" w:cs="Helvetica"/>
          <w:b/>
          <w:sz w:val="22"/>
          <w:szCs w:val="22"/>
          <w:vertAlign w:val="superscript"/>
        </w:rPr>
        <w:t>TH</w:t>
      </w:r>
      <w:r w:rsidRPr="00207133">
        <w:rPr>
          <w:rFonts w:ascii="Palatino Linotype" w:hAnsi="Palatino Linotype" w:cs="Helvetica"/>
          <w:b/>
          <w:sz w:val="22"/>
          <w:szCs w:val="22"/>
        </w:rPr>
        <w:t xml:space="preserve"> BOND MARKET SEMINAR </w:t>
      </w:r>
    </w:p>
    <w:p w:rsidR="00CA637F" w:rsidRPr="00207133" w:rsidRDefault="00B43812" w:rsidP="00B43812">
      <w:pPr>
        <w:spacing w:line="360" w:lineRule="auto"/>
        <w:jc w:val="center"/>
        <w:outlineLvl w:val="0"/>
        <w:rPr>
          <w:rFonts w:ascii="Palatino Linotype" w:hAnsi="Palatino Linotype" w:cs="Helvetica"/>
          <w:b/>
          <w:sz w:val="22"/>
          <w:szCs w:val="22"/>
        </w:rPr>
      </w:pPr>
      <w:r w:rsidRPr="00207133">
        <w:rPr>
          <w:rFonts w:ascii="Palatino Linotype" w:hAnsi="Palatino Linotype" w:cs="Helvetica"/>
          <w:b/>
          <w:sz w:val="22"/>
          <w:szCs w:val="22"/>
        </w:rPr>
        <w:t>India’s Corporate Bond Market: Bonds that build a nation</w:t>
      </w:r>
    </w:p>
    <w:p w:rsidR="00B43812" w:rsidRPr="00207133" w:rsidRDefault="00207133" w:rsidP="00B43812">
      <w:pPr>
        <w:spacing w:line="360" w:lineRule="auto"/>
        <w:jc w:val="center"/>
        <w:outlineLvl w:val="0"/>
        <w:rPr>
          <w:rFonts w:ascii="Palatino Linotype" w:hAnsi="Palatino Linotype" w:cs="Helvetica"/>
          <w:b/>
          <w:sz w:val="22"/>
          <w:szCs w:val="22"/>
        </w:rPr>
      </w:pPr>
      <w:r w:rsidRPr="00207133">
        <w:rPr>
          <w:rFonts w:ascii="Palatino Linotype" w:hAnsi="Palatino Linotype" w:cs="Helvetica"/>
          <w:b/>
          <w:sz w:val="22"/>
          <w:szCs w:val="22"/>
        </w:rPr>
        <w:t>o</w:t>
      </w:r>
      <w:r w:rsidR="00B43812" w:rsidRPr="00207133">
        <w:rPr>
          <w:rFonts w:ascii="Palatino Linotype" w:hAnsi="Palatino Linotype" w:cs="Helvetica"/>
          <w:b/>
          <w:sz w:val="22"/>
          <w:szCs w:val="22"/>
        </w:rPr>
        <w:t>n February 24, 2021</w:t>
      </w:r>
    </w:p>
    <w:p w:rsidR="001A42AC" w:rsidRPr="00207133" w:rsidRDefault="001A42AC" w:rsidP="00B43812">
      <w:pPr>
        <w:jc w:val="both"/>
        <w:outlineLvl w:val="0"/>
        <w:rPr>
          <w:rFonts w:ascii="Palatino Linotype" w:hAnsi="Palatino Linotype" w:cs="Helvetica"/>
          <w:b/>
          <w:color w:val="000099"/>
          <w:sz w:val="28"/>
          <w:szCs w:val="28"/>
        </w:rPr>
      </w:pPr>
    </w:p>
    <w:p w:rsidR="00B43812" w:rsidRPr="00207133" w:rsidRDefault="00B43812" w:rsidP="003F384D">
      <w:pPr>
        <w:pStyle w:val="ListParagraph"/>
        <w:numPr>
          <w:ilvl w:val="0"/>
          <w:numId w:val="12"/>
        </w:numPr>
        <w:spacing w:before="240" w:after="240" w:line="360" w:lineRule="auto"/>
        <w:ind w:left="499" w:hanging="357"/>
        <w:contextualSpacing w:val="0"/>
        <w:jc w:val="both"/>
        <w:rPr>
          <w:rFonts w:ascii="Palatino Linotype" w:hAnsi="Palatino Linotype"/>
          <w:sz w:val="24"/>
          <w:szCs w:val="24"/>
        </w:rPr>
      </w:pPr>
      <w:r w:rsidRPr="00207133">
        <w:rPr>
          <w:rFonts w:ascii="Palatino Linotype" w:hAnsi="Palatino Linotype"/>
          <w:sz w:val="24"/>
          <w:szCs w:val="24"/>
          <w:lang w:val="en-IN"/>
        </w:rPr>
        <w:t xml:space="preserve">Ladies and Gentlemen, I would like to thank CRISIL for giving me this opportunity to share my thoughts on the development of corporate bond market in India.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First of all, I would like to compliment the Government of India for providing in this budget, some of the much-needed measures for development of the corporate bond market, which have been very well received by all stakeholders.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Today I would like to talk about the enhanced role that the corporate bond market needs to play towards reinvigorating economic growth, challenges that the market is facing, measures that have been taken, and my views as to what further measures should be taken. But before that, I would like to briefly touch upon the recent trends in corporate bond markets, globally and in India, during the pandemic.</w:t>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Trends in Corporate Bond Markets during the COVID-19 pandemic</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Let me give a comparative perspective. I wish to first dwell on “the Mecca” of corporate bonds – the United States – and the euro area and then refer to the emerging market economies in general. I shall then come to the trends in corporate bond market in India before the onset of, and during, the COVID-19 pandemic.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In the US, corporate bond spreads began rising sharply in early March 2020 on account of the escalating concerns about the COVID-19 pandemic. By the third week of March 2020, the spreads of investment grade bonds were up by 3.5 percentage points from the beginning of the year, while those on high yield bonds were up by as much as 6.5 percentage points. Subsequent to the March 23, 2020 announcement of comprehensive policy measures by the US Federal Reserve, the spreads reduced. By end-January 2021, spreads have recovered to the pre-pandemic levels for both investment grade and high yield corporate bonds, though sectoral differences persist. For firms with access to bond market and syndicated loan issuance, the bond market emerged as the preferred choice for debt financing.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As for euro area, both financial and non-financial corporate bond yields across major countries more than quadrupled between mid-February 2020 and mid-March 2020. A series of comprehensive measures such as the Pandemic Emergency Purchase Programme of € 750 billion announced by the European Central Bank, the Franco-German proposal for a € 500 billion fund of grants and the European Commission’s Next Generation EU proposal for € 750 billion of grants and loans led to calming of the euro area corporate bond yields. Most of the yield increases observed by the end of April 2020/early May 2020 had been corrected by late May 2020.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As per the IMF, nearly 20 emerging market Central Banks resorted to asset purchase programs as a tool to improve bond market functioning during the COVID-19 pandemic. The benefits included sharp reduction in bid-ask spreads, bond yields and intraday volatility.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Interestingly, greater awareness of the need for social spending, likely related to the efforts to fight the pandemic, prompted the debtors to tap more into sustainable finance, with global sustainable debt finance issuance in 2020 surpassing the 2019 issuance by more than US$ 165 billion.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Let me now turn to the domestic front. At the onset of the COVID-19 pandemic, the yields shot up even for better rated corporates shot up and the spreads widened. For AAA rated issuers, compared to the pre-pandemic lows during end 2019/early 2020, three-year corporate bond spreads shot up by 198 basis points for PSUs, FIs and Banks, 235 basis points for NBFCs and 219 basis points for corporates.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The RBI stepped in with liquidity arrangements through the LTROs, TLTRO 1 and TLTRO 2. A Special Liquidity Facility for Mutual Funds was also announced in late April 2020 to ease the liquidity pressure on the mutual funds. The quantum of support utilized under the LTROs, TLTRO 1 and TLTRO 2 amounted to around Rs. 1.25 lakh Crore, Rs. 1 lakh Crore and Rs. 12,800 Crore respectively. As for the liquidity facility for Mutual Funds, though not even 5% of the provision was actually utilized, the mere availability of the facility was able to calm the nerves of anxious investors to a large extent.</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The risk appetite improved during the deployment of the TLTRO funds, and the three-year AAA rated corporate bond spreads compressed. From the elevated levels in the last week of March 2020, the spreads compressed by 244 basis points by October 2020 for PSUs, FIs and Banks, and by 317 basis points for NBFCs and 290 basis points for corporates by January 2021.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In the wake of challenges for the economy arising out of the COVID-19 pandemic and with a view to improving access to funding for the corporates through capital markets, SEBI granted certain relaxations - both substantive and procedural. The total amount mobilized from the corporate bond market this financial year till January 2021 was Rs. 6.54 lakh Crore which is in fact around 22% higher than the funds raised in the corresponding period last year.</w:t>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 xml:space="preserve">Enhanced role of corporate bond markets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lang w:val="en-IN"/>
        </w:rPr>
        <w:t xml:space="preserve">Indian economy has largely been a bank driven economy. However, corporate bond markets have started playing an important role as is evident from the relative growth and share of the two avenues for debt funding of corporate investment. Outstanding corporate bonds are now around one-third of the outstanding bank credit to commercial sector.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The Government of India has chosen the path of investment-driven growth through enhanced capital formation and accelerated infrastructure development. An investment of 111 trillion rupees in infrastructure projects over a 5-year period is envisaged under the National Infrastructure Pipeline. Such</w:t>
      </w:r>
      <w:r w:rsidRPr="00207133">
        <w:rPr>
          <w:rFonts w:ascii="Palatino Linotype" w:hAnsi="Palatino Linotype"/>
          <w:sz w:val="24"/>
          <w:szCs w:val="24"/>
        </w:rPr>
        <w:t xml:space="preserve"> huge jump from the current level of annual investment in infrastructure would inevitably require massive support of private investment.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 xml:space="preserve">RBI’s Financial Stability Report of January 2021 has projected Banks’ gross NPA to rise to 13.5% by September 2021 under a baseline scenario, and to 14.8% under a severe stress scenario. With pandemic induced stress adding to the NPA woes of banks and their inherent asset-liability mismatch problem restricting their capability to fund infrastructure projects, the need for corporate bonds to finance this development agenda gets further accentuated. </w:t>
      </w:r>
    </w:p>
    <w:p w:rsidR="00B43812" w:rsidRPr="00207133" w:rsidRDefault="00B43812" w:rsidP="00B43812">
      <w:pPr>
        <w:pStyle w:val="ListParagraph"/>
        <w:spacing w:before="240" w:after="240" w:line="360" w:lineRule="auto"/>
        <w:ind w:left="502"/>
        <w:jc w:val="both"/>
        <w:rPr>
          <w:rFonts w:ascii="Palatino Linotype" w:hAnsi="Palatino Linotype"/>
          <w:sz w:val="24"/>
          <w:szCs w:val="24"/>
          <w:lang w:val="en-IN"/>
        </w:rPr>
      </w:pPr>
      <w:r w:rsidRPr="00207133">
        <w:rPr>
          <w:rFonts w:ascii="Palatino Linotype" w:hAnsi="Palatino Linotype"/>
          <w:sz w:val="24"/>
          <w:szCs w:val="24"/>
          <w:lang w:val="en-IN"/>
        </w:rPr>
        <w:br/>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The Challenges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 xml:space="preserve">To support the economy to fire on all cylinders, a vibrant corporate bond market should be able to cater to the financing needs of corporates across different sectors and rating categories while providing investors a gamut of choices for investment as per their risk appetite and sector preference along with adequate liquidity to provide them timely exit as per their need. Though the corporate bond market has grown in recent years, when we delve deeper we find that its success has remained limited to higher rated papers.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shd w:val="clear" w:color="auto" w:fill="FFFFFF"/>
        </w:rPr>
        <w:t>The rationale for saying so is based on the granular data that I am presenting before you. The data trends I am covering are in two parts – pre-COVID period from 2016-17 till 2019-20 and the period from April 2020 onwards since the onset of COVID. This is so because since the onset of COVID-19, due to massive growth stimulus across the globe, including in India, the interest rates have come down substantially thereby significantly changing the market behaviour.</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 xml:space="preserve">While the annual amount raised plateaued at around Rs. 6-7 lakh Crore during 2016-17 to 2019-20 after witnessing growth at a CAGR of around 17% during the previous four years, the annual number of issuers raising capital from the corporate bond markets decreased from 368 in 2016-17 to 291 in 2019-20. As compared to this, in this financial year till January 2021, 373 issuers have raised funds from the corporate bond market.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In case of issuances rated below AA, there has been a decline both in terms of the amount raised and the number of issuers. From 206 issuers raising around Rs. 73,000 Crores in 2016-17, the number came down to 130 issuers raising around Rs. 44,500 Crores in 2019-20. Their share of funds raised also reduced from 10.5% in 2016-17 to 6.4% in 2019-20. Thus, lower rated papers witnessed a decline both in terms of percentage share as well as in absolute terms. During 2020-21 till January 2021, 193 issuers rated below AA have raised Rs. 57,300 Crores from the corporate bond market, which is 8.9% of the market share.</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The majority of the issuances are by financial issuers who contributed around 65-75% of amount issued during the last 5 years. The number of non-financial issuers has been declining from 192 issuers in 2016-17 to 98 in 2019-20. During 2020-21, 146 non-financial issuers have tapped the corporate bond market.</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Talking about trading in the secondary market, though the trading volumes have witnessed growth over the years, on an absolute basis the level of liquidity is quite low with average daily turnover of around Rs. 8500 Crore during 2019-20 and Rs. 7800 Crore during 2020-21 (till January 2021). Even within this low liquidity, 97% of the trading is concentrated in bonds in the top three rating categories of AAA, AA+ and AA.</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Before I come to the measures taken by SEBI to develop the corporate bond market as also the measures proposed to be taken in near future, I wish to highlight succinct points in the Hon’ble Finance Minister’s Budget Speech which have far reaching implications for the bond market.</w:t>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Budget 2021-22 Announcements</w:t>
      </w:r>
    </w:p>
    <w:p w:rsidR="00B43812" w:rsidRPr="00207133" w:rsidRDefault="00B43812" w:rsidP="003F384D">
      <w:pPr>
        <w:pStyle w:val="ListParagraph"/>
        <w:numPr>
          <w:ilvl w:val="0"/>
          <w:numId w:val="14"/>
        </w:numPr>
        <w:spacing w:before="240" w:after="240" w:line="360" w:lineRule="auto"/>
        <w:ind w:left="284" w:hanging="284"/>
        <w:contextualSpacing w:val="0"/>
        <w:jc w:val="both"/>
        <w:rPr>
          <w:rFonts w:ascii="Palatino Linotype" w:hAnsi="Palatino Linotype"/>
          <w:b/>
          <w:bCs/>
          <w:sz w:val="24"/>
          <w:szCs w:val="24"/>
        </w:rPr>
      </w:pPr>
      <w:r w:rsidRPr="00207133">
        <w:rPr>
          <w:rFonts w:ascii="Palatino Linotype" w:hAnsi="Palatino Linotype"/>
          <w:b/>
          <w:bCs/>
          <w:sz w:val="24"/>
          <w:szCs w:val="24"/>
        </w:rPr>
        <w:t>Institutional framework for purchase of debt securities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 xml:space="preserve">The success of any market hinges on the trust that market participants have in the ability of the markets to withstand stress and continue functioning and providing liquidity. Subsequent to default in some debt instruments, significant risk aversion and subsequent illiquidity was observed in the bond market in March-April 2020. This also in turn affected some debt mutual fund schemes which came under stress on account of the year ending and COVID related redemptions.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From a financial stability and market development perspective, it is important to support the corporate bond markets during stress periods. Governments/ Central banks around the world have realized this and have taken measures such as asset purchase programs at crisis occasions to avoid market failures.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lang w:val="en-IN"/>
        </w:rPr>
      </w:pPr>
      <w:r w:rsidRPr="00207133">
        <w:rPr>
          <w:rFonts w:ascii="Palatino Linotype" w:hAnsi="Palatino Linotype"/>
          <w:sz w:val="24"/>
          <w:szCs w:val="24"/>
          <w:lang w:val="en-IN"/>
        </w:rPr>
        <w:t>Acknowledging the above, the Budget announces the creation of a permanent institutional framework to purchase investment grade debt securities both in stressed and normal times and help in the development of the Bond market. Such body would provide liquidity to the bond market by purchase of corporate bonds at any point of time including during times of stress. Such a facility would surely lift the confidence of the investors in liquidity of corporate bonds which is very much required especially for relatively lower rated bonds. SEBI is under discussion with the Government and other stakeholders about the possible structure of such a facility so that the same could be operationalized at the earliest.</w:t>
      </w:r>
    </w:p>
    <w:p w:rsidR="00B43812" w:rsidRPr="00207133" w:rsidRDefault="00B43812" w:rsidP="003F384D">
      <w:pPr>
        <w:pStyle w:val="ListParagraph"/>
        <w:numPr>
          <w:ilvl w:val="0"/>
          <w:numId w:val="14"/>
        </w:numPr>
        <w:spacing w:before="240" w:after="240" w:line="360" w:lineRule="auto"/>
        <w:ind w:left="284" w:hanging="284"/>
        <w:contextualSpacing w:val="0"/>
        <w:jc w:val="both"/>
        <w:rPr>
          <w:rFonts w:ascii="Palatino Linotype" w:hAnsi="Palatino Linotype"/>
          <w:b/>
          <w:bCs/>
          <w:sz w:val="24"/>
          <w:szCs w:val="24"/>
        </w:rPr>
      </w:pPr>
      <w:r w:rsidRPr="00207133">
        <w:rPr>
          <w:rFonts w:ascii="Palatino Linotype" w:hAnsi="Palatino Linotype"/>
          <w:b/>
          <w:bCs/>
          <w:sz w:val="24"/>
          <w:szCs w:val="24"/>
        </w:rPr>
        <w:t>Single Securities Market Code</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The Budget announcement to consolidate the provisions under different Acts dealing with securities is a welcome step. SEBI has shared some of the suggestions with the Government in this regard and is hopeful that the securities market code would get finalized at the earliest. </w:t>
      </w:r>
    </w:p>
    <w:p w:rsidR="00B43812" w:rsidRPr="00207133" w:rsidRDefault="00B43812" w:rsidP="00B43812">
      <w:pPr>
        <w:pStyle w:val="ListParagraph"/>
        <w:spacing w:before="240" w:after="240" w:line="360" w:lineRule="auto"/>
        <w:ind w:left="502"/>
        <w:jc w:val="both"/>
        <w:rPr>
          <w:rFonts w:ascii="Palatino Linotype" w:hAnsi="Palatino Linotype"/>
          <w:sz w:val="24"/>
          <w:szCs w:val="24"/>
        </w:rPr>
      </w:pPr>
    </w:p>
    <w:p w:rsidR="00B43812" w:rsidRPr="00207133" w:rsidRDefault="00B43812" w:rsidP="00B43812">
      <w:pPr>
        <w:pStyle w:val="ListParagraph"/>
        <w:spacing w:before="240" w:after="240" w:line="360" w:lineRule="auto"/>
        <w:ind w:left="502"/>
        <w:jc w:val="both"/>
        <w:rPr>
          <w:rFonts w:ascii="Palatino Linotype" w:hAnsi="Palatino Linotype"/>
          <w:sz w:val="24"/>
          <w:szCs w:val="24"/>
        </w:rPr>
      </w:pPr>
    </w:p>
    <w:p w:rsidR="00B43812" w:rsidRPr="00207133" w:rsidRDefault="00B43812" w:rsidP="003F384D">
      <w:pPr>
        <w:pStyle w:val="ListParagraph"/>
        <w:numPr>
          <w:ilvl w:val="0"/>
          <w:numId w:val="14"/>
        </w:numPr>
        <w:spacing w:before="240" w:after="240" w:line="360" w:lineRule="auto"/>
        <w:ind w:left="284" w:hanging="284"/>
        <w:contextualSpacing w:val="0"/>
        <w:jc w:val="both"/>
        <w:rPr>
          <w:rFonts w:ascii="Palatino Linotype" w:hAnsi="Palatino Linotype"/>
          <w:b/>
          <w:bCs/>
          <w:sz w:val="24"/>
          <w:szCs w:val="24"/>
        </w:rPr>
      </w:pPr>
      <w:r w:rsidRPr="00207133">
        <w:rPr>
          <w:rFonts w:ascii="Palatino Linotype" w:hAnsi="Palatino Linotype"/>
          <w:b/>
          <w:bCs/>
          <w:sz w:val="24"/>
          <w:szCs w:val="24"/>
        </w:rPr>
        <w:t>Infrastructure financing by Development Financial Institution</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The announcement regarding setting up of a professionally managed Development Financial Institution (DFI) for debt financing of infrastructure is another important step.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As infrastructure projects are long gestating in nature, their debt repayment capacity is constrained in the initial years. SPVs, which manage such projects, would initially prefer financing in the form of equity and subsequently, when cash-flows start accruing, opt for debt financing. It is our view that the mandate of DFI should also include provision for equity financing.</w:t>
      </w:r>
    </w:p>
    <w:p w:rsidR="00B43812" w:rsidRPr="00207133" w:rsidRDefault="00B43812" w:rsidP="003F384D">
      <w:pPr>
        <w:pStyle w:val="ListParagraph"/>
        <w:numPr>
          <w:ilvl w:val="0"/>
          <w:numId w:val="12"/>
        </w:numPr>
        <w:spacing w:before="240" w:after="240" w:line="360" w:lineRule="auto"/>
        <w:ind w:left="360"/>
        <w:contextualSpacing w:val="0"/>
        <w:jc w:val="both"/>
        <w:rPr>
          <w:rFonts w:ascii="Palatino Linotype" w:hAnsi="Palatino Linotype"/>
          <w:sz w:val="24"/>
          <w:szCs w:val="24"/>
        </w:rPr>
      </w:pPr>
      <w:r w:rsidRPr="00207133">
        <w:rPr>
          <w:rFonts w:ascii="Palatino Linotype" w:hAnsi="Palatino Linotype"/>
          <w:sz w:val="24"/>
          <w:szCs w:val="24"/>
        </w:rPr>
        <w:t xml:space="preserve"> Of course, considering the huge debt financing requirements of infrastructure projects, DFI funding would need to be necessarily supplemented in a big way by direct corporate bond borrowings by such projects.   </w:t>
      </w:r>
    </w:p>
    <w:p w:rsidR="00B43812" w:rsidRPr="00207133" w:rsidRDefault="00B43812" w:rsidP="003F384D">
      <w:pPr>
        <w:pStyle w:val="ListParagraph"/>
        <w:numPr>
          <w:ilvl w:val="0"/>
          <w:numId w:val="13"/>
        </w:numPr>
        <w:spacing w:before="240" w:after="240" w:line="360" w:lineRule="auto"/>
        <w:ind w:left="357" w:hanging="357"/>
        <w:contextualSpacing w:val="0"/>
        <w:jc w:val="both"/>
        <w:rPr>
          <w:rFonts w:ascii="Palatino Linotype" w:hAnsi="Palatino Linotype"/>
          <w:b/>
          <w:bCs/>
          <w:sz w:val="24"/>
          <w:szCs w:val="24"/>
        </w:rPr>
      </w:pPr>
      <w:r w:rsidRPr="00207133">
        <w:rPr>
          <w:rFonts w:ascii="Palatino Linotype" w:hAnsi="Palatino Linotype"/>
          <w:b/>
          <w:bCs/>
          <w:sz w:val="24"/>
          <w:szCs w:val="24"/>
        </w:rPr>
        <w:t>SEBI’s role in the development of bond markets – recent reforms</w:t>
      </w:r>
    </w:p>
    <w:p w:rsidR="00B43812" w:rsidRPr="00207133" w:rsidRDefault="00B43812" w:rsidP="003F384D">
      <w:pPr>
        <w:pStyle w:val="ListParagraph"/>
        <w:numPr>
          <w:ilvl w:val="0"/>
          <w:numId w:val="15"/>
        </w:numPr>
        <w:spacing w:before="240" w:after="240" w:line="360" w:lineRule="auto"/>
        <w:ind w:left="357" w:hanging="357"/>
        <w:contextualSpacing w:val="0"/>
        <w:jc w:val="both"/>
        <w:rPr>
          <w:rFonts w:ascii="Palatino Linotype" w:hAnsi="Palatino Linotype"/>
          <w:b/>
          <w:bCs/>
          <w:sz w:val="24"/>
          <w:szCs w:val="24"/>
        </w:rPr>
      </w:pPr>
      <w:r w:rsidRPr="00207133">
        <w:rPr>
          <w:rFonts w:ascii="Palatino Linotype" w:hAnsi="Palatino Linotype"/>
          <w:b/>
          <w:bCs/>
          <w:sz w:val="24"/>
          <w:szCs w:val="24"/>
        </w:rPr>
        <w:t>Request For Quote (RFQ) platform</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Trading in corporate bonds is largely done Over the Counter (OTC) and then reported to the exchanges.  RFQ is an electronic platform enabling online trading on a centralized platform through multi-lateral negotiations. Centralization and pooling of investor interest is expected to lead to more transparency, better price discovery and a more liquid market.</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With the introduction of RFQ platform by NSE and BSE, SEBI has mandated mutual funds to undertake at least 10% of their trades in corporate bonds through the RFQ platform with effect from October 01, 2020. IRDAI has also asked insurers to undertake at least 10% of their total secondary market trades in corporate bonds through the RFQ platform.</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Due to these stipulations, around one-fourth of the trading in corporate bonds has shifted from OTC markets to RFQ platforms, and average monthly trading on RFQ platforms has increased from double digit figures to Rs. 29,742 Crores for the period October 2020 till January 2021.</w:t>
      </w:r>
    </w:p>
    <w:p w:rsidR="00B43812" w:rsidRPr="00207133" w:rsidRDefault="00B43812" w:rsidP="003F384D">
      <w:pPr>
        <w:pStyle w:val="ListParagraph"/>
        <w:numPr>
          <w:ilvl w:val="0"/>
          <w:numId w:val="15"/>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Market making and repo in corporate bonds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An active repo market is an important pre-condition for improving liquidity in the corporate bond market. This is mainly because active traders, especially market makers, are in a position to provide finer two-way quotes (bid-offer spreads), if they are able to finance their inventory of bond holdings through an active repo market.</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In addition to helping market makers, an active repo market also improves liquidity in the underlying debt securities and gives holders of debt the ability to monetize debt securities without selling the underlying. The issuers also get benefitted as the prices of bonds are likely to improve due to improved liquidity and, therefore, in turn, yields may go down thereby reducing the cost to the issuers.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To boost repo trading in corporate bonds, SEBI has taken an initiative for setting up a limited purpose clearing corporation for guaranteed settlement of tri-party repo trades in all investment grade corporate bonds.</w:t>
      </w:r>
    </w:p>
    <w:p w:rsidR="00B43812" w:rsidRPr="00207133" w:rsidRDefault="00B43812" w:rsidP="00B43812">
      <w:pPr>
        <w:pStyle w:val="ListParagraph"/>
        <w:spacing w:before="240" w:after="240" w:line="360" w:lineRule="auto"/>
        <w:ind w:left="502"/>
        <w:jc w:val="both"/>
        <w:rPr>
          <w:rFonts w:ascii="Palatino Linotype" w:hAnsi="Palatino Linotype"/>
          <w:sz w:val="24"/>
          <w:szCs w:val="24"/>
        </w:rPr>
      </w:pPr>
    </w:p>
    <w:p w:rsidR="00B43812" w:rsidRPr="00207133" w:rsidRDefault="00B43812" w:rsidP="00B43812">
      <w:pPr>
        <w:pStyle w:val="ListParagraph"/>
        <w:spacing w:before="240" w:after="240" w:line="360" w:lineRule="auto"/>
        <w:ind w:left="502"/>
        <w:jc w:val="both"/>
        <w:rPr>
          <w:rFonts w:ascii="Palatino Linotype" w:hAnsi="Palatino Linotype"/>
          <w:sz w:val="24"/>
          <w:szCs w:val="24"/>
        </w:rPr>
      </w:pPr>
    </w:p>
    <w:p w:rsidR="00B43812" w:rsidRPr="00207133" w:rsidRDefault="00B43812" w:rsidP="003F384D">
      <w:pPr>
        <w:pStyle w:val="ListParagraph"/>
        <w:numPr>
          <w:ilvl w:val="0"/>
          <w:numId w:val="15"/>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Expanding the issuer base</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Framework for listed large corporates to mandatorily meet 25 per cent of their incremental debt financing needs through issuance of debt securities was a measure taken by SEBI towards widening the issuer base and ensuring that investors have access to debt issued by the issuers. 159 large corporates had proposed to raise their incremental debt during 2019-20 and the mandatory amount to be raised through debt securities was Rs. 2.03 lakh Crores. 94 large corporates finally raised Rs. 4.59 lakh Crores through issuance of debt securities and the remaining 65 can still make up the shortfall through additional borrowings during 2020-21.</w:t>
      </w:r>
    </w:p>
    <w:p w:rsidR="00B43812" w:rsidRPr="00207133" w:rsidRDefault="00B43812" w:rsidP="003F384D">
      <w:pPr>
        <w:pStyle w:val="ListParagraph"/>
        <w:numPr>
          <w:ilvl w:val="0"/>
          <w:numId w:val="15"/>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App for subscribing public issues of debt securities and ASBA through UPI</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SEBI has facilitated the UPI mechanism for blocking of funds for investors investing in corporate bonds. Further, Stock exchanges have developed the application for bidding in the corporate bonds wherein the funds would be blocked through UPI mechanism.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To encourage retail participation in the bond market, NSE and BSE have provided retail investors, facility to subscribe to public issues of NCDs, NCRPS, SDIs, municipal bonds etc., through app with a facility to block funds through UPI mechanism for application value up to Rs. 2 Lakh. </w:t>
      </w:r>
    </w:p>
    <w:p w:rsidR="00B43812" w:rsidRPr="00207133" w:rsidRDefault="00B43812" w:rsidP="003F384D">
      <w:pPr>
        <w:pStyle w:val="ListParagraph"/>
        <w:numPr>
          <w:ilvl w:val="0"/>
          <w:numId w:val="15"/>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Standardization of timelines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eastAsia="Times New Roman" w:hAnsi="Palatino Linotype"/>
          <w:sz w:val="24"/>
          <w:szCs w:val="24"/>
        </w:rPr>
      </w:pPr>
      <w:r w:rsidRPr="00207133">
        <w:rPr>
          <w:rFonts w:ascii="Palatino Linotype" w:eastAsia="Times New Roman" w:hAnsi="Palatino Linotype"/>
          <w:sz w:val="24"/>
          <w:szCs w:val="24"/>
        </w:rPr>
        <w:t>SEBI has standardized the timelines for listing of privately placed corporate bonds, non-convertible preference shares, municipal bonds and securitized debt instruments issued on private placement basis to T+4 trading day. This would inculcate discipline in the market.</w:t>
      </w:r>
    </w:p>
    <w:p w:rsidR="00B43812" w:rsidRPr="00207133" w:rsidRDefault="00B43812" w:rsidP="003F384D">
      <w:pPr>
        <w:pStyle w:val="ListParagraph"/>
        <w:numPr>
          <w:ilvl w:val="0"/>
          <w:numId w:val="15"/>
        </w:numPr>
        <w:spacing w:before="240" w:after="240" w:line="360" w:lineRule="auto"/>
        <w:contextualSpacing w:val="0"/>
        <w:jc w:val="both"/>
        <w:rPr>
          <w:rFonts w:ascii="Palatino Linotype" w:eastAsia="Times New Roman" w:hAnsi="Palatino Linotype"/>
          <w:sz w:val="24"/>
          <w:szCs w:val="24"/>
        </w:rPr>
      </w:pPr>
      <w:r w:rsidRPr="00207133">
        <w:rPr>
          <w:rFonts w:ascii="Palatino Linotype" w:hAnsi="Palatino Linotype"/>
          <w:b/>
          <w:bCs/>
          <w:sz w:val="24"/>
          <w:szCs w:val="24"/>
        </w:rPr>
        <w:t xml:space="preserve">Protecting interest of investors in corporate bonds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To protect the interest of investors, SEBI has strengthened the role of debenture trustees. This includes independent due diligence by debenture trustees at the time of creation of security interest, continuous monitoring of the asset cover and standard operating procedure to be followed in case of default on listed debt including conditions for signing inter-creditor agreement.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In order to adequately fund debenture trustees for taking appropriate legal action to recover dues in the event of default by an issuer, SEBI has specified norms for creation of a Recovery Expense Fund by issuer companies at the time of issuance of debt securities.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To further assist debenture trustees in monitoring security covenants and assessing the adequacy of asset cover, SEBI has formed a working group comprising of representative from depositories, exchanges, Trustee Association of India and officials of SEBI to prepare a roadmap for building a debenture DLT (distributed ledger technology) framework.  The said framework is proposed to use Blockchain technology in order to make modifications in the Centralised Bond Database (CBD) maintained by depository that would assist the debenture trustees in monitoring the security covenants and assessing the adequacy of the asset cover.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Credit Rating Agency norms have been enhanced to improve disclosures by credit rating agencies such as disclosing longer history of the rated instrument (coupon, tenure and rating), capturing of covenants for instruments rated “credit enhanced”, disclosure of rating sensitivities etc. To bring in uniformity and comparability of ratings across credit rating agencies, methodology to calculate default rates has been standardized.</w:t>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sz w:val="24"/>
          <w:szCs w:val="24"/>
        </w:rPr>
      </w:pPr>
      <w:r w:rsidRPr="00207133">
        <w:rPr>
          <w:rFonts w:ascii="Palatino Linotype" w:hAnsi="Palatino Linotype"/>
          <w:b/>
          <w:sz w:val="24"/>
          <w:szCs w:val="24"/>
        </w:rPr>
        <w:t>Steps Needed for Further Development of Corporate Bond Market</w:t>
      </w:r>
    </w:p>
    <w:p w:rsidR="00B43812" w:rsidRPr="00207133" w:rsidRDefault="00B43812" w:rsidP="003F384D">
      <w:pPr>
        <w:pStyle w:val="ListParagraph"/>
        <w:numPr>
          <w:ilvl w:val="0"/>
          <w:numId w:val="16"/>
        </w:numPr>
        <w:spacing w:before="240" w:after="240" w:line="360" w:lineRule="auto"/>
        <w:contextualSpacing w:val="0"/>
        <w:jc w:val="both"/>
        <w:rPr>
          <w:rFonts w:ascii="Palatino Linotype" w:hAnsi="Palatino Linotype"/>
          <w:b/>
          <w:sz w:val="24"/>
          <w:szCs w:val="24"/>
        </w:rPr>
      </w:pPr>
      <w:r w:rsidRPr="00207133">
        <w:rPr>
          <w:rFonts w:ascii="Palatino Linotype" w:hAnsi="Palatino Linotype"/>
          <w:b/>
          <w:sz w:val="24"/>
          <w:szCs w:val="24"/>
        </w:rPr>
        <w:t>Unification of Bond market</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Unification of Government Bond and Corporate Bond markets is an idea whose time has come. A unified market would enable trading of G-Secs on the same platform as corporate bonds, thereby utilizing common infrastructure for trading, clearing, settlement and holding of securities. This would lead to seamless transmission of pricing information between G-Secs and corporate bonds. Corporate bonds, which are generally priced on the basis of G-Secs of comparable maturity, would therefore be more appropriately priced. The proposal would lead to economy of scope and scale, and increased liquidity for both G-Secs and Corporate Bonds. This would also facilitate greater participation by retail and non-institutional investors.</w:t>
      </w:r>
    </w:p>
    <w:p w:rsidR="00B43812" w:rsidRPr="00207133" w:rsidRDefault="00B43812" w:rsidP="003F384D">
      <w:pPr>
        <w:pStyle w:val="ListParagraph"/>
        <w:numPr>
          <w:ilvl w:val="0"/>
          <w:numId w:val="16"/>
        </w:numPr>
        <w:spacing w:before="240" w:after="240" w:line="360" w:lineRule="auto"/>
        <w:contextualSpacing w:val="0"/>
        <w:jc w:val="both"/>
        <w:rPr>
          <w:rFonts w:ascii="Palatino Linotype" w:hAnsi="Palatino Linotype"/>
          <w:b/>
          <w:sz w:val="24"/>
          <w:szCs w:val="24"/>
        </w:rPr>
      </w:pPr>
      <w:r w:rsidRPr="00207133">
        <w:rPr>
          <w:rFonts w:ascii="Palatino Linotype" w:hAnsi="Palatino Linotype"/>
          <w:b/>
          <w:sz w:val="24"/>
          <w:szCs w:val="24"/>
        </w:rPr>
        <w:t>Investment by financial institutions in relatively lower rated bonds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For further deepening of the corporate bond market, expanding the investor base with preference for lower rated corporate bonds is required. While all types of institutional players such as banks, insurance companies, pension funds, mutual funds etc. trade in higher rated bonds, that is, AA rated and above, </w:t>
      </w:r>
      <w:r w:rsidRPr="00207133">
        <w:rPr>
          <w:rFonts w:ascii="Palatino Linotype" w:hAnsi="Palatino Linotype"/>
          <w:sz w:val="24"/>
          <w:szCs w:val="24"/>
          <w:lang w:val="en-IN"/>
        </w:rPr>
        <w:t xml:space="preserve">the combined concentration of institutional players excluding mutual funds is only 7% as regards trading in below AA rated bonds is concerned. </w:t>
      </w:r>
      <w:r w:rsidRPr="00207133">
        <w:rPr>
          <w:rFonts w:ascii="Palatino Linotype" w:hAnsi="Palatino Linotype"/>
          <w:sz w:val="24"/>
          <w:szCs w:val="24"/>
        </w:rPr>
        <w:t xml:space="preserve">This skewed trading preference may be as a result of regulatory mandate, sensitivity to market risks and risk profile of investments.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On the other hand, however, with appropriate disclosures, </w:t>
      </w:r>
      <w:r w:rsidRPr="00207133">
        <w:rPr>
          <w:rFonts w:ascii="Palatino Linotype" w:hAnsi="Palatino Linotype"/>
          <w:sz w:val="24"/>
          <w:szCs w:val="24"/>
          <w:lang w:val="en-IN"/>
        </w:rPr>
        <w:t>mutual funds</w:t>
      </w:r>
      <w:r w:rsidRPr="00207133">
        <w:rPr>
          <w:rFonts w:ascii="Palatino Linotype" w:hAnsi="Palatino Linotype"/>
          <w:sz w:val="24"/>
          <w:szCs w:val="24"/>
        </w:rPr>
        <w:t xml:space="preserve"> can tailor schemes with higher risk-return profile for investors with higher risk appetite. Accordingly, it is not surprising to note that the share of mutual funds trading in below AA rated bonds is touching 25%. With a conducive ecosystem, mutual funds can be expected to play an even bigger role in the development of relatively lower rated corporate bonds.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trike/>
          <w:sz w:val="24"/>
          <w:szCs w:val="24"/>
        </w:rPr>
      </w:pPr>
      <w:r w:rsidRPr="00207133">
        <w:rPr>
          <w:rFonts w:ascii="Palatino Linotype" w:hAnsi="Palatino Linotype"/>
          <w:sz w:val="24"/>
          <w:szCs w:val="24"/>
        </w:rPr>
        <w:t xml:space="preserve">In fact, with the steps such as market making, repo in corporate bonds and backstop facility being taken to manage liquidity risk, open ended debt mutual funds perhaps offer the best bet in furthering the development of relatively lower rated corporate bond market, and thus they should be encouraged. Once the market gets adequate traction, other investors including other institutional investors would also gain more confidence to participate in the lower rated corporate bonds.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trike/>
          <w:sz w:val="24"/>
          <w:szCs w:val="24"/>
        </w:rPr>
      </w:pPr>
      <w:r w:rsidRPr="00207133">
        <w:rPr>
          <w:rFonts w:ascii="Palatino Linotype" w:hAnsi="Palatino Linotype"/>
          <w:sz w:val="24"/>
          <w:szCs w:val="24"/>
        </w:rPr>
        <w:t>Having a vibrant and developed corporate bond market even at lower end of rating scale would be as beneficial for other institutional players as for mutual funds and they should also do their bit in this regard. If their respective regulators permit them to invest at least a small portion of their investible funds in lower rated corporate bonds, it would further accentuate the development of lower rated corporate bonds.</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trike/>
          <w:sz w:val="24"/>
          <w:szCs w:val="24"/>
        </w:rPr>
      </w:pPr>
      <w:r w:rsidRPr="00207133">
        <w:rPr>
          <w:rFonts w:ascii="Palatino Linotype" w:hAnsi="Palatino Linotype"/>
          <w:sz w:val="24"/>
          <w:szCs w:val="24"/>
        </w:rPr>
        <w:t xml:space="preserve">These institutions, as part of their regulatory mandate, rely on the ratings given by credit rating agencies for making their investments. Ratings given by credit rating agencies should be used for guidance purpose and financial institutions should continue to have the onus for due diligence of their investments. They should develop their own expertise in rating evaluation/due diligence of their investments and should not be solely dependent on the ratings given by credit rating agencies. </w:t>
      </w:r>
    </w:p>
    <w:p w:rsidR="00B43812" w:rsidRPr="00207133" w:rsidRDefault="00B43812" w:rsidP="00B43812">
      <w:pPr>
        <w:pStyle w:val="ListParagraph"/>
        <w:spacing w:before="240" w:after="240" w:line="360" w:lineRule="auto"/>
        <w:ind w:left="502"/>
        <w:jc w:val="both"/>
        <w:rPr>
          <w:rFonts w:ascii="Palatino Linotype" w:hAnsi="Palatino Linotype"/>
          <w:strike/>
          <w:sz w:val="24"/>
          <w:szCs w:val="24"/>
        </w:rPr>
      </w:pPr>
    </w:p>
    <w:p w:rsidR="00B43812" w:rsidRPr="00207133" w:rsidRDefault="00B43812" w:rsidP="003F384D">
      <w:pPr>
        <w:pStyle w:val="ListParagraph"/>
        <w:numPr>
          <w:ilvl w:val="0"/>
          <w:numId w:val="16"/>
        </w:numPr>
        <w:spacing w:before="240" w:after="240" w:line="360" w:lineRule="auto"/>
        <w:contextualSpacing w:val="0"/>
        <w:jc w:val="both"/>
        <w:rPr>
          <w:rFonts w:ascii="Palatino Linotype" w:hAnsi="Palatino Linotype"/>
          <w:b/>
          <w:sz w:val="24"/>
          <w:szCs w:val="24"/>
        </w:rPr>
      </w:pPr>
      <w:r w:rsidRPr="00207133">
        <w:rPr>
          <w:rFonts w:ascii="Palatino Linotype" w:hAnsi="Palatino Linotype"/>
          <w:b/>
          <w:sz w:val="24"/>
          <w:szCs w:val="24"/>
        </w:rPr>
        <w:t>Credit Enhancement Mechanism</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bCs/>
          <w:sz w:val="24"/>
          <w:szCs w:val="24"/>
        </w:rPr>
        <w:t xml:space="preserve">The issuances by infrastructure projects do not typically fall in the category of top-rated corporate bonds. </w:t>
      </w:r>
      <w:r w:rsidRPr="00207133">
        <w:rPr>
          <w:rFonts w:ascii="Palatino Linotype" w:hAnsi="Palatino Linotype"/>
          <w:sz w:val="24"/>
          <w:szCs w:val="24"/>
        </w:rPr>
        <w:t>A credible credit enhancement mechanism is required to improve the rating category of infrastructure SPVs, which, in turn, would facilitate these SPVs to raise funds from the corporate bond market. This would be crucial to meet infrastructure financing targets as per the National Infrastructure Pipeline.</w:t>
      </w:r>
    </w:p>
    <w:p w:rsidR="00B43812" w:rsidRPr="00207133" w:rsidRDefault="00B43812" w:rsidP="003F384D">
      <w:pPr>
        <w:pStyle w:val="ListParagraph"/>
        <w:numPr>
          <w:ilvl w:val="0"/>
          <w:numId w:val="13"/>
        </w:numPr>
        <w:spacing w:before="240" w:after="240" w:line="360" w:lineRule="auto"/>
        <w:contextualSpacing w:val="0"/>
        <w:jc w:val="both"/>
        <w:rPr>
          <w:rFonts w:ascii="Palatino Linotype" w:hAnsi="Palatino Linotype"/>
          <w:b/>
          <w:bCs/>
          <w:sz w:val="24"/>
          <w:szCs w:val="24"/>
        </w:rPr>
      </w:pPr>
      <w:r w:rsidRPr="00207133">
        <w:rPr>
          <w:rFonts w:ascii="Palatino Linotype" w:hAnsi="Palatino Linotype"/>
          <w:b/>
          <w:bCs/>
          <w:sz w:val="24"/>
          <w:szCs w:val="24"/>
        </w:rPr>
        <w:t>Conclusion</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 xml:space="preserve">A well-functioning corporate bond market is a must for the economic development of the country. The Government and the Regulators have taken a number of measures to develop the corporate bond market but much more needs to be done. </w:t>
      </w:r>
    </w:p>
    <w:p w:rsidR="00B43812" w:rsidRPr="00207133" w:rsidRDefault="00B43812" w:rsidP="003F384D">
      <w:pPr>
        <w:pStyle w:val="ListParagraph"/>
        <w:numPr>
          <w:ilvl w:val="0"/>
          <w:numId w:val="12"/>
        </w:numPr>
        <w:spacing w:before="240" w:after="240" w:line="360" w:lineRule="auto"/>
        <w:contextualSpacing w:val="0"/>
        <w:jc w:val="both"/>
        <w:rPr>
          <w:rFonts w:ascii="Palatino Linotype" w:hAnsi="Palatino Linotype"/>
          <w:sz w:val="24"/>
          <w:szCs w:val="24"/>
        </w:rPr>
      </w:pPr>
      <w:r w:rsidRPr="00207133">
        <w:rPr>
          <w:rFonts w:ascii="Palatino Linotype" w:hAnsi="Palatino Linotype"/>
          <w:sz w:val="24"/>
          <w:szCs w:val="24"/>
        </w:rPr>
        <w:t>Inability of banks to cater to debt financing requirement for different purposes must not become the sole ground for corporate bonds to take up the market share left unserved by the banking sector. The eco system should facilitate optimal options for the issuers/borrowers to raise funds. Similar options should be available to the investors/depositors who provide the funds.</w:t>
      </w:r>
    </w:p>
    <w:p w:rsidR="00B43812" w:rsidRPr="00207133" w:rsidRDefault="00B43812" w:rsidP="003F384D">
      <w:pPr>
        <w:pStyle w:val="ListParagraph"/>
        <w:numPr>
          <w:ilvl w:val="0"/>
          <w:numId w:val="12"/>
        </w:numPr>
        <w:spacing w:before="240" w:after="240" w:line="360" w:lineRule="auto"/>
        <w:contextualSpacing w:val="0"/>
        <w:jc w:val="both"/>
        <w:outlineLvl w:val="0"/>
        <w:rPr>
          <w:rFonts w:ascii="Palatino Linotype" w:hAnsi="Palatino Linotype" w:cs="Helvetica"/>
          <w:b/>
          <w:sz w:val="24"/>
          <w:szCs w:val="24"/>
        </w:rPr>
      </w:pPr>
      <w:r w:rsidRPr="00207133">
        <w:rPr>
          <w:rFonts w:ascii="Palatino Linotype" w:hAnsi="Palatino Linotype"/>
          <w:sz w:val="24"/>
          <w:szCs w:val="24"/>
          <w:shd w:val="clear" w:color="auto" w:fill="FFFFFF"/>
        </w:rPr>
        <w:t>Thank you and all the very best for a successful event!</w:t>
      </w:r>
    </w:p>
    <w:p w:rsidR="00207133" w:rsidRPr="00207133" w:rsidRDefault="00207133" w:rsidP="00207133">
      <w:pPr>
        <w:jc w:val="center"/>
        <w:rPr>
          <w:rFonts w:ascii="Palatino Linotype" w:hAnsi="Palatino Linotype" w:cs="Helvetica"/>
          <w:b/>
        </w:rPr>
      </w:pPr>
      <w:r w:rsidRPr="00207133">
        <w:rPr>
          <w:rFonts w:ascii="Palatino Linotype" w:hAnsi="Palatino Linotype" w:cs="Helvetica"/>
          <w:b/>
        </w:rPr>
        <w:t>-----</w:t>
      </w:r>
    </w:p>
    <w:p w:rsidR="00B43812" w:rsidRDefault="00B43812"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Default="00207133" w:rsidP="00B43812">
      <w:pPr>
        <w:jc w:val="both"/>
        <w:outlineLvl w:val="0"/>
        <w:rPr>
          <w:rFonts w:ascii="Palatino Linotype" w:hAnsi="Palatino Linotype" w:cs="Helvetica"/>
          <w:b/>
          <w:color w:val="000099"/>
          <w:sz w:val="28"/>
          <w:szCs w:val="28"/>
        </w:rPr>
      </w:pPr>
    </w:p>
    <w:p w:rsidR="00207133" w:rsidRPr="00207133" w:rsidRDefault="00207133" w:rsidP="00207133">
      <w:pPr>
        <w:jc w:val="center"/>
        <w:rPr>
          <w:rFonts w:ascii="Palatino Linotype" w:hAnsi="Palatino Linotype" w:cstheme="minorBidi"/>
          <w:b/>
          <w:lang w:val="en-US"/>
        </w:rPr>
      </w:pPr>
      <w:r w:rsidRPr="00207133">
        <w:rPr>
          <w:rFonts w:ascii="Palatino Linotype" w:hAnsi="Palatino Linotype" w:cstheme="minorBidi"/>
          <w:b/>
          <w:lang w:val="en-US"/>
        </w:rPr>
        <w:t xml:space="preserve">SEBI CHAIRMAN’S ADDRESS AT SEBI-NISM INTERNATIONAL CONFERENCE </w:t>
      </w:r>
    </w:p>
    <w:p w:rsidR="00207133" w:rsidRPr="00207133" w:rsidRDefault="00207133" w:rsidP="00207133">
      <w:pPr>
        <w:jc w:val="center"/>
        <w:rPr>
          <w:rFonts w:ascii="Palatino Linotype" w:hAnsi="Palatino Linotype" w:cstheme="minorBidi"/>
          <w:b/>
          <w:lang w:val="en-US"/>
        </w:rPr>
      </w:pPr>
    </w:p>
    <w:p w:rsidR="00207133" w:rsidRPr="00207133" w:rsidRDefault="00207133" w:rsidP="00207133">
      <w:pPr>
        <w:jc w:val="center"/>
        <w:rPr>
          <w:rFonts w:ascii="Palatino Linotype" w:hAnsi="Palatino Linotype" w:cstheme="minorBidi"/>
          <w:b/>
          <w:lang w:val="en-US"/>
        </w:rPr>
      </w:pPr>
      <w:r w:rsidRPr="00207133">
        <w:rPr>
          <w:rFonts w:ascii="Palatino Linotype" w:hAnsi="Palatino Linotype" w:cstheme="minorBidi"/>
          <w:b/>
          <w:lang w:val="en-US"/>
        </w:rPr>
        <w:t>“Behavior of Securities Market-Sighting of Black Swan”</w:t>
      </w:r>
    </w:p>
    <w:p w:rsidR="00207133" w:rsidRPr="00207133" w:rsidRDefault="00207133" w:rsidP="00207133">
      <w:pPr>
        <w:jc w:val="center"/>
        <w:rPr>
          <w:rFonts w:ascii="Palatino Linotype" w:hAnsi="Palatino Linotype" w:cstheme="minorBidi"/>
          <w:b/>
          <w:lang w:val="en-US"/>
        </w:rPr>
      </w:pPr>
    </w:p>
    <w:p w:rsidR="00207133" w:rsidRPr="00207133" w:rsidRDefault="00207133" w:rsidP="00207133">
      <w:pPr>
        <w:jc w:val="center"/>
        <w:rPr>
          <w:rFonts w:ascii="Palatino Linotype" w:hAnsi="Palatino Linotype" w:cstheme="minorBidi"/>
          <w:b/>
          <w:lang w:val="en-US"/>
        </w:rPr>
      </w:pPr>
      <w:r w:rsidRPr="00207133">
        <w:rPr>
          <w:rFonts w:ascii="Palatino Linotype" w:hAnsi="Palatino Linotype" w:cstheme="minorBidi"/>
          <w:b/>
          <w:lang w:val="en-US"/>
        </w:rPr>
        <w:t>on February 25, 2021</w:t>
      </w:r>
    </w:p>
    <w:p w:rsidR="00207133" w:rsidRPr="00207133" w:rsidRDefault="00207133" w:rsidP="00207133">
      <w:pPr>
        <w:jc w:val="center"/>
        <w:rPr>
          <w:rFonts w:ascii="Palatino Linotype" w:hAnsi="Palatino Linotype" w:cstheme="minorBidi"/>
          <w:lang w:val="en-US"/>
        </w:rPr>
      </w:pPr>
    </w:p>
    <w:p w:rsidR="00207133" w:rsidRPr="00207133" w:rsidRDefault="00207133" w:rsidP="007218DE">
      <w:pPr>
        <w:spacing w:before="240" w:after="240" w:line="360" w:lineRule="auto"/>
        <w:ind w:left="284" w:hanging="284"/>
        <w:jc w:val="both"/>
        <w:rPr>
          <w:rFonts w:ascii="Palatino Linotype" w:hAnsi="Palatino Linotype"/>
        </w:rPr>
      </w:pPr>
      <w:r w:rsidRPr="00207133">
        <w:rPr>
          <w:rFonts w:ascii="Palatino Linotype" w:hAnsi="Palatino Linotype" w:cstheme="minorBidi"/>
        </w:rPr>
        <w:t>1</w:t>
      </w:r>
      <w:r w:rsidRPr="00207133">
        <w:rPr>
          <w:rFonts w:ascii="Palatino Linotype" w:hAnsi="Palatino Linotype"/>
        </w:rPr>
        <w:t xml:space="preserve">. </w:t>
      </w:r>
      <w:r w:rsidR="007218DE">
        <w:rPr>
          <w:rFonts w:ascii="Palatino Linotype" w:hAnsi="Palatino Linotype"/>
        </w:rPr>
        <w:t xml:space="preserve"> </w:t>
      </w:r>
      <w:r w:rsidRPr="00207133">
        <w:rPr>
          <w:rFonts w:ascii="Palatino Linotype" w:hAnsi="Palatino Linotype"/>
        </w:rPr>
        <w:t>Ladies and gentlemen, it is my pleasure to be speaking to you today on this interesting topic. I will try to put forth some securities market related perspectives on this subject, more so in the context of developments and trends post the onset of the ongoing pandemic.</w:t>
      </w:r>
    </w:p>
    <w:p w:rsidR="00207133" w:rsidRPr="007218DE" w:rsidRDefault="00207133" w:rsidP="007218DE">
      <w:pPr>
        <w:spacing w:before="240" w:after="240" w:line="360" w:lineRule="auto"/>
        <w:ind w:left="426" w:hanging="426"/>
        <w:jc w:val="both"/>
        <w:rPr>
          <w:rFonts w:ascii="Palatino Linotype" w:hAnsi="Palatino Linotype" w:cstheme="minorBidi"/>
        </w:rPr>
      </w:pPr>
      <w:r w:rsidRPr="00207133">
        <w:rPr>
          <w:rFonts w:ascii="Palatino Linotype" w:hAnsi="Palatino Linotype"/>
        </w:rPr>
        <w:t>2</w:t>
      </w:r>
      <w:r w:rsidRPr="007218DE">
        <w:rPr>
          <w:rFonts w:ascii="Palatino Linotype" w:hAnsi="Palatino Linotype" w:cstheme="minorBidi"/>
        </w:rPr>
        <w:t xml:space="preserve">. </w:t>
      </w:r>
      <w:r w:rsidR="007218DE">
        <w:rPr>
          <w:rFonts w:ascii="Palatino Linotype" w:hAnsi="Palatino Linotype" w:cstheme="minorBidi"/>
        </w:rPr>
        <w:t xml:space="preserve">  </w:t>
      </w:r>
      <w:r w:rsidRPr="007218DE">
        <w:rPr>
          <w:rFonts w:ascii="Palatino Linotype" w:hAnsi="Palatino Linotype" w:cstheme="minorBidi"/>
        </w:rPr>
        <w:t>Nassim Nicholas Taleb coined the term ‘Black swan’ to refer to an event which has three particular features-it is unpredictable, rare and catastrophic. There are debates on both sides on the predictability aspect of the ongoing pandemic with some like Taleb himself arguing that it was not unpredictable and hence, not a black swan and others arguing otherwise. Whether it was predictable or not, one can definitely say the pandemic has been rare and catastrophic. Considering the unprecedented impact that the pandemic has had on almost all aspects of our lives, the changes it has brought about, especially in the context of the securities market, are definitely worth analysing.</w:t>
      </w:r>
    </w:p>
    <w:p w:rsidR="00207133" w:rsidRPr="00207133" w:rsidRDefault="00207133" w:rsidP="00207133">
      <w:pPr>
        <w:spacing w:after="160" w:line="259" w:lineRule="auto"/>
        <w:jc w:val="both"/>
        <w:rPr>
          <w:rFonts w:ascii="Palatino Linotype" w:hAnsi="Palatino Linotype" w:cstheme="minorBidi"/>
          <w:b/>
          <w:lang w:val="en-US"/>
        </w:rPr>
      </w:pPr>
      <w:r w:rsidRPr="00207133">
        <w:rPr>
          <w:rFonts w:ascii="Palatino Linotype" w:hAnsi="Palatino Linotype" w:cstheme="minorBidi"/>
          <w:b/>
          <w:lang w:val="en-US"/>
        </w:rPr>
        <w:t>Securities market in pandemic times</w:t>
      </w:r>
    </w:p>
    <w:p w:rsidR="00207133" w:rsidRPr="00207133" w:rsidRDefault="00207133" w:rsidP="007218DE">
      <w:pPr>
        <w:spacing w:after="160" w:line="360" w:lineRule="auto"/>
        <w:ind w:left="425" w:hanging="425"/>
        <w:jc w:val="both"/>
        <w:rPr>
          <w:rFonts w:ascii="Palatino Linotype" w:hAnsi="Palatino Linotype" w:cstheme="minorBidi"/>
          <w:lang w:val="en-US"/>
        </w:rPr>
      </w:pPr>
      <w:r w:rsidRPr="00207133">
        <w:rPr>
          <w:rFonts w:ascii="Palatino Linotype" w:hAnsi="Palatino Linotype" w:cstheme="minorBidi"/>
          <w:lang w:val="en-US"/>
        </w:rPr>
        <w:t xml:space="preserve">3. </w:t>
      </w:r>
      <w:r w:rsidR="007218DE">
        <w:rPr>
          <w:rFonts w:ascii="Palatino Linotype" w:hAnsi="Palatino Linotype" w:cstheme="minorBidi"/>
          <w:lang w:val="en-US"/>
        </w:rPr>
        <w:t xml:space="preserve">  </w:t>
      </w:r>
      <w:r w:rsidRPr="00207133">
        <w:rPr>
          <w:rFonts w:ascii="Palatino Linotype" w:hAnsi="Palatino Linotype" w:cstheme="minorBidi"/>
          <w:lang w:val="en-US"/>
        </w:rPr>
        <w:t>A lot has already been said about how the Government and Regulators including SEBI have responded to the pandemic, including by me in my previous speeches. Further, what SEBI has done is already there in the public domain. I will not be repeating the same.</w:t>
      </w:r>
    </w:p>
    <w:p w:rsidR="00207133" w:rsidRPr="00207133" w:rsidRDefault="00207133" w:rsidP="007218DE">
      <w:pPr>
        <w:spacing w:after="160" w:line="360" w:lineRule="auto"/>
        <w:ind w:left="425" w:hanging="425"/>
        <w:jc w:val="both"/>
        <w:rPr>
          <w:rFonts w:ascii="Palatino Linotype" w:hAnsi="Palatino Linotype" w:cstheme="minorBidi"/>
          <w:lang w:val="en-US"/>
        </w:rPr>
      </w:pPr>
      <w:r w:rsidRPr="00207133">
        <w:rPr>
          <w:rFonts w:ascii="Palatino Linotype" w:hAnsi="Palatino Linotype" w:cstheme="minorBidi"/>
          <w:lang w:val="en-US"/>
        </w:rPr>
        <w:t xml:space="preserve">4. </w:t>
      </w:r>
      <w:r w:rsidR="007218DE">
        <w:rPr>
          <w:rFonts w:ascii="Palatino Linotype" w:hAnsi="Palatino Linotype" w:cstheme="minorBidi"/>
          <w:lang w:val="en-US"/>
        </w:rPr>
        <w:t xml:space="preserve">  </w:t>
      </w:r>
      <w:r w:rsidRPr="00207133">
        <w:rPr>
          <w:rFonts w:ascii="Palatino Linotype" w:hAnsi="Palatino Linotype" w:cstheme="minorBidi"/>
          <w:lang w:val="en-US"/>
        </w:rPr>
        <w:t>Today, I would like to rather focus on how the securities market and various actors in the securities market behaved after the onset of the pandemic. In this context, I will cover trends in four broad areas-market movements, investor behavior, corporate behavior and other unique trends that have emerged in these pandemic times.</w:t>
      </w:r>
    </w:p>
    <w:p w:rsidR="00207133" w:rsidRPr="00207133" w:rsidRDefault="00207133" w:rsidP="00207133">
      <w:pPr>
        <w:spacing w:after="160" w:line="259" w:lineRule="auto"/>
        <w:jc w:val="both"/>
        <w:rPr>
          <w:rFonts w:ascii="Palatino Linotype" w:hAnsi="Palatino Linotype" w:cstheme="minorBidi"/>
          <w:b/>
          <w:lang w:val="en-US"/>
        </w:rPr>
      </w:pPr>
      <w:r w:rsidRPr="00207133">
        <w:rPr>
          <w:rFonts w:ascii="Palatino Linotype" w:hAnsi="Palatino Linotype" w:cstheme="minorBidi"/>
          <w:b/>
          <w:lang w:val="en-US"/>
        </w:rPr>
        <w:t>Market movements</w:t>
      </w: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5. </w:t>
      </w:r>
      <w:r w:rsidR="007218DE">
        <w:rPr>
          <w:rFonts w:ascii="Palatino Linotype" w:hAnsi="Palatino Linotype" w:cstheme="minorBidi"/>
          <w:lang w:val="en-US"/>
        </w:rPr>
        <w:t xml:space="preserve">  </w:t>
      </w:r>
      <w:r w:rsidRPr="00207133">
        <w:rPr>
          <w:rFonts w:ascii="Palatino Linotype" w:hAnsi="Palatino Linotype" w:cstheme="minorBidi"/>
          <w:lang w:val="en-US"/>
        </w:rPr>
        <w:t>As is expected during any crisis, especially ones which are expected to have a serious impact on economy, the equity markets began falling around mid-February 2020 when it started becoming amply evident that the infection was going to spread globally and will not be restricted to a certain region.</w:t>
      </w: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6. </w:t>
      </w:r>
      <w:r w:rsidR="007218DE">
        <w:rPr>
          <w:rFonts w:ascii="Palatino Linotype" w:hAnsi="Palatino Linotype" w:cstheme="minorBidi"/>
          <w:lang w:val="en-US"/>
        </w:rPr>
        <w:t xml:space="preserve">   </w:t>
      </w:r>
      <w:r w:rsidRPr="00207133">
        <w:rPr>
          <w:rFonts w:ascii="Palatino Linotype" w:hAnsi="Palatino Linotype" w:cstheme="minorBidi"/>
          <w:lang w:val="en-US"/>
        </w:rPr>
        <w:t>The first steep</w:t>
      </w:r>
      <w:r w:rsidR="007218DE">
        <w:rPr>
          <w:rFonts w:ascii="Palatino Linotype" w:hAnsi="Palatino Linotype" w:cstheme="minorBidi"/>
          <w:lang w:val="en-US"/>
        </w:rPr>
        <w:t xml:space="preserve"> </w:t>
      </w:r>
      <w:r w:rsidRPr="00207133">
        <w:rPr>
          <w:rFonts w:ascii="Palatino Linotype" w:hAnsi="Palatino Linotype" w:cstheme="minorBidi"/>
          <w:lang w:val="en-US"/>
        </w:rPr>
        <w:t>fall was witnessed on March 13, 2020 in Indian stock markets when the 10% circuit filter was hit in early trades leading to a market-wide halt for 45 minutes with in an hour of market opening. By then, WHO had declared COVID-19 to be a global pandemic, India had already reported its first COVID related fatality and many States had started reporting increasing numbers of affected persons.</w:t>
      </w: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7. </w:t>
      </w:r>
      <w:r w:rsidR="007218DE">
        <w:rPr>
          <w:rFonts w:ascii="Palatino Linotype" w:hAnsi="Palatino Linotype" w:cstheme="minorBidi"/>
          <w:lang w:val="en-US"/>
        </w:rPr>
        <w:t xml:space="preserve">   </w:t>
      </w:r>
      <w:r w:rsidRPr="00207133">
        <w:rPr>
          <w:rFonts w:ascii="Palatino Linotype" w:hAnsi="Palatino Linotype" w:cstheme="minorBidi"/>
          <w:lang w:val="en-US"/>
        </w:rPr>
        <w:t>Over the next few days, as the situation started to look gloomier, the markets kept falling and then the second steep fall was witnessed on March23, 2020 hitting the 10% circuit filter once again. Since that date and over the course of the next few months, the markets significantly recovered. The flagship indices Sensex and Nifty crossed the then January 2020 all-time high in November 2020 and since then have largely been on the rise. Several scrips and indices have hit all- time highs since then.</w:t>
      </w:r>
    </w:p>
    <w:p w:rsidR="00207133" w:rsidRPr="00207133" w:rsidRDefault="00207133" w:rsidP="00207133">
      <w:pPr>
        <w:spacing w:after="160" w:line="259" w:lineRule="auto"/>
        <w:jc w:val="both"/>
        <w:rPr>
          <w:rFonts w:ascii="Palatino Linotype" w:hAnsi="Palatino Linotype" w:cstheme="minorBidi"/>
          <w:lang w:val="en-US"/>
        </w:rPr>
      </w:pP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8. </w:t>
      </w:r>
      <w:r w:rsidR="007218DE">
        <w:rPr>
          <w:rFonts w:ascii="Palatino Linotype" w:hAnsi="Palatino Linotype" w:cstheme="minorBidi"/>
          <w:lang w:val="en-US"/>
        </w:rPr>
        <w:t xml:space="preserve">  </w:t>
      </w:r>
      <w:r w:rsidRPr="00207133">
        <w:rPr>
          <w:rFonts w:ascii="Palatino Linotype" w:hAnsi="Palatino Linotype" w:cstheme="minorBidi"/>
          <w:lang w:val="en-US"/>
        </w:rPr>
        <w:t xml:space="preserve">If we see the fall, recovery and the overall market movement during this period, they are significant &amp; unprecedented for a variety of reasons: </w:t>
      </w:r>
    </w:p>
    <w:p w:rsidR="00207133" w:rsidRDefault="00207133" w:rsidP="003F384D">
      <w:pPr>
        <w:numPr>
          <w:ilvl w:val="0"/>
          <w:numId w:val="19"/>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On 23rd March 2020, Sensex witnessed its largest single-day fall of more than 13% close-on -close. In the last three decades, only thrice earlier – in 1992, 2004 and 2008, Sensex had single-day falls of more than 10% close-on-close. However, before 23rd March, it had never crossed the 13% barrier.</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Default="00207133" w:rsidP="003F384D">
      <w:pPr>
        <w:numPr>
          <w:ilvl w:val="0"/>
          <w:numId w:val="19"/>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Significant price movements causing market-wide halts are rare occurrences. Before the halts in March 2020, the last one was in October 2012. In March 2020, it was the first time ever that there were market-wide halts on two separate days in the same calendar year and that too with in a span of just two weeks.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19"/>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Another major trend witnessed was with respect to the market volatility. The volatility witnessed during March 2020 was the highest ever since the 2008 crisis. The volatility index India VIX touched as high as 86.63 on 24th March and stayed above 70 till end of March. It fell below 50 around mid-April, broadly moved between 25-30 in June-July and has been hovering around 20-25 since then. Even the current volatility above 20 is high compared to say, last 5years, where it was largely below 20 with a few exceptional instances.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Pr="00207133" w:rsidRDefault="00207133" w:rsidP="003F384D">
      <w:pPr>
        <w:numPr>
          <w:ilvl w:val="0"/>
          <w:numId w:val="19"/>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Not only have the two major falls resulted in probably what may have been the steepest fall over the last 30 years, the recovery has been quite fast as well. If we plot the graph of flagship indices Sensex/Nifty over the last 30 years, we can see that the steep fall and the quick recovery have created the steepest ‘V’ shape ever during the said period.</w:t>
      </w:r>
    </w:p>
    <w:p w:rsidR="00207133" w:rsidRDefault="00207133" w:rsidP="003F384D">
      <w:pPr>
        <w:numPr>
          <w:ilvl w:val="0"/>
          <w:numId w:val="19"/>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Typically, stock markets have been barometers of the economy and move in the direction the economy moves or is expected to move. However, after the onset of the pandemic, several institutions including Financial Stability Board and the RBI have raised concerns of an increasing disconnect of the financial markets with the real economy and a possible risk it may pose to systemic stability. This increasing disconnect is another occurrence witnessed in today’s times which possibly has no precedent before.</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9.</w:t>
      </w:r>
      <w:r w:rsidR="007218DE">
        <w:rPr>
          <w:rFonts w:ascii="Palatino Linotype" w:hAnsi="Palatino Linotype" w:cstheme="minorBidi"/>
          <w:lang w:val="en-US"/>
        </w:rPr>
        <w:t xml:space="preserve">   </w:t>
      </w:r>
      <w:r w:rsidRPr="00207133">
        <w:rPr>
          <w:rFonts w:ascii="Palatino Linotype" w:hAnsi="Palatino Linotype" w:cstheme="minorBidi"/>
          <w:lang w:val="en-US"/>
        </w:rPr>
        <w:t>It is not just India which has been witnessing such unprecedented market movement but similar trends have been seen across many global markets-movements one can very clearly attribute to effects arising out of the pandemic &amp; the efforts to tackle the pandemic.</w:t>
      </w:r>
    </w:p>
    <w:p w:rsidR="00207133" w:rsidRPr="00207133" w:rsidRDefault="00207133" w:rsidP="00207133">
      <w:pPr>
        <w:spacing w:after="160" w:line="259" w:lineRule="auto"/>
        <w:jc w:val="both"/>
        <w:rPr>
          <w:rFonts w:ascii="Palatino Linotype" w:hAnsi="Palatino Linotype" w:cstheme="minorBidi"/>
          <w:b/>
          <w:lang w:val="en-US"/>
        </w:rPr>
      </w:pPr>
      <w:r w:rsidRPr="00207133">
        <w:rPr>
          <w:rFonts w:ascii="Palatino Linotype" w:hAnsi="Palatino Linotype" w:cstheme="minorBidi"/>
          <w:b/>
          <w:lang w:val="en-US"/>
        </w:rPr>
        <w:t>Investor behavior</w:t>
      </w:r>
    </w:p>
    <w:p w:rsidR="00207133" w:rsidRPr="00207133" w:rsidRDefault="00207133" w:rsidP="007218DE">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10. Apart from the movement of the market itself, there are two main actors in the securities market whose changing behaviors in these times are important to assess-the investors and the corporate. Let me first begin with behavior of individual investors.</w:t>
      </w: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11</w:t>
      </w:r>
      <w:r w:rsidRPr="007218DE">
        <w:rPr>
          <w:rFonts w:ascii="Palatino Linotype" w:hAnsi="Palatino Linotype" w:cstheme="minorBidi"/>
          <w:lang w:val="en-US"/>
        </w:rPr>
        <w:t>. Individual investors:</w:t>
      </w:r>
      <w:r w:rsidRPr="00207133">
        <w:rPr>
          <w:rFonts w:ascii="Palatino Linotype" w:hAnsi="Palatino Linotype" w:cstheme="minorBidi"/>
          <w:lang w:val="en-US"/>
        </w:rPr>
        <w:t xml:space="preserve"> </w:t>
      </w:r>
    </w:p>
    <w:p w:rsidR="00207133" w:rsidRDefault="00207133" w:rsidP="003F384D">
      <w:pPr>
        <w:numPr>
          <w:ilvl w:val="0"/>
          <w:numId w:val="20"/>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A defining trend of FY 2020-21 has been increasing direct participation of individuals in the equity markets. If we compare the average daily turnover in NSE in the cash segment in current financial year as compared to the last financial year – broad approximations for the post and pre-pandemic periods-we find that the share of institutional investors, corporate and partnership firms in the total turnover in this financial year has gone down by around 8.3% and correspondingly, shares of individuals &amp; proprietary trading have gone up by 8.3%-around 6.6% increase in share of individuals and around 1.7% increase in share of prop trading. In case of equity derivatives, the same figure stands at 7.2% increase–shares of individuals and prop traders being 3.2% and 4% respectively during the same period. b. Increased participation of individuals can also be seen from the sheer increase in number of demat accounts opened during FY2020</w:t>
      </w:r>
      <w:r w:rsidR="007218DE">
        <w:rPr>
          <w:rFonts w:ascii="Palatino Linotype" w:hAnsi="Palatino Linotype" w:cstheme="minorBidi"/>
          <w:lang w:val="en-US"/>
        </w:rPr>
        <w:t>-21</w:t>
      </w:r>
      <w:r w:rsidRPr="00207133">
        <w:rPr>
          <w:rFonts w:ascii="Palatino Linotype" w:hAnsi="Palatino Linotype" w:cstheme="minorBidi"/>
          <w:lang w:val="en-US"/>
        </w:rPr>
        <w:t xml:space="preserve"> </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Default="00207133" w:rsidP="003F384D">
      <w:pPr>
        <w:numPr>
          <w:ilvl w:val="0"/>
          <w:numId w:val="20"/>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As on 31st Mar</w:t>
      </w:r>
      <w:r w:rsidR="007218DE">
        <w:rPr>
          <w:rFonts w:ascii="Palatino Linotype" w:hAnsi="Palatino Linotype" w:cstheme="minorBidi"/>
          <w:lang w:val="en-US"/>
        </w:rPr>
        <w:t>ch</w:t>
      </w:r>
      <w:r w:rsidRPr="00207133">
        <w:rPr>
          <w:rFonts w:ascii="Palatino Linotype" w:hAnsi="Palatino Linotype" w:cstheme="minorBidi"/>
          <w:lang w:val="en-US"/>
        </w:rPr>
        <w:t>, 2020, there were around 4 crore demat accounts. As on 31st Jan, 2021, the number of total demat accounts had already crossed 5 crore i.e. there has been an addition of more than 1</w:t>
      </w:r>
      <w:r w:rsidR="007218DE">
        <w:rPr>
          <w:rFonts w:ascii="Palatino Linotype" w:hAnsi="Palatino Linotype" w:cstheme="minorBidi"/>
          <w:lang w:val="en-US"/>
        </w:rPr>
        <w:t xml:space="preserve"> </w:t>
      </w:r>
      <w:r w:rsidRPr="00207133">
        <w:rPr>
          <w:rFonts w:ascii="Palatino Linotype" w:hAnsi="Palatino Linotype" w:cstheme="minorBidi"/>
          <w:lang w:val="en-US"/>
        </w:rPr>
        <w:t>crore demat accounts in just as pan of around 10 months. While the increase in demat accounts from 3 crore to 4</w:t>
      </w:r>
      <w:r w:rsidR="007218DE">
        <w:rPr>
          <w:rFonts w:ascii="Palatino Linotype" w:hAnsi="Palatino Linotype" w:cstheme="minorBidi"/>
          <w:lang w:val="en-US"/>
        </w:rPr>
        <w:t xml:space="preserve"> </w:t>
      </w:r>
      <w:r w:rsidRPr="00207133">
        <w:rPr>
          <w:rFonts w:ascii="Palatino Linotype" w:hAnsi="Palatino Linotype" w:cstheme="minorBidi"/>
          <w:lang w:val="en-US"/>
        </w:rPr>
        <w:t>crore took around 28 months, increase from 4crore to 5 crore took only around 10 months.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Pr="00207133" w:rsidRDefault="00207133" w:rsidP="003F384D">
      <w:pPr>
        <w:numPr>
          <w:ilvl w:val="0"/>
          <w:numId w:val="20"/>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Further, there has been an increasing trend in opening of new demat accounts even with in current financial year. While we saw around 7 lakh demat accounts opened each month in the months of April-May 2020,</w:t>
      </w:r>
    </w:p>
    <w:p w:rsidR="00207133" w:rsidRDefault="00207133" w:rsidP="003F384D">
      <w:pPr>
        <w:numPr>
          <w:ilvl w:val="0"/>
          <w:numId w:val="20"/>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it increased to around 11 lakhs monthly average between June-Nov 2020 &amp; rose even more substantially to around 15.4 lakhs and 18 lakhs in the months of December 2020 and January 2021 respectively.</w:t>
      </w:r>
    </w:p>
    <w:p w:rsidR="007218DE" w:rsidRPr="00207133" w:rsidRDefault="007218DE" w:rsidP="007218DE">
      <w:pPr>
        <w:spacing w:after="160" w:line="259" w:lineRule="auto"/>
        <w:ind w:left="360"/>
        <w:contextualSpacing/>
        <w:jc w:val="both"/>
        <w:rPr>
          <w:rFonts w:ascii="Palatino Linotype" w:hAnsi="Palatino Linotype" w:cstheme="minorBidi"/>
          <w:lang w:val="en-US"/>
        </w:rPr>
      </w:pPr>
    </w:p>
    <w:p w:rsidR="00207133" w:rsidRDefault="00207133" w:rsidP="003F384D">
      <w:pPr>
        <w:numPr>
          <w:ilvl w:val="0"/>
          <w:numId w:val="20"/>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On the other hand, monthly SIP inflows into growth/equity schemes of Mutual Funds average in ground INR 5600 crore in FY2019-20, initially increased to around INR 6200-6400 crore in April-May 2020 but since then has been almost consistently falling every month. In the last 3 months i.e. Nov 2020-Jan 2021, monthly SIP inflows have been less than INR 3000 crore. This reducing trend could be indicative of a trend of individual investors using funds previously being dedicated for SIPs to invest directly into the market or in other assets such as debt/real estate or even possibly holding out in cash waiting for market corrections.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 xml:space="preserve">12. </w:t>
      </w:r>
      <w:r w:rsidRPr="00207133">
        <w:rPr>
          <w:rFonts w:ascii="Palatino Linotype" w:hAnsi="Palatino Linotype" w:cstheme="minorBidi"/>
          <w:u w:val="single"/>
          <w:lang w:val="en-US"/>
        </w:rPr>
        <w:t>Mutual Funds</w:t>
      </w:r>
      <w:r w:rsidRPr="00207133">
        <w:rPr>
          <w:rFonts w:ascii="Palatino Linotype" w:hAnsi="Palatino Linotype" w:cstheme="minorBidi"/>
          <w:lang w:val="en-US"/>
        </w:rPr>
        <w:t xml:space="preserve">: </w:t>
      </w: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Mutual Funds are pooling vehicles for investor funds into the securities market. Therefore, the behavior of Mutual Funds as institutional investors is often linked to the inflows and outflows in their various schemes. It is important to analyse the trends of such inflows/outflow s to understand behavior of Mutual Funds as institutional investors.</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If we first take equity/growth schemes, the trend in SIP inflows also outlined earlier is replicated in such schemes. With the exception of just one month, every single month in each of the last 3 financial years from FY2017-18 to FY2019-20 had seen a net inflow in such schemes. In this financial year, however, while the months of April and May saw positive inflows, every month since then has witnessed net outflows.</w:t>
      </w:r>
    </w:p>
    <w:p w:rsidR="007218DE" w:rsidRPr="00207133" w:rsidRDefault="007218DE" w:rsidP="007218DE">
      <w:pPr>
        <w:spacing w:after="160" w:line="259" w:lineRule="auto"/>
        <w:contextualSpacing/>
        <w:jc w:val="both"/>
        <w:rPr>
          <w:rFonts w:ascii="Palatino Linotype" w:hAnsi="Palatino Linotype" w:cstheme="minorBidi"/>
          <w:lang w:val="en-US"/>
        </w:rPr>
      </w:pPr>
    </w:p>
    <w:p w:rsidR="007218DE"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In the last three months alone i.e. Nov 2020 to Jan 2021, the monthly net outflows averaged around INR 12,700 crore with December month having the highest ever monthly net outflows in equity/growth schemes amounting to around INR 14,400 crore. The gross outflow in the December month was also highest ever at around INR 42,000 crore reflecting heavy redemptions during the month. The reasons for the trend in such outflows could be the same as I already outlined earlier in the context of SIPs.</w:t>
      </w:r>
    </w:p>
    <w:p w:rsidR="007218DE" w:rsidRPr="007218DE"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We can now link the trend of inflows &amp; outflows in equity/growth schemes to the participation of Mutual Funds as institutional investors in the cash and equity derivatives segment. If we see trends in the net delivery based turnover in the cash segment of NSE, we can see increasing outflows by Mutual Funds from June onwards with exceptionally high figures in the months in November and December 2020 reflecting the overall trends of outflows from their equity/growth schemes.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 xml:space="preserve">Further, if we see the overall share of MFs in the total daily turnover in the NSE cash segment, it fell significantly due to relatively lower participation by Mutual Funds and relatively higher participation by others especially individuals and prop traders. The overall share of MFs as a percentage of total average daily turnover in the NSE cash segment reduced from around 7.5% to 5% in this financial year compared to the previous financial year. Similarly, in the NSE equity derivatives segment, the percentage fell from around 4.3 % to 3% for the same period. </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If we now consider the trends in the debt/income oriented schemes, initially we saw massive redemptions in the month of March 2020 resulting in total net outflows of around INR 1.95 lakh crore. Since then however, we have witnessed a total net inflow of around INR 2.46 lakh crore in such schemes during this financial year till January 2021.</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As is typical for debt/income oriented schemes, the month-on-month net inflows in such schemes do not show a clear trend of outflow/inflow like equity schemes since fund flows in the largest category of liquid/overnight and other short duration schemes typically follow yield movements and quarter-end obligations.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h. The credit risk schemes, however, saw a clear trend. The initial risk aversion following the pandemic and the closure of certain schemes led to a significant net outflow of more than INR 19,000 crore in credit risk schemes in the month of April 2020, with the AUM of such schemes falling around 35% compared to the previous month. Since then, the credit risk schemes continued witnessing outflows every month till December, though the outflow   amount has been reducing overtime. The month of January 2021 however saw a reversal with a net inflow of more than INR 350 crore into such schemes.</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1"/>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Despite the outflows in equity schemes during the current financial year, there is an overall increase in the AUM of the Mutual Funds industry, crossing INR 31 lakh crore in December 2020 on account of mark-to-market gains in equity market and net inflows in debt schemes. This reflects continued importance of Mutual Funds as a significant institutional player in the equity and debt markets in India.</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 xml:space="preserve">13. </w:t>
      </w:r>
      <w:r w:rsidRPr="00207133">
        <w:rPr>
          <w:rFonts w:ascii="Palatino Linotype" w:hAnsi="Palatino Linotype" w:cstheme="minorBidi"/>
          <w:u w:val="single"/>
          <w:lang w:val="en-US"/>
        </w:rPr>
        <w:t>FPIs:</w:t>
      </w:r>
    </w:p>
    <w:p w:rsidR="00207133" w:rsidRPr="00207133" w:rsidRDefault="00207133" w:rsidP="003F384D">
      <w:pPr>
        <w:numPr>
          <w:ilvl w:val="0"/>
          <w:numId w:val="22"/>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If there is one institutional investor whose behavior towards Indian securities market drastically changed post onset of the pandemic, it is the FPIs. This financial year has been unprecedented in respect of FPI inflows into India’s equity markets. FPIs have already made a net investment of more than $35 billion in this financial year in the Indian equity markets which is the highest in any financial year till date.</w:t>
      </w:r>
    </w:p>
    <w:p w:rsidR="00207133" w:rsidRDefault="00207133" w:rsidP="003F384D">
      <w:pPr>
        <w:numPr>
          <w:ilvl w:val="0"/>
          <w:numId w:val="22"/>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If we see the data on a month-on-month basis, initially in the months of March and April 2020 and later in the month of September, we saw FPI outflows from the Indian equity markets. Apart from these months, every month in this financial year has seen a net FPI inflow. The months of November and December saw substantial inflows of more than $8 bn each, with December accounting for the highest ever net FPI inflow in equity markets in a month amounting to around$8.4 bn.</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Pr="00207133" w:rsidRDefault="00207133" w:rsidP="003F384D">
      <w:pPr>
        <w:numPr>
          <w:ilvl w:val="0"/>
          <w:numId w:val="22"/>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India is the highest recipient of FPI inflows in equity market during this financial year compared to other major emerging markets, several of whom have seen outflows during the period. This signals the confidence of global investors in the Indian economy and markets as a whole.</w:t>
      </w:r>
    </w:p>
    <w:p w:rsidR="00207133" w:rsidRPr="00207133" w:rsidRDefault="00207133" w:rsidP="00207133">
      <w:pPr>
        <w:spacing w:after="160" w:line="259" w:lineRule="auto"/>
        <w:jc w:val="both"/>
        <w:rPr>
          <w:rFonts w:ascii="Palatino Linotype" w:hAnsi="Palatino Linotype" w:cstheme="minorBidi"/>
          <w:lang w:val="en-US"/>
        </w:rPr>
      </w:pPr>
    </w:p>
    <w:p w:rsidR="00207133" w:rsidRPr="00207133" w:rsidRDefault="00207133" w:rsidP="00207133">
      <w:pPr>
        <w:spacing w:after="160" w:line="259" w:lineRule="auto"/>
        <w:jc w:val="both"/>
        <w:rPr>
          <w:rFonts w:ascii="Palatino Linotype" w:hAnsi="Palatino Linotype" w:cstheme="minorBidi"/>
          <w:b/>
          <w:lang w:val="en-US"/>
        </w:rPr>
      </w:pPr>
      <w:r w:rsidRPr="00207133">
        <w:rPr>
          <w:rFonts w:ascii="Palatino Linotype" w:hAnsi="Palatino Linotype" w:cstheme="minorBidi"/>
          <w:b/>
          <w:lang w:val="en-US"/>
        </w:rPr>
        <w:t>Corporate behavior</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14. </w:t>
      </w:r>
      <w:r w:rsidR="007218DE">
        <w:rPr>
          <w:rFonts w:ascii="Palatino Linotype" w:hAnsi="Palatino Linotype" w:cstheme="minorBidi"/>
          <w:lang w:val="en-US"/>
        </w:rPr>
        <w:t xml:space="preserve">  </w:t>
      </w:r>
      <w:r w:rsidRPr="00207133">
        <w:rPr>
          <w:rFonts w:ascii="Palatino Linotype" w:hAnsi="Palatino Linotype" w:cstheme="minorBidi"/>
          <w:lang w:val="en-US"/>
        </w:rPr>
        <w:t>While investors play an important role on the demand side on the markets, the supply side is equally important. Therefore, it is relevant to analyse as to how the behavior of corporate changed during the pandemic. Overall, the pandemic induced major unprecedented changes incorporate behavior. I will place certain points on this aspect on two counts-first, functioning of the corporate as a whole and second, on fund-raising.</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15. </w:t>
      </w:r>
      <w:r w:rsidR="007218DE">
        <w:rPr>
          <w:rFonts w:ascii="Palatino Linotype" w:hAnsi="Palatino Linotype" w:cstheme="minorBidi"/>
          <w:lang w:val="en-US"/>
        </w:rPr>
        <w:t xml:space="preserve"> </w:t>
      </w:r>
      <w:r w:rsidRPr="00207133">
        <w:rPr>
          <w:rFonts w:ascii="Palatino Linotype" w:hAnsi="Palatino Linotype" w:cstheme="minorBidi"/>
          <w:lang w:val="en-US"/>
        </w:rPr>
        <w:t>With respect to corporate functioning, technology played the most important role in facilitating relatively smooth operation of their activities. The lockdown and social distancing requirement led to most corporate permitting their employees to work from home. Physical meetings got replaced by video conferences. The conferences became-conferences and webinars just like this one. HR policies including employee compensation policies were restructured to suit the new way of working. It is more than likely that many of these trends which were induced by the pandemic might stay even after the pandemic dissipates.</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16. </w:t>
      </w:r>
      <w:r w:rsidR="007218DE">
        <w:rPr>
          <w:rFonts w:ascii="Palatino Linotype" w:hAnsi="Palatino Linotype" w:cstheme="minorBidi"/>
          <w:lang w:val="en-US"/>
        </w:rPr>
        <w:t xml:space="preserve">  </w:t>
      </w:r>
      <w:r w:rsidRPr="00207133">
        <w:rPr>
          <w:rFonts w:ascii="Palatino Linotype" w:hAnsi="Palatino Linotype" w:cstheme="minorBidi"/>
          <w:lang w:val="en-US"/>
        </w:rPr>
        <w:t>With Ministry of Corporate Affairs permitting AGMs through VC/other audio-visual means, virtual AGMs became the norm since last year. Companies accustomed to holding large physical AGMs had to change their settings and the way they interacted with their investors. On the other hand, investors accustomed to attending physical meetings had to learn how to be tech savvy, attend and ask questions during virtual AGMs. Apart from virtual shareholder meetings, virtual Board meetings also became the norm since last year.</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17. </w:t>
      </w:r>
      <w:r w:rsidR="007218DE">
        <w:rPr>
          <w:rFonts w:ascii="Palatino Linotype" w:hAnsi="Palatino Linotype" w:cstheme="minorBidi"/>
          <w:lang w:val="en-US"/>
        </w:rPr>
        <w:t xml:space="preserve">   </w:t>
      </w:r>
      <w:r w:rsidRPr="00207133">
        <w:rPr>
          <w:rFonts w:ascii="Palatino Linotype" w:hAnsi="Palatino Linotype" w:cstheme="minorBidi"/>
          <w:lang w:val="en-US"/>
        </w:rPr>
        <w:t xml:space="preserve">However, virtual meetings have given rise to new concerns which were earlier not there in physical meetings. For instance, whether investor voices are adequately heard during virtual shareholder meetings, whether shareholders have sufficient opportunity to pose questions to the management, whether confidentiality &amp; security concerns are adequately addressed in virtual Board meetings, etc. These issues need greater study if such virtual meetings are to become regular feature in the future. </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18.  </w:t>
      </w:r>
      <w:r w:rsidR="007218DE">
        <w:rPr>
          <w:rFonts w:ascii="Palatino Linotype" w:hAnsi="Palatino Linotype" w:cstheme="minorBidi"/>
          <w:lang w:val="en-US"/>
        </w:rPr>
        <w:t xml:space="preserve"> </w:t>
      </w:r>
      <w:r w:rsidRPr="00207133">
        <w:rPr>
          <w:rFonts w:ascii="Palatino Linotype" w:hAnsi="Palatino Linotype" w:cstheme="minorBidi"/>
          <w:lang w:val="en-US"/>
        </w:rPr>
        <w:t>We can see changes in corporate behavior in fund raising as well. The gush of liquidity through central banking measures across the globe including in India post the onset of the pandemic facilitated significant bond raisings by the corporates. In this financial year till January, companies in India raised around INR 6.5 lakh crore from bond markets compared to around INR 5.3 lakh crore during the same period in the last financial year, an increase of more than 22%.</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19. </w:t>
      </w:r>
      <w:r w:rsidR="007218DE">
        <w:rPr>
          <w:rFonts w:ascii="Palatino Linotype" w:hAnsi="Palatino Linotype" w:cstheme="minorBidi"/>
          <w:lang w:val="en-US"/>
        </w:rPr>
        <w:t xml:space="preserve">  </w:t>
      </w:r>
      <w:r w:rsidRPr="00207133">
        <w:rPr>
          <w:rFonts w:ascii="Palatino Linotype" w:hAnsi="Palatino Linotype" w:cstheme="minorBidi"/>
          <w:lang w:val="en-US"/>
        </w:rPr>
        <w:t>On the equity side, there was very little fund raising immediately after onset of the pandemic, especially public issues till end of May. But, it picked up June onwards. Since then, equity fund raising, especially through public issues, has increased quite well. Except for preferential issue, every single mode of fund raising, be it IPO, FPO, rights issue or QIP saw an increase in this financial year till January 2021 vis-à-vis corresponding period last financial year. While public offerings through IPOs and FPOs together more than tripled, rights issue and QIPs increased by 18% and 33% respectively. There is also a healthy pipe line of public issues lined up which are expected to come out in the coming months.</w:t>
      </w: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20. </w:t>
      </w:r>
      <w:r w:rsidR="007218DE">
        <w:rPr>
          <w:rFonts w:ascii="Palatino Linotype" w:hAnsi="Palatino Linotype" w:cstheme="minorBidi"/>
          <w:lang w:val="en-US"/>
        </w:rPr>
        <w:t xml:space="preserve">   </w:t>
      </w:r>
      <w:r w:rsidRPr="00207133">
        <w:rPr>
          <w:rFonts w:ascii="Palatino Linotype" w:hAnsi="Palatino Linotype" w:cstheme="minorBidi"/>
          <w:lang w:val="en-US"/>
        </w:rPr>
        <w:t>If we analyse the 18 IPOs that have come out in this financial year on the main Board till January 2021, certain trends can be seen in respect of four particular aspects-</w:t>
      </w:r>
    </w:p>
    <w:p w:rsidR="00207133" w:rsidRDefault="00207133" w:rsidP="003F384D">
      <w:pPr>
        <w:numPr>
          <w:ilvl w:val="0"/>
          <w:numId w:val="23"/>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lang w:val="en-US"/>
        </w:rPr>
        <w:t>a.</w:t>
      </w:r>
      <w:r w:rsidRPr="00207133">
        <w:rPr>
          <w:rFonts w:ascii="Palatino Linotype" w:hAnsi="Palatino Linotype" w:cstheme="minorBidi"/>
          <w:u w:val="single"/>
          <w:lang w:val="en-US"/>
        </w:rPr>
        <w:t>Types of companies</w:t>
      </w:r>
      <w:r w:rsidRPr="00207133">
        <w:rPr>
          <w:rFonts w:ascii="Palatino Linotype" w:hAnsi="Palatino Linotype" w:cstheme="minorBidi"/>
          <w:lang w:val="en-US"/>
        </w:rPr>
        <w:t>- IPOs largely appear to be by the companies which are either in sectors resilient to the pandemic or those which are recovering well e.g. technology, specialty chemicals, healthcare, certain financial sub-sectors, etc. Of course well-established market leaders have been able to raise funds through IPOs as well.</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Default="00207133" w:rsidP="003F384D">
      <w:pPr>
        <w:numPr>
          <w:ilvl w:val="0"/>
          <w:numId w:val="23"/>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u w:val="single"/>
          <w:lang w:val="en-US"/>
        </w:rPr>
        <w:t>Increased fresh issues</w:t>
      </w:r>
      <w:r w:rsidRPr="00207133">
        <w:rPr>
          <w:rFonts w:ascii="Palatino Linotype" w:hAnsi="Palatino Linotype" w:cstheme="minorBidi"/>
          <w:lang w:val="en-US"/>
        </w:rPr>
        <w:t>-In this financial year till January, the amount raised through fresh issue has gone upto 29% of the total IPO size from 19 % in the corresponding period in the last financial year. This indicates increasing use of IPOs by companies this financial year for fund infusion compared to last year.</w:t>
      </w: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3"/>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u w:val="single"/>
          <w:lang w:val="en-US"/>
        </w:rPr>
        <w:t>Participation by investor</w:t>
      </w:r>
      <w:r w:rsidRPr="00207133">
        <w:rPr>
          <w:rFonts w:ascii="Palatino Linotype" w:hAnsi="Palatino Linotype" w:cstheme="minorBidi"/>
          <w:lang w:val="en-US"/>
        </w:rPr>
        <w:t>s- Every IPO saw a good amount of subscription with every issue being over subscribed by atleast more than 2 times. 6 of the total 18 IPOs i.e. 1/3</w:t>
      </w:r>
      <w:r w:rsidRPr="00207133">
        <w:rPr>
          <w:rFonts w:ascii="Palatino Linotype" w:hAnsi="Palatino Linotype" w:cstheme="minorBidi"/>
          <w:vertAlign w:val="superscript"/>
          <w:lang w:val="en-US"/>
        </w:rPr>
        <w:t>rd</w:t>
      </w:r>
      <w:r w:rsidRPr="00207133">
        <w:rPr>
          <w:rFonts w:ascii="Palatino Linotype" w:hAnsi="Palatino Linotype" w:cstheme="minorBidi"/>
          <w:lang w:val="en-US"/>
        </w:rPr>
        <w:t xml:space="preserve"> of the total number of IPOs were oversubscribed more than 100 times. Of these 6 IPOs, 5 were oversubscribed around or over 150 times. If we compare this to the last financial year during the same period, only 2 out of 13 IPOs were oversubscribed over 100 times, of which only one was above 150 times. One of the IPOs in this financial year was oversubscribed as high as 196 times, highest ever for an IPO of over INR 200 cores in the last decade or so. This reflects a healthy investor interest in the IPOs in this financial year. </w:t>
      </w:r>
    </w:p>
    <w:p w:rsidR="007218DE" w:rsidRDefault="007218DE" w:rsidP="007218DE">
      <w:pPr>
        <w:pStyle w:val="ListParagraph"/>
        <w:rPr>
          <w:rFonts w:ascii="Palatino Linotype" w:hAnsi="Palatino Linotype" w:cstheme="minorBidi"/>
        </w:rPr>
      </w:pPr>
    </w:p>
    <w:p w:rsidR="007218DE" w:rsidRPr="00207133" w:rsidRDefault="007218DE" w:rsidP="007218DE">
      <w:pPr>
        <w:spacing w:after="160" w:line="259" w:lineRule="auto"/>
        <w:contextualSpacing/>
        <w:jc w:val="both"/>
        <w:rPr>
          <w:rFonts w:ascii="Palatino Linotype" w:hAnsi="Palatino Linotype" w:cstheme="minorBidi"/>
          <w:lang w:val="en-US"/>
        </w:rPr>
      </w:pPr>
    </w:p>
    <w:p w:rsidR="00207133" w:rsidRDefault="00207133" w:rsidP="003F384D">
      <w:pPr>
        <w:numPr>
          <w:ilvl w:val="0"/>
          <w:numId w:val="23"/>
        </w:numPr>
        <w:spacing w:after="160" w:line="259" w:lineRule="auto"/>
        <w:contextualSpacing/>
        <w:jc w:val="both"/>
        <w:rPr>
          <w:rFonts w:ascii="Palatino Linotype" w:hAnsi="Palatino Linotype" w:cstheme="minorBidi"/>
          <w:lang w:val="en-US"/>
        </w:rPr>
      </w:pPr>
      <w:r w:rsidRPr="00207133">
        <w:rPr>
          <w:rFonts w:ascii="Palatino Linotype" w:hAnsi="Palatino Linotype" w:cstheme="minorBidi"/>
          <w:u w:val="single"/>
          <w:lang w:val="en-US"/>
        </w:rPr>
        <w:t xml:space="preserve">Performance post-listing - </w:t>
      </w:r>
      <w:r w:rsidRPr="00207133">
        <w:rPr>
          <w:rFonts w:ascii="Palatino Linotype" w:hAnsi="Palatino Linotype" w:cstheme="minorBidi"/>
          <w:lang w:val="en-US"/>
        </w:rPr>
        <w:t>IPOs performed quite well post-listing in this financial year. 14 of the 18 IPOs listed at a premium to the issue price. Out of these 14, 3 listed at a premium of more than 100 %. With the exception of 2 IPOs listed in January this year, the other 16 IPOs are all trading today above the issue price.</w:t>
      </w:r>
    </w:p>
    <w:p w:rsidR="007218DE" w:rsidRPr="00207133" w:rsidRDefault="007218DE" w:rsidP="007218DE">
      <w:pPr>
        <w:spacing w:after="160" w:line="259" w:lineRule="auto"/>
        <w:ind w:left="720"/>
        <w:contextualSpacing/>
        <w:jc w:val="both"/>
        <w:rPr>
          <w:rFonts w:ascii="Palatino Linotype" w:hAnsi="Palatino Linotype" w:cstheme="minorBidi"/>
          <w:lang w:val="en-US"/>
        </w:rPr>
      </w:pPr>
    </w:p>
    <w:p w:rsidR="00207133" w:rsidRPr="00207133" w:rsidRDefault="00207133" w:rsidP="007218DE">
      <w:pPr>
        <w:spacing w:after="160" w:line="259" w:lineRule="auto"/>
        <w:ind w:left="567" w:hanging="567"/>
        <w:jc w:val="both"/>
        <w:rPr>
          <w:rFonts w:ascii="Palatino Linotype" w:hAnsi="Palatino Linotype" w:cstheme="minorBidi"/>
          <w:lang w:val="en-US"/>
        </w:rPr>
      </w:pPr>
      <w:r w:rsidRPr="00207133">
        <w:rPr>
          <w:rFonts w:ascii="Palatino Linotype" w:hAnsi="Palatino Linotype" w:cstheme="minorBidi"/>
          <w:lang w:val="en-US"/>
        </w:rPr>
        <w:t xml:space="preserve">21. </w:t>
      </w:r>
      <w:r w:rsidR="007218DE">
        <w:rPr>
          <w:rFonts w:ascii="Palatino Linotype" w:hAnsi="Palatino Linotype" w:cstheme="minorBidi"/>
          <w:lang w:val="en-US"/>
        </w:rPr>
        <w:t xml:space="preserve">  </w:t>
      </w:r>
      <w:r w:rsidRPr="00207133">
        <w:rPr>
          <w:rFonts w:ascii="Palatino Linotype" w:hAnsi="Palatino Linotype" w:cstheme="minorBidi"/>
          <w:lang w:val="en-US"/>
        </w:rPr>
        <w:t>Overall, till January 2021 in this financial year, corporate have already raised more than INR 8.4 lakh crore through equity and bond markets, around INR 40,000 crore more than the corresponding period in the last financial year. Funds raised from corporate bonds last financial year till January was almost double of the funds raised through equity. This year, the proportion is almost 3.3 times.</w:t>
      </w: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b/>
          <w:lang w:val="en-US"/>
        </w:rPr>
        <w:t>Certain unique trends</w:t>
      </w:r>
      <w:r w:rsidRPr="00207133">
        <w:rPr>
          <w:rFonts w:ascii="Palatino Linotype" w:hAnsi="Palatino Linotype" w:cstheme="minorBidi"/>
          <w:lang w:val="en-US"/>
        </w:rPr>
        <w:t xml:space="preserve"> </w:t>
      </w:r>
    </w:p>
    <w:p w:rsidR="00207133" w:rsidRPr="00207133" w:rsidRDefault="00207133" w:rsidP="00F5223F">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22. </w:t>
      </w:r>
      <w:r w:rsidR="00F5223F">
        <w:rPr>
          <w:rFonts w:ascii="Palatino Linotype" w:hAnsi="Palatino Linotype" w:cstheme="minorBidi"/>
          <w:lang w:val="en-US"/>
        </w:rPr>
        <w:t xml:space="preserve">  </w:t>
      </w:r>
      <w:r w:rsidRPr="00207133">
        <w:rPr>
          <w:rFonts w:ascii="Palatino Linotype" w:hAnsi="Palatino Linotype" w:cstheme="minorBidi"/>
          <w:lang w:val="en-US"/>
        </w:rPr>
        <w:t>Apart from general trends in market movements, investor and corporate behavior, there are certain interesting unique trends which have emerged.</w:t>
      </w: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 xml:space="preserve">a. </w:t>
      </w:r>
      <w:r w:rsidRPr="00207133">
        <w:rPr>
          <w:rFonts w:ascii="Palatino Linotype" w:hAnsi="Palatino Linotype" w:cstheme="minorBidi"/>
          <w:u w:val="single"/>
          <w:lang w:val="en-US"/>
        </w:rPr>
        <w:t>ESG issues</w:t>
      </w:r>
      <w:r w:rsidRPr="00207133">
        <w:rPr>
          <w:rFonts w:ascii="Palatino Linotype" w:hAnsi="Palatino Linotype" w:cstheme="minorBidi"/>
          <w:lang w:val="en-US"/>
        </w:rPr>
        <w:t>:</w:t>
      </w:r>
    </w:p>
    <w:p w:rsidR="00207133" w:rsidRPr="00207133" w:rsidRDefault="00F5223F" w:rsidP="00F5223F">
      <w:pPr>
        <w:spacing w:after="160" w:line="259" w:lineRule="auto"/>
        <w:ind w:left="426"/>
        <w:jc w:val="both"/>
        <w:rPr>
          <w:rFonts w:ascii="Palatino Linotype" w:hAnsi="Palatino Linotype" w:cstheme="minorBidi"/>
          <w:lang w:val="en-US"/>
        </w:rPr>
      </w:pPr>
      <w:r>
        <w:rPr>
          <w:rFonts w:ascii="Palatino Linotype" w:hAnsi="Palatino Linotype" w:cstheme="minorBidi"/>
          <w:lang w:val="en-US"/>
        </w:rPr>
        <w:t>i</w:t>
      </w:r>
      <w:r w:rsidR="00207133" w:rsidRPr="00207133">
        <w:rPr>
          <w:rFonts w:ascii="Palatino Linotype" w:hAnsi="Palatino Linotype" w:cstheme="minorBidi"/>
          <w:lang w:val="en-US"/>
        </w:rPr>
        <w:t>. Initially, at the beginning of the pandemic, there was a concern that climate change and environmental issues may be relegated to the background as the fundraising in itself was perceived as a challenge in these difficult times. However, we can see that focus on ESG issues globally and in India has only increased in this financial year.</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ii. In line with the general global trend of ESG becoming more and more prominent for investors, Indian investors also showed increased interest in ESG investment.</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iii. This can be seen clearly in the increasing number of ESG schemes by Mutual Funds and investment in such schemes. From 3 ESG schemes of Mutual Funds as at the end of FY 2019-20, today we have a total of 9 ESG schemes i.e. 6 schemes have been added only in the last 10 months. From around INR 2100 crore invested in such schemes in the whole of last financial year, the amount has increased to around INR 3800 crore in FY 2020-21 till 31</w:t>
      </w:r>
      <w:r w:rsidRPr="00207133">
        <w:rPr>
          <w:rFonts w:ascii="Palatino Linotype" w:hAnsi="Palatino Linotype" w:cstheme="minorBidi"/>
          <w:vertAlign w:val="superscript"/>
          <w:lang w:val="en-US"/>
        </w:rPr>
        <w:t>st</w:t>
      </w:r>
      <w:r w:rsidRPr="00207133">
        <w:rPr>
          <w:rFonts w:ascii="Palatino Linotype" w:hAnsi="Palatino Linotype" w:cstheme="minorBidi"/>
          <w:lang w:val="en-US"/>
        </w:rPr>
        <w:t xml:space="preserve"> Jan, 2021. While the trend appears to be on the rise, we still have a long way to go compared to global levels.</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iv. With a view to meeting the increasing investor demand for ESG related information, SEBI is in active discussions with various stakeholders to bring in greater granularity in disclosures by listed companies in the ESG space so that investors can make well informed investment decisions. We are expecting to issue the relevant guidelines soon. The proposed guidelines are aimed at achieving much higher level of transparency and accountability from listed entities in the ESG arena.</w:t>
      </w: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 xml:space="preserve">b. </w:t>
      </w:r>
      <w:r w:rsidRPr="00207133">
        <w:rPr>
          <w:rFonts w:ascii="Palatino Linotype" w:hAnsi="Palatino Linotype" w:cstheme="minorBidi"/>
          <w:u w:val="single"/>
          <w:lang w:val="en-US"/>
        </w:rPr>
        <w:t>Diversification through investment abroad:</w:t>
      </w:r>
      <w:r w:rsidRPr="00207133">
        <w:rPr>
          <w:rFonts w:ascii="Palatino Linotype" w:hAnsi="Palatino Linotype" w:cstheme="minorBidi"/>
          <w:lang w:val="en-US"/>
        </w:rPr>
        <w:t xml:space="preserve"> </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 Another trend witnessed in this financial year is diversification through investment abroad. The net inflows in dedicated overseas schemes of Mutual Funds in this financial year till January is 9 times that of the corresponding period in last financial year and 3 times if we consider the entire last financial year.</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ii. The interest appears to be only increasing over time, with around INR 5000 crore of net inflows in such schemes in just last two months - December and January. This appears to indicate increased appetite for diversification by investors through investment abroad or a general increased interest in more global exposure.</w:t>
      </w: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 xml:space="preserve">c. </w:t>
      </w:r>
      <w:r w:rsidRPr="00207133">
        <w:rPr>
          <w:rFonts w:ascii="Palatino Linotype" w:hAnsi="Palatino Linotype" w:cstheme="minorBidi"/>
          <w:u w:val="single"/>
          <w:lang w:val="en-US"/>
        </w:rPr>
        <w:t>Role played by technology</w:t>
      </w:r>
      <w:r w:rsidRPr="00207133">
        <w:rPr>
          <w:rFonts w:ascii="Palatino Linotype" w:hAnsi="Palatino Linotype" w:cstheme="minorBidi"/>
          <w:lang w:val="en-US"/>
        </w:rPr>
        <w:t xml:space="preserve"> </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i. Investors, intermediaries and companies-everyone saw increased adoption of technology in their activities post start of the pandemic. Intermediaries started offering more online services and replaced physical interactions with customers with virtual interactions. SEBI facilitated e-KYC for customers which enabled easier onboarding access for new investors by intermediaries. I have already mentioned about increasing trend of virtual meetings, including-AGMs &amp;e-Board meetings by companies.</w:t>
      </w:r>
    </w:p>
    <w:p w:rsidR="00207133" w:rsidRPr="00207133" w:rsidRDefault="00207133" w:rsidP="00F5223F">
      <w:pPr>
        <w:spacing w:after="160" w:line="259" w:lineRule="auto"/>
        <w:ind w:left="426"/>
        <w:jc w:val="both"/>
        <w:rPr>
          <w:rFonts w:ascii="Palatino Linotype" w:hAnsi="Palatino Linotype" w:cstheme="minorBidi"/>
          <w:lang w:val="en-US"/>
        </w:rPr>
      </w:pPr>
      <w:r w:rsidRPr="00207133">
        <w:rPr>
          <w:rFonts w:ascii="Palatino Linotype" w:hAnsi="Palatino Linotype" w:cstheme="minorBidi"/>
          <w:lang w:val="en-US"/>
        </w:rPr>
        <w:t xml:space="preserve">ii. On the other side, more and more investors also moved from physical dealings to online dealings with the pandemic making physical interactions difficult. While a lot of these trends were thrust upon people due to the pandemic, many are likely to stay. </w:t>
      </w:r>
    </w:p>
    <w:p w:rsidR="00207133" w:rsidRPr="00207133" w:rsidRDefault="00207133" w:rsidP="00207133">
      <w:pPr>
        <w:spacing w:after="160" w:line="259" w:lineRule="auto"/>
        <w:jc w:val="both"/>
        <w:rPr>
          <w:rFonts w:ascii="Palatino Linotype" w:hAnsi="Palatino Linotype" w:cstheme="minorBidi"/>
          <w:b/>
          <w:lang w:val="en-US"/>
        </w:rPr>
      </w:pPr>
      <w:r w:rsidRPr="00207133">
        <w:rPr>
          <w:rFonts w:ascii="Palatino Linotype" w:hAnsi="Palatino Linotype" w:cstheme="minorBidi"/>
          <w:b/>
          <w:lang w:val="en-US"/>
        </w:rPr>
        <w:t>Conclusion</w:t>
      </w:r>
    </w:p>
    <w:p w:rsidR="00207133" w:rsidRPr="00207133" w:rsidRDefault="00207133" w:rsidP="00F5223F">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23. </w:t>
      </w:r>
      <w:r w:rsidR="00F5223F">
        <w:rPr>
          <w:rFonts w:ascii="Palatino Linotype" w:hAnsi="Palatino Linotype" w:cstheme="minorBidi"/>
          <w:lang w:val="en-US"/>
        </w:rPr>
        <w:t xml:space="preserve"> </w:t>
      </w:r>
      <w:r w:rsidRPr="00207133">
        <w:rPr>
          <w:rFonts w:ascii="Palatino Linotype" w:hAnsi="Palatino Linotype" w:cstheme="minorBidi"/>
          <w:lang w:val="en-US"/>
        </w:rPr>
        <w:t>Overall, in conclusion, there have been several perceptible changes that the pandemic has brought into the securities market in various aspects. Some of them particularly those relating to technology changes are likely to continue even post pandemic as well.</w:t>
      </w:r>
    </w:p>
    <w:p w:rsidR="00207133" w:rsidRPr="00207133" w:rsidRDefault="00207133" w:rsidP="00F5223F">
      <w:pPr>
        <w:spacing w:after="160" w:line="259" w:lineRule="auto"/>
        <w:ind w:left="426" w:hanging="426"/>
        <w:jc w:val="both"/>
        <w:rPr>
          <w:rFonts w:ascii="Palatino Linotype" w:hAnsi="Palatino Linotype" w:cstheme="minorBidi"/>
          <w:lang w:val="en-US"/>
        </w:rPr>
      </w:pPr>
      <w:r w:rsidRPr="00207133">
        <w:rPr>
          <w:rFonts w:ascii="Palatino Linotype" w:hAnsi="Palatino Linotype" w:cstheme="minorBidi"/>
          <w:lang w:val="en-US"/>
        </w:rPr>
        <w:t xml:space="preserve">24. </w:t>
      </w:r>
      <w:r w:rsidR="00F5223F">
        <w:rPr>
          <w:rFonts w:ascii="Palatino Linotype" w:hAnsi="Palatino Linotype" w:cstheme="minorBidi"/>
          <w:lang w:val="en-US"/>
        </w:rPr>
        <w:t xml:space="preserve"> </w:t>
      </w:r>
      <w:r w:rsidRPr="00207133">
        <w:rPr>
          <w:rFonts w:ascii="Palatino Linotype" w:hAnsi="Palatino Linotype" w:cstheme="minorBidi"/>
          <w:lang w:val="en-US"/>
        </w:rPr>
        <w:t xml:space="preserve">I have tried to touch upon the broad trends in the post pandemic era. I am sure the other participants will add on a lot of insights, especially on the more technical aspects. We would welcome any useful policy suggestions that may emerge out of deliberations over the course of the two days. I wish the conference a great success. </w:t>
      </w:r>
    </w:p>
    <w:p w:rsidR="00F5223F" w:rsidRDefault="00F5223F" w:rsidP="00207133">
      <w:pPr>
        <w:spacing w:after="160" w:line="259" w:lineRule="auto"/>
        <w:jc w:val="both"/>
        <w:rPr>
          <w:rFonts w:ascii="Palatino Linotype" w:hAnsi="Palatino Linotype" w:cstheme="minorBidi"/>
          <w:lang w:val="en-US"/>
        </w:rPr>
      </w:pPr>
    </w:p>
    <w:p w:rsidR="00207133" w:rsidRPr="00207133" w:rsidRDefault="00207133" w:rsidP="00207133">
      <w:pPr>
        <w:spacing w:after="160" w:line="259" w:lineRule="auto"/>
        <w:jc w:val="both"/>
        <w:rPr>
          <w:rFonts w:ascii="Palatino Linotype" w:hAnsi="Palatino Linotype" w:cstheme="minorBidi"/>
          <w:lang w:val="en-US"/>
        </w:rPr>
      </w:pPr>
      <w:r w:rsidRPr="00207133">
        <w:rPr>
          <w:rFonts w:ascii="Palatino Linotype" w:hAnsi="Palatino Linotype" w:cstheme="minorBidi"/>
          <w:lang w:val="en-US"/>
        </w:rPr>
        <w:t>Thank you.</w:t>
      </w:r>
    </w:p>
    <w:p w:rsidR="00DF2C51" w:rsidRPr="00DF2C51" w:rsidRDefault="00F5223F" w:rsidP="00DF2C51">
      <w:pPr>
        <w:jc w:val="center"/>
        <w:rPr>
          <w:rFonts w:ascii="Palatino Linotype" w:hAnsi="Palatino Linotype"/>
          <w:b/>
          <w:sz w:val="28"/>
        </w:rPr>
      </w:pPr>
      <w:r>
        <w:rPr>
          <w:rFonts w:ascii="Palatino Linotype" w:hAnsi="Palatino Linotype" w:cs="Helvetica"/>
          <w:b/>
          <w:color w:val="000099"/>
          <w:sz w:val="28"/>
          <w:szCs w:val="28"/>
        </w:rPr>
        <w:br w:type="page"/>
      </w:r>
      <w:r w:rsidR="00DF2C51" w:rsidRPr="00DF2C51">
        <w:rPr>
          <w:rFonts w:ascii="Palatino Linotype" w:hAnsi="Palatino Linotype"/>
          <w:b/>
          <w:sz w:val="28"/>
        </w:rPr>
        <w:t>Second SEBI-NISM Research Conference On “</w:t>
      </w:r>
      <w:r w:rsidR="00DF2C51" w:rsidRPr="00DF2C51">
        <w:rPr>
          <w:rFonts w:ascii="Palatino Linotype" w:hAnsi="Palatino Linotype"/>
          <w:b/>
          <w:i/>
          <w:sz w:val="28"/>
        </w:rPr>
        <w:t>Behavior of Securities Markets – Sighting of Black Swan Event”</w:t>
      </w: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r w:rsidRPr="00DF2C51">
        <w:rPr>
          <w:rFonts w:ascii="Palatino Linotype" w:hAnsi="Palatino Linotype"/>
        </w:rPr>
        <w:t>Securities and Exchange Board of India (SEBI) and National Institute of Securities Markets (NISM) had jointly organised the Second SEBI-NISM Research Conference on “Behavior of Securities Markets – Sighting of Black Swan”. The conference was held in the webinar mode during February 25-26, 2021.</w:t>
      </w: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r w:rsidRPr="00DF2C51">
        <w:rPr>
          <w:rFonts w:ascii="Palatino Linotype" w:hAnsi="Palatino Linotype"/>
        </w:rPr>
        <w:t>Research papers were invited from academicians, research students and industry participants on various themes like Securities Market Response to Black Swan Events, Corporate Finance Response to COVID-19, Impact of Technology on Economy and Markets during COVID-19, Investor Response to Black Swan Events, Impact of Black Swan Events on Asset Classes and Market Structure and Market Dynamics.</w:t>
      </w: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r w:rsidRPr="00DF2C51">
        <w:rPr>
          <w:rFonts w:ascii="Palatino Linotype" w:hAnsi="Palatino Linotype"/>
        </w:rPr>
        <w:t>There was an overwhelming response to ‘call for papers’. In all about 151 abstracts were received. In total, 98 full papers were received from researchers from Indian universities and foreign universities viz. USA, Saudi Arabia, Oman etc. All the papers were reviewed by independent academic reviewers on various parameters as relevance of the paper to the conference theme, robustness of research methodology applied etc. Finally, 16 papers were accepted for presentation at the Conference. Of which, 15 papers were presented at the conference. A compendium will be released after taking consent from authors.</w:t>
      </w: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r w:rsidRPr="00DF2C51">
        <w:rPr>
          <w:rFonts w:ascii="Palatino Linotype" w:hAnsi="Palatino Linotype"/>
        </w:rPr>
        <w:t xml:space="preserve">The conference was inaugurated by </w:t>
      </w:r>
      <w:r w:rsidRPr="00DF2C51">
        <w:rPr>
          <w:rFonts w:ascii="Palatino Linotype" w:hAnsi="Palatino Linotype"/>
          <w:i/>
        </w:rPr>
        <w:t>Shri. Ajay Tyagi</w:t>
      </w:r>
      <w:r w:rsidRPr="00DF2C51">
        <w:rPr>
          <w:rFonts w:ascii="Palatino Linotype" w:hAnsi="Palatino Linotype"/>
        </w:rPr>
        <w:t xml:space="preserve">, Chairman SEBI on 25th of February, 2021.  The galaxy of speakers at the conference includes </w:t>
      </w:r>
      <w:r w:rsidRPr="00DF2C51">
        <w:rPr>
          <w:rFonts w:ascii="Palatino Linotype" w:hAnsi="Palatino Linotype"/>
          <w:i/>
        </w:rPr>
        <w:t>Shri. S.K. Mohanty</w:t>
      </w:r>
      <w:r w:rsidRPr="00DF2C51">
        <w:rPr>
          <w:rFonts w:ascii="Palatino Linotype" w:hAnsi="Palatino Linotype"/>
        </w:rPr>
        <w:t xml:space="preserve">, Director, NISM, </w:t>
      </w:r>
      <w:r w:rsidRPr="00DF2C51">
        <w:rPr>
          <w:rFonts w:ascii="Palatino Linotype" w:hAnsi="Palatino Linotype"/>
          <w:i/>
        </w:rPr>
        <w:t>Smt. Madhabi Puri Buch</w:t>
      </w:r>
      <w:r w:rsidRPr="00DF2C51">
        <w:rPr>
          <w:rFonts w:ascii="Palatino Linotype" w:hAnsi="Palatino Linotype"/>
        </w:rPr>
        <w:t xml:space="preserve">, WTM, SEBI, </w:t>
      </w:r>
      <w:r w:rsidRPr="00DF2C51">
        <w:rPr>
          <w:rFonts w:ascii="Palatino Linotype" w:hAnsi="Palatino Linotype"/>
          <w:i/>
        </w:rPr>
        <w:t>Shri. Siddharth Tiwari</w:t>
      </w:r>
      <w:r w:rsidRPr="00DF2C51">
        <w:rPr>
          <w:rFonts w:ascii="Palatino Linotype" w:hAnsi="Palatino Linotype"/>
        </w:rPr>
        <w:t xml:space="preserve">, Chief Representative for Asia and Pacific, Bank for International Settlements, </w:t>
      </w:r>
      <w:r w:rsidRPr="00DF2C51">
        <w:rPr>
          <w:rFonts w:ascii="Palatino Linotype" w:hAnsi="Palatino Linotype"/>
          <w:i/>
        </w:rPr>
        <w:t>Dr. S. P. Kothari</w:t>
      </w:r>
      <w:r w:rsidRPr="00DF2C51">
        <w:rPr>
          <w:rFonts w:ascii="Palatino Linotype" w:hAnsi="Palatino Linotype"/>
        </w:rPr>
        <w:t xml:space="preserve">, Former Chief Economist and Director, Division of Economic and Risk Analysis, Securities and Exchange Commission, USA, </w:t>
      </w:r>
      <w:r w:rsidRPr="00DF2C51">
        <w:rPr>
          <w:rFonts w:ascii="Palatino Linotype" w:hAnsi="Palatino Linotype"/>
          <w:i/>
        </w:rPr>
        <w:t>Mr. Ashley Ian Alder</w:t>
      </w:r>
      <w:r w:rsidRPr="00DF2C51">
        <w:rPr>
          <w:rFonts w:ascii="Palatino Linotype" w:hAnsi="Palatino Linotype"/>
        </w:rPr>
        <w:t xml:space="preserve">, CEO of Securities and Futures Commission, Hong Kong and also the Chairman of the Board of International Organization of Securities Commissions, </w:t>
      </w:r>
      <w:r w:rsidRPr="00DF2C51">
        <w:rPr>
          <w:rFonts w:ascii="Palatino Linotype" w:hAnsi="Palatino Linotype"/>
          <w:i/>
        </w:rPr>
        <w:t>Dr. Suraj Srinivasan</w:t>
      </w:r>
      <w:r w:rsidRPr="00DF2C51">
        <w:rPr>
          <w:rFonts w:ascii="Palatino Linotype" w:hAnsi="Palatino Linotype"/>
        </w:rPr>
        <w:t xml:space="preserve">, Harvard Business School. </w:t>
      </w:r>
    </w:p>
    <w:p w:rsidR="00DF2C51" w:rsidRPr="00DF2C51" w:rsidRDefault="00DF2C51" w:rsidP="00DF2C51">
      <w:pPr>
        <w:jc w:val="both"/>
        <w:rPr>
          <w:rFonts w:ascii="Palatino Linotype" w:hAnsi="Palatino Linotype"/>
        </w:rPr>
      </w:pPr>
    </w:p>
    <w:p w:rsidR="00DF2C51" w:rsidRPr="00DF2C51" w:rsidRDefault="00DF2C51" w:rsidP="00DF2C51">
      <w:pPr>
        <w:jc w:val="both"/>
        <w:rPr>
          <w:rFonts w:ascii="Palatino Linotype" w:hAnsi="Palatino Linotype"/>
        </w:rPr>
      </w:pPr>
      <w:r w:rsidRPr="00DF2C51">
        <w:rPr>
          <w:rFonts w:ascii="Palatino Linotype" w:hAnsi="Palatino Linotype"/>
        </w:rPr>
        <w:t xml:space="preserve">A five-member jury (consisting of eminent academicians, regulators and practitioners) judged the papers and presentations at the conference. The best three papers were awarded cash prizes of </w:t>
      </w:r>
      <w:r w:rsidRPr="00DF2C51">
        <w:rPr>
          <w:rFonts w:ascii="Tahoma" w:hAnsi="Tahoma" w:cs="Tahoma"/>
        </w:rPr>
        <w:t>₹</w:t>
      </w:r>
      <w:r w:rsidRPr="00DF2C51">
        <w:rPr>
          <w:rFonts w:ascii="Palatino Linotype" w:hAnsi="Palatino Linotype"/>
        </w:rPr>
        <w:t xml:space="preserve">30,000, </w:t>
      </w:r>
      <w:r w:rsidRPr="00DF2C51">
        <w:rPr>
          <w:rFonts w:ascii="Tahoma" w:hAnsi="Tahoma" w:cs="Tahoma"/>
        </w:rPr>
        <w:t>₹</w:t>
      </w:r>
      <w:r w:rsidRPr="00DF2C51">
        <w:rPr>
          <w:rFonts w:ascii="Palatino Linotype" w:hAnsi="Palatino Linotype"/>
        </w:rPr>
        <w:t xml:space="preserve">25,000 and </w:t>
      </w:r>
      <w:r w:rsidRPr="00DF2C51">
        <w:rPr>
          <w:rFonts w:ascii="Tahoma" w:hAnsi="Tahoma" w:cs="Tahoma"/>
        </w:rPr>
        <w:t>₹</w:t>
      </w:r>
      <w:r w:rsidRPr="00DF2C51">
        <w:rPr>
          <w:rFonts w:ascii="Palatino Linotype" w:hAnsi="Palatino Linotype"/>
        </w:rPr>
        <w:t>20,000.  Best three papers selected in the conference are:</w:t>
      </w:r>
    </w:p>
    <w:p w:rsidR="00DF2C51" w:rsidRPr="00DF2C51" w:rsidRDefault="00DF2C51" w:rsidP="00DF2C51">
      <w:pPr>
        <w:jc w:val="both"/>
        <w:rPr>
          <w:rFonts w:ascii="Palatino Linotype" w:hAnsi="Palatino Linotype"/>
        </w:rPr>
      </w:pPr>
    </w:p>
    <w:p w:rsidR="00DF2C51" w:rsidRPr="00DF2C51" w:rsidRDefault="00DF2C51" w:rsidP="003F384D">
      <w:pPr>
        <w:pStyle w:val="ListParagraph"/>
        <w:numPr>
          <w:ilvl w:val="0"/>
          <w:numId w:val="25"/>
        </w:numPr>
        <w:spacing w:after="0"/>
        <w:ind w:left="284" w:hanging="284"/>
        <w:jc w:val="both"/>
        <w:rPr>
          <w:rFonts w:ascii="Palatino Linotype" w:hAnsi="Palatino Linotype"/>
        </w:rPr>
      </w:pPr>
      <w:r w:rsidRPr="00DF2C51">
        <w:rPr>
          <w:rFonts w:ascii="Palatino Linotype" w:hAnsi="Palatino Linotype"/>
        </w:rPr>
        <w:t>COVID-19 and Corporate India</w:t>
      </w:r>
    </w:p>
    <w:p w:rsidR="00DF2C51" w:rsidRPr="00DF2C51" w:rsidRDefault="00DF2C51" w:rsidP="003F384D">
      <w:pPr>
        <w:pStyle w:val="ListParagraph"/>
        <w:numPr>
          <w:ilvl w:val="0"/>
          <w:numId w:val="25"/>
        </w:numPr>
        <w:spacing w:after="0"/>
        <w:ind w:left="284" w:hanging="284"/>
        <w:jc w:val="both"/>
        <w:rPr>
          <w:rFonts w:ascii="Palatino Linotype" w:hAnsi="Palatino Linotype"/>
        </w:rPr>
      </w:pPr>
      <w:r w:rsidRPr="00DF2C51">
        <w:rPr>
          <w:rFonts w:ascii="Palatino Linotype" w:hAnsi="Palatino Linotype"/>
        </w:rPr>
        <w:t>Effect of COVID-19 Lockdown on the profitability of firms in India</w:t>
      </w:r>
    </w:p>
    <w:p w:rsidR="00DF2C51" w:rsidRPr="00DF2C51" w:rsidRDefault="00DF2C51" w:rsidP="003F384D">
      <w:pPr>
        <w:pStyle w:val="ListParagraph"/>
        <w:numPr>
          <w:ilvl w:val="0"/>
          <w:numId w:val="25"/>
        </w:numPr>
        <w:spacing w:after="0"/>
        <w:ind w:left="284" w:hanging="284"/>
        <w:jc w:val="both"/>
        <w:rPr>
          <w:rFonts w:ascii="Palatino Linotype" w:hAnsi="Palatino Linotype"/>
        </w:rPr>
      </w:pPr>
      <w:r w:rsidRPr="00DF2C51">
        <w:rPr>
          <w:rFonts w:ascii="Palatino Linotype" w:hAnsi="Palatino Linotype"/>
        </w:rPr>
        <w:t>Comparing energy contagion of the Indian industries across global financial crisis and COVID 19</w:t>
      </w:r>
    </w:p>
    <w:p w:rsidR="00DF2C51" w:rsidRPr="00DF2C51" w:rsidRDefault="00DF2C51" w:rsidP="00DF2C51">
      <w:pPr>
        <w:jc w:val="both"/>
        <w:rPr>
          <w:rFonts w:ascii="Palatino Linotype" w:hAnsi="Palatino Linotype"/>
        </w:rPr>
      </w:pPr>
    </w:p>
    <w:p w:rsidR="00F5223F" w:rsidRDefault="00DF2C51" w:rsidP="00DF2C51">
      <w:pPr>
        <w:jc w:val="both"/>
        <w:rPr>
          <w:rFonts w:ascii="Palatino Linotype" w:hAnsi="Palatino Linotype" w:cs="Helvetica"/>
          <w:b/>
          <w:color w:val="000099"/>
          <w:sz w:val="28"/>
          <w:szCs w:val="28"/>
        </w:rPr>
      </w:pPr>
      <w:r w:rsidRPr="00DF2C51">
        <w:rPr>
          <w:rFonts w:ascii="Palatino Linotype" w:hAnsi="Palatino Linotype"/>
        </w:rPr>
        <w:t xml:space="preserve">All the paper presenters and participants were awarded certificate of presentation and participation respectively. Valedictory speech for the conference was delivered by </w:t>
      </w:r>
      <w:r>
        <w:rPr>
          <w:rFonts w:ascii="Palatino Linotype" w:hAnsi="Palatino Linotype"/>
        </w:rPr>
        <w:t xml:space="preserve">                          </w:t>
      </w:r>
      <w:r w:rsidRPr="00DF2C51">
        <w:rPr>
          <w:rFonts w:ascii="Palatino Linotype" w:hAnsi="Palatino Linotype"/>
          <w:i/>
        </w:rPr>
        <w:t>Shri. Amarjeet Singh</w:t>
      </w:r>
      <w:r w:rsidRPr="00DF2C51">
        <w:rPr>
          <w:rFonts w:ascii="Palatino Linotype" w:hAnsi="Palatino Linotype"/>
        </w:rPr>
        <w:t xml:space="preserve">, Executive Director, SEBI, </w:t>
      </w:r>
      <w:r w:rsidRPr="00DF2C51">
        <w:rPr>
          <w:rFonts w:ascii="Palatino Linotype" w:hAnsi="Palatino Linotype"/>
          <w:i/>
        </w:rPr>
        <w:t>Shri. Sunil Kadam</w:t>
      </w:r>
      <w:r w:rsidRPr="00DF2C51">
        <w:rPr>
          <w:rFonts w:ascii="Palatino Linotype" w:hAnsi="Palatino Linotype"/>
        </w:rPr>
        <w:t xml:space="preserve">, Registrar, NISM, </w:t>
      </w:r>
      <w:r w:rsidRPr="00DF2C51">
        <w:rPr>
          <w:rFonts w:ascii="Palatino Linotype" w:hAnsi="Palatino Linotype"/>
          <w:i/>
        </w:rPr>
        <w:t>Prof. G. Sethu</w:t>
      </w:r>
      <w:r w:rsidRPr="00DF2C51">
        <w:rPr>
          <w:rFonts w:ascii="Palatino Linotype" w:hAnsi="Palatino Linotype"/>
        </w:rPr>
        <w:t xml:space="preserve">, former Director, NISM. </w:t>
      </w:r>
    </w:p>
    <w:p w:rsidR="00B43812" w:rsidRDefault="00B43812" w:rsidP="00B43812">
      <w:pPr>
        <w:jc w:val="both"/>
        <w:outlineLvl w:val="0"/>
        <w:rPr>
          <w:rFonts w:ascii="Palatino Linotype" w:hAnsi="Palatino Linotype" w:cs="Helvetica"/>
          <w:b/>
          <w:color w:val="000099"/>
          <w:sz w:val="28"/>
          <w:szCs w:val="28"/>
        </w:rPr>
      </w:pPr>
    </w:p>
    <w:p w:rsidR="007547DA" w:rsidRPr="009A0EB3" w:rsidRDefault="007547DA" w:rsidP="007547DA">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7547DA" w:rsidRPr="009A0EB3" w:rsidRDefault="007547DA" w:rsidP="007547DA">
      <w:pPr>
        <w:jc w:val="center"/>
        <w:outlineLvl w:val="0"/>
        <w:rPr>
          <w:rFonts w:ascii="Palatino Linotype" w:hAnsi="Palatino Linotype" w:cs="Helvetica"/>
          <w:b/>
          <w:color w:val="000099"/>
          <w:sz w:val="22"/>
          <w:szCs w:val="22"/>
        </w:rPr>
      </w:pPr>
    </w:p>
    <w:p w:rsidR="00E940C3" w:rsidRPr="002357A9" w:rsidRDefault="00E940C3" w:rsidP="00E940C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Resource Mobilisation by Corporates  </w:t>
      </w:r>
    </w:p>
    <w:p w:rsidR="00E940C3" w:rsidRPr="002357A9" w:rsidRDefault="00E940C3" w:rsidP="00E940C3">
      <w:pPr>
        <w:widowControl w:val="0"/>
        <w:spacing w:line="276" w:lineRule="auto"/>
        <w:jc w:val="both"/>
        <w:rPr>
          <w:rFonts w:ascii="Palatino Linotype" w:eastAsia="Palatino Linotype" w:hAnsi="Palatino Linotype" w:cs="Palatino Linotype"/>
          <w:b/>
          <w:color w:val="2E74B5"/>
          <w:sz w:val="22"/>
          <w:szCs w:val="22"/>
          <w:highlight w:val="yellow"/>
        </w:rPr>
      </w:pPr>
    </w:p>
    <w:p w:rsidR="00E940C3" w:rsidRPr="002357A9" w:rsidRDefault="00E940C3" w:rsidP="00E940C3">
      <w:pPr>
        <w:widowControl w:val="0"/>
        <w:spacing w:line="276" w:lineRule="auto"/>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Table 1: Fund Mobilisation by Corporates (</w:t>
      </w:r>
      <w:r w:rsidRPr="002357A9">
        <w:rPr>
          <w:rFonts w:ascii="Times New Roman" w:eastAsia="Tahoma" w:hAnsi="Times New Roman"/>
          <w:b/>
          <w:sz w:val="22"/>
          <w:szCs w:val="22"/>
        </w:rPr>
        <w:t>₹</w:t>
      </w:r>
      <w:r>
        <w:rPr>
          <w:rFonts w:ascii="Times New Roman" w:eastAsia="Tahoma" w:hAnsi="Times New Roman"/>
          <w:b/>
          <w:sz w:val="22"/>
          <w:szCs w:val="22"/>
        </w:rPr>
        <w:t xml:space="preserve"> </w:t>
      </w:r>
      <w:r w:rsidRPr="002357A9">
        <w:rPr>
          <w:rFonts w:ascii="Palatino Linotype" w:eastAsia="Palatino Linotype" w:hAnsi="Palatino Linotype" w:cs="Palatino Linotype"/>
          <w:b/>
          <w:sz w:val="22"/>
          <w:szCs w:val="22"/>
        </w:rPr>
        <w:t xml:space="preserve">crore) </w:t>
      </w:r>
    </w:p>
    <w:tbl>
      <w:tblPr>
        <w:tblW w:w="9740" w:type="dxa"/>
        <w:tblInd w:w="-5" w:type="dxa"/>
        <w:tblLook w:val="04A0" w:firstRow="1" w:lastRow="0" w:firstColumn="1" w:lastColumn="0" w:noHBand="0" w:noVBand="1"/>
      </w:tblPr>
      <w:tblGrid>
        <w:gridCol w:w="5387"/>
        <w:gridCol w:w="2268"/>
        <w:gridCol w:w="2085"/>
      </w:tblGrid>
      <w:tr w:rsidR="00E940C3" w:rsidRPr="007816DF" w:rsidTr="0019451C">
        <w:trPr>
          <w:trHeight w:val="261"/>
        </w:trPr>
        <w:tc>
          <w:tcPr>
            <w:tcW w:w="5387" w:type="dxa"/>
            <w:tcBorders>
              <w:top w:val="single" w:sz="4" w:space="0" w:color="000000"/>
              <w:left w:val="single" w:sz="4" w:space="0" w:color="000000"/>
              <w:bottom w:val="single" w:sz="4" w:space="0" w:color="000000"/>
              <w:right w:val="single" w:sz="4" w:space="0" w:color="000000"/>
            </w:tcBorders>
            <w:shd w:val="clear" w:color="A9D08E" w:fill="A9D08E"/>
            <w:noWrap/>
            <w:vAlign w:val="center"/>
            <w:hideMark/>
          </w:tcPr>
          <w:p w:rsidR="00E940C3" w:rsidRPr="007816DF" w:rsidRDefault="00E940C3" w:rsidP="0019451C">
            <w:pPr>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Particulars</w:t>
            </w:r>
          </w:p>
        </w:tc>
        <w:tc>
          <w:tcPr>
            <w:tcW w:w="2268" w:type="dxa"/>
            <w:tcBorders>
              <w:top w:val="single" w:sz="4" w:space="0" w:color="000000"/>
              <w:left w:val="nil"/>
              <w:bottom w:val="single" w:sz="4" w:space="0" w:color="000000"/>
              <w:right w:val="single" w:sz="4" w:space="0" w:color="000000"/>
            </w:tcBorders>
            <w:shd w:val="clear" w:color="A9D08E" w:fill="A9D08E"/>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Jan-21</w:t>
            </w:r>
          </w:p>
        </w:tc>
        <w:tc>
          <w:tcPr>
            <w:tcW w:w="2085" w:type="dxa"/>
            <w:tcBorders>
              <w:top w:val="single" w:sz="4" w:space="0" w:color="000000"/>
              <w:left w:val="nil"/>
              <w:bottom w:val="single" w:sz="4" w:space="0" w:color="000000"/>
              <w:right w:val="single" w:sz="4" w:space="0" w:color="000000"/>
            </w:tcBorders>
            <w:shd w:val="clear" w:color="A9D08E" w:fill="A9D08E"/>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Feb-21</w:t>
            </w:r>
          </w:p>
        </w:tc>
      </w:tr>
      <w:tr w:rsidR="00E940C3" w:rsidRPr="007816DF" w:rsidTr="0019451C">
        <w:trPr>
          <w:trHeight w:val="261"/>
        </w:trPr>
        <w:tc>
          <w:tcPr>
            <w:tcW w:w="5387" w:type="dxa"/>
            <w:tcBorders>
              <w:top w:val="nil"/>
              <w:left w:val="single" w:sz="4" w:space="0" w:color="000000"/>
              <w:bottom w:val="single" w:sz="4" w:space="0" w:color="000000"/>
              <w:right w:val="nil"/>
            </w:tcBorders>
            <w:shd w:val="clear" w:color="auto" w:fill="auto"/>
            <w:vAlign w:val="center"/>
            <w:hideMark/>
          </w:tcPr>
          <w:p w:rsidR="00E940C3" w:rsidRPr="007816DF" w:rsidRDefault="00E940C3" w:rsidP="0019451C">
            <w:pPr>
              <w:rPr>
                <w:rFonts w:ascii="Garamond" w:eastAsia="Times New Roman" w:hAnsi="Garamond"/>
                <w:b/>
                <w:bCs/>
                <w:i/>
                <w:iCs/>
                <w:color w:val="000000"/>
                <w:sz w:val="22"/>
                <w:szCs w:val="22"/>
                <w:lang w:val="en-IN" w:eastAsia="en-IN" w:bidi="hi-IN"/>
              </w:rPr>
            </w:pPr>
            <w:r w:rsidRPr="007816DF">
              <w:rPr>
                <w:rFonts w:ascii="Garamond" w:eastAsia="Times New Roman" w:hAnsi="Garamond"/>
                <w:b/>
                <w:bCs/>
                <w:i/>
                <w:iCs/>
                <w:color w:val="000000"/>
                <w:sz w:val="22"/>
                <w:szCs w:val="22"/>
                <w:lang w:val="en-IN" w:eastAsia="en-IN" w:bidi="hi-IN"/>
              </w:rPr>
              <w:t>I. Equity Issue</w:t>
            </w:r>
          </w:p>
        </w:tc>
        <w:tc>
          <w:tcPr>
            <w:tcW w:w="2268"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11,517</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14,517</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a. IPOs (i+ii)</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4,933</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3,658</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i/>
                <w:iCs/>
                <w:color w:val="000000"/>
                <w:sz w:val="22"/>
                <w:szCs w:val="22"/>
                <w:lang w:val="en-IN" w:eastAsia="en-IN" w:bidi="hi-IN"/>
              </w:rPr>
            </w:pPr>
            <w:r w:rsidRPr="007816DF">
              <w:rPr>
                <w:rFonts w:ascii="Garamond" w:eastAsia="Times New Roman" w:hAnsi="Garamond"/>
                <w:i/>
                <w:iCs/>
                <w:color w:val="000000"/>
                <w:sz w:val="22"/>
                <w:szCs w:val="22"/>
                <w:lang w:val="en-IN" w:eastAsia="en-IN" w:bidi="hi-IN"/>
              </w:rPr>
              <w:t xml:space="preserve">    i. Main Board</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i/>
                <w:iCs/>
                <w:color w:val="000000"/>
                <w:sz w:val="22"/>
                <w:szCs w:val="22"/>
                <w:lang w:val="en-IN" w:eastAsia="en-IN" w:bidi="hi-IN"/>
              </w:rPr>
            </w:pPr>
            <w:r w:rsidRPr="007816DF">
              <w:rPr>
                <w:rFonts w:ascii="Garamond" w:eastAsia="Times New Roman" w:hAnsi="Garamond"/>
                <w:i/>
                <w:iCs/>
                <w:color w:val="000000"/>
                <w:sz w:val="22"/>
                <w:szCs w:val="22"/>
                <w:lang w:val="en-IN" w:eastAsia="en-IN" w:bidi="hi-IN"/>
              </w:rPr>
              <w:t>4,933</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3,655</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i/>
                <w:iCs/>
                <w:color w:val="000000"/>
                <w:sz w:val="22"/>
                <w:szCs w:val="22"/>
                <w:lang w:val="en-IN" w:eastAsia="en-IN" w:bidi="hi-IN"/>
              </w:rPr>
            </w:pPr>
            <w:r w:rsidRPr="007816DF">
              <w:rPr>
                <w:rFonts w:ascii="Garamond" w:eastAsia="Times New Roman" w:hAnsi="Garamond"/>
                <w:i/>
                <w:iCs/>
                <w:color w:val="000000"/>
                <w:sz w:val="22"/>
                <w:szCs w:val="22"/>
                <w:lang w:val="en-IN" w:eastAsia="en-IN" w:bidi="hi-IN"/>
              </w:rPr>
              <w:t xml:space="preserve">    ii. SME Platform</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i/>
                <w:iCs/>
                <w:color w:val="000000"/>
                <w:sz w:val="22"/>
                <w:szCs w:val="22"/>
                <w:lang w:val="en-IN" w:eastAsia="en-IN" w:bidi="hi-IN"/>
              </w:rPr>
            </w:pPr>
            <w:r w:rsidRPr="007816DF">
              <w:rPr>
                <w:rFonts w:ascii="Garamond" w:eastAsia="Times New Roman" w:hAnsi="Garamond"/>
                <w:i/>
                <w:iCs/>
                <w:color w:val="000000"/>
                <w:sz w:val="22"/>
                <w:szCs w:val="22"/>
                <w:lang w:val="en-IN" w:eastAsia="en-IN" w:bidi="hi-IN"/>
              </w:rPr>
              <w:t>0</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3</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b. FPOs</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0</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0</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c. Equity Right Issue</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81</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2,999</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d. QIP/IPP</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1,170 </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2,645 </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e. Preferential Allotment</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5,333 </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5,216 </w:t>
            </w:r>
          </w:p>
        </w:tc>
      </w:tr>
      <w:tr w:rsidR="00E940C3" w:rsidRPr="007816DF" w:rsidTr="0019451C">
        <w:trPr>
          <w:trHeight w:val="261"/>
        </w:trPr>
        <w:tc>
          <w:tcPr>
            <w:tcW w:w="5387" w:type="dxa"/>
            <w:tcBorders>
              <w:top w:val="nil"/>
              <w:left w:val="single" w:sz="4" w:space="0" w:color="000000"/>
              <w:bottom w:val="single" w:sz="4" w:space="0" w:color="000000"/>
              <w:right w:val="nil"/>
            </w:tcBorders>
            <w:shd w:val="clear" w:color="auto" w:fill="auto"/>
            <w:vAlign w:val="center"/>
            <w:hideMark/>
          </w:tcPr>
          <w:p w:rsidR="00E940C3" w:rsidRPr="007816DF" w:rsidRDefault="00E940C3" w:rsidP="0019451C">
            <w:pPr>
              <w:rPr>
                <w:rFonts w:ascii="Garamond" w:eastAsia="Times New Roman" w:hAnsi="Garamond"/>
                <w:b/>
                <w:bCs/>
                <w:i/>
                <w:iCs/>
                <w:color w:val="000000"/>
                <w:sz w:val="22"/>
                <w:szCs w:val="22"/>
                <w:lang w:val="en-IN" w:eastAsia="en-IN" w:bidi="hi-IN"/>
              </w:rPr>
            </w:pPr>
            <w:r w:rsidRPr="007816DF">
              <w:rPr>
                <w:rFonts w:ascii="Garamond" w:eastAsia="Times New Roman" w:hAnsi="Garamond"/>
                <w:b/>
                <w:bCs/>
                <w:i/>
                <w:iCs/>
                <w:color w:val="000000"/>
                <w:sz w:val="22"/>
                <w:szCs w:val="22"/>
                <w:lang w:val="en-IN" w:eastAsia="en-IN" w:bidi="hi-IN"/>
              </w:rPr>
              <w:t xml:space="preserve">II. Debt Issue </w:t>
            </w:r>
          </w:p>
        </w:tc>
        <w:tc>
          <w:tcPr>
            <w:tcW w:w="2268"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61,224</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45,902</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a. Debt Public Issue</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5,600</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216</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b. Private Placement of Debt</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55,624 </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color w:val="000000"/>
                <w:sz w:val="22"/>
                <w:szCs w:val="22"/>
                <w:lang w:val="en-IN" w:eastAsia="en-IN" w:bidi="hi-IN"/>
              </w:rPr>
            </w:pPr>
            <w:r w:rsidRPr="007816DF">
              <w:rPr>
                <w:rFonts w:ascii="Garamond" w:eastAsia="Times New Roman" w:hAnsi="Garamond"/>
                <w:color w:val="000000"/>
                <w:sz w:val="22"/>
                <w:szCs w:val="22"/>
                <w:lang w:val="en-IN" w:eastAsia="en-IN" w:bidi="hi-IN"/>
              </w:rPr>
              <w:t xml:space="preserve">      45,685 </w:t>
            </w:r>
          </w:p>
        </w:tc>
      </w:tr>
      <w:tr w:rsidR="00E940C3" w:rsidRPr="007816DF" w:rsidTr="0019451C">
        <w:trPr>
          <w:trHeight w:val="261"/>
        </w:trPr>
        <w:tc>
          <w:tcPr>
            <w:tcW w:w="5387" w:type="dxa"/>
            <w:tcBorders>
              <w:top w:val="nil"/>
              <w:left w:val="single" w:sz="4" w:space="0" w:color="000000"/>
              <w:bottom w:val="single" w:sz="4" w:space="0" w:color="000000"/>
              <w:right w:val="single" w:sz="4" w:space="0" w:color="000000"/>
            </w:tcBorders>
            <w:shd w:val="clear" w:color="auto" w:fill="auto"/>
            <w:noWrap/>
            <w:vAlign w:val="center"/>
            <w:hideMark/>
          </w:tcPr>
          <w:p w:rsidR="00E940C3" w:rsidRPr="007816DF" w:rsidRDefault="00E940C3" w:rsidP="0019451C">
            <w:pPr>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Total Funds Mobilised (I+II)</w:t>
            </w:r>
          </w:p>
        </w:tc>
        <w:tc>
          <w:tcPr>
            <w:tcW w:w="2268"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72,741</w:t>
            </w:r>
          </w:p>
        </w:tc>
        <w:tc>
          <w:tcPr>
            <w:tcW w:w="2085" w:type="dxa"/>
            <w:tcBorders>
              <w:top w:val="nil"/>
              <w:left w:val="nil"/>
              <w:bottom w:val="single" w:sz="4" w:space="0" w:color="000000"/>
              <w:right w:val="single" w:sz="4" w:space="0" w:color="000000"/>
            </w:tcBorders>
            <w:shd w:val="clear" w:color="auto" w:fill="auto"/>
            <w:noWrap/>
            <w:vAlign w:val="center"/>
            <w:hideMark/>
          </w:tcPr>
          <w:p w:rsidR="00E940C3" w:rsidRPr="007816DF" w:rsidRDefault="00E940C3" w:rsidP="0019451C">
            <w:pPr>
              <w:jc w:val="right"/>
              <w:rPr>
                <w:rFonts w:ascii="Garamond" w:eastAsia="Times New Roman" w:hAnsi="Garamond"/>
                <w:b/>
                <w:bCs/>
                <w:color w:val="000000"/>
                <w:sz w:val="22"/>
                <w:szCs w:val="22"/>
                <w:lang w:val="en-IN" w:eastAsia="en-IN" w:bidi="hi-IN"/>
              </w:rPr>
            </w:pPr>
            <w:r w:rsidRPr="007816DF">
              <w:rPr>
                <w:rFonts w:ascii="Garamond" w:eastAsia="Times New Roman" w:hAnsi="Garamond"/>
                <w:b/>
                <w:bCs/>
                <w:color w:val="000000"/>
                <w:sz w:val="22"/>
                <w:szCs w:val="22"/>
                <w:lang w:val="en-IN" w:eastAsia="en-IN" w:bidi="hi-IN"/>
              </w:rPr>
              <w:t>60,419</w:t>
            </w:r>
          </w:p>
        </w:tc>
      </w:tr>
    </w:tbl>
    <w:p w:rsidR="00E940C3" w:rsidRPr="002357A9" w:rsidRDefault="00E940C3" w:rsidP="00E940C3">
      <w:pPr>
        <w:widowControl w:val="0"/>
        <w:tabs>
          <w:tab w:val="right" w:pos="9888"/>
        </w:tabs>
        <w:spacing w:line="276" w:lineRule="auto"/>
        <w:jc w:val="both"/>
        <w:rPr>
          <w:rFonts w:ascii="Palatino Linotype" w:eastAsia="Palatino Linotype" w:hAnsi="Palatino Linotype" w:cs="Palatino Linotype"/>
          <w:b/>
          <w:sz w:val="18"/>
          <w:szCs w:val="18"/>
        </w:rPr>
      </w:pPr>
      <w:r w:rsidRPr="002357A9">
        <w:rPr>
          <w:rFonts w:ascii="Palatino Linotype" w:eastAsia="Palatino Linotype" w:hAnsi="Palatino Linotype" w:cs="Palatino Linotype"/>
          <w:b/>
          <w:sz w:val="18"/>
          <w:szCs w:val="18"/>
        </w:rPr>
        <w:t xml:space="preserve">   Source: SEBI, NSE, BSE and MSEI</w:t>
      </w:r>
    </w:p>
    <w:p w:rsidR="00E940C3" w:rsidRPr="002357A9" w:rsidRDefault="00E940C3" w:rsidP="00E940C3">
      <w:pPr>
        <w:widowControl w:val="0"/>
        <w:tabs>
          <w:tab w:val="right" w:pos="9888"/>
        </w:tabs>
        <w:spacing w:line="276" w:lineRule="auto"/>
        <w:jc w:val="both"/>
        <w:rPr>
          <w:rFonts w:ascii="Palatino Linotype" w:eastAsia="Palatino Linotype" w:hAnsi="Palatino Linotype" w:cs="Palatino Linotype"/>
          <w:b/>
          <w:sz w:val="22"/>
          <w:szCs w:val="22"/>
          <w:highlight w:val="yellow"/>
        </w:rPr>
      </w:pPr>
    </w:p>
    <w:p w:rsidR="00E940C3"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there were </w:t>
      </w:r>
      <w:r>
        <w:rPr>
          <w:rFonts w:ascii="Palatino Linotype" w:eastAsia="Palatino Linotype" w:hAnsi="Palatino Linotype" w:cs="Palatino Linotype"/>
          <w:sz w:val="22"/>
          <w:szCs w:val="22"/>
        </w:rPr>
        <w:t>five</w:t>
      </w:r>
      <w:r w:rsidRPr="002357A9">
        <w:rPr>
          <w:rFonts w:ascii="Palatino Linotype" w:eastAsia="Palatino Linotype" w:hAnsi="Palatino Linotype" w:cs="Palatino Linotype"/>
          <w:sz w:val="22"/>
          <w:szCs w:val="22"/>
        </w:rPr>
        <w:t xml:space="preserve"> Main Board IPO issues</w:t>
      </w:r>
      <w:r>
        <w:rPr>
          <w:rFonts w:ascii="Palatino Linotype" w:eastAsia="Palatino Linotype" w:hAnsi="Palatino Linotype" w:cs="Palatino Linotype"/>
          <w:sz w:val="22"/>
          <w:szCs w:val="22"/>
        </w:rPr>
        <w:t xml:space="preserve"> and one SME IPO</w:t>
      </w:r>
      <w:r w:rsidRPr="002357A9">
        <w:rPr>
          <w:rFonts w:ascii="Palatino Linotype" w:eastAsia="Palatino Linotype" w:hAnsi="Palatino Linotype" w:cs="Palatino Linotype"/>
          <w:sz w:val="22"/>
          <w:szCs w:val="22"/>
        </w:rPr>
        <w:t xml:space="preserve"> mobilising </w:t>
      </w:r>
      <w:r w:rsidRPr="002357A9">
        <w:rPr>
          <w:rFonts w:ascii="Times New Roman" w:eastAsia="Palatino Linotype" w:hAnsi="Times New Roman"/>
          <w:sz w:val="22"/>
          <w:szCs w:val="22"/>
        </w:rPr>
        <w:t>₹</w:t>
      </w:r>
      <w:r>
        <w:rPr>
          <w:rFonts w:ascii="Times New Roman" w:eastAsia="Palatino Linotype" w:hAnsi="Times New Roman"/>
          <w:sz w:val="22"/>
          <w:szCs w:val="22"/>
        </w:rPr>
        <w:t xml:space="preserve"> </w:t>
      </w:r>
      <w:r>
        <w:rPr>
          <w:rFonts w:ascii="Palatino Linotype" w:eastAsia="Palatino Linotype" w:hAnsi="Palatino Linotype" w:cs="Palatino Linotype"/>
          <w:sz w:val="22"/>
          <w:szCs w:val="22"/>
        </w:rPr>
        <w:t>3,652</w:t>
      </w:r>
      <w:r w:rsidRPr="002357A9">
        <w:rPr>
          <w:rFonts w:ascii="Palatino Linotype" w:eastAsia="Palatino Linotype" w:hAnsi="Palatino Linotype" w:cs="Palatino Linotype"/>
          <w:sz w:val="22"/>
          <w:szCs w:val="22"/>
        </w:rPr>
        <w:t xml:space="preserve"> crore</w:t>
      </w:r>
      <w:r>
        <w:rPr>
          <w:rFonts w:ascii="Palatino Linotype" w:eastAsia="Palatino Linotype" w:hAnsi="Palatino Linotype" w:cs="Palatino Linotype"/>
          <w:sz w:val="22"/>
          <w:szCs w:val="22"/>
        </w:rPr>
        <w:t xml:space="preserve"> and </w:t>
      </w:r>
      <w:r w:rsidRPr="00956596">
        <w:rPr>
          <w:rFonts w:ascii="Rupee Foradian" w:eastAsia="Palatino Linotype" w:hAnsi="Rupee Foradian" w:cs="Palatino Linotype"/>
          <w:b/>
          <w:sz w:val="20"/>
          <w:szCs w:val="22"/>
        </w:rPr>
        <w:t>`</w:t>
      </w:r>
      <w:r>
        <w:rPr>
          <w:rFonts w:ascii="Palatino Linotype" w:eastAsia="Palatino Linotype" w:hAnsi="Palatino Linotype" w:cs="Palatino Linotype"/>
          <w:sz w:val="22"/>
          <w:szCs w:val="22"/>
        </w:rPr>
        <w:t xml:space="preserve"> 3 crore</w:t>
      </w:r>
      <w:r w:rsidRPr="002357A9">
        <w:rPr>
          <w:rFonts w:ascii="Palatino Linotype" w:eastAsia="Palatino Linotype" w:hAnsi="Palatino Linotype" w:cs="Palatino Linotype"/>
          <w:sz w:val="22"/>
          <w:szCs w:val="22"/>
        </w:rPr>
        <w:t xml:space="preserve"> respectively</w:t>
      </w:r>
      <w:r>
        <w:rPr>
          <w:rFonts w:ascii="Palatino Linotype" w:eastAsia="Palatino Linotype" w:hAnsi="Palatino Linotype" w:cs="Palatino Linotype"/>
          <w:sz w:val="22"/>
          <w:szCs w:val="22"/>
        </w:rPr>
        <w:t xml:space="preserve"> compared to only </w:t>
      </w:r>
      <w:r w:rsidRPr="002357A9">
        <w:rPr>
          <w:rFonts w:ascii="Palatino Linotype" w:eastAsia="Palatino Linotype" w:hAnsi="Palatino Linotype" w:cs="Palatino Linotype"/>
          <w:sz w:val="22"/>
          <w:szCs w:val="22"/>
        </w:rPr>
        <w:t xml:space="preserve">two Main Board IPO issues mobilising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4,933 crore</w:t>
      </w:r>
      <w:r>
        <w:rPr>
          <w:rFonts w:ascii="Palatino Linotype" w:eastAsia="Palatino Linotype" w:hAnsi="Palatino Linotype" w:cs="Palatino Linotype"/>
          <w:sz w:val="22"/>
          <w:szCs w:val="22"/>
        </w:rPr>
        <w:t xml:space="preserve"> in January 2021.</w:t>
      </w:r>
      <w:r w:rsidRPr="002357A9">
        <w:rPr>
          <w:rFonts w:ascii="Palatino Linotype" w:eastAsia="Palatino Linotype" w:hAnsi="Palatino Linotype" w:cs="Palatino Linotype"/>
          <w:sz w:val="22"/>
          <w:szCs w:val="22"/>
        </w:rPr>
        <w:t xml:space="preserve">  </w:t>
      </w: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Pr>
          <w:rFonts w:ascii="Palatino Linotype" w:eastAsia="Palatino Linotype" w:hAnsi="Palatino Linotype" w:cs="Palatino Linotype"/>
          <w:sz w:val="22"/>
          <w:szCs w:val="22"/>
        </w:rPr>
        <w:t xml:space="preserve">During February 2021, there was </w:t>
      </w:r>
      <w:r w:rsidRPr="002357A9">
        <w:rPr>
          <w:rFonts w:ascii="Palatino Linotype" w:eastAsia="Palatino Linotype" w:hAnsi="Palatino Linotype" w:cs="Palatino Linotype"/>
          <w:sz w:val="22"/>
          <w:szCs w:val="22"/>
        </w:rPr>
        <w:t>one rights issue</w:t>
      </w:r>
      <w:r>
        <w:rPr>
          <w:rFonts w:ascii="Palatino Linotype" w:eastAsia="Palatino Linotype" w:hAnsi="Palatino Linotype" w:cs="Palatino Linotype"/>
          <w:sz w:val="22"/>
          <w:szCs w:val="22"/>
        </w:rPr>
        <w:t xml:space="preserve"> mobilizing </w:t>
      </w:r>
      <w:r w:rsidRPr="00956596">
        <w:rPr>
          <w:rFonts w:ascii="Rupee Foradian" w:eastAsia="Palatino Linotype" w:hAnsi="Rupee Foradian" w:cs="Palatino Linotype"/>
          <w:b/>
          <w:sz w:val="20"/>
          <w:szCs w:val="22"/>
        </w:rPr>
        <w:t>`</w:t>
      </w:r>
      <w:r>
        <w:rPr>
          <w:rFonts w:ascii="Palatino Linotype" w:eastAsia="Palatino Linotype" w:hAnsi="Palatino Linotype" w:cs="Palatino Linotype"/>
          <w:sz w:val="22"/>
          <w:szCs w:val="22"/>
        </w:rPr>
        <w:t xml:space="preserve"> 2,999 crore compared to one rights issue mobilizing </w:t>
      </w:r>
      <w:r w:rsidRPr="002357A9">
        <w:rPr>
          <w:rFonts w:ascii="Times New Roman" w:eastAsia="Palatino Linotype" w:hAnsi="Times New Roman"/>
          <w:sz w:val="22"/>
          <w:szCs w:val="22"/>
        </w:rPr>
        <w:t>₹</w:t>
      </w:r>
      <w:r>
        <w:rPr>
          <w:rFonts w:ascii="Times New Roman" w:eastAsia="Palatino Linotype" w:hAnsi="Times New Roman"/>
          <w:sz w:val="22"/>
          <w:szCs w:val="22"/>
        </w:rPr>
        <w:t xml:space="preserve"> </w:t>
      </w:r>
      <w:r w:rsidRPr="002357A9">
        <w:rPr>
          <w:rFonts w:ascii="Palatino Linotype" w:eastAsia="Palatino Linotype" w:hAnsi="Palatino Linotype" w:cs="Palatino Linotype"/>
          <w:sz w:val="22"/>
          <w:szCs w:val="22"/>
        </w:rPr>
        <w:t>81crore</w:t>
      </w:r>
      <w:r>
        <w:rPr>
          <w:rFonts w:ascii="Palatino Linotype" w:eastAsia="Palatino Linotype" w:hAnsi="Palatino Linotype" w:cs="Palatino Linotype"/>
          <w:sz w:val="22"/>
          <w:szCs w:val="22"/>
        </w:rPr>
        <w:t xml:space="preserve"> in January 2021.</w:t>
      </w: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there were </w:t>
      </w:r>
      <w:r>
        <w:rPr>
          <w:rFonts w:ascii="Palatino Linotype" w:eastAsia="Palatino Linotype" w:hAnsi="Palatino Linotype" w:cs="Palatino Linotype"/>
          <w:sz w:val="22"/>
          <w:szCs w:val="22"/>
        </w:rPr>
        <w:t>one public issue</w:t>
      </w:r>
      <w:r w:rsidRPr="002357A9">
        <w:rPr>
          <w:rFonts w:ascii="Palatino Linotype" w:eastAsia="Palatino Linotype" w:hAnsi="Palatino Linotype" w:cs="Palatino Linotype"/>
          <w:sz w:val="22"/>
          <w:szCs w:val="22"/>
        </w:rPr>
        <w:t xml:space="preserve"> of corporate bonds, amounting to </w:t>
      </w:r>
      <w:r w:rsidRPr="002357A9">
        <w:rPr>
          <w:rFonts w:ascii="Times New Roman" w:eastAsia="Palatino Linotype" w:hAnsi="Times New Roman"/>
          <w:sz w:val="22"/>
          <w:szCs w:val="22"/>
        </w:rPr>
        <w:t>₹</w:t>
      </w:r>
      <w:r>
        <w:rPr>
          <w:rFonts w:ascii="Times New Roman" w:eastAsia="Palatino Linotype" w:hAnsi="Times New Roman"/>
          <w:sz w:val="22"/>
          <w:szCs w:val="22"/>
        </w:rPr>
        <w:t xml:space="preserve"> </w:t>
      </w:r>
      <w:r>
        <w:rPr>
          <w:rFonts w:ascii="Palatino Linotype" w:eastAsia="Palatino Linotype" w:hAnsi="Palatino Linotype" w:cs="Palatino Linotype"/>
          <w:sz w:val="22"/>
          <w:szCs w:val="22"/>
        </w:rPr>
        <w:t>216</w:t>
      </w:r>
      <w:r w:rsidRPr="002357A9">
        <w:rPr>
          <w:rFonts w:ascii="Palatino Linotype" w:eastAsia="Palatino Linotype" w:hAnsi="Palatino Linotype" w:cs="Palatino Linotype"/>
          <w:sz w:val="22"/>
          <w:szCs w:val="22"/>
        </w:rPr>
        <w:t xml:space="preserve"> crore compared to </w:t>
      </w:r>
      <w:r>
        <w:rPr>
          <w:rFonts w:ascii="Palatino Linotype" w:eastAsia="Palatino Linotype" w:hAnsi="Palatino Linotype" w:cs="Palatino Linotype"/>
          <w:sz w:val="22"/>
          <w:szCs w:val="22"/>
        </w:rPr>
        <w:t xml:space="preserve">five </w:t>
      </w:r>
      <w:r w:rsidRPr="002357A9">
        <w:rPr>
          <w:rFonts w:ascii="Palatino Linotype" w:eastAsia="Palatino Linotype" w:hAnsi="Palatino Linotype" w:cs="Palatino Linotype"/>
          <w:sz w:val="22"/>
          <w:szCs w:val="22"/>
        </w:rPr>
        <w:t>public issue</w:t>
      </w:r>
      <w:r>
        <w:rPr>
          <w:rFonts w:ascii="Palatino Linotype" w:eastAsia="Palatino Linotype" w:hAnsi="Palatino Linotype" w:cs="Palatino Linotype"/>
          <w:sz w:val="22"/>
          <w:szCs w:val="22"/>
        </w:rPr>
        <w:t>s</w:t>
      </w:r>
      <w:r w:rsidRPr="002357A9">
        <w:rPr>
          <w:rFonts w:ascii="Palatino Linotype" w:eastAsia="Palatino Linotype" w:hAnsi="Palatino Linotype" w:cs="Palatino Linotype"/>
          <w:sz w:val="22"/>
          <w:szCs w:val="22"/>
        </w:rPr>
        <w:t xml:space="preserve"> of corporate bond</w:t>
      </w:r>
      <w:r>
        <w:rPr>
          <w:rFonts w:ascii="Palatino Linotype" w:eastAsia="Palatino Linotype" w:hAnsi="Palatino Linotype" w:cs="Palatino Linotype"/>
          <w:sz w:val="22"/>
          <w:szCs w:val="22"/>
        </w:rPr>
        <w:t xml:space="preserve">, amounting </w:t>
      </w:r>
      <w:r w:rsidRPr="00956596">
        <w:rPr>
          <w:rFonts w:ascii="Rupee Foradian" w:eastAsia="Palatino Linotype" w:hAnsi="Rupee Foradian" w:cs="Palatino Linotype"/>
          <w:b/>
          <w:sz w:val="20"/>
          <w:szCs w:val="22"/>
        </w:rPr>
        <w:t>`</w:t>
      </w:r>
      <w:r>
        <w:rPr>
          <w:rFonts w:ascii="Palatino Linotype" w:eastAsia="Palatino Linotype" w:hAnsi="Palatino Linotype" w:cs="Palatino Linotype"/>
          <w:sz w:val="22"/>
          <w:szCs w:val="22"/>
        </w:rPr>
        <w:t xml:space="preserve"> 5,600 crore</w:t>
      </w:r>
      <w:r w:rsidRPr="002357A9">
        <w:rPr>
          <w:rFonts w:ascii="Palatino Linotype" w:eastAsia="Palatino Linotype" w:hAnsi="Palatino Linotype" w:cs="Palatino Linotype"/>
          <w:sz w:val="22"/>
          <w:szCs w:val="22"/>
        </w:rPr>
        <w:t xml:space="preserve"> during </w:t>
      </w:r>
      <w:r>
        <w:rPr>
          <w:rFonts w:ascii="Palatino Linotype" w:eastAsia="Palatino Linotype" w:hAnsi="Palatino Linotype" w:cs="Palatino Linotype"/>
          <w:sz w:val="22"/>
          <w:szCs w:val="22"/>
        </w:rPr>
        <w:t>January 2021</w:t>
      </w:r>
      <w:r w:rsidRPr="002357A9">
        <w:rPr>
          <w:rFonts w:ascii="Palatino Linotype" w:eastAsia="Palatino Linotype" w:hAnsi="Palatino Linotype" w:cs="Palatino Linotype"/>
          <w:sz w:val="22"/>
          <w:szCs w:val="22"/>
        </w:rPr>
        <w:t xml:space="preserve">.  </w:t>
      </w:r>
    </w:p>
    <w:p w:rsidR="00E940C3" w:rsidRPr="007870CE"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An amount of </w:t>
      </w:r>
      <w:r w:rsidRPr="007870CE">
        <w:rPr>
          <w:rFonts w:ascii="Times New Roman" w:eastAsia="Palatino Linotype" w:hAnsi="Times New Roman"/>
          <w:sz w:val="22"/>
          <w:szCs w:val="22"/>
        </w:rPr>
        <w:t>₹</w:t>
      </w:r>
      <w:r>
        <w:rPr>
          <w:rFonts w:ascii="Palatino Linotype" w:eastAsia="Palatino Linotype" w:hAnsi="Palatino Linotype" w:cs="Palatino Linotype"/>
          <w:sz w:val="22"/>
          <w:szCs w:val="22"/>
        </w:rPr>
        <w:t xml:space="preserve"> </w:t>
      </w:r>
      <w:r w:rsidRPr="007870CE">
        <w:rPr>
          <w:rFonts w:ascii="Palatino Linotype" w:eastAsia="Palatino Linotype" w:hAnsi="Palatino Linotype" w:cs="Palatino Linotype"/>
          <w:sz w:val="22"/>
          <w:szCs w:val="22"/>
        </w:rPr>
        <w:t xml:space="preserve">7,861 </w:t>
      </w:r>
      <w:r w:rsidRPr="002357A9">
        <w:rPr>
          <w:rFonts w:ascii="Palatino Linotype" w:eastAsia="Palatino Linotype" w:hAnsi="Palatino Linotype" w:cs="Palatino Linotype"/>
          <w:sz w:val="22"/>
          <w:szCs w:val="22"/>
        </w:rPr>
        <w:t xml:space="preserve">crore was raised through private placement of equity (i.e., preferential allotment and QIP) during January 2021, against </w:t>
      </w:r>
      <w:r w:rsidRPr="007870CE">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w:t>
      </w:r>
      <w:r w:rsidRPr="007870CE">
        <w:rPr>
          <w:rFonts w:ascii="Palatino Linotype" w:eastAsia="Palatino Linotype" w:hAnsi="Palatino Linotype" w:cs="Palatino Linotype"/>
          <w:sz w:val="22"/>
          <w:szCs w:val="22"/>
        </w:rPr>
        <w:t xml:space="preserve">6,503 </w:t>
      </w:r>
      <w:r w:rsidRPr="002357A9">
        <w:rPr>
          <w:rFonts w:ascii="Palatino Linotype" w:eastAsia="Palatino Linotype" w:hAnsi="Palatino Linotype" w:cs="Palatino Linotype"/>
          <w:sz w:val="22"/>
          <w:szCs w:val="22"/>
        </w:rPr>
        <w:t xml:space="preserve">crore during </w:t>
      </w:r>
      <w:r w:rsidRPr="007870CE">
        <w:rPr>
          <w:rFonts w:ascii="Palatino Linotype" w:eastAsia="Palatino Linotype" w:hAnsi="Palatino Linotype" w:cs="Palatino Linotype"/>
          <w:sz w:val="22"/>
          <w:szCs w:val="22"/>
        </w:rPr>
        <w:t>January 2021</w:t>
      </w:r>
      <w:r w:rsidRPr="002357A9">
        <w:rPr>
          <w:rFonts w:ascii="Palatino Linotype" w:eastAsia="Palatino Linotype" w:hAnsi="Palatino Linotype" w:cs="Palatino Linotype"/>
          <w:sz w:val="22"/>
          <w:szCs w:val="22"/>
        </w:rPr>
        <w:t xml:space="preserve">. </w:t>
      </w: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Private placement of corporate debt reported on BSE and NSE </w:t>
      </w:r>
      <w:r w:rsidR="0019451C">
        <w:rPr>
          <w:rFonts w:ascii="Palatino Linotype" w:eastAsia="Palatino Linotype" w:hAnsi="Palatino Linotype" w:cs="Palatino Linotype"/>
          <w:sz w:val="22"/>
          <w:szCs w:val="22"/>
        </w:rPr>
        <w:t>amounted to</w:t>
      </w:r>
      <w:r w:rsidRPr="002357A9">
        <w:rPr>
          <w:rFonts w:ascii="Palatino Linotype" w:eastAsia="Palatino Linotype" w:hAnsi="Palatino Linotype" w:cs="Palatino Linotype"/>
          <w:sz w:val="22"/>
          <w:szCs w:val="22"/>
        </w:rPr>
        <w:t xml:space="preserve"> </w:t>
      </w:r>
      <w:r w:rsidRPr="002357A9">
        <w:rPr>
          <w:rFonts w:ascii="Times New Roman" w:eastAsia="Palatino Linotype" w:hAnsi="Times New Roman"/>
          <w:sz w:val="22"/>
          <w:szCs w:val="22"/>
        </w:rPr>
        <w:t>₹</w:t>
      </w:r>
      <w:r w:rsidRPr="007870CE">
        <w:rPr>
          <w:rFonts w:ascii="Palatino Linotype" w:hAnsi="Palatino Linotype"/>
          <w:color w:val="000000"/>
          <w:sz w:val="22"/>
          <w:szCs w:val="22"/>
        </w:rPr>
        <w:t xml:space="preserve"> 45,685 </w:t>
      </w:r>
      <w:r w:rsidRPr="002357A9">
        <w:rPr>
          <w:rFonts w:ascii="Palatino Linotype" w:eastAsia="Palatino Linotype" w:hAnsi="Palatino Linotype" w:cs="Palatino Linotype"/>
          <w:sz w:val="22"/>
          <w:szCs w:val="22"/>
        </w:rPr>
        <w:t xml:space="preserve">crore during </w:t>
      </w:r>
      <w:r>
        <w:rPr>
          <w:rFonts w:ascii="Palatino Linotype" w:eastAsia="Palatino Linotype" w:hAnsi="Palatino Linotype" w:cs="Palatino Linotype"/>
          <w:sz w:val="22"/>
          <w:szCs w:val="22"/>
        </w:rPr>
        <w:t>February 2021</w:t>
      </w:r>
      <w:r w:rsidRPr="002357A9">
        <w:rPr>
          <w:rFonts w:ascii="Palatino Linotype" w:eastAsia="Palatino Linotype" w:hAnsi="Palatino Linotype" w:cs="Palatino Linotype"/>
          <w:sz w:val="22"/>
          <w:szCs w:val="22"/>
        </w:rPr>
        <w:t xml:space="preserve">, compared to </w:t>
      </w:r>
      <w:r w:rsidRPr="002357A9">
        <w:rPr>
          <w:rFonts w:ascii="Times New Roman" w:eastAsia="Palatino Linotype" w:hAnsi="Times New Roman"/>
          <w:sz w:val="22"/>
          <w:szCs w:val="22"/>
        </w:rPr>
        <w:t>₹</w:t>
      </w:r>
      <w:r w:rsidRPr="002357A9">
        <w:rPr>
          <w:rFonts w:ascii="Palatino Linotype" w:hAnsi="Palatino Linotype"/>
          <w:color w:val="000000"/>
          <w:sz w:val="22"/>
          <w:szCs w:val="22"/>
        </w:rPr>
        <w:t xml:space="preserve">55,624 </w:t>
      </w:r>
      <w:r w:rsidRPr="002357A9">
        <w:rPr>
          <w:rFonts w:ascii="Palatino Linotype" w:eastAsia="Palatino Linotype" w:hAnsi="Palatino Linotype" w:cs="Palatino Linotype"/>
          <w:sz w:val="22"/>
          <w:szCs w:val="22"/>
        </w:rPr>
        <w:t xml:space="preserve">crore during </w:t>
      </w:r>
      <w:r>
        <w:rPr>
          <w:rFonts w:ascii="Palatino Linotype" w:eastAsia="Palatino Linotype" w:hAnsi="Palatino Linotype" w:cs="Palatino Linotype"/>
          <w:sz w:val="22"/>
          <w:szCs w:val="22"/>
        </w:rPr>
        <w:t>January 2021</w:t>
      </w:r>
      <w:r w:rsidRPr="002357A9">
        <w:rPr>
          <w:rFonts w:ascii="Palatino Linotype" w:eastAsia="Palatino Linotype" w:hAnsi="Palatino Linotype" w:cs="Palatino Linotype"/>
          <w:sz w:val="22"/>
          <w:szCs w:val="22"/>
        </w:rPr>
        <w:t xml:space="preserve">.  </w:t>
      </w:r>
    </w:p>
    <w:p w:rsidR="00E940C3" w:rsidRPr="002357A9" w:rsidRDefault="00E940C3" w:rsidP="00E940C3">
      <w:pPr>
        <w:pBdr>
          <w:top w:val="nil"/>
          <w:left w:val="nil"/>
          <w:bottom w:val="nil"/>
          <w:right w:val="nil"/>
          <w:between w:val="nil"/>
        </w:pBdr>
        <w:spacing w:line="276" w:lineRule="auto"/>
        <w:ind w:left="360"/>
        <w:jc w:val="both"/>
        <w:rPr>
          <w:rFonts w:ascii="Palatino Linotype" w:eastAsia="Palatino Linotype" w:hAnsi="Palatino Linotype" w:cs="Palatino Linotype"/>
          <w:sz w:val="22"/>
          <w:szCs w:val="22"/>
          <w:highlight w:val="yellow"/>
        </w:rPr>
      </w:pPr>
    </w:p>
    <w:p w:rsidR="00E940C3" w:rsidRPr="002357A9" w:rsidRDefault="00E940C3" w:rsidP="00E940C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the Secondary Market</w:t>
      </w:r>
    </w:p>
    <w:p w:rsidR="00E940C3" w:rsidRPr="002357A9" w:rsidRDefault="00E940C3" w:rsidP="00E940C3">
      <w:pPr>
        <w:widowControl w:val="0"/>
        <w:tabs>
          <w:tab w:val="left" w:pos="3915"/>
        </w:tabs>
        <w:spacing w:line="276" w:lineRule="auto"/>
        <w:jc w:val="both"/>
        <w:rPr>
          <w:rFonts w:ascii="Palatino Linotype" w:eastAsia="Palatino Linotype" w:hAnsi="Palatino Linotype" w:cs="Palatino Linotype"/>
          <w:b/>
          <w:sz w:val="22"/>
          <w:szCs w:val="22"/>
        </w:rPr>
      </w:pPr>
    </w:p>
    <w:p w:rsidR="00E940C3" w:rsidRPr="002A57D8"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At the end of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Nifty 50 closed at </w:t>
      </w:r>
      <w:r w:rsidRPr="002A57D8">
        <w:rPr>
          <w:rFonts w:ascii="Palatino Linotype" w:eastAsia="Palatino Linotype" w:hAnsi="Palatino Linotype" w:cs="Palatino Linotype"/>
          <w:sz w:val="22"/>
          <w:szCs w:val="22"/>
        </w:rPr>
        <w:t>14,529</w:t>
      </w:r>
      <w:r w:rsidRPr="00C41524">
        <w:rPr>
          <w:rFonts w:ascii="Palatino Linotype" w:eastAsia="Palatino Linotype" w:hAnsi="Palatino Linotype" w:cs="Palatino Linotype"/>
          <w:sz w:val="22"/>
          <w:szCs w:val="22"/>
        </w:rPr>
        <w:t xml:space="preserve"> points registering a</w:t>
      </w:r>
      <w:r>
        <w:rPr>
          <w:rFonts w:ascii="Palatino Linotype" w:eastAsia="Palatino Linotype" w:hAnsi="Palatino Linotype" w:cs="Palatino Linotype"/>
          <w:sz w:val="22"/>
          <w:szCs w:val="22"/>
        </w:rPr>
        <w:t>n</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 of </w:t>
      </w:r>
      <w:r>
        <w:rPr>
          <w:rFonts w:ascii="Palatino Linotype" w:eastAsia="Palatino Linotype" w:hAnsi="Palatino Linotype" w:cs="Palatino Linotype"/>
          <w:sz w:val="22"/>
          <w:szCs w:val="22"/>
        </w:rPr>
        <w:t>6.6</w:t>
      </w:r>
      <w:r w:rsidRPr="00C41524">
        <w:rPr>
          <w:rFonts w:ascii="Palatino Linotype" w:eastAsia="Palatino Linotype" w:hAnsi="Palatino Linotype" w:cs="Palatino Linotype"/>
          <w:sz w:val="22"/>
          <w:szCs w:val="22"/>
        </w:rPr>
        <w:t xml:space="preserve"> per cent as compared to the </w:t>
      </w:r>
      <w:r>
        <w:rPr>
          <w:rFonts w:ascii="Palatino Linotype" w:eastAsia="Palatino Linotype" w:hAnsi="Palatino Linotype" w:cs="Palatino Linotype"/>
          <w:sz w:val="22"/>
          <w:szCs w:val="22"/>
        </w:rPr>
        <w:t xml:space="preserve">closing value of </w:t>
      </w:r>
      <w:r w:rsidRPr="002A57D8">
        <w:rPr>
          <w:rFonts w:ascii="Palatino Linotype" w:eastAsia="Palatino Linotype" w:hAnsi="Palatino Linotype" w:cs="Palatino Linotype"/>
          <w:sz w:val="22"/>
          <w:szCs w:val="22"/>
        </w:rPr>
        <w:t>13,635</w:t>
      </w:r>
      <w:r w:rsidRPr="00C41524">
        <w:rPr>
          <w:rFonts w:ascii="Palatino Linotype" w:eastAsia="Palatino Linotype" w:hAnsi="Palatino Linotype" w:cs="Palatino Linotype"/>
          <w:sz w:val="22"/>
          <w:szCs w:val="22"/>
        </w:rPr>
        <w:t xml:space="preserve"> points at the end of </w:t>
      </w:r>
      <w:r>
        <w:rPr>
          <w:rFonts w:ascii="Palatino Linotype" w:eastAsia="Palatino Linotype" w:hAnsi="Palatino Linotype" w:cs="Palatino Linotype"/>
          <w:sz w:val="22"/>
          <w:szCs w:val="22"/>
        </w:rPr>
        <w:t>January</w:t>
      </w:r>
      <w:r w:rsidRPr="00C41524">
        <w:rPr>
          <w:rFonts w:ascii="Palatino Linotype" w:eastAsia="Palatino Linotype" w:hAnsi="Palatino Linotype" w:cs="Palatino Linotype"/>
          <w:sz w:val="22"/>
          <w:szCs w:val="22"/>
        </w:rPr>
        <w:t xml:space="preserve"> 202</w:t>
      </w:r>
      <w:r>
        <w:rPr>
          <w:rFonts w:ascii="Palatino Linotype" w:eastAsia="Palatino Linotype" w:hAnsi="Palatino Linotype" w:cs="Palatino Linotype"/>
          <w:sz w:val="22"/>
          <w:szCs w:val="22"/>
        </w:rPr>
        <w:t>1</w:t>
      </w:r>
      <w:r w:rsidRPr="00C41524">
        <w:rPr>
          <w:rFonts w:ascii="Palatino Linotype" w:eastAsia="Palatino Linotype" w:hAnsi="Palatino Linotype" w:cs="Palatino Linotype"/>
          <w:sz w:val="22"/>
          <w:szCs w:val="22"/>
        </w:rPr>
        <w:t>.</w:t>
      </w:r>
    </w:p>
    <w:p w:rsidR="00E940C3" w:rsidRPr="002A57D8"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S&amp;P BSE Sensex closed at </w:t>
      </w:r>
      <w:r w:rsidRPr="002A57D8">
        <w:rPr>
          <w:rFonts w:ascii="Palatino Linotype" w:eastAsia="Palatino Linotype" w:hAnsi="Palatino Linotype" w:cs="Palatino Linotype"/>
          <w:sz w:val="22"/>
          <w:szCs w:val="22"/>
        </w:rPr>
        <w:t>49,100</w:t>
      </w:r>
      <w:r w:rsidRPr="00C41524">
        <w:rPr>
          <w:rFonts w:ascii="Palatino Linotype" w:eastAsia="Palatino Linotype" w:hAnsi="Palatino Linotype" w:cs="Palatino Linotype"/>
          <w:sz w:val="22"/>
          <w:szCs w:val="22"/>
        </w:rPr>
        <w:t xml:space="preserve"> at the end of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indicating a</w:t>
      </w:r>
      <w:r>
        <w:rPr>
          <w:rFonts w:ascii="Palatino Linotype" w:eastAsia="Palatino Linotype" w:hAnsi="Palatino Linotype" w:cs="Palatino Linotype"/>
          <w:sz w:val="22"/>
          <w:szCs w:val="22"/>
        </w:rPr>
        <w:t>n</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 of </w:t>
      </w:r>
      <w:r>
        <w:rPr>
          <w:rFonts w:ascii="Palatino Linotype" w:eastAsia="Palatino Linotype" w:hAnsi="Palatino Linotype" w:cs="Palatino Linotype"/>
          <w:sz w:val="22"/>
          <w:szCs w:val="22"/>
        </w:rPr>
        <w:t>6</w:t>
      </w:r>
      <w:r w:rsidRPr="00C41524">
        <w:rPr>
          <w:rFonts w:ascii="Palatino Linotype" w:eastAsia="Palatino Linotype" w:hAnsi="Palatino Linotype" w:cs="Palatino Linotype"/>
          <w:sz w:val="22"/>
          <w:szCs w:val="22"/>
        </w:rPr>
        <w:t xml:space="preserve">.1 per cent as compared to  </w:t>
      </w:r>
      <w:r w:rsidRPr="002A57D8">
        <w:rPr>
          <w:rFonts w:ascii="Palatino Linotype" w:eastAsia="Palatino Linotype" w:hAnsi="Palatino Linotype" w:cs="Palatino Linotype"/>
          <w:sz w:val="22"/>
          <w:szCs w:val="22"/>
        </w:rPr>
        <w:t xml:space="preserve">46,286 </w:t>
      </w:r>
      <w:r w:rsidRPr="00C41524">
        <w:rPr>
          <w:rFonts w:ascii="Palatino Linotype" w:eastAsia="Palatino Linotype" w:hAnsi="Palatino Linotype" w:cs="Palatino Linotype"/>
          <w:sz w:val="22"/>
          <w:szCs w:val="22"/>
        </w:rPr>
        <w:t>at the end of January 2021.</w:t>
      </w:r>
    </w:p>
    <w:p w:rsidR="00E940C3" w:rsidRPr="0086271F"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Nifty 50 reached its intraday high for the month</w:t>
      </w:r>
      <w:r>
        <w:rPr>
          <w:rFonts w:ascii="Palatino Linotype" w:eastAsia="Palatino Linotype" w:hAnsi="Palatino Linotype" w:cs="Palatino Linotype"/>
          <w:sz w:val="22"/>
          <w:szCs w:val="22"/>
        </w:rPr>
        <w:t xml:space="preserve"> at </w:t>
      </w:r>
      <w:r w:rsidRPr="0086271F">
        <w:rPr>
          <w:rFonts w:ascii="Palatino Linotype" w:eastAsia="Palatino Linotype" w:hAnsi="Palatino Linotype" w:cs="Palatino Linotype"/>
          <w:sz w:val="22"/>
          <w:szCs w:val="22"/>
        </w:rPr>
        <w:t>15432</w:t>
      </w:r>
      <w:r w:rsidRPr="00C41524">
        <w:rPr>
          <w:rFonts w:ascii="Palatino Linotype" w:eastAsia="Palatino Linotype" w:hAnsi="Palatino Linotype" w:cs="Palatino Linotype"/>
          <w:sz w:val="22"/>
          <w:szCs w:val="22"/>
        </w:rPr>
        <w:t xml:space="preserve"> on </w:t>
      </w:r>
      <w:r>
        <w:rPr>
          <w:rFonts w:ascii="Palatino Linotype" w:eastAsia="Palatino Linotype" w:hAnsi="Palatino Linotype" w:cs="Palatino Linotype"/>
          <w:sz w:val="22"/>
          <w:szCs w:val="22"/>
        </w:rPr>
        <w:t>February 16</w:t>
      </w:r>
      <w:r w:rsidRPr="00C41524">
        <w:rPr>
          <w:rFonts w:ascii="Palatino Linotype" w:eastAsia="Palatino Linotype" w:hAnsi="Palatino Linotype" w:cs="Palatino Linotype"/>
          <w:sz w:val="22"/>
          <w:szCs w:val="22"/>
        </w:rPr>
        <w:t>, 2021 and intraday low for the month</w:t>
      </w:r>
      <w:r>
        <w:rPr>
          <w:rFonts w:ascii="Palatino Linotype" w:eastAsia="Palatino Linotype" w:hAnsi="Palatino Linotype" w:cs="Palatino Linotype"/>
          <w:sz w:val="22"/>
          <w:szCs w:val="22"/>
        </w:rPr>
        <w:t xml:space="preserve"> at </w:t>
      </w:r>
      <w:r w:rsidRPr="0086271F">
        <w:rPr>
          <w:rFonts w:ascii="Palatino Linotype" w:eastAsia="Palatino Linotype" w:hAnsi="Palatino Linotype" w:cs="Palatino Linotype"/>
          <w:sz w:val="22"/>
          <w:szCs w:val="22"/>
        </w:rPr>
        <w:t>13662</w:t>
      </w:r>
      <w:r w:rsidRPr="00C41524">
        <w:rPr>
          <w:rFonts w:ascii="Palatino Linotype" w:eastAsia="Palatino Linotype" w:hAnsi="Palatino Linotype" w:cs="Palatino Linotype"/>
          <w:sz w:val="22"/>
          <w:szCs w:val="22"/>
        </w:rPr>
        <w:t xml:space="preserve"> on </w:t>
      </w:r>
      <w:r>
        <w:rPr>
          <w:rFonts w:ascii="Palatino Linotype" w:eastAsia="Palatino Linotype" w:hAnsi="Palatino Linotype" w:cs="Palatino Linotype"/>
          <w:sz w:val="22"/>
          <w:szCs w:val="22"/>
        </w:rPr>
        <w:t>February 01</w:t>
      </w:r>
      <w:r w:rsidRPr="00C41524">
        <w:rPr>
          <w:rFonts w:ascii="Palatino Linotype" w:eastAsia="Palatino Linotype" w:hAnsi="Palatino Linotype" w:cs="Palatino Linotype"/>
          <w:sz w:val="22"/>
          <w:szCs w:val="22"/>
        </w:rPr>
        <w:t xml:space="preserve">, 2021. S&amp;P BSE Sensex too reached its intraday high </w:t>
      </w:r>
      <w:r>
        <w:rPr>
          <w:rFonts w:ascii="Palatino Linotype" w:eastAsia="Palatino Linotype" w:hAnsi="Palatino Linotype" w:cs="Palatino Linotype"/>
          <w:sz w:val="22"/>
          <w:szCs w:val="22"/>
        </w:rPr>
        <w:t xml:space="preserve">at </w:t>
      </w:r>
      <w:r w:rsidRPr="0086271F">
        <w:rPr>
          <w:rFonts w:ascii="Palatino Linotype" w:eastAsia="Palatino Linotype" w:hAnsi="Palatino Linotype" w:cs="Palatino Linotype"/>
          <w:sz w:val="22"/>
          <w:szCs w:val="22"/>
        </w:rPr>
        <w:t>52517</w:t>
      </w:r>
      <w:r w:rsidRPr="00C41524">
        <w:rPr>
          <w:rFonts w:ascii="Palatino Linotype" w:eastAsia="Palatino Linotype" w:hAnsi="Palatino Linotype" w:cs="Palatino Linotype"/>
          <w:sz w:val="22"/>
          <w:szCs w:val="22"/>
        </w:rPr>
        <w:t xml:space="preserve"> for the month, on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16</w:t>
      </w:r>
      <w:r w:rsidRPr="00C41524">
        <w:rPr>
          <w:rFonts w:ascii="Palatino Linotype" w:eastAsia="Palatino Linotype" w:hAnsi="Palatino Linotype" w:cs="Palatino Linotype"/>
          <w:sz w:val="22"/>
          <w:szCs w:val="22"/>
        </w:rPr>
        <w:t>, 2021 and intraday low</w:t>
      </w:r>
      <w:r>
        <w:rPr>
          <w:rFonts w:ascii="Palatino Linotype" w:eastAsia="Palatino Linotype" w:hAnsi="Palatino Linotype" w:cs="Palatino Linotype"/>
          <w:sz w:val="22"/>
          <w:szCs w:val="22"/>
        </w:rPr>
        <w:t xml:space="preserve"> at </w:t>
      </w:r>
      <w:r w:rsidRPr="0086271F">
        <w:rPr>
          <w:rFonts w:ascii="Palatino Linotype" w:eastAsia="Palatino Linotype" w:hAnsi="Palatino Linotype" w:cs="Palatino Linotype"/>
          <w:sz w:val="22"/>
          <w:szCs w:val="22"/>
        </w:rPr>
        <w:t>46434</w:t>
      </w:r>
      <w:r w:rsidRPr="00C41524">
        <w:rPr>
          <w:rFonts w:ascii="Palatino Linotype" w:eastAsia="Palatino Linotype" w:hAnsi="Palatino Linotype" w:cs="Palatino Linotype"/>
          <w:sz w:val="22"/>
          <w:szCs w:val="22"/>
        </w:rPr>
        <w:t xml:space="preserve"> for the month, on </w:t>
      </w:r>
      <w:r>
        <w:rPr>
          <w:rFonts w:ascii="Palatino Linotype" w:eastAsia="Palatino Linotype" w:hAnsi="Palatino Linotype" w:cs="Palatino Linotype"/>
          <w:sz w:val="22"/>
          <w:szCs w:val="22"/>
        </w:rPr>
        <w:t>February 01</w:t>
      </w:r>
      <w:r w:rsidRPr="00C41524">
        <w:rPr>
          <w:rFonts w:ascii="Palatino Linotype" w:eastAsia="Palatino Linotype" w:hAnsi="Palatino Linotype" w:cs="Palatino Linotype"/>
          <w:sz w:val="22"/>
          <w:szCs w:val="22"/>
        </w:rPr>
        <w:t>, 2021.</w:t>
      </w: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The P/E ratios of S&amp;P BSE Sensex and Nifty 50 were 3</w:t>
      </w:r>
      <w:r>
        <w:rPr>
          <w:rFonts w:ascii="Palatino Linotype" w:eastAsia="Palatino Linotype" w:hAnsi="Palatino Linotype" w:cs="Palatino Linotype"/>
          <w:sz w:val="22"/>
          <w:szCs w:val="22"/>
        </w:rPr>
        <w:t xml:space="preserve">3.9 </w:t>
      </w:r>
      <w:r w:rsidRPr="002357A9">
        <w:rPr>
          <w:rFonts w:ascii="Palatino Linotype" w:eastAsia="Palatino Linotype" w:hAnsi="Palatino Linotype" w:cs="Palatino Linotype"/>
          <w:sz w:val="22"/>
          <w:szCs w:val="22"/>
        </w:rPr>
        <w:t>and 3</w:t>
      </w:r>
      <w:r>
        <w:rPr>
          <w:rFonts w:ascii="Palatino Linotype" w:eastAsia="Palatino Linotype" w:hAnsi="Palatino Linotype" w:cs="Palatino Linotype"/>
          <w:sz w:val="22"/>
          <w:szCs w:val="22"/>
        </w:rPr>
        <w:t>9.7</w:t>
      </w:r>
      <w:r w:rsidRPr="002357A9">
        <w:rPr>
          <w:rFonts w:ascii="Palatino Linotype" w:eastAsia="Palatino Linotype" w:hAnsi="Palatino Linotype" w:cs="Palatino Linotype"/>
          <w:sz w:val="22"/>
          <w:szCs w:val="22"/>
        </w:rPr>
        <w:t xml:space="preserve">, respectively, at the end of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compared to 31.8 and 36.6, respectively, at the end of January 2021.</w:t>
      </w:r>
    </w:p>
    <w:p w:rsidR="00E940C3" w:rsidRDefault="00E940C3" w:rsidP="00E940C3">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E940C3" w:rsidRDefault="00E940C3" w:rsidP="00E940C3">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p>
    <w:p w:rsidR="00E940C3" w:rsidRPr="002357A9" w:rsidRDefault="00E940C3" w:rsidP="00E940C3">
      <w:pPr>
        <w:pBdr>
          <w:top w:val="nil"/>
          <w:left w:val="nil"/>
          <w:bottom w:val="nil"/>
          <w:right w:val="nil"/>
          <w:between w:val="nil"/>
        </w:pBdr>
        <w:spacing w:line="276" w:lineRule="auto"/>
        <w:ind w:left="720" w:hanging="720"/>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Table 2: Snapshot of Indian Capital Market </w:t>
      </w:r>
    </w:p>
    <w:tbl>
      <w:tblPr>
        <w:tblW w:w="9242" w:type="dxa"/>
        <w:tblLook w:val="04A0" w:firstRow="1" w:lastRow="0" w:firstColumn="1" w:lastColumn="0" w:noHBand="0" w:noVBand="1"/>
      </w:tblPr>
      <w:tblGrid>
        <w:gridCol w:w="3298"/>
        <w:gridCol w:w="1864"/>
        <w:gridCol w:w="1864"/>
        <w:gridCol w:w="2216"/>
      </w:tblGrid>
      <w:tr w:rsidR="00E940C3" w:rsidRPr="005C4FCC" w:rsidTr="0019451C">
        <w:trPr>
          <w:trHeight w:val="563"/>
        </w:trPr>
        <w:tc>
          <w:tcPr>
            <w:tcW w:w="3298" w:type="dxa"/>
            <w:tcBorders>
              <w:top w:val="single" w:sz="4" w:space="0" w:color="000000"/>
              <w:left w:val="single" w:sz="4" w:space="0" w:color="000000"/>
              <w:bottom w:val="single" w:sz="4" w:space="0" w:color="000000"/>
              <w:right w:val="single" w:sz="4" w:space="0" w:color="000000"/>
            </w:tcBorders>
            <w:shd w:val="clear" w:color="92CDDC" w:fill="92CDDC"/>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Description</w:t>
            </w:r>
          </w:p>
        </w:tc>
        <w:tc>
          <w:tcPr>
            <w:tcW w:w="1863" w:type="dxa"/>
            <w:tcBorders>
              <w:top w:val="single" w:sz="4" w:space="0" w:color="000000"/>
              <w:left w:val="nil"/>
              <w:bottom w:val="single" w:sz="4" w:space="0" w:color="000000"/>
              <w:right w:val="single" w:sz="4" w:space="0" w:color="000000"/>
            </w:tcBorders>
            <w:shd w:val="clear" w:color="92CDDC" w:fill="92CDDC"/>
            <w:noWrap/>
            <w:vAlign w:val="center"/>
            <w:hideMark/>
          </w:tcPr>
          <w:p w:rsidR="00E940C3" w:rsidRPr="005C4FCC" w:rsidRDefault="00E940C3" w:rsidP="0019451C">
            <w:pPr>
              <w:jc w:val="cente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Jan-21</w:t>
            </w:r>
          </w:p>
        </w:tc>
        <w:tc>
          <w:tcPr>
            <w:tcW w:w="1863" w:type="dxa"/>
            <w:tcBorders>
              <w:top w:val="single" w:sz="4" w:space="0" w:color="000000"/>
              <w:left w:val="nil"/>
              <w:bottom w:val="single" w:sz="4" w:space="0" w:color="000000"/>
              <w:right w:val="single" w:sz="4" w:space="0" w:color="000000"/>
            </w:tcBorders>
            <w:shd w:val="clear" w:color="92CDDC" w:fill="92CDDC"/>
            <w:noWrap/>
            <w:vAlign w:val="center"/>
            <w:hideMark/>
          </w:tcPr>
          <w:p w:rsidR="00E940C3" w:rsidRPr="005C4FCC" w:rsidRDefault="00E940C3" w:rsidP="0019451C">
            <w:pPr>
              <w:jc w:val="cente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Feb-21</w:t>
            </w:r>
          </w:p>
        </w:tc>
        <w:tc>
          <w:tcPr>
            <w:tcW w:w="2216" w:type="dxa"/>
            <w:tcBorders>
              <w:top w:val="single" w:sz="4" w:space="0" w:color="000000"/>
              <w:left w:val="nil"/>
              <w:bottom w:val="single" w:sz="4" w:space="0" w:color="000000"/>
              <w:right w:val="single" w:sz="4" w:space="0" w:color="000000"/>
            </w:tcBorders>
            <w:shd w:val="clear" w:color="92CDDC" w:fill="92CDDC"/>
            <w:vAlign w:val="center"/>
            <w:hideMark/>
          </w:tcPr>
          <w:p w:rsidR="00E940C3" w:rsidRPr="005C4FCC" w:rsidRDefault="00E940C3" w:rsidP="0019451C">
            <w:pPr>
              <w:jc w:val="cente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Change during the Month</w:t>
            </w:r>
          </w:p>
        </w:tc>
      </w:tr>
      <w:tr w:rsidR="00E940C3" w:rsidRPr="005C4FCC" w:rsidTr="0019451C">
        <w:trPr>
          <w:trHeight w:val="227"/>
        </w:trPr>
        <w:tc>
          <w:tcPr>
            <w:tcW w:w="3298" w:type="dxa"/>
            <w:tcBorders>
              <w:top w:val="nil"/>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Index in Equity Market</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Nifty 50</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13,635 </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14,529</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6.6</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Sensex</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46,286 </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49,100</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6.1</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Nifty Midcap</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6,003 </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6,797 </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13.2</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Nifty Smallcap</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7,177 </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8,050 </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12.2</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BSE Midcap</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18,082 </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19,979 </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10.5</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BSE Smallcap</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17,988 </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                 20,155 </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12.0</w:t>
            </w:r>
          </w:p>
        </w:tc>
      </w:tr>
      <w:tr w:rsidR="00E940C3" w:rsidRPr="005C4FCC" w:rsidTr="0019451C">
        <w:trPr>
          <w:trHeight w:val="227"/>
        </w:trPr>
        <w:tc>
          <w:tcPr>
            <w:tcW w:w="5162"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Market Capitalisation (</w:t>
            </w:r>
            <w:r w:rsidRPr="005C4FCC">
              <w:rPr>
                <w:rFonts w:ascii="Times New Roman" w:eastAsia="Times New Roman" w:hAnsi="Times New Roman"/>
                <w:b/>
                <w:bCs/>
                <w:sz w:val="20"/>
                <w:szCs w:val="20"/>
                <w:lang w:val="en-IN" w:eastAsia="en-IN" w:bidi="hi-IN"/>
              </w:rPr>
              <w:t>₹</w:t>
            </w:r>
            <w:r w:rsidRPr="005C4FCC">
              <w:rPr>
                <w:rFonts w:ascii="Palatino Linotype" w:eastAsia="Times New Roman" w:hAnsi="Palatino Linotype"/>
                <w:b/>
                <w:bCs/>
                <w:sz w:val="20"/>
                <w:szCs w:val="20"/>
                <w:lang w:val="en-IN" w:eastAsia="en-IN" w:bidi="hi-IN"/>
              </w:rPr>
              <w:t xml:space="preserve"> crore)</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1,86,12,644</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2,00,81,096</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7.9</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1,84,74,450</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1,99,63,826</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8.1</w:t>
            </w:r>
          </w:p>
        </w:tc>
      </w:tr>
      <w:tr w:rsidR="00E940C3" w:rsidRPr="005C4FCC" w:rsidTr="0019451C">
        <w:trPr>
          <w:trHeight w:val="227"/>
        </w:trPr>
        <w:tc>
          <w:tcPr>
            <w:tcW w:w="3298" w:type="dxa"/>
            <w:tcBorders>
              <w:top w:val="nil"/>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P/E Ratio</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Sensex</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31.8</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33.9</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6.6</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Nifty 50</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36.6</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39.7</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8.4</w:t>
            </w:r>
          </w:p>
        </w:tc>
      </w:tr>
      <w:tr w:rsidR="00E940C3" w:rsidRPr="005C4FCC" w:rsidTr="0019451C">
        <w:trPr>
          <w:trHeight w:val="227"/>
        </w:trPr>
        <w:tc>
          <w:tcPr>
            <w:tcW w:w="3298" w:type="dxa"/>
            <w:tcBorders>
              <w:top w:val="nil"/>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No of Listed Companies</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5,455</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5,462</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0.1</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1,965</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1,957</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-0.4</w:t>
            </w:r>
          </w:p>
        </w:tc>
      </w:tr>
      <w:tr w:rsidR="00E940C3" w:rsidRPr="005C4FCC" w:rsidTr="0019451C">
        <w:trPr>
          <w:trHeight w:val="227"/>
        </w:trPr>
        <w:tc>
          <w:tcPr>
            <w:tcW w:w="5162" w:type="dxa"/>
            <w:gridSpan w:val="2"/>
            <w:tcBorders>
              <w:top w:val="single" w:sz="4" w:space="0" w:color="000000"/>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Gross Turnover in Equity Segment (</w:t>
            </w:r>
            <w:r w:rsidRPr="005C4FCC">
              <w:rPr>
                <w:rFonts w:ascii="Times New Roman" w:eastAsia="Times New Roman" w:hAnsi="Times New Roman"/>
                <w:b/>
                <w:bCs/>
                <w:sz w:val="20"/>
                <w:szCs w:val="20"/>
                <w:lang w:val="en-IN" w:eastAsia="en-IN" w:bidi="hi-IN"/>
              </w:rPr>
              <w:t>₹</w:t>
            </w:r>
            <w:r w:rsidRPr="005C4FCC">
              <w:rPr>
                <w:rFonts w:ascii="Palatino Linotype" w:eastAsia="Times New Roman" w:hAnsi="Palatino Linotype"/>
                <w:b/>
                <w:bCs/>
                <w:sz w:val="20"/>
                <w:szCs w:val="20"/>
                <w:lang w:val="en-IN" w:eastAsia="en-IN" w:bidi="hi-IN"/>
              </w:rPr>
              <w:t xml:space="preserve"> crore)</w:t>
            </w:r>
          </w:p>
        </w:tc>
        <w:tc>
          <w:tcPr>
            <w:tcW w:w="1863" w:type="dxa"/>
            <w:tcBorders>
              <w:top w:val="nil"/>
              <w:left w:val="nil"/>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104,063</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1,44,955</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39.3</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14,49,445</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16,27,464</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12.3</w:t>
            </w:r>
          </w:p>
        </w:tc>
      </w:tr>
      <w:tr w:rsidR="00E940C3" w:rsidRPr="005C4FCC" w:rsidTr="0019451C">
        <w:trPr>
          <w:trHeight w:val="227"/>
        </w:trPr>
        <w:tc>
          <w:tcPr>
            <w:tcW w:w="7026"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Gross Turnover in Equity Derivatives Segment (</w:t>
            </w:r>
            <w:r w:rsidRPr="005C4FCC">
              <w:rPr>
                <w:rFonts w:ascii="Times New Roman" w:eastAsia="Times New Roman" w:hAnsi="Times New Roman"/>
                <w:b/>
                <w:bCs/>
                <w:sz w:val="20"/>
                <w:szCs w:val="20"/>
                <w:lang w:val="en-IN" w:eastAsia="en-IN" w:bidi="hi-IN"/>
              </w:rPr>
              <w:t>₹</w:t>
            </w:r>
            <w:r w:rsidRPr="005C4FCC">
              <w:rPr>
                <w:rFonts w:ascii="Palatino Linotype" w:eastAsia="Times New Roman" w:hAnsi="Palatino Linotype"/>
                <w:b/>
                <w:bCs/>
                <w:sz w:val="20"/>
                <w:szCs w:val="20"/>
                <w:lang w:val="en-IN" w:eastAsia="en-IN" w:bidi="hi-IN"/>
              </w:rPr>
              <w:t xml:space="preserve"> crore)</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49,33,029</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58,37,172</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18.3</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7,19,13,140</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8,60,21,969</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19.6</w:t>
            </w:r>
          </w:p>
        </w:tc>
      </w:tr>
      <w:tr w:rsidR="00E940C3" w:rsidRPr="005C4FCC" w:rsidTr="0019451C">
        <w:trPr>
          <w:trHeight w:val="227"/>
        </w:trPr>
        <w:tc>
          <w:tcPr>
            <w:tcW w:w="7026" w:type="dxa"/>
            <w:gridSpan w:val="3"/>
            <w:tcBorders>
              <w:top w:val="single" w:sz="4" w:space="0" w:color="000000"/>
              <w:left w:val="single" w:sz="4" w:space="0" w:color="000000"/>
              <w:bottom w:val="single" w:sz="4" w:space="0" w:color="000000"/>
              <w:right w:val="nil"/>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Gross Turnover in Currency Derivatives Segment (</w:t>
            </w:r>
            <w:r w:rsidRPr="005C4FCC">
              <w:rPr>
                <w:rFonts w:ascii="Times New Roman" w:eastAsia="Times New Roman" w:hAnsi="Times New Roman"/>
                <w:b/>
                <w:bCs/>
                <w:sz w:val="20"/>
                <w:szCs w:val="20"/>
                <w:lang w:val="en-IN" w:eastAsia="en-IN" w:bidi="hi-IN"/>
              </w:rPr>
              <w:t>₹</w:t>
            </w:r>
            <w:r w:rsidRPr="005C4FCC">
              <w:rPr>
                <w:rFonts w:ascii="Palatino Linotype" w:eastAsia="Times New Roman" w:hAnsi="Palatino Linotype"/>
                <w:b/>
                <w:bCs/>
                <w:sz w:val="20"/>
                <w:szCs w:val="20"/>
                <w:lang w:val="en-IN" w:eastAsia="en-IN" w:bidi="hi-IN"/>
              </w:rPr>
              <w:t xml:space="preserve"> crore)</w:t>
            </w:r>
          </w:p>
        </w:tc>
        <w:tc>
          <w:tcPr>
            <w:tcW w:w="2216" w:type="dxa"/>
            <w:tcBorders>
              <w:top w:val="nil"/>
              <w:left w:val="nil"/>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 </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auto"/>
              <w:right w:val="single" w:sz="4" w:space="0" w:color="auto"/>
            </w:tcBorders>
            <w:shd w:val="clear" w:color="000000" w:fill="FFFFFF"/>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440,262</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4,49,171</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2.0</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10,01,206</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10,82,489</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8.1</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MSEI</w:t>
            </w:r>
          </w:p>
        </w:tc>
        <w:tc>
          <w:tcPr>
            <w:tcW w:w="1863"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13,562</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12,192</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-10.1</w:t>
            </w:r>
          </w:p>
        </w:tc>
      </w:tr>
      <w:tr w:rsidR="00E940C3" w:rsidRPr="005C4FCC" w:rsidTr="0019451C">
        <w:trPr>
          <w:trHeight w:val="227"/>
        </w:trPr>
        <w:tc>
          <w:tcPr>
            <w:tcW w:w="9242" w:type="dxa"/>
            <w:gridSpan w:val="4"/>
            <w:tcBorders>
              <w:top w:val="single" w:sz="4" w:space="0" w:color="000000"/>
              <w:left w:val="single" w:sz="4" w:space="0" w:color="000000"/>
              <w:bottom w:val="single" w:sz="4" w:space="0" w:color="000000"/>
              <w:right w:val="single" w:sz="4" w:space="0" w:color="000000"/>
            </w:tcBorders>
            <w:shd w:val="clear" w:color="C6E0B4" w:fill="C6E0B4"/>
            <w:noWrap/>
            <w:vAlign w:val="center"/>
            <w:hideMark/>
          </w:tcPr>
          <w:p w:rsidR="00E940C3" w:rsidRPr="005C4FCC" w:rsidRDefault="00E940C3" w:rsidP="0019451C">
            <w:pPr>
              <w:rPr>
                <w:rFonts w:ascii="Palatino Linotype" w:eastAsia="Times New Roman" w:hAnsi="Palatino Linotype"/>
                <w:b/>
                <w:bCs/>
                <w:sz w:val="20"/>
                <w:szCs w:val="20"/>
                <w:lang w:val="en-IN" w:eastAsia="en-IN" w:bidi="hi-IN"/>
              </w:rPr>
            </w:pPr>
            <w:r w:rsidRPr="005C4FCC">
              <w:rPr>
                <w:rFonts w:ascii="Palatino Linotype" w:eastAsia="Times New Roman" w:hAnsi="Palatino Linotype"/>
                <w:b/>
                <w:bCs/>
                <w:sz w:val="20"/>
                <w:szCs w:val="20"/>
                <w:lang w:val="en-IN" w:eastAsia="en-IN" w:bidi="hi-IN"/>
              </w:rPr>
              <w:t>Gross Turnover in Interest Rate Derivatives Segment (</w:t>
            </w:r>
            <w:r w:rsidRPr="005C4FCC">
              <w:rPr>
                <w:rFonts w:ascii="Times New Roman" w:eastAsia="Times New Roman" w:hAnsi="Times New Roman"/>
                <w:b/>
                <w:bCs/>
                <w:sz w:val="20"/>
                <w:szCs w:val="20"/>
                <w:lang w:val="en-IN" w:eastAsia="en-IN" w:bidi="hi-IN"/>
              </w:rPr>
              <w:t>₹</w:t>
            </w:r>
            <w:r w:rsidRPr="005C4FCC">
              <w:rPr>
                <w:rFonts w:ascii="Palatino Linotype" w:eastAsia="Times New Roman" w:hAnsi="Palatino Linotype"/>
                <w:b/>
                <w:bCs/>
                <w:sz w:val="20"/>
                <w:szCs w:val="20"/>
                <w:lang w:val="en-IN" w:eastAsia="en-IN" w:bidi="hi-IN"/>
              </w:rPr>
              <w:t xml:space="preserve"> crore)</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 xml:space="preserve">BSE </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1,101</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5,520</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401.4</w:t>
            </w:r>
          </w:p>
        </w:tc>
      </w:tr>
      <w:tr w:rsidR="00E940C3" w:rsidRPr="005C4FCC" w:rsidTr="0019451C">
        <w:trPr>
          <w:trHeight w:val="227"/>
        </w:trPr>
        <w:tc>
          <w:tcPr>
            <w:tcW w:w="3298" w:type="dxa"/>
            <w:tcBorders>
              <w:top w:val="nil"/>
              <w:left w:val="single" w:sz="4" w:space="0" w:color="000000"/>
              <w:bottom w:val="single" w:sz="4" w:space="0" w:color="000000"/>
              <w:right w:val="single" w:sz="4" w:space="0" w:color="000000"/>
            </w:tcBorders>
            <w:shd w:val="clear" w:color="auto" w:fill="auto"/>
            <w:noWrap/>
            <w:vAlign w:val="bottom"/>
            <w:hideMark/>
          </w:tcPr>
          <w:p w:rsidR="00E940C3" w:rsidRPr="005C4FCC" w:rsidRDefault="00E940C3" w:rsidP="0019451C">
            <w:pPr>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NSE</w:t>
            </w:r>
          </w:p>
        </w:tc>
        <w:tc>
          <w:tcPr>
            <w:tcW w:w="1863" w:type="dxa"/>
            <w:tcBorders>
              <w:top w:val="nil"/>
              <w:left w:val="nil"/>
              <w:bottom w:val="single" w:sz="4" w:space="0" w:color="000000"/>
              <w:right w:val="single" w:sz="4" w:space="0" w:color="000000"/>
            </w:tcBorders>
            <w:shd w:val="clear" w:color="FFFFFF" w:fill="FFFFFF"/>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4,094</w:t>
            </w:r>
          </w:p>
        </w:tc>
        <w:tc>
          <w:tcPr>
            <w:tcW w:w="1863" w:type="dxa"/>
            <w:tcBorders>
              <w:top w:val="nil"/>
              <w:left w:val="nil"/>
              <w:bottom w:val="single" w:sz="4" w:space="0" w:color="000000"/>
              <w:right w:val="single" w:sz="4" w:space="0" w:color="000000"/>
            </w:tcBorders>
            <w:shd w:val="clear" w:color="000000" w:fill="FFFFFF"/>
            <w:noWrap/>
            <w:vAlign w:val="bottom"/>
            <w:hideMark/>
          </w:tcPr>
          <w:p w:rsidR="00E940C3" w:rsidRPr="005C4FCC" w:rsidRDefault="00E940C3" w:rsidP="0019451C">
            <w:pPr>
              <w:jc w:val="right"/>
              <w:rPr>
                <w:rFonts w:ascii="Palatino Linotype" w:eastAsia="Times New Roman" w:hAnsi="Palatino Linotype"/>
                <w:color w:val="000000"/>
                <w:sz w:val="20"/>
                <w:szCs w:val="20"/>
                <w:lang w:val="en-IN" w:eastAsia="en-IN" w:bidi="hi-IN"/>
              </w:rPr>
            </w:pPr>
            <w:r w:rsidRPr="005C4FCC">
              <w:rPr>
                <w:rFonts w:ascii="Palatino Linotype" w:eastAsia="Times New Roman" w:hAnsi="Palatino Linotype"/>
                <w:color w:val="000000"/>
                <w:sz w:val="20"/>
                <w:szCs w:val="20"/>
                <w:lang w:val="en-IN" w:eastAsia="en-IN" w:bidi="hi-IN"/>
              </w:rPr>
              <w:t>6,735</w:t>
            </w:r>
          </w:p>
        </w:tc>
        <w:tc>
          <w:tcPr>
            <w:tcW w:w="2216" w:type="dxa"/>
            <w:tcBorders>
              <w:top w:val="nil"/>
              <w:left w:val="nil"/>
              <w:bottom w:val="single" w:sz="4" w:space="0" w:color="000000"/>
              <w:right w:val="single" w:sz="4" w:space="0" w:color="000000"/>
            </w:tcBorders>
            <w:shd w:val="clear" w:color="auto" w:fill="auto"/>
            <w:noWrap/>
            <w:vAlign w:val="bottom"/>
            <w:hideMark/>
          </w:tcPr>
          <w:p w:rsidR="00E940C3" w:rsidRPr="005C4FCC" w:rsidRDefault="00E940C3" w:rsidP="0019451C">
            <w:pPr>
              <w:jc w:val="right"/>
              <w:rPr>
                <w:rFonts w:ascii="Palatino Linotype" w:eastAsia="Times New Roman" w:hAnsi="Palatino Linotype"/>
                <w:sz w:val="20"/>
                <w:szCs w:val="20"/>
                <w:lang w:val="en-IN" w:eastAsia="en-IN" w:bidi="hi-IN"/>
              </w:rPr>
            </w:pPr>
            <w:r w:rsidRPr="005C4FCC">
              <w:rPr>
                <w:rFonts w:ascii="Palatino Linotype" w:eastAsia="Times New Roman" w:hAnsi="Palatino Linotype"/>
                <w:sz w:val="20"/>
                <w:szCs w:val="20"/>
                <w:lang w:val="en-IN" w:eastAsia="en-IN" w:bidi="hi-IN"/>
              </w:rPr>
              <w:t>64.5</w:t>
            </w:r>
          </w:p>
        </w:tc>
      </w:tr>
    </w:tbl>
    <w:p w:rsidR="00E940C3" w:rsidRPr="00C41524" w:rsidRDefault="00E940C3" w:rsidP="00E940C3">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BSE, NSE and MSEI</w:t>
      </w:r>
      <w:r w:rsidRPr="00C41524">
        <w:rPr>
          <w:rFonts w:ascii="Palatino Linotype" w:eastAsia="Palatino Linotype" w:hAnsi="Palatino Linotype" w:cs="Palatino Linotype"/>
          <w:b/>
          <w:sz w:val="18"/>
          <w:szCs w:val="18"/>
        </w:rPr>
        <w:br w:type="page"/>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Figure 1: Movement of S&amp;P BSE Sensex and Nifty 50 during </w:t>
      </w:r>
      <w:r>
        <w:rPr>
          <w:rFonts w:ascii="Palatino Linotype" w:eastAsia="Palatino Linotype" w:hAnsi="Palatino Linotype" w:cs="Palatino Linotype"/>
          <w:b/>
          <w:sz w:val="22"/>
          <w:szCs w:val="22"/>
        </w:rPr>
        <w:t>February</w:t>
      </w:r>
      <w:r w:rsidRPr="002357A9">
        <w:rPr>
          <w:rFonts w:ascii="Palatino Linotype" w:eastAsia="Palatino Linotype" w:hAnsi="Palatino Linotype" w:cs="Palatino Linotype"/>
          <w:b/>
          <w:sz w:val="22"/>
          <w:szCs w:val="22"/>
        </w:rPr>
        <w:t xml:space="preserve"> 2021</w:t>
      </w:r>
    </w:p>
    <w:p w:rsidR="00E940C3" w:rsidRPr="002357A9" w:rsidRDefault="00E940C3" w:rsidP="00E940C3">
      <w:pPr>
        <w:spacing w:line="276" w:lineRule="auto"/>
        <w:rPr>
          <w:rFonts w:ascii="Palatino Linotype" w:eastAsia="Palatino Linotype" w:hAnsi="Palatino Linotype" w:cs="Palatino Linotype"/>
          <w:bCs/>
          <w:sz w:val="22"/>
          <w:szCs w:val="22"/>
          <w:highlight w:val="yellow"/>
        </w:rPr>
      </w:pPr>
      <w:r>
        <w:rPr>
          <w:noProof/>
          <w:lang w:val="en-IN" w:eastAsia="en-IN" w:bidi="hi-IN"/>
        </w:rPr>
        <w:drawing>
          <wp:inline distT="0" distB="0" distL="0" distR="0" wp14:anchorId="2F2B359B" wp14:editId="27B43C59">
            <wp:extent cx="6276975" cy="2571750"/>
            <wp:effectExtent l="0" t="0" r="952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E940C3" w:rsidRPr="00C41524" w:rsidRDefault="00E940C3" w:rsidP="00E940C3">
      <w:pPr>
        <w:spacing w:line="276" w:lineRule="auto"/>
        <w:rPr>
          <w:rFonts w:ascii="Palatino Linotype" w:eastAsia="Palatino Linotype" w:hAnsi="Palatino Linotype" w:cs="Palatino Linotype"/>
          <w:b/>
          <w:i/>
          <w:iCs/>
          <w:sz w:val="18"/>
          <w:szCs w:val="18"/>
        </w:rPr>
      </w:pPr>
      <w:r w:rsidRPr="00C41524">
        <w:rPr>
          <w:rFonts w:ascii="Palatino Linotype" w:eastAsia="Palatino Linotype" w:hAnsi="Palatino Linotype" w:cs="Palatino Linotype"/>
          <w:b/>
          <w:i/>
          <w:iCs/>
          <w:sz w:val="18"/>
          <w:szCs w:val="18"/>
        </w:rPr>
        <w:t xml:space="preserve">Note: The closing values of Nifty 50 and Sensex have been rebased with respective closing values of </w:t>
      </w:r>
      <w:r>
        <w:rPr>
          <w:rFonts w:ascii="Palatino Linotype" w:eastAsia="Palatino Linotype" w:hAnsi="Palatino Linotype" w:cs="Palatino Linotype"/>
          <w:b/>
          <w:i/>
          <w:iCs/>
          <w:sz w:val="18"/>
          <w:szCs w:val="18"/>
        </w:rPr>
        <w:t>last</w:t>
      </w:r>
      <w:r w:rsidRPr="00C41524">
        <w:rPr>
          <w:rFonts w:ascii="Palatino Linotype" w:eastAsia="Palatino Linotype" w:hAnsi="Palatino Linotype" w:cs="Palatino Linotype"/>
          <w:b/>
          <w:i/>
          <w:iCs/>
          <w:sz w:val="18"/>
          <w:szCs w:val="18"/>
        </w:rPr>
        <w:t xml:space="preserve"> day of the</w:t>
      </w:r>
      <w:r>
        <w:rPr>
          <w:rFonts w:ascii="Palatino Linotype" w:eastAsia="Palatino Linotype" w:hAnsi="Palatino Linotype" w:cs="Palatino Linotype"/>
          <w:b/>
          <w:i/>
          <w:iCs/>
          <w:sz w:val="18"/>
          <w:szCs w:val="18"/>
        </w:rPr>
        <w:t xml:space="preserve"> previous</w:t>
      </w:r>
      <w:r w:rsidRPr="00C41524">
        <w:rPr>
          <w:rFonts w:ascii="Palatino Linotype" w:eastAsia="Palatino Linotype" w:hAnsi="Palatino Linotype" w:cs="Palatino Linotype"/>
          <w:b/>
          <w:i/>
          <w:iCs/>
          <w:sz w:val="18"/>
          <w:szCs w:val="18"/>
        </w:rPr>
        <w:t xml:space="preserve"> month. </w:t>
      </w:r>
    </w:p>
    <w:p w:rsidR="00E940C3" w:rsidRPr="00C41524" w:rsidRDefault="00E940C3" w:rsidP="00E940C3">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Source: BSE and NSE</w:t>
      </w:r>
    </w:p>
    <w:p w:rsidR="00E940C3" w:rsidRPr="002357A9" w:rsidRDefault="00E940C3" w:rsidP="00E940C3">
      <w:pPr>
        <w:spacing w:line="276" w:lineRule="auto"/>
        <w:rPr>
          <w:rFonts w:ascii="Palatino Linotype" w:eastAsia="Palatino Linotype" w:hAnsi="Palatino Linotype" w:cs="Palatino Linotype"/>
          <w:b/>
          <w:sz w:val="22"/>
          <w:szCs w:val="22"/>
        </w:rPr>
      </w:pP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At the end of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the market capitalisation of both the BSE and NSE </w:t>
      </w:r>
      <w:r>
        <w:rPr>
          <w:rFonts w:ascii="Palatino Linotype" w:eastAsia="Palatino Linotype" w:hAnsi="Palatino Linotype" w:cs="Palatino Linotype"/>
          <w:sz w:val="22"/>
          <w:szCs w:val="22"/>
        </w:rPr>
        <w:t>in</w:t>
      </w:r>
      <w:r w:rsidRPr="002357A9">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7.9</w:t>
      </w:r>
      <w:r w:rsidRPr="002357A9">
        <w:rPr>
          <w:rFonts w:ascii="Palatino Linotype" w:eastAsia="Palatino Linotype" w:hAnsi="Palatino Linotype" w:cs="Palatino Linotype"/>
          <w:sz w:val="22"/>
          <w:szCs w:val="22"/>
        </w:rPr>
        <w:t xml:space="preserve"> per cent and </w:t>
      </w:r>
      <w:r>
        <w:rPr>
          <w:rFonts w:ascii="Palatino Linotype" w:eastAsia="Palatino Linotype" w:hAnsi="Palatino Linotype" w:cs="Palatino Linotype"/>
          <w:sz w:val="22"/>
          <w:szCs w:val="22"/>
        </w:rPr>
        <w:t>8.1</w:t>
      </w:r>
      <w:r w:rsidRPr="002357A9">
        <w:rPr>
          <w:rFonts w:ascii="Palatino Linotype" w:eastAsia="Palatino Linotype" w:hAnsi="Palatino Linotype" w:cs="Palatino Linotype"/>
          <w:sz w:val="22"/>
          <w:szCs w:val="22"/>
        </w:rPr>
        <w:t xml:space="preserve"> per cent, respectively over the </w:t>
      </w:r>
      <w:r>
        <w:rPr>
          <w:rFonts w:ascii="Palatino Linotype" w:eastAsia="Palatino Linotype" w:hAnsi="Palatino Linotype" w:cs="Palatino Linotype"/>
          <w:sz w:val="22"/>
          <w:szCs w:val="22"/>
        </w:rPr>
        <w:t>previous</w:t>
      </w:r>
      <w:r w:rsidRPr="002357A9">
        <w:rPr>
          <w:rFonts w:ascii="Palatino Linotype" w:eastAsia="Palatino Linotype" w:hAnsi="Palatino Linotype" w:cs="Palatino Linotype"/>
          <w:sz w:val="22"/>
          <w:szCs w:val="22"/>
        </w:rPr>
        <w:t xml:space="preserve"> month</w:t>
      </w:r>
      <w:r w:rsidR="0019451C">
        <w:rPr>
          <w:rFonts w:ascii="Palatino Linotype" w:eastAsia="Palatino Linotype" w:hAnsi="Palatino Linotype" w:cs="Palatino Linotype"/>
          <w:sz w:val="22"/>
          <w:szCs w:val="22"/>
        </w:rPr>
        <w:t>’s level</w:t>
      </w:r>
      <w:r w:rsidRPr="002357A9">
        <w:rPr>
          <w:rFonts w:ascii="Palatino Linotype" w:eastAsia="Palatino Linotype" w:hAnsi="Palatino Linotype" w:cs="Palatino Linotype"/>
          <w:sz w:val="22"/>
          <w:szCs w:val="22"/>
        </w:rPr>
        <w:t xml:space="preserve">.  </w:t>
      </w:r>
    </w:p>
    <w:p w:rsidR="00E940C3" w:rsidRPr="002357A9"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highlight w:val="yellow"/>
        </w:rPr>
      </w:pP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r w:rsidRPr="002357A9">
        <w:rPr>
          <w:rFonts w:ascii="Palatino Linotype" w:eastAsia="Palatino Linotype" w:hAnsi="Palatino Linotype" w:cs="Palatino Linotype"/>
          <w:b/>
          <w:sz w:val="22"/>
          <w:szCs w:val="22"/>
        </w:rPr>
        <w:t xml:space="preserve">Figure 2: Trends in Average Daily Values of Nifty 50 and </w:t>
      </w:r>
      <w:r>
        <w:rPr>
          <w:rFonts w:ascii="Palatino Linotype" w:eastAsia="Palatino Linotype" w:hAnsi="Palatino Linotype" w:cs="Palatino Linotype"/>
          <w:b/>
          <w:sz w:val="22"/>
          <w:szCs w:val="22"/>
        </w:rPr>
        <w:t xml:space="preserve">Average Daily Turnover of </w:t>
      </w:r>
      <w:r w:rsidRPr="002357A9">
        <w:rPr>
          <w:rFonts w:ascii="Palatino Linotype" w:eastAsia="Palatino Linotype" w:hAnsi="Palatino Linotype" w:cs="Palatino Linotype"/>
          <w:b/>
          <w:sz w:val="22"/>
          <w:szCs w:val="22"/>
        </w:rPr>
        <w:t xml:space="preserve">NSE Equity Cash Segment </w:t>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487BEF48" wp14:editId="55978BE6">
            <wp:extent cx="5915025" cy="2743200"/>
            <wp:effectExtent l="0" t="0" r="9525"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Note: ADV implies Average Daily Values and ATD implies Average Daily Turnover</w:t>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NSE  </w:t>
      </w:r>
      <w:r w:rsidRPr="00C41524">
        <w:rPr>
          <w:rFonts w:ascii="Palatino Linotype" w:eastAsia="Palatino Linotype" w:hAnsi="Palatino Linotype" w:cs="Palatino Linotype"/>
          <w:b/>
          <w:sz w:val="18"/>
          <w:szCs w:val="18"/>
        </w:rPr>
        <w:br w:type="page"/>
      </w: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sidRPr="002357A9">
        <w:rPr>
          <w:rFonts w:ascii="Palatino Linotype" w:eastAsia="Palatino Linotype" w:hAnsi="Palatino Linotype" w:cs="Palatino Linotype"/>
          <w:b/>
          <w:sz w:val="22"/>
          <w:szCs w:val="22"/>
        </w:rPr>
        <w:t xml:space="preserve">Figure 3: Trends in Average Daily Values of </w:t>
      </w:r>
      <w:r>
        <w:rPr>
          <w:rFonts w:ascii="Palatino Linotype" w:eastAsia="Palatino Linotype" w:hAnsi="Palatino Linotype" w:cs="Palatino Linotype"/>
          <w:b/>
          <w:sz w:val="22"/>
          <w:szCs w:val="22"/>
        </w:rPr>
        <w:t>Sensex</w:t>
      </w:r>
      <w:r w:rsidRPr="002357A9">
        <w:rPr>
          <w:rFonts w:ascii="Palatino Linotype" w:eastAsia="Palatino Linotype" w:hAnsi="Palatino Linotype" w:cs="Palatino Linotype"/>
          <w:b/>
          <w:sz w:val="22"/>
          <w:szCs w:val="22"/>
        </w:rPr>
        <w:t xml:space="preserve"> and </w:t>
      </w:r>
      <w:r>
        <w:rPr>
          <w:rFonts w:ascii="Palatino Linotype" w:eastAsia="Palatino Linotype" w:hAnsi="Palatino Linotype" w:cs="Palatino Linotype"/>
          <w:b/>
          <w:sz w:val="22"/>
          <w:szCs w:val="22"/>
        </w:rPr>
        <w:t>Average Daily Turnover of B</w:t>
      </w:r>
      <w:r w:rsidRPr="002357A9">
        <w:rPr>
          <w:rFonts w:ascii="Palatino Linotype" w:eastAsia="Palatino Linotype" w:hAnsi="Palatino Linotype" w:cs="Palatino Linotype"/>
          <w:b/>
          <w:sz w:val="22"/>
          <w:szCs w:val="22"/>
        </w:rPr>
        <w:t xml:space="preserve">SE Equity Cash Segment </w:t>
      </w:r>
      <w:r>
        <w:rPr>
          <w:noProof/>
          <w:lang w:val="en-IN" w:eastAsia="en-IN" w:bidi="hi-IN"/>
        </w:rPr>
        <w:drawing>
          <wp:inline distT="0" distB="0" distL="0" distR="0" wp14:anchorId="31DEE23A" wp14:editId="4E99A595">
            <wp:extent cx="5972175" cy="2600325"/>
            <wp:effectExtent l="0" t="0" r="9525" b="952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E940C3" w:rsidRPr="00C41524" w:rsidRDefault="00E940C3" w:rsidP="00E940C3">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ADV implies Average Daily Values and ATD implies Average Daily Turnover</w:t>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w:t>
      </w:r>
    </w:p>
    <w:p w:rsidR="00E940C3" w:rsidRPr="002357A9" w:rsidRDefault="00E940C3" w:rsidP="00E940C3">
      <w:pPr>
        <w:spacing w:line="276" w:lineRule="auto"/>
        <w:jc w:val="both"/>
        <w:rPr>
          <w:rFonts w:ascii="Palatino Linotype" w:eastAsia="Palatino Linotype" w:hAnsi="Palatino Linotype" w:cs="Palatino Linotype"/>
          <w:color w:val="2E74B5"/>
          <w:sz w:val="22"/>
          <w:szCs w:val="22"/>
        </w:rPr>
      </w:pP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gross turnover in the equity cash segments, both at BSE and NSE, grew by </w:t>
      </w:r>
      <w:r>
        <w:rPr>
          <w:rFonts w:ascii="Palatino Linotype" w:eastAsia="Palatino Linotype" w:hAnsi="Palatino Linotype" w:cs="Palatino Linotype"/>
          <w:sz w:val="22"/>
          <w:szCs w:val="22"/>
        </w:rPr>
        <w:t>39.3</w:t>
      </w:r>
      <w:r w:rsidRPr="00C41524">
        <w:rPr>
          <w:rFonts w:ascii="Palatino Linotype" w:eastAsia="Palatino Linotype" w:hAnsi="Palatino Linotype" w:cs="Palatino Linotype"/>
          <w:sz w:val="22"/>
          <w:szCs w:val="22"/>
        </w:rPr>
        <w:t xml:space="preserve"> per cent and </w:t>
      </w:r>
      <w:r>
        <w:rPr>
          <w:rFonts w:ascii="Palatino Linotype" w:eastAsia="Palatino Linotype" w:hAnsi="Palatino Linotype" w:cs="Palatino Linotype"/>
          <w:sz w:val="22"/>
          <w:szCs w:val="22"/>
        </w:rPr>
        <w:t>12.3</w:t>
      </w:r>
      <w:r w:rsidRPr="00C41524">
        <w:rPr>
          <w:rFonts w:ascii="Palatino Linotype" w:eastAsia="Palatino Linotype" w:hAnsi="Palatino Linotype" w:cs="Palatino Linotype"/>
          <w:sz w:val="22"/>
          <w:szCs w:val="22"/>
        </w:rPr>
        <w:t xml:space="preserve"> per cent, respectively. </w:t>
      </w:r>
    </w:p>
    <w:p w:rsidR="00E940C3" w:rsidRPr="002357A9"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p>
    <w:p w:rsidR="00E940C3" w:rsidRPr="008F0D2C"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F0D2C">
        <w:rPr>
          <w:rFonts w:ascii="Palatino Linotype" w:eastAsia="Palatino Linotype" w:hAnsi="Palatino Linotype" w:cs="Palatino Linotype"/>
          <w:sz w:val="22"/>
          <w:szCs w:val="22"/>
        </w:rPr>
        <w:t xml:space="preserve">During February 2021, the selected BSE sectoral indices, referred to in Figure 4, posted positive returns.  Amongst these, return by S&amp;P BSE Metal increased by 24.4 per cent, followed by S&amp;P BSE PSU (22.5 per cent), S&amp;P BSE Power (20.7 per cent), S&amp;P BSE Reality (15.2 per cent), S&amp;P BSE Oil &amp; Gas (12.5 per cent), S&amp;P BSE Bank (12.5 per cent), S&amp;P BSE Consumer Goods (10.5 per cent), S&amp;P BSE Consumer Durables (5.5 per cent) and S&amp;P BSE Auto (3.7 per cent) over the previous month. </w:t>
      </w:r>
      <w:r w:rsidR="0019451C">
        <w:rPr>
          <w:rFonts w:ascii="Palatino Linotype" w:eastAsia="Palatino Linotype" w:hAnsi="Palatino Linotype" w:cs="Palatino Linotype"/>
          <w:sz w:val="22"/>
          <w:szCs w:val="22"/>
        </w:rPr>
        <w:t xml:space="preserve"> O</w:t>
      </w:r>
      <w:r w:rsidRPr="008F0D2C">
        <w:rPr>
          <w:rFonts w:ascii="Palatino Linotype" w:eastAsia="Palatino Linotype" w:hAnsi="Palatino Linotype" w:cs="Palatino Linotype"/>
          <w:sz w:val="22"/>
          <w:szCs w:val="22"/>
        </w:rPr>
        <w:t xml:space="preserve">nly </w:t>
      </w:r>
      <w:r w:rsidR="0019451C">
        <w:rPr>
          <w:rFonts w:ascii="Palatino Linotype" w:eastAsia="Palatino Linotype" w:hAnsi="Palatino Linotype" w:cs="Palatino Linotype"/>
          <w:sz w:val="22"/>
          <w:szCs w:val="22"/>
        </w:rPr>
        <w:t xml:space="preserve">decline was observed in </w:t>
      </w:r>
      <w:r w:rsidRPr="008F0D2C">
        <w:rPr>
          <w:rFonts w:ascii="Palatino Linotype" w:eastAsia="Palatino Linotype" w:hAnsi="Palatino Linotype" w:cs="Palatino Linotype"/>
          <w:sz w:val="22"/>
          <w:szCs w:val="22"/>
        </w:rPr>
        <w:t xml:space="preserve">S&amp;P BSE Teck </w:t>
      </w:r>
      <w:r w:rsidR="0019451C">
        <w:rPr>
          <w:rFonts w:ascii="Palatino Linotype" w:eastAsia="Palatino Linotype" w:hAnsi="Palatino Linotype" w:cs="Palatino Linotype"/>
          <w:sz w:val="22"/>
          <w:szCs w:val="22"/>
        </w:rPr>
        <w:t xml:space="preserve">which was </w:t>
      </w:r>
      <w:r w:rsidRPr="008F0D2C">
        <w:rPr>
          <w:rFonts w:ascii="Palatino Linotype" w:eastAsia="Palatino Linotype" w:hAnsi="Palatino Linotype" w:cs="Palatino Linotype"/>
          <w:sz w:val="22"/>
          <w:szCs w:val="22"/>
        </w:rPr>
        <w:t>decreased by 1.3 per cent, during February 2021.   The average daily volatility and monthly returns for these select BSE indices for February 2021 are illustrated in Figure 4.</w:t>
      </w:r>
    </w:p>
    <w:p w:rsidR="00E940C3" w:rsidRPr="002357A9" w:rsidRDefault="00E940C3" w:rsidP="00E940C3">
      <w:pPr>
        <w:spacing w:line="276" w:lineRule="auto"/>
        <w:jc w:val="both"/>
        <w:rPr>
          <w:rFonts w:ascii="Palatino Linotype" w:eastAsia="Palatino Linotype" w:hAnsi="Palatino Linotype" w:cs="Palatino Linotype"/>
          <w:b/>
          <w:sz w:val="22"/>
          <w:szCs w:val="22"/>
        </w:rPr>
      </w:pPr>
    </w:p>
    <w:p w:rsidR="00E940C3" w:rsidRPr="002357A9" w:rsidRDefault="00E940C3" w:rsidP="00E940C3">
      <w:pP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Figure 4: </w:t>
      </w:r>
      <w:r>
        <w:rPr>
          <w:rFonts w:ascii="Palatino Linotype" w:eastAsia="Palatino Linotype" w:hAnsi="Palatino Linotype" w:cs="Palatino Linotype"/>
          <w:b/>
          <w:sz w:val="22"/>
          <w:szCs w:val="22"/>
        </w:rPr>
        <w:t>Trends</w:t>
      </w:r>
      <w:r w:rsidRPr="002357A9">
        <w:rPr>
          <w:rFonts w:ascii="Palatino Linotype" w:eastAsia="Palatino Linotype" w:hAnsi="Palatino Linotype" w:cs="Palatino Linotype"/>
          <w:b/>
          <w:sz w:val="22"/>
          <w:szCs w:val="22"/>
        </w:rPr>
        <w:t xml:space="preserve"> of BSE Sectoral Indices during </w:t>
      </w:r>
      <w:r>
        <w:rPr>
          <w:rFonts w:ascii="Palatino Linotype" w:eastAsia="Palatino Linotype" w:hAnsi="Palatino Linotype" w:cs="Palatino Linotype"/>
          <w:b/>
          <w:sz w:val="22"/>
          <w:szCs w:val="22"/>
        </w:rPr>
        <w:t>February</w:t>
      </w:r>
      <w:r w:rsidRPr="002357A9">
        <w:rPr>
          <w:rFonts w:ascii="Palatino Linotype" w:eastAsia="Palatino Linotype" w:hAnsi="Palatino Linotype" w:cs="Palatino Linotype"/>
          <w:b/>
          <w:sz w:val="22"/>
          <w:szCs w:val="22"/>
        </w:rPr>
        <w:t xml:space="preserve"> 2021 (per cent)</w:t>
      </w:r>
    </w:p>
    <w:p w:rsidR="00E940C3" w:rsidRPr="002357A9" w:rsidRDefault="00E940C3" w:rsidP="00E940C3">
      <w:pPr>
        <w:spacing w:line="276" w:lineRule="auto"/>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77722F26" wp14:editId="7287C5D4">
            <wp:extent cx="6086475" cy="2543175"/>
            <wp:effectExtent l="0" t="0" r="9525" b="952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Source: BSE</w:t>
      </w:r>
    </w:p>
    <w:p w:rsidR="00E940C3" w:rsidRPr="002357A9" w:rsidRDefault="00E940C3" w:rsidP="00E940C3">
      <w:pPr>
        <w:pBdr>
          <w:top w:val="nil"/>
          <w:left w:val="nil"/>
          <w:bottom w:val="nil"/>
          <w:right w:val="nil"/>
          <w:between w:val="nil"/>
        </w:pBdr>
        <w:spacing w:line="276" w:lineRule="auto"/>
        <w:ind w:left="709" w:hanging="720"/>
        <w:rPr>
          <w:rFonts w:ascii="Palatino Linotype" w:eastAsia="Palatino Linotype" w:hAnsi="Palatino Linotype" w:cs="Palatino Linotype"/>
          <w:b/>
          <w:color w:val="2E74B5"/>
          <w:sz w:val="22"/>
          <w:szCs w:val="22"/>
          <w:highlight w:val="yellow"/>
        </w:rPr>
      </w:pPr>
    </w:p>
    <w:p w:rsidR="00E940C3" w:rsidRPr="008F0D2C"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8F0D2C">
        <w:rPr>
          <w:rFonts w:ascii="Palatino Linotype" w:eastAsia="Palatino Linotype" w:hAnsi="Palatino Linotype" w:cs="Palatino Linotype"/>
          <w:sz w:val="22"/>
          <w:szCs w:val="22"/>
        </w:rPr>
        <w:t xml:space="preserve">Similarly, the select sectoral indices of the NSE, referred to in Figure 5, </w:t>
      </w:r>
      <w:r w:rsidR="0019451C">
        <w:rPr>
          <w:rFonts w:ascii="Palatino Linotype" w:eastAsia="Palatino Linotype" w:hAnsi="Palatino Linotype" w:cs="Palatino Linotype"/>
          <w:sz w:val="22"/>
          <w:szCs w:val="22"/>
        </w:rPr>
        <w:t xml:space="preserve">mostly </w:t>
      </w:r>
      <w:r w:rsidRPr="008F0D2C">
        <w:rPr>
          <w:rFonts w:ascii="Palatino Linotype" w:eastAsia="Palatino Linotype" w:hAnsi="Palatino Linotype" w:cs="Palatino Linotype"/>
          <w:sz w:val="22"/>
          <w:szCs w:val="22"/>
        </w:rPr>
        <w:t>posted  positive returns.  Amongst these</w:t>
      </w:r>
      <w:r w:rsidR="0019451C">
        <w:rPr>
          <w:rFonts w:ascii="Palatino Linotype" w:eastAsia="Palatino Linotype" w:hAnsi="Palatino Linotype" w:cs="Palatino Linotype"/>
          <w:sz w:val="22"/>
          <w:szCs w:val="22"/>
        </w:rPr>
        <w:t xml:space="preserve"> indices,</w:t>
      </w:r>
      <w:r w:rsidRPr="008F0D2C">
        <w:rPr>
          <w:rFonts w:ascii="Palatino Linotype" w:eastAsia="Palatino Linotype" w:hAnsi="Palatino Linotype" w:cs="Palatino Linotype"/>
          <w:sz w:val="22"/>
          <w:szCs w:val="22"/>
        </w:rPr>
        <w:t xml:space="preserve"> returns by Nifty PSU Bank increased by 31.9 per cent, followed by Nifty PSE (17.7 per cent), Nifty Energy (16.3 per cent), Nifty Reality (14.4 per cent), Nifty Bank (13.9 per cent), Nifty Infrastructure (11.9 per cent) and Nifty Services (6.9 per cent) over the previous month. On the other hands, Nifty FMCG decreased by 2 per cent, followed by Nifty Pharma (2 per cent) and Nifty IT (1.4 per cent).  The average daily volatility and monthly returns of these select NSE indices for February 2021 are illustrated in Figure 5.</w:t>
      </w: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Figure 5: </w:t>
      </w:r>
      <w:r>
        <w:rPr>
          <w:rFonts w:ascii="Palatino Linotype" w:eastAsia="Palatino Linotype" w:hAnsi="Palatino Linotype" w:cs="Palatino Linotype"/>
          <w:b/>
          <w:sz w:val="22"/>
          <w:szCs w:val="22"/>
        </w:rPr>
        <w:t>Trends</w:t>
      </w:r>
      <w:r w:rsidRPr="002357A9">
        <w:rPr>
          <w:rFonts w:ascii="Palatino Linotype" w:eastAsia="Palatino Linotype" w:hAnsi="Palatino Linotype" w:cs="Palatino Linotype"/>
          <w:b/>
          <w:sz w:val="22"/>
          <w:szCs w:val="22"/>
        </w:rPr>
        <w:t xml:space="preserve"> of NSE Sectoral Indices during </w:t>
      </w:r>
      <w:r>
        <w:rPr>
          <w:rFonts w:ascii="Palatino Linotype" w:eastAsia="Palatino Linotype" w:hAnsi="Palatino Linotype" w:cs="Palatino Linotype"/>
          <w:b/>
          <w:sz w:val="22"/>
          <w:szCs w:val="22"/>
        </w:rPr>
        <w:t>February</w:t>
      </w:r>
      <w:r w:rsidRPr="002357A9">
        <w:rPr>
          <w:rFonts w:ascii="Palatino Linotype" w:eastAsia="Palatino Linotype" w:hAnsi="Palatino Linotype" w:cs="Palatino Linotype"/>
          <w:b/>
          <w:sz w:val="22"/>
          <w:szCs w:val="22"/>
        </w:rPr>
        <w:t xml:space="preserve"> 2021 (per cent)</w:t>
      </w: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5DBD4E20" wp14:editId="426B020F">
            <wp:extent cx="5562600" cy="2590800"/>
            <wp:effectExtent l="0" t="0" r="0"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w:t>
      </w:r>
      <w:r>
        <w:rPr>
          <w:rFonts w:ascii="Palatino Linotype" w:eastAsia="Palatino Linotype" w:hAnsi="Palatino Linotype" w:cs="Palatino Linotype"/>
          <w:b/>
          <w:sz w:val="18"/>
          <w:szCs w:val="18"/>
        </w:rPr>
        <w:t>N</w:t>
      </w:r>
      <w:r w:rsidRPr="00C41524">
        <w:rPr>
          <w:rFonts w:ascii="Palatino Linotype" w:eastAsia="Palatino Linotype" w:hAnsi="Palatino Linotype" w:cs="Palatino Linotype"/>
          <w:b/>
          <w:sz w:val="18"/>
          <w:szCs w:val="18"/>
        </w:rPr>
        <w:t>SE</w:t>
      </w:r>
    </w:p>
    <w:p w:rsidR="00E940C3" w:rsidRPr="002357A9" w:rsidRDefault="00E940C3" w:rsidP="00E940C3">
      <w:pPr>
        <w:pBdr>
          <w:top w:val="nil"/>
          <w:left w:val="nil"/>
          <w:bottom w:val="nil"/>
          <w:right w:val="nil"/>
          <w:between w:val="nil"/>
        </w:pBdr>
        <w:spacing w:line="276" w:lineRule="auto"/>
        <w:rPr>
          <w:rFonts w:ascii="Palatino Linotype" w:eastAsia="Palatino Linotype" w:hAnsi="Palatino Linotype" w:cs="Palatino Linotype"/>
          <w:b/>
          <w:sz w:val="22"/>
          <w:szCs w:val="22"/>
        </w:rPr>
      </w:pPr>
    </w:p>
    <w:p w:rsidR="00E940C3" w:rsidRPr="002357A9" w:rsidRDefault="00E940C3" w:rsidP="00E940C3">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Trends in Depository Accounts </w:t>
      </w:r>
    </w:p>
    <w:p w:rsidR="00E940C3"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As at the end of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there were 21</w:t>
      </w:r>
      <w:r>
        <w:rPr>
          <w:rFonts w:ascii="Palatino Linotype" w:eastAsia="Palatino Linotype" w:hAnsi="Palatino Linotype" w:cs="Palatino Linotype"/>
          <w:sz w:val="22"/>
          <w:szCs w:val="22"/>
        </w:rPr>
        <w:t>3</w:t>
      </w:r>
      <w:r w:rsidRPr="002357A9">
        <w:rPr>
          <w:rFonts w:ascii="Palatino Linotype" w:eastAsia="Palatino Linotype" w:hAnsi="Palatino Linotype" w:cs="Palatino Linotype"/>
          <w:sz w:val="22"/>
          <w:szCs w:val="22"/>
        </w:rPr>
        <w:t xml:space="preserve"> lakh </w:t>
      </w:r>
      <w:r w:rsidR="0019451C">
        <w:rPr>
          <w:rFonts w:ascii="Palatino Linotype" w:eastAsia="Palatino Linotype" w:hAnsi="Palatino Linotype" w:cs="Palatino Linotype"/>
          <w:sz w:val="22"/>
          <w:szCs w:val="22"/>
        </w:rPr>
        <w:t xml:space="preserve">and 318 lakh </w:t>
      </w:r>
      <w:r w:rsidRPr="002357A9">
        <w:rPr>
          <w:rFonts w:ascii="Palatino Linotype" w:eastAsia="Palatino Linotype" w:hAnsi="Palatino Linotype" w:cs="Palatino Linotype"/>
          <w:sz w:val="22"/>
          <w:szCs w:val="22"/>
        </w:rPr>
        <w:t>demat accounts at NSDL and  CDSL</w:t>
      </w:r>
      <w:r w:rsidR="0019451C">
        <w:rPr>
          <w:rFonts w:ascii="Palatino Linotype" w:eastAsia="Palatino Linotype" w:hAnsi="Palatino Linotype" w:cs="Palatino Linotype"/>
          <w:sz w:val="22"/>
          <w:szCs w:val="22"/>
        </w:rPr>
        <w:t xml:space="preserve"> respectively</w:t>
      </w:r>
      <w:r w:rsidRPr="002357A9">
        <w:rPr>
          <w:rFonts w:ascii="Palatino Linotype" w:eastAsia="Palatino Linotype" w:hAnsi="Palatino Linotype" w:cs="Palatino Linotype"/>
          <w:sz w:val="22"/>
          <w:szCs w:val="22"/>
        </w:rPr>
        <w:t xml:space="preserve">. Further, till the end of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5,654 listed companies we</w:t>
      </w:r>
      <w:r>
        <w:rPr>
          <w:rFonts w:ascii="Palatino Linotype" w:eastAsia="Palatino Linotype" w:hAnsi="Palatino Linotype" w:cs="Palatino Linotype"/>
          <w:sz w:val="22"/>
          <w:szCs w:val="22"/>
        </w:rPr>
        <w:t>re signed up with NSDL and 5,749</w:t>
      </w:r>
      <w:r w:rsidRPr="002357A9">
        <w:rPr>
          <w:rFonts w:ascii="Palatino Linotype" w:eastAsia="Palatino Linotype" w:hAnsi="Palatino Linotype" w:cs="Palatino Linotype"/>
          <w:sz w:val="22"/>
          <w:szCs w:val="22"/>
        </w:rPr>
        <w:t xml:space="preserve"> listed companies were signed up with CDSL to make their equity holdings available in dematerialised form.</w:t>
      </w: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Pr="002357A9"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rPr>
      </w:pPr>
    </w:p>
    <w:p w:rsidR="00E940C3" w:rsidRPr="002357A9" w:rsidRDefault="00E940C3" w:rsidP="00E940C3">
      <w:pPr>
        <w:spacing w:line="276" w:lineRule="auto"/>
        <w:rPr>
          <w:rFonts w:ascii="Palatino Linotype" w:eastAsia="Palatino Linotype" w:hAnsi="Palatino Linotype" w:cs="Palatino Linotype"/>
          <w:b/>
          <w:color w:val="2E74B5"/>
          <w:sz w:val="22"/>
          <w:szCs w:val="22"/>
          <w:highlight w:val="yellow"/>
        </w:rPr>
      </w:pPr>
    </w:p>
    <w:p w:rsidR="00E940C3" w:rsidRPr="002357A9" w:rsidRDefault="00E940C3" w:rsidP="00E940C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Derivatives Segment</w:t>
      </w:r>
      <w:r w:rsidRPr="002357A9">
        <w:rPr>
          <w:rFonts w:ascii="Palatino Linotype" w:eastAsia="Palatino Linotype" w:hAnsi="Palatino Linotype" w:cs="Palatino Linotype"/>
          <w:b/>
          <w:sz w:val="22"/>
          <w:szCs w:val="22"/>
        </w:rPr>
        <w:tab/>
      </w:r>
    </w:p>
    <w:p w:rsidR="00E940C3" w:rsidRPr="002357A9" w:rsidRDefault="00E940C3" w:rsidP="00E940C3">
      <w:pPr>
        <w:widowControl w:val="0"/>
        <w:spacing w:line="276" w:lineRule="auto"/>
        <w:jc w:val="both"/>
        <w:rPr>
          <w:rFonts w:ascii="Palatino Linotype" w:eastAsia="Palatino Linotype" w:hAnsi="Palatino Linotype" w:cs="Palatino Linotype"/>
          <w:sz w:val="22"/>
          <w:szCs w:val="22"/>
        </w:rPr>
      </w:pPr>
    </w:p>
    <w:p w:rsidR="00E940C3" w:rsidRPr="002357A9" w:rsidRDefault="00E940C3" w:rsidP="00E940C3">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Equity Derivatives</w:t>
      </w:r>
    </w:p>
    <w:p w:rsidR="00E940C3" w:rsidRPr="002357A9" w:rsidRDefault="00E940C3" w:rsidP="00E940C3">
      <w:pPr>
        <w:widowControl w:val="0"/>
        <w:spacing w:line="276" w:lineRule="auto"/>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Table 3: Trends in Equity Derivatives Market</w:t>
      </w:r>
    </w:p>
    <w:tbl>
      <w:tblPr>
        <w:tblW w:w="9964" w:type="dxa"/>
        <w:tblLook w:val="04A0" w:firstRow="1" w:lastRow="0" w:firstColumn="1" w:lastColumn="0" w:noHBand="0" w:noVBand="1"/>
      </w:tblPr>
      <w:tblGrid>
        <w:gridCol w:w="1989"/>
        <w:gridCol w:w="1220"/>
        <w:gridCol w:w="1234"/>
        <w:gridCol w:w="1297"/>
        <w:gridCol w:w="1360"/>
        <w:gridCol w:w="1360"/>
        <w:gridCol w:w="1504"/>
      </w:tblGrid>
      <w:tr w:rsidR="00E940C3" w:rsidRPr="00956596" w:rsidTr="0019451C">
        <w:trPr>
          <w:trHeight w:val="234"/>
        </w:trPr>
        <w:tc>
          <w:tcPr>
            <w:tcW w:w="1989" w:type="dxa"/>
            <w:vMerge w:val="restart"/>
            <w:tcBorders>
              <w:top w:val="single" w:sz="4" w:space="0" w:color="auto"/>
              <w:left w:val="single" w:sz="4" w:space="0" w:color="auto"/>
              <w:bottom w:val="single" w:sz="4" w:space="0" w:color="auto"/>
              <w:right w:val="single" w:sz="4" w:space="0" w:color="auto"/>
            </w:tcBorders>
            <w:shd w:val="clear" w:color="8DB3E2" w:fill="8DB3E2"/>
            <w:noWrap/>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Description</w:t>
            </w:r>
          </w:p>
        </w:tc>
        <w:tc>
          <w:tcPr>
            <w:tcW w:w="3751"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NSE</w:t>
            </w:r>
          </w:p>
        </w:tc>
        <w:tc>
          <w:tcPr>
            <w:tcW w:w="4223" w:type="dxa"/>
            <w:gridSpan w:val="3"/>
            <w:tcBorders>
              <w:top w:val="single" w:sz="4" w:space="0" w:color="auto"/>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BSE</w:t>
            </w:r>
          </w:p>
        </w:tc>
      </w:tr>
      <w:tr w:rsidR="00E940C3" w:rsidRPr="00956596" w:rsidTr="0019451C">
        <w:trPr>
          <w:trHeight w:val="234"/>
        </w:trPr>
        <w:tc>
          <w:tcPr>
            <w:tcW w:w="1989" w:type="dxa"/>
            <w:vMerge/>
            <w:tcBorders>
              <w:top w:val="single" w:sz="4" w:space="0" w:color="auto"/>
              <w:left w:val="single" w:sz="4" w:space="0" w:color="auto"/>
              <w:bottom w:val="single" w:sz="4" w:space="0" w:color="auto"/>
              <w:right w:val="single" w:sz="4" w:space="0" w:color="auto"/>
            </w:tcBorders>
            <w:vAlign w:val="center"/>
            <w:hideMark/>
          </w:tcPr>
          <w:p w:rsidR="00E940C3" w:rsidRPr="00956596" w:rsidRDefault="00E940C3" w:rsidP="0019451C">
            <w:pPr>
              <w:rPr>
                <w:rFonts w:ascii="Garamond" w:eastAsia="Times New Roman" w:hAnsi="Garamond"/>
                <w:b/>
                <w:bCs/>
                <w:sz w:val="20"/>
                <w:szCs w:val="20"/>
                <w:lang w:val="en-IN" w:eastAsia="en-IN" w:bidi="hi-IN"/>
              </w:rPr>
            </w:pPr>
          </w:p>
        </w:tc>
        <w:tc>
          <w:tcPr>
            <w:tcW w:w="1220" w:type="dxa"/>
            <w:tcBorders>
              <w:top w:val="nil"/>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Jan-21</w:t>
            </w:r>
          </w:p>
        </w:tc>
        <w:tc>
          <w:tcPr>
            <w:tcW w:w="1234" w:type="dxa"/>
            <w:tcBorders>
              <w:top w:val="nil"/>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Feb-21</w:t>
            </w:r>
          </w:p>
        </w:tc>
        <w:tc>
          <w:tcPr>
            <w:tcW w:w="1296" w:type="dxa"/>
            <w:tcBorders>
              <w:top w:val="nil"/>
              <w:left w:val="nil"/>
              <w:bottom w:val="single" w:sz="4" w:space="0" w:color="auto"/>
              <w:right w:val="single" w:sz="4" w:space="0" w:color="auto"/>
            </w:tcBorders>
            <w:shd w:val="clear" w:color="8DB3E2" w:fill="8DB3E2"/>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Percentage Change Over Month</w:t>
            </w:r>
          </w:p>
        </w:tc>
        <w:tc>
          <w:tcPr>
            <w:tcW w:w="1360" w:type="dxa"/>
            <w:tcBorders>
              <w:top w:val="nil"/>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Jan-21</w:t>
            </w:r>
          </w:p>
        </w:tc>
        <w:tc>
          <w:tcPr>
            <w:tcW w:w="1360" w:type="dxa"/>
            <w:tcBorders>
              <w:top w:val="nil"/>
              <w:left w:val="nil"/>
              <w:bottom w:val="single" w:sz="4" w:space="0" w:color="auto"/>
              <w:right w:val="single" w:sz="4" w:space="0" w:color="auto"/>
            </w:tcBorders>
            <w:shd w:val="clear" w:color="8DB3E2" w:fill="8DB3E2"/>
            <w:noWrap/>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Feb-21</w:t>
            </w:r>
          </w:p>
        </w:tc>
        <w:tc>
          <w:tcPr>
            <w:tcW w:w="1502" w:type="dxa"/>
            <w:tcBorders>
              <w:top w:val="nil"/>
              <w:left w:val="nil"/>
              <w:bottom w:val="single" w:sz="4" w:space="0" w:color="auto"/>
              <w:right w:val="single" w:sz="4" w:space="0" w:color="auto"/>
            </w:tcBorders>
            <w:shd w:val="clear" w:color="8DB3E2" w:fill="8DB3E2"/>
            <w:vAlign w:val="center"/>
            <w:hideMark/>
          </w:tcPr>
          <w:p w:rsidR="00E940C3" w:rsidRPr="00956596" w:rsidRDefault="00E940C3" w:rsidP="0019451C">
            <w:pPr>
              <w:jc w:val="cente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Percentage Change Over Month</w:t>
            </w:r>
          </w:p>
        </w:tc>
      </w:tr>
      <w:tr w:rsidR="00E940C3" w:rsidRPr="00956596" w:rsidTr="0019451C">
        <w:trPr>
          <w:trHeight w:val="234"/>
        </w:trPr>
        <w:tc>
          <w:tcPr>
            <w:tcW w:w="9964"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A. Turnover  </w:t>
            </w:r>
            <w:r w:rsidRPr="00956596">
              <w:rPr>
                <w:rFonts w:ascii="Rupee" w:eastAsia="Times New Roman" w:hAnsi="Rupee"/>
                <w:b/>
                <w:bCs/>
                <w:sz w:val="20"/>
                <w:szCs w:val="20"/>
                <w:lang w:val="en-IN" w:eastAsia="en-IN" w:bidi="hi-IN"/>
              </w:rPr>
              <w:t>(</w:t>
            </w:r>
            <w:r w:rsidRPr="00956596">
              <w:rPr>
                <w:rFonts w:ascii="Rupee Foradian" w:eastAsia="Times New Roman" w:hAnsi="Rupee Foradian"/>
                <w:b/>
                <w:bCs/>
                <w:sz w:val="20"/>
                <w:szCs w:val="20"/>
                <w:lang w:val="en-IN" w:eastAsia="en-IN" w:bidi="hi-IN"/>
              </w:rPr>
              <w:t>`</w:t>
            </w:r>
            <w:r w:rsidRPr="00956596">
              <w:rPr>
                <w:rFonts w:ascii="Rupee" w:eastAsia="Times New Roman" w:hAnsi="Rupee"/>
                <w:b/>
                <w:bCs/>
                <w:sz w:val="20"/>
                <w:szCs w:val="20"/>
                <w:lang w:val="en-IN" w:eastAsia="en-IN" w:bidi="hi-IN"/>
              </w:rPr>
              <w:t xml:space="preserve"> </w:t>
            </w:r>
            <w:r w:rsidRPr="00956596">
              <w:rPr>
                <w:rFonts w:ascii="Garamond" w:eastAsia="Times New Roman" w:hAnsi="Garamond"/>
                <w:b/>
                <w:bCs/>
                <w:sz w:val="20"/>
                <w:szCs w:val="20"/>
                <w:lang w:val="en-IN" w:eastAsia="en-IN" w:bidi="hi-IN"/>
              </w:rPr>
              <w:t>crore)</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 Index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7,32,707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9,10,712</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24.3</w:t>
            </w:r>
          </w:p>
        </w:tc>
        <w:tc>
          <w:tcPr>
            <w:tcW w:w="1360" w:type="dxa"/>
            <w:tcBorders>
              <w:top w:val="nil"/>
              <w:left w:val="nil"/>
              <w:bottom w:val="single" w:sz="4" w:space="0" w:color="auto"/>
              <w:right w:val="single" w:sz="4" w:space="0" w:color="auto"/>
            </w:tcBorders>
            <w:shd w:val="clear" w:color="auto" w:fill="auto"/>
            <w:vAlign w:val="center"/>
            <w:hideMark/>
          </w:tcPr>
          <w:p w:rsidR="00E940C3" w:rsidRPr="00956596" w:rsidRDefault="00E940C3" w:rsidP="0019451C">
            <w:pPr>
              <w:jc w:val="right"/>
              <w:rPr>
                <w:rFonts w:ascii="Garamond" w:eastAsia="Times New Roman" w:hAnsi="Garamond"/>
                <w:color w:val="000000"/>
                <w:sz w:val="20"/>
                <w:szCs w:val="20"/>
                <w:lang w:val="en-IN" w:eastAsia="en-IN" w:bidi="hi-IN"/>
              </w:rPr>
            </w:pPr>
            <w:r w:rsidRPr="00956596">
              <w:rPr>
                <w:rFonts w:ascii="Garamond" w:eastAsia="Times New Roman" w:hAnsi="Garamond"/>
                <w:color w:val="000000"/>
                <w:sz w:val="20"/>
                <w:szCs w:val="20"/>
                <w:lang w:val="en-IN" w:eastAsia="en-IN" w:bidi="hi-IN"/>
              </w:rPr>
              <w:t>347.2</w:t>
            </w:r>
          </w:p>
        </w:tc>
        <w:tc>
          <w:tcPr>
            <w:tcW w:w="1360" w:type="dxa"/>
            <w:tcBorders>
              <w:top w:val="nil"/>
              <w:left w:val="nil"/>
              <w:bottom w:val="single" w:sz="4" w:space="0" w:color="auto"/>
              <w:right w:val="single" w:sz="4" w:space="0" w:color="auto"/>
            </w:tcBorders>
            <w:shd w:val="clear" w:color="auto" w:fill="auto"/>
            <w:vAlign w:val="center"/>
            <w:hideMark/>
          </w:tcPr>
          <w:p w:rsidR="00E940C3" w:rsidRPr="00956596" w:rsidRDefault="00E940C3" w:rsidP="0019451C">
            <w:pPr>
              <w:jc w:val="right"/>
              <w:rPr>
                <w:rFonts w:ascii="Garamond" w:eastAsia="Times New Roman" w:hAnsi="Garamond"/>
                <w:color w:val="000000"/>
                <w:sz w:val="20"/>
                <w:szCs w:val="20"/>
                <w:lang w:val="en-IN" w:eastAsia="en-IN" w:bidi="hi-IN"/>
              </w:rPr>
            </w:pPr>
            <w:r w:rsidRPr="00956596">
              <w:rPr>
                <w:rFonts w:ascii="Garamond" w:eastAsia="Times New Roman" w:hAnsi="Garamond"/>
                <w:color w:val="000000"/>
                <w:sz w:val="20"/>
                <w:szCs w:val="20"/>
                <w:lang w:val="en-IN" w:eastAsia="en-IN" w:bidi="hi-IN"/>
              </w:rPr>
              <w:t>185.1</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-47</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 Options on Index</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3,26,47,285</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3,87,31,604</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18.6</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7,89,525</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22,13,896</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180.4</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3,34,81,060</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4,08,20,341</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21.9</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41,43,157</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36,23,090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-12.6</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(iii) Stock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17,65,967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19,92,702</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12.8</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(iv) Options on Stock</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9,28,070</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10,12,329</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9.1</w:t>
            </w:r>
          </w:p>
        </w:tc>
        <w:tc>
          <w:tcPr>
            <w:tcW w:w="1360" w:type="dxa"/>
            <w:tcBorders>
              <w:top w:val="nil"/>
              <w:left w:val="nil"/>
              <w:bottom w:val="single" w:sz="4" w:space="0" w:color="auto"/>
              <w:right w:val="single" w:sz="4" w:space="0" w:color="auto"/>
            </w:tcBorders>
            <w:shd w:val="clear" w:color="auto" w:fill="auto"/>
            <w:noWrap/>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360" w:type="dxa"/>
            <w:tcBorders>
              <w:top w:val="nil"/>
              <w:left w:val="nil"/>
              <w:bottom w:val="single" w:sz="4" w:space="0" w:color="auto"/>
              <w:right w:val="single" w:sz="4" w:space="0" w:color="auto"/>
            </w:tcBorders>
            <w:shd w:val="clear" w:color="auto" w:fill="auto"/>
            <w:noWrap/>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23,58,051</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25,54,280</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8.3</w:t>
            </w:r>
          </w:p>
        </w:tc>
        <w:tc>
          <w:tcPr>
            <w:tcW w:w="1360" w:type="dxa"/>
            <w:tcBorders>
              <w:top w:val="nil"/>
              <w:left w:val="nil"/>
              <w:bottom w:val="single" w:sz="4" w:space="0" w:color="auto"/>
              <w:right w:val="single" w:sz="4" w:space="0" w:color="auto"/>
            </w:tcBorders>
            <w:shd w:val="clear" w:color="auto" w:fill="auto"/>
            <w:noWrap/>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360" w:type="dxa"/>
            <w:tcBorders>
              <w:top w:val="nil"/>
              <w:left w:val="nil"/>
              <w:bottom w:val="single" w:sz="4" w:space="0" w:color="auto"/>
              <w:right w:val="single" w:sz="4" w:space="0" w:color="auto"/>
            </w:tcBorders>
            <w:shd w:val="clear" w:color="auto" w:fill="auto"/>
            <w:noWrap/>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         Total</w:t>
            </w:r>
          </w:p>
        </w:tc>
        <w:tc>
          <w:tcPr>
            <w:tcW w:w="122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7,19,13,140</w:t>
            </w:r>
          </w:p>
        </w:tc>
        <w:tc>
          <w:tcPr>
            <w:tcW w:w="1234"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8,60,21,969</w:t>
            </w:r>
          </w:p>
        </w:tc>
        <w:tc>
          <w:tcPr>
            <w:tcW w:w="1296"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19.6</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49,33,029</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58,37,172</w:t>
            </w:r>
          </w:p>
        </w:tc>
        <w:tc>
          <w:tcPr>
            <w:tcW w:w="1502"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18.3</w:t>
            </w:r>
          </w:p>
        </w:tc>
      </w:tr>
      <w:tr w:rsidR="00E940C3" w:rsidRPr="00956596" w:rsidTr="0019451C">
        <w:trPr>
          <w:trHeight w:val="234"/>
        </w:trPr>
        <w:tc>
          <w:tcPr>
            <w:tcW w:w="9964"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B. No. of Contracts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 Index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80,16,190</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92,83,472</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15.8</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color w:val="000000"/>
                <w:sz w:val="20"/>
                <w:szCs w:val="20"/>
                <w:lang w:val="en-IN" w:eastAsia="en-IN" w:bidi="hi-IN"/>
              </w:rPr>
            </w:pPr>
            <w:r w:rsidRPr="00956596">
              <w:rPr>
                <w:rFonts w:ascii="Garamond" w:eastAsia="Times New Roman" w:hAnsi="Garamond"/>
                <w:color w:val="000000"/>
                <w:sz w:val="20"/>
                <w:szCs w:val="20"/>
                <w:lang w:val="en-IN" w:eastAsia="en-IN" w:bidi="hi-IN"/>
              </w:rPr>
              <w:t>3,087</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color w:val="000000"/>
                <w:sz w:val="20"/>
                <w:szCs w:val="20"/>
                <w:lang w:val="en-IN" w:eastAsia="en-IN" w:bidi="hi-IN"/>
              </w:rPr>
            </w:pPr>
            <w:r w:rsidRPr="00956596">
              <w:rPr>
                <w:rFonts w:ascii="Garamond" w:eastAsia="Times New Roman" w:hAnsi="Garamond"/>
                <w:color w:val="000000"/>
                <w:sz w:val="20"/>
                <w:szCs w:val="20"/>
                <w:lang w:val="en-IN" w:eastAsia="en-IN" w:bidi="hi-IN"/>
              </w:rPr>
              <w:t>1,584</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color w:val="000000"/>
                <w:sz w:val="20"/>
                <w:szCs w:val="20"/>
                <w:lang w:val="en-IN" w:eastAsia="en-IN" w:bidi="hi-IN"/>
              </w:rPr>
            </w:pPr>
            <w:r w:rsidRPr="00956596">
              <w:rPr>
                <w:rFonts w:ascii="Garamond" w:eastAsia="Times New Roman" w:hAnsi="Garamond"/>
                <w:color w:val="000000"/>
                <w:sz w:val="20"/>
                <w:szCs w:val="20"/>
                <w:lang w:val="en-IN" w:eastAsia="en-IN" w:bidi="hi-IN"/>
              </w:rPr>
              <w:t>-48.7</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 Options on Index</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37,06,62,774</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40,66,42,884</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9.7</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76,24,305</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2,15,02,094</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182.0</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36,79,28,467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41,14,68,038</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11.8</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3,48,84,632</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2,90,51,112</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-16.7</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(iii) Stock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2,07,69,652</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2,18,47,715</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5.2</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(iv) Options on Stock</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1,09,93,251</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1,15,03,320</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4.6</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2,58,24,971</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2,67,87,248</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3.7</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         Total</w:t>
            </w:r>
          </w:p>
        </w:tc>
        <w:tc>
          <w:tcPr>
            <w:tcW w:w="122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80,41,95,305</w:t>
            </w:r>
          </w:p>
        </w:tc>
        <w:tc>
          <w:tcPr>
            <w:tcW w:w="1234"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88,75,32,677</w:t>
            </w:r>
          </w:p>
        </w:tc>
        <w:tc>
          <w:tcPr>
            <w:tcW w:w="1296"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10.4</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4,25,12,024</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5,05,54,790</w:t>
            </w:r>
          </w:p>
        </w:tc>
        <w:tc>
          <w:tcPr>
            <w:tcW w:w="1502"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18.9</w:t>
            </w:r>
          </w:p>
        </w:tc>
      </w:tr>
      <w:tr w:rsidR="00E940C3" w:rsidRPr="00956596" w:rsidTr="0019451C">
        <w:trPr>
          <w:trHeight w:val="234"/>
        </w:trPr>
        <w:tc>
          <w:tcPr>
            <w:tcW w:w="9964"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C.  Open Interest in Terms of Value ( </w:t>
            </w:r>
            <w:r w:rsidRPr="00956596">
              <w:rPr>
                <w:rFonts w:ascii="Rupee Foradian" w:eastAsia="Times New Roman" w:hAnsi="Rupee Foradian"/>
                <w:b/>
                <w:bCs/>
                <w:sz w:val="20"/>
                <w:szCs w:val="20"/>
                <w:lang w:val="en-IN" w:eastAsia="en-IN" w:bidi="hi-IN"/>
              </w:rPr>
              <w:t>`</w:t>
            </w:r>
            <w:r w:rsidRPr="00956596">
              <w:rPr>
                <w:rFonts w:ascii="Garamond" w:eastAsia="Times New Roman" w:hAnsi="Garamond"/>
                <w:b/>
                <w:bCs/>
                <w:sz w:val="20"/>
                <w:szCs w:val="20"/>
                <w:lang w:val="en-IN" w:eastAsia="en-IN" w:bidi="hi-IN"/>
              </w:rPr>
              <w:t xml:space="preserve"> crore)</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 Index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18,887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24,452</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29.5</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5</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8</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39.6</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 Options on Index</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95,293</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1,16,168</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21.9</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133</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-91.6</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1,00,168</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1,43,169</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42.9</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292</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-96.8</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(iii) Stock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1,17,927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1,35,935</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15.3</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(iv) Options on Stock</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16,517</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21,715</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31.5</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29,689</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39,015</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31.4</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         Total</w:t>
            </w:r>
          </w:p>
        </w:tc>
        <w:tc>
          <w:tcPr>
            <w:tcW w:w="122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3,78,480</w:t>
            </w:r>
          </w:p>
        </w:tc>
        <w:tc>
          <w:tcPr>
            <w:tcW w:w="1234"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4,80,454</w:t>
            </w:r>
          </w:p>
        </w:tc>
        <w:tc>
          <w:tcPr>
            <w:tcW w:w="1296"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26.9</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430.0</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28.3</w:t>
            </w:r>
          </w:p>
        </w:tc>
        <w:tc>
          <w:tcPr>
            <w:tcW w:w="1502"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-93.4</w:t>
            </w:r>
          </w:p>
        </w:tc>
      </w:tr>
      <w:tr w:rsidR="00E940C3" w:rsidRPr="00956596" w:rsidTr="0019451C">
        <w:trPr>
          <w:trHeight w:val="234"/>
        </w:trPr>
        <w:tc>
          <w:tcPr>
            <w:tcW w:w="9964" w:type="dxa"/>
            <w:gridSpan w:val="7"/>
            <w:tcBorders>
              <w:top w:val="single" w:sz="4" w:space="0" w:color="auto"/>
              <w:left w:val="single" w:sz="4" w:space="0" w:color="auto"/>
              <w:bottom w:val="single" w:sz="4" w:space="0" w:color="auto"/>
              <w:right w:val="single" w:sz="4" w:space="0" w:color="auto"/>
            </w:tcBorders>
            <w:shd w:val="clear" w:color="FFFFCC" w:fill="FFFFCC"/>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D.  Open Interest in Terms of No of Contracts</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 Index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2,02,739</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2,40,606</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18.7</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51</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67</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31.4</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 Options on Index</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10,05,699</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11,28,309</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12.2</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1,241</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98</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-92.1</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10,64,901</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14,23,192</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33.6</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2,721</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83</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-96.9</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xml:space="preserve">  (iii) Stock Futures</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15,12,278</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15,91,763</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5.3</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(iv) Options on Stock</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 </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Put</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2,17,285</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2,55,440</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17.6</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i/>
                <w:iCs/>
                <w:sz w:val="20"/>
                <w:szCs w:val="20"/>
                <w:lang w:val="en-IN" w:eastAsia="en-IN" w:bidi="hi-IN"/>
              </w:rPr>
            </w:pPr>
            <w:r w:rsidRPr="00956596">
              <w:rPr>
                <w:rFonts w:ascii="Garamond" w:eastAsia="Times New Roman" w:hAnsi="Garamond"/>
                <w:i/>
                <w:iCs/>
                <w:sz w:val="20"/>
                <w:szCs w:val="20"/>
                <w:lang w:val="en-IN" w:eastAsia="en-IN" w:bidi="hi-IN"/>
              </w:rPr>
              <w:t xml:space="preserve">          Call</w:t>
            </w:r>
          </w:p>
        </w:tc>
        <w:tc>
          <w:tcPr>
            <w:tcW w:w="122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3,98,082</w:t>
            </w:r>
          </w:p>
        </w:tc>
        <w:tc>
          <w:tcPr>
            <w:tcW w:w="1234"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4,62,866</w:t>
            </w:r>
          </w:p>
        </w:tc>
        <w:tc>
          <w:tcPr>
            <w:tcW w:w="1296"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16.3</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360"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0</w:t>
            </w:r>
          </w:p>
        </w:tc>
        <w:tc>
          <w:tcPr>
            <w:tcW w:w="1502" w:type="dxa"/>
            <w:tcBorders>
              <w:top w:val="nil"/>
              <w:left w:val="nil"/>
              <w:bottom w:val="single" w:sz="4" w:space="0" w:color="auto"/>
              <w:right w:val="single" w:sz="4" w:space="0" w:color="auto"/>
            </w:tcBorders>
            <w:shd w:val="clear" w:color="auto" w:fill="auto"/>
            <w:noWrap/>
            <w:vAlign w:val="center"/>
            <w:hideMark/>
          </w:tcPr>
          <w:p w:rsidR="00E940C3" w:rsidRPr="00956596" w:rsidRDefault="00E940C3" w:rsidP="0019451C">
            <w:pPr>
              <w:jc w:val="right"/>
              <w:rPr>
                <w:rFonts w:ascii="Garamond" w:eastAsia="Times New Roman" w:hAnsi="Garamond"/>
                <w:sz w:val="20"/>
                <w:szCs w:val="20"/>
                <w:lang w:val="en-IN" w:eastAsia="en-IN" w:bidi="hi-IN"/>
              </w:rPr>
            </w:pPr>
            <w:r w:rsidRPr="00956596">
              <w:rPr>
                <w:rFonts w:ascii="Garamond" w:eastAsia="Times New Roman" w:hAnsi="Garamond"/>
                <w:sz w:val="20"/>
                <w:szCs w:val="20"/>
                <w:lang w:val="en-IN" w:eastAsia="en-IN" w:bidi="hi-IN"/>
              </w:rPr>
              <w:t>NA</w:t>
            </w:r>
          </w:p>
        </w:tc>
      </w:tr>
      <w:tr w:rsidR="00E940C3" w:rsidRPr="00956596" w:rsidTr="0019451C">
        <w:trPr>
          <w:trHeight w:val="234"/>
        </w:trPr>
        <w:tc>
          <w:tcPr>
            <w:tcW w:w="1989" w:type="dxa"/>
            <w:tcBorders>
              <w:top w:val="nil"/>
              <w:left w:val="single" w:sz="4" w:space="0" w:color="auto"/>
              <w:bottom w:val="single" w:sz="4" w:space="0" w:color="auto"/>
              <w:right w:val="single" w:sz="4" w:space="0" w:color="auto"/>
            </w:tcBorders>
            <w:shd w:val="clear" w:color="C6D9F0" w:fill="C6D9F0"/>
            <w:noWrap/>
            <w:vAlign w:val="center"/>
            <w:hideMark/>
          </w:tcPr>
          <w:p w:rsidR="00E940C3" w:rsidRPr="00956596" w:rsidRDefault="00E940C3" w:rsidP="0019451C">
            <w:pPr>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 xml:space="preserve">         Total</w:t>
            </w:r>
          </w:p>
        </w:tc>
        <w:tc>
          <w:tcPr>
            <w:tcW w:w="122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44,00,984</w:t>
            </w:r>
          </w:p>
        </w:tc>
        <w:tc>
          <w:tcPr>
            <w:tcW w:w="1234"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51,02,176</w:t>
            </w:r>
          </w:p>
        </w:tc>
        <w:tc>
          <w:tcPr>
            <w:tcW w:w="1296"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15.9</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4,013</w:t>
            </w:r>
          </w:p>
        </w:tc>
        <w:tc>
          <w:tcPr>
            <w:tcW w:w="1360"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248</w:t>
            </w:r>
          </w:p>
        </w:tc>
        <w:tc>
          <w:tcPr>
            <w:tcW w:w="1502" w:type="dxa"/>
            <w:tcBorders>
              <w:top w:val="nil"/>
              <w:left w:val="nil"/>
              <w:bottom w:val="single" w:sz="4" w:space="0" w:color="auto"/>
              <w:right w:val="single" w:sz="4" w:space="0" w:color="auto"/>
            </w:tcBorders>
            <w:shd w:val="clear" w:color="C6D9F0" w:fill="C6D9F0"/>
            <w:noWrap/>
            <w:vAlign w:val="center"/>
            <w:hideMark/>
          </w:tcPr>
          <w:p w:rsidR="00E940C3" w:rsidRPr="00956596" w:rsidRDefault="00E940C3" w:rsidP="0019451C">
            <w:pPr>
              <w:jc w:val="right"/>
              <w:rPr>
                <w:rFonts w:ascii="Garamond" w:eastAsia="Times New Roman" w:hAnsi="Garamond"/>
                <w:b/>
                <w:bCs/>
                <w:sz w:val="20"/>
                <w:szCs w:val="20"/>
                <w:lang w:val="en-IN" w:eastAsia="en-IN" w:bidi="hi-IN"/>
              </w:rPr>
            </w:pPr>
            <w:r w:rsidRPr="00956596">
              <w:rPr>
                <w:rFonts w:ascii="Garamond" w:eastAsia="Times New Roman" w:hAnsi="Garamond"/>
                <w:b/>
                <w:bCs/>
                <w:sz w:val="20"/>
                <w:szCs w:val="20"/>
                <w:lang w:val="en-IN" w:eastAsia="en-IN" w:bidi="hi-IN"/>
              </w:rPr>
              <w:t>-93.8</w:t>
            </w:r>
          </w:p>
        </w:tc>
      </w:tr>
    </w:tbl>
    <w:p w:rsidR="00E940C3" w:rsidRPr="00C41524" w:rsidRDefault="00E940C3" w:rsidP="00E940C3">
      <w:pPr>
        <w:tabs>
          <w:tab w:val="left" w:pos="3135"/>
        </w:tabs>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Source: NSE and BSE</w:t>
      </w:r>
    </w:p>
    <w:p w:rsidR="00E940C3" w:rsidRPr="002357A9" w:rsidRDefault="00E940C3" w:rsidP="00E940C3">
      <w:pPr>
        <w:tabs>
          <w:tab w:val="left" w:pos="3135"/>
        </w:tabs>
        <w:spacing w:line="276" w:lineRule="auto"/>
        <w:rPr>
          <w:rFonts w:ascii="Palatino Linotype" w:eastAsia="Palatino Linotype" w:hAnsi="Palatino Linotype" w:cs="Palatino Linotype"/>
          <w:b/>
          <w:color w:val="2E74B5"/>
          <w:sz w:val="22"/>
          <w:szCs w:val="22"/>
          <w:highlight w:val="yellow"/>
        </w:rPr>
      </w:pPr>
    </w:p>
    <w:p w:rsidR="00E940C3" w:rsidRPr="002357A9" w:rsidRDefault="00E940C3" w:rsidP="00E940C3">
      <w:pPr>
        <w:tabs>
          <w:tab w:val="left" w:pos="3135"/>
        </w:tabs>
        <w:spacing w:line="276" w:lineRule="auto"/>
        <w:rPr>
          <w:rFonts w:ascii="Palatino Linotype" w:eastAsia="Palatino Linotype" w:hAnsi="Palatino Linotype" w:cs="Palatino Linotype"/>
          <w:b/>
          <w:sz w:val="22"/>
          <w:szCs w:val="22"/>
          <w:u w:val="single"/>
        </w:rPr>
      </w:pPr>
      <w:r w:rsidRPr="002357A9">
        <w:rPr>
          <w:rFonts w:ascii="Palatino Linotype" w:eastAsia="Palatino Linotype" w:hAnsi="Palatino Linotype" w:cs="Palatino Linotype"/>
          <w:b/>
          <w:sz w:val="22"/>
          <w:szCs w:val="22"/>
          <w:u w:val="single"/>
        </w:rPr>
        <w:t xml:space="preserve">BSE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notional turnover of the equity derivatives segment at BSE increased by </w:t>
      </w:r>
      <w:r>
        <w:rPr>
          <w:rFonts w:ascii="Palatino Linotype" w:eastAsia="Palatino Linotype" w:hAnsi="Palatino Linotype" w:cs="Palatino Linotype"/>
          <w:sz w:val="22"/>
          <w:szCs w:val="22"/>
        </w:rPr>
        <w:t>18.3</w:t>
      </w:r>
      <w:r w:rsidRPr="00C41524">
        <w:rPr>
          <w:rFonts w:ascii="Palatino Linotype" w:eastAsia="Palatino Linotype" w:hAnsi="Palatino Linotype" w:cs="Palatino Linotype"/>
          <w:sz w:val="22"/>
          <w:szCs w:val="22"/>
        </w:rPr>
        <w:t xml:space="preserve"> per cent to </w:t>
      </w:r>
      <w:r w:rsidRPr="00C41524">
        <w:rPr>
          <w:rFonts w:ascii="Times New Roman" w:eastAsia="Palatino Linotype" w:hAnsi="Times New Roman"/>
          <w:sz w:val="22"/>
          <w:szCs w:val="22"/>
        </w:rPr>
        <w:t>₹</w:t>
      </w:r>
      <w:r w:rsidRPr="00C41524">
        <w:rPr>
          <w:rFonts w:ascii="Palatino Linotype" w:eastAsia="Palatino Linotype" w:hAnsi="Palatino Linotype" w:cs="Tahoma"/>
          <w:sz w:val="22"/>
          <w:szCs w:val="22"/>
        </w:rPr>
        <w:t xml:space="preserve"> </w:t>
      </w:r>
      <w:r>
        <w:rPr>
          <w:rFonts w:ascii="Palatino Linotype" w:eastAsia="Palatino Linotype" w:hAnsi="Palatino Linotype" w:cs="Palatino Linotype"/>
          <w:sz w:val="22"/>
          <w:szCs w:val="22"/>
        </w:rPr>
        <w:t>58.4</w:t>
      </w:r>
      <w:r w:rsidRPr="00C41524">
        <w:rPr>
          <w:rFonts w:ascii="Palatino Linotype" w:eastAsia="Palatino Linotype" w:hAnsi="Palatino Linotype" w:cs="Palatino Linotype"/>
          <w:sz w:val="22"/>
          <w:szCs w:val="22"/>
        </w:rPr>
        <w:t xml:space="preserve"> lakh crore compared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49</w:t>
      </w:r>
      <w:r>
        <w:rPr>
          <w:rFonts w:ascii="Palatino Linotype" w:eastAsia="Palatino Linotype" w:hAnsi="Palatino Linotype" w:cs="Palatino Linotype"/>
          <w:sz w:val="22"/>
          <w:szCs w:val="22"/>
        </w:rPr>
        <w:t>.3</w:t>
      </w:r>
      <w:r w:rsidRPr="00C41524">
        <w:rPr>
          <w:rFonts w:ascii="Palatino Linotype" w:eastAsia="Palatino Linotype" w:hAnsi="Palatino Linotype" w:cs="Palatino Linotype"/>
          <w:sz w:val="22"/>
          <w:szCs w:val="22"/>
        </w:rPr>
        <w:t xml:space="preserve"> lakh crore in </w:t>
      </w:r>
      <w:r>
        <w:rPr>
          <w:rFonts w:ascii="Palatino Linotype" w:eastAsia="Tahoma" w:hAnsi="Palatino Linotype"/>
          <w:sz w:val="22"/>
          <w:szCs w:val="22"/>
        </w:rPr>
        <w:t>January 2021</w:t>
      </w:r>
      <w:r w:rsidRPr="00C41524">
        <w:rPr>
          <w:rFonts w:ascii="Palatino Linotype" w:eastAsia="Palatino Linotype" w:hAnsi="Palatino Linotype" w:cs="Palatino Linotype"/>
          <w:sz w:val="22"/>
          <w:szCs w:val="22"/>
        </w:rPr>
        <w:t xml:space="preserve">.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As at</w:t>
      </w:r>
      <w:r w:rsidRPr="00C41524">
        <w:rPr>
          <w:rFonts w:ascii="Palatino Linotype" w:eastAsia="Tahoma" w:hAnsi="Palatino Linotype"/>
          <w:sz w:val="22"/>
          <w:szCs w:val="22"/>
        </w:rPr>
        <w:t xml:space="preserve"> the end of </w:t>
      </w:r>
      <w:r>
        <w:rPr>
          <w:rFonts w:ascii="Palatino Linotype" w:eastAsia="Tahoma" w:hAnsi="Palatino Linotype"/>
          <w:sz w:val="22"/>
          <w:szCs w:val="22"/>
        </w:rPr>
        <w:t>February</w:t>
      </w:r>
      <w:r w:rsidRPr="00C41524">
        <w:rPr>
          <w:rFonts w:ascii="Palatino Linotype" w:eastAsia="Tahoma" w:hAnsi="Palatino Linotype"/>
          <w:sz w:val="22"/>
          <w:szCs w:val="22"/>
        </w:rPr>
        <w:t xml:space="preserve"> 2021, the open interest in terms of value at BSE stood at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 </w:t>
      </w:r>
      <w:r>
        <w:rPr>
          <w:rFonts w:ascii="Palatino Linotype" w:eastAsia="Tahoma" w:hAnsi="Palatino Linotype"/>
          <w:sz w:val="22"/>
          <w:szCs w:val="22"/>
        </w:rPr>
        <w:t>28.3</w:t>
      </w:r>
      <w:r w:rsidRPr="00C41524">
        <w:rPr>
          <w:rFonts w:ascii="Palatino Linotype" w:eastAsia="Tahoma" w:hAnsi="Palatino Linotype"/>
          <w:sz w:val="22"/>
          <w:szCs w:val="22"/>
        </w:rPr>
        <w:t xml:space="preserve"> crore compared to </w:t>
      </w:r>
      <w:r w:rsidRPr="00C41524">
        <w:rPr>
          <w:rFonts w:ascii="Times New Roman" w:eastAsia="Tahoma" w:hAnsi="Times New Roman"/>
          <w:sz w:val="22"/>
          <w:szCs w:val="22"/>
        </w:rPr>
        <w:t>₹</w:t>
      </w:r>
      <w:r w:rsidRPr="00C41524">
        <w:rPr>
          <w:rFonts w:ascii="Palatino Linotype" w:eastAsia="Tahoma" w:hAnsi="Palatino Linotype"/>
          <w:sz w:val="22"/>
          <w:szCs w:val="22"/>
        </w:rPr>
        <w:t xml:space="preserve"> </w:t>
      </w:r>
      <w:r>
        <w:rPr>
          <w:rFonts w:ascii="Palatino Linotype" w:eastAsia="Tahoma" w:hAnsi="Palatino Linotype"/>
          <w:sz w:val="22"/>
          <w:szCs w:val="22"/>
        </w:rPr>
        <w:t>430</w:t>
      </w:r>
      <w:r w:rsidRPr="00C41524">
        <w:rPr>
          <w:rFonts w:ascii="Palatino Linotype" w:eastAsia="Tahoma" w:hAnsi="Palatino Linotype"/>
          <w:sz w:val="22"/>
          <w:szCs w:val="22"/>
        </w:rPr>
        <w:t xml:space="preserve"> crore as at the end of </w:t>
      </w:r>
      <w:r>
        <w:rPr>
          <w:rFonts w:ascii="Palatino Linotype" w:eastAsia="Tahoma" w:hAnsi="Palatino Linotype"/>
          <w:sz w:val="22"/>
          <w:szCs w:val="22"/>
        </w:rPr>
        <w:t>January 2021</w:t>
      </w:r>
      <w:r w:rsidRPr="00C41524">
        <w:rPr>
          <w:rFonts w:ascii="Palatino Linotype" w:eastAsia="Tahoma" w:hAnsi="Palatino Linotype"/>
          <w:sz w:val="22"/>
          <w:szCs w:val="22"/>
        </w:rPr>
        <w:t>, registering a</w:t>
      </w:r>
      <w:r>
        <w:rPr>
          <w:rFonts w:ascii="Palatino Linotype" w:eastAsia="Tahoma" w:hAnsi="Palatino Linotype"/>
          <w:sz w:val="22"/>
          <w:szCs w:val="22"/>
        </w:rPr>
        <w:t xml:space="preserve"> de</w:t>
      </w:r>
      <w:r w:rsidRPr="00C41524">
        <w:rPr>
          <w:rFonts w:ascii="Palatino Linotype" w:eastAsia="Tahoma" w:hAnsi="Palatino Linotype"/>
          <w:sz w:val="22"/>
          <w:szCs w:val="22"/>
        </w:rPr>
        <w:t xml:space="preserve">crease of </w:t>
      </w:r>
      <w:r>
        <w:rPr>
          <w:rFonts w:ascii="Palatino Linotype" w:eastAsia="Tahoma" w:hAnsi="Palatino Linotype"/>
          <w:sz w:val="22"/>
          <w:szCs w:val="22"/>
        </w:rPr>
        <w:t>93.4</w:t>
      </w:r>
      <w:r w:rsidRPr="00C41524">
        <w:rPr>
          <w:rFonts w:ascii="Palatino Linotype" w:eastAsia="Tahoma" w:hAnsi="Palatino Linotype"/>
          <w:sz w:val="22"/>
          <w:szCs w:val="22"/>
        </w:rPr>
        <w:t xml:space="preserve"> per cent.</w:t>
      </w:r>
    </w:p>
    <w:p w:rsidR="00E940C3" w:rsidRPr="00C41524"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color w:val="2E74B5"/>
          <w:sz w:val="22"/>
          <w:szCs w:val="22"/>
        </w:rPr>
      </w:pPr>
    </w:p>
    <w:p w:rsidR="00E940C3" w:rsidRPr="00C41524" w:rsidRDefault="00E940C3" w:rsidP="00E940C3">
      <w:pPr>
        <w:tabs>
          <w:tab w:val="left" w:pos="3135"/>
        </w:tabs>
        <w:spacing w:line="276" w:lineRule="auto"/>
        <w:rPr>
          <w:rFonts w:ascii="Palatino Linotype" w:eastAsia="Palatino Linotype" w:hAnsi="Palatino Linotype" w:cs="Palatino Linotype"/>
          <w:b/>
          <w:sz w:val="22"/>
          <w:szCs w:val="22"/>
          <w:u w:val="single"/>
        </w:rPr>
      </w:pPr>
      <w:r w:rsidRPr="00C41524">
        <w:rPr>
          <w:rFonts w:ascii="Palatino Linotype" w:eastAsia="Palatino Linotype" w:hAnsi="Palatino Linotype" w:cs="Palatino Linotype"/>
          <w:b/>
          <w:sz w:val="22"/>
          <w:szCs w:val="22"/>
          <w:u w:val="single"/>
        </w:rPr>
        <w:t xml:space="preserve">NSE </w:t>
      </w:r>
    </w:p>
    <w:p w:rsidR="00E940C3" w:rsidRPr="00995B5C" w:rsidRDefault="00E940C3" w:rsidP="00E940C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995B5C">
        <w:rPr>
          <w:rFonts w:ascii="Palatino Linotype" w:eastAsia="Tahoma" w:hAnsi="Palatino Linotype"/>
          <w:sz w:val="22"/>
          <w:szCs w:val="22"/>
        </w:rPr>
        <w:t>NSE launched</w:t>
      </w:r>
      <w:r w:rsidRPr="00995B5C">
        <w:rPr>
          <w:rFonts w:ascii="Times New Roman" w:eastAsia="Tahoma" w:hAnsi="Times New Roman"/>
          <w:sz w:val="22"/>
          <w:szCs w:val="22"/>
        </w:rPr>
        <w:t> </w:t>
      </w:r>
      <w:r w:rsidRPr="00995B5C">
        <w:rPr>
          <w:rFonts w:ascii="Palatino Linotype" w:eastAsia="Tahoma" w:hAnsi="Palatino Linotype"/>
          <w:sz w:val="22"/>
          <w:szCs w:val="22"/>
        </w:rPr>
        <w:t>futures and options</w:t>
      </w:r>
      <w:r w:rsidRPr="00995B5C">
        <w:rPr>
          <w:rFonts w:ascii="Times New Roman" w:eastAsia="Tahoma" w:hAnsi="Times New Roman"/>
          <w:sz w:val="22"/>
          <w:szCs w:val="22"/>
        </w:rPr>
        <w:t> </w:t>
      </w:r>
      <w:r w:rsidRPr="00995B5C">
        <w:rPr>
          <w:rFonts w:ascii="Palatino Linotype" w:eastAsia="Tahoma" w:hAnsi="Palatino Linotype"/>
          <w:sz w:val="22"/>
          <w:szCs w:val="22"/>
        </w:rPr>
        <w:t>contracts on the Nifty Financial Services Index starting from January 11</w:t>
      </w:r>
      <w:r>
        <w:rPr>
          <w:rFonts w:ascii="Palatino Linotype" w:eastAsia="Tahoma" w:hAnsi="Palatino Linotype"/>
          <w:sz w:val="22"/>
          <w:szCs w:val="22"/>
        </w:rPr>
        <w:t>,</w:t>
      </w:r>
      <w:r w:rsidRPr="00995B5C">
        <w:rPr>
          <w:rFonts w:ascii="Palatino Linotype" w:eastAsia="Tahoma" w:hAnsi="Palatino Linotype"/>
          <w:sz w:val="22"/>
          <w:szCs w:val="22"/>
        </w:rPr>
        <w:t xml:space="preserve"> 2021. The Nifty Financial Services index futures and options contracts were</w:t>
      </w:r>
      <w:r>
        <w:rPr>
          <w:rFonts w:ascii="Palatino Linotype" w:eastAsia="Tahoma" w:hAnsi="Palatino Linotype"/>
          <w:sz w:val="22"/>
          <w:szCs w:val="22"/>
        </w:rPr>
        <w:t xml:space="preserve"> </w:t>
      </w:r>
      <w:r w:rsidRPr="00995B5C">
        <w:rPr>
          <w:rFonts w:ascii="Palatino Linotype" w:eastAsia="Tahoma" w:hAnsi="Palatino Linotype"/>
          <w:sz w:val="22"/>
          <w:szCs w:val="22"/>
        </w:rPr>
        <w:t xml:space="preserve">available with trading cycle of </w:t>
      </w:r>
      <w:r>
        <w:rPr>
          <w:rFonts w:ascii="Palatino Linotype" w:eastAsia="Tahoma" w:hAnsi="Palatino Linotype"/>
          <w:sz w:val="22"/>
          <w:szCs w:val="22"/>
        </w:rPr>
        <w:t>seven</w:t>
      </w:r>
      <w:r w:rsidRPr="00995B5C">
        <w:rPr>
          <w:rFonts w:ascii="Palatino Linotype" w:eastAsia="Tahoma" w:hAnsi="Palatino Linotype"/>
          <w:sz w:val="22"/>
          <w:szCs w:val="22"/>
        </w:rPr>
        <w:t xml:space="preserve"> serials weekly excluding the monthly expiry and </w:t>
      </w:r>
      <w:r>
        <w:rPr>
          <w:rFonts w:ascii="Palatino Linotype" w:eastAsia="Tahoma" w:hAnsi="Palatino Linotype"/>
          <w:sz w:val="22"/>
          <w:szCs w:val="22"/>
        </w:rPr>
        <w:t>three</w:t>
      </w:r>
      <w:r w:rsidRPr="00995B5C">
        <w:rPr>
          <w:rFonts w:ascii="Palatino Linotype" w:eastAsia="Tahoma" w:hAnsi="Palatino Linotype"/>
          <w:sz w:val="22"/>
          <w:szCs w:val="22"/>
        </w:rPr>
        <w:t xml:space="preserve"> serial</w:t>
      </w:r>
      <w:r>
        <w:rPr>
          <w:rFonts w:ascii="Palatino Linotype" w:eastAsia="Tahoma" w:hAnsi="Palatino Linotype"/>
          <w:sz w:val="22"/>
          <w:szCs w:val="22"/>
        </w:rPr>
        <w:t>s</w:t>
      </w:r>
      <w:r w:rsidRPr="00995B5C">
        <w:rPr>
          <w:rFonts w:ascii="Palatino Linotype" w:eastAsia="Tahoma" w:hAnsi="Palatino Linotype"/>
          <w:sz w:val="22"/>
          <w:szCs w:val="22"/>
        </w:rPr>
        <w:t xml:space="preserve"> monthly contracts. </w:t>
      </w:r>
      <w:r w:rsidRPr="00995B5C">
        <w:rPr>
          <w:rFonts w:ascii="Times New Roman" w:eastAsia="Tahoma" w:hAnsi="Times New Roman"/>
          <w:sz w:val="22"/>
          <w:szCs w:val="22"/>
        </w:rPr>
        <w:t>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The monthly notional turnover in the equity derivatives segment at NSE increased by </w:t>
      </w:r>
      <w:r>
        <w:rPr>
          <w:rFonts w:ascii="Palatino Linotype" w:eastAsia="Palatino Linotype" w:hAnsi="Palatino Linotype" w:cs="Palatino Linotype"/>
          <w:sz w:val="22"/>
          <w:szCs w:val="22"/>
        </w:rPr>
        <w:t>19.6</w:t>
      </w:r>
      <w:r w:rsidRPr="00C41524">
        <w:rPr>
          <w:rFonts w:ascii="Palatino Linotype" w:eastAsia="Palatino Linotype" w:hAnsi="Palatino Linotype" w:cs="Palatino Linotype"/>
          <w:sz w:val="22"/>
          <w:szCs w:val="22"/>
        </w:rPr>
        <w:t xml:space="preserve">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860.2</w:t>
      </w:r>
      <w:r w:rsidRPr="00C41524">
        <w:rPr>
          <w:rFonts w:ascii="Palatino Linotype" w:eastAsia="Palatino Linotype" w:hAnsi="Palatino Linotype" w:cs="Palatino Linotype"/>
          <w:sz w:val="22"/>
          <w:szCs w:val="22"/>
        </w:rPr>
        <w:t xml:space="preserve"> lakh crore in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719.1 lakh crore in </w:t>
      </w:r>
      <w:r>
        <w:rPr>
          <w:rFonts w:ascii="Palatino Linotype" w:eastAsia="Palatino Linotype" w:hAnsi="Palatino Linotype" w:cs="Palatino Linotype"/>
          <w:sz w:val="22"/>
          <w:szCs w:val="22"/>
        </w:rPr>
        <w:t>January 2021</w:t>
      </w:r>
      <w:r w:rsidRPr="00C41524">
        <w:rPr>
          <w:rFonts w:ascii="Palatino Linotype" w:eastAsia="Palatino Linotype" w:hAnsi="Palatino Linotype" w:cs="Palatino Linotype"/>
          <w:sz w:val="22"/>
          <w:szCs w:val="22"/>
        </w:rPr>
        <w:t xml:space="preserve">. </w:t>
      </w:r>
    </w:p>
    <w:p w:rsidR="00E940C3" w:rsidRPr="00D22F0B" w:rsidRDefault="00E940C3" w:rsidP="00E940C3">
      <w:pPr>
        <w:numPr>
          <w:ilvl w:val="0"/>
          <w:numId w:val="1"/>
        </w:numPr>
        <w:pBdr>
          <w:top w:val="nil"/>
          <w:left w:val="nil"/>
          <w:bottom w:val="nil"/>
          <w:right w:val="nil"/>
          <w:between w:val="nil"/>
        </w:pBdr>
        <w:spacing w:line="276" w:lineRule="auto"/>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During the above period, </w:t>
      </w:r>
    </w:p>
    <w:p w:rsidR="00E940C3" w:rsidRDefault="00E940C3" w:rsidP="00E940C3">
      <w:pPr>
        <w:pBdr>
          <w:top w:val="nil"/>
          <w:left w:val="nil"/>
          <w:bottom w:val="nil"/>
          <w:right w:val="nil"/>
          <w:between w:val="nil"/>
        </w:pBdr>
        <w:spacing w:line="276" w:lineRule="auto"/>
        <w:ind w:left="720"/>
        <w:jc w:val="both"/>
        <w:rPr>
          <w:rFonts w:ascii="Palatino Linotype" w:eastAsia="Tahoma" w:hAnsi="Palatino Linotype"/>
          <w:sz w:val="22"/>
          <w:szCs w:val="22"/>
        </w:rPr>
      </w:pPr>
      <w:r w:rsidRPr="00C41524">
        <w:rPr>
          <w:rFonts w:ascii="Palatino Linotype" w:eastAsia="Palatino Linotype" w:hAnsi="Palatino Linotype" w:cs="Palatino Linotype"/>
          <w:sz w:val="22"/>
          <w:szCs w:val="22"/>
        </w:rPr>
        <w:t xml:space="preserve">(i) the notional turnover of index options increased by </w:t>
      </w:r>
      <w:r>
        <w:rPr>
          <w:rFonts w:ascii="Palatino Linotype" w:eastAsia="Palatino Linotype" w:hAnsi="Palatino Linotype" w:cs="Palatino Linotype"/>
          <w:sz w:val="22"/>
          <w:szCs w:val="22"/>
        </w:rPr>
        <w:t>20.3</w:t>
      </w:r>
      <w:r w:rsidRPr="00C41524">
        <w:rPr>
          <w:rFonts w:ascii="Palatino Linotype" w:eastAsia="Palatino Linotype" w:hAnsi="Palatino Linotype" w:cs="Palatino Linotype"/>
          <w:sz w:val="22"/>
          <w:szCs w:val="22"/>
        </w:rPr>
        <w:t xml:space="preserve"> per cent to </w:t>
      </w:r>
      <w:r w:rsidRPr="00C41524">
        <w:rPr>
          <w:rFonts w:ascii="Times New Roman" w:eastAsia="Palatino Linotype" w:hAnsi="Times New Roman"/>
          <w:sz w:val="22"/>
          <w:szCs w:val="22"/>
        </w:rPr>
        <w:t>₹</w:t>
      </w:r>
      <w:r>
        <w:rPr>
          <w:rFonts w:ascii="Times New Roman" w:eastAsia="Palatino Linotype" w:hAnsi="Times New Roman"/>
          <w:sz w:val="22"/>
          <w:szCs w:val="22"/>
        </w:rPr>
        <w:t xml:space="preserve"> </w:t>
      </w:r>
      <w:r>
        <w:rPr>
          <w:rFonts w:ascii="Palatino Linotype" w:eastAsia="Palatino Linotype" w:hAnsi="Palatino Linotype" w:cs="Palatino Linotype"/>
          <w:sz w:val="22"/>
          <w:szCs w:val="22"/>
        </w:rPr>
        <w:t>795.5</w:t>
      </w:r>
      <w:r w:rsidRPr="00C41524">
        <w:rPr>
          <w:rFonts w:ascii="Palatino Linotype" w:eastAsia="Palatino Linotype" w:hAnsi="Palatino Linotype" w:cs="Palatino Linotype"/>
          <w:sz w:val="22"/>
          <w:szCs w:val="22"/>
        </w:rPr>
        <w:t xml:space="preserve"> lakh crore from </w:t>
      </w:r>
      <w:r w:rsidRPr="00C41524">
        <w:rPr>
          <w:rFonts w:ascii="Times New Roman" w:eastAsia="Palatino Linotype" w:hAnsi="Times New Roman"/>
          <w:sz w:val="22"/>
          <w:szCs w:val="22"/>
        </w:rPr>
        <w:t>₹</w:t>
      </w:r>
      <w:r>
        <w:rPr>
          <w:rFonts w:ascii="Times New Roman" w:eastAsia="Palatino Linotype" w:hAnsi="Times New Roman"/>
          <w:sz w:val="22"/>
          <w:szCs w:val="22"/>
        </w:rPr>
        <w:t xml:space="preserve"> </w:t>
      </w:r>
      <w:r>
        <w:rPr>
          <w:rFonts w:ascii="Palatino Linotype" w:eastAsia="Palatino Linotype" w:hAnsi="Palatino Linotype" w:cs="Palatino Linotype"/>
          <w:sz w:val="22"/>
          <w:szCs w:val="22"/>
        </w:rPr>
        <w:t>661.3</w:t>
      </w:r>
      <w:r w:rsidRPr="00C41524">
        <w:rPr>
          <w:rFonts w:ascii="Palatino Linotype" w:eastAsia="Palatino Linotype" w:hAnsi="Palatino Linotype" w:cs="Palatino Linotype"/>
          <w:sz w:val="22"/>
          <w:szCs w:val="22"/>
        </w:rPr>
        <w:t xml:space="preserve"> lakh crore, and accounted for 92</w:t>
      </w:r>
      <w:r>
        <w:rPr>
          <w:rFonts w:ascii="Palatino Linotype" w:eastAsia="Palatino Linotype" w:hAnsi="Palatino Linotype" w:cs="Palatino Linotype"/>
          <w:sz w:val="22"/>
          <w:szCs w:val="22"/>
        </w:rPr>
        <w:t>.5</w:t>
      </w:r>
      <w:r w:rsidRPr="00C41524">
        <w:rPr>
          <w:rFonts w:ascii="Palatino Linotype" w:eastAsia="Palatino Linotype" w:hAnsi="Palatino Linotype" w:cs="Palatino Linotype"/>
          <w:sz w:val="22"/>
          <w:szCs w:val="22"/>
        </w:rPr>
        <w:t xml:space="preserve"> per cent of the total equity </w:t>
      </w:r>
      <w:r w:rsidRPr="00C41524">
        <w:rPr>
          <w:rFonts w:ascii="Palatino Linotype" w:eastAsia="Tahoma" w:hAnsi="Palatino Linotype"/>
          <w:sz w:val="22"/>
          <w:szCs w:val="22"/>
        </w:rPr>
        <w:t xml:space="preserve">derivatives turnover of NSE; </w:t>
      </w:r>
    </w:p>
    <w:p w:rsidR="00E940C3" w:rsidRDefault="00E940C3" w:rsidP="00E940C3">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(ii) the notional turnover of stock options increased by </w:t>
      </w:r>
      <w:r>
        <w:rPr>
          <w:rFonts w:ascii="Palatino Linotype" w:eastAsia="Tahoma" w:hAnsi="Palatino Linotype"/>
          <w:sz w:val="22"/>
          <w:szCs w:val="22"/>
        </w:rPr>
        <w:t>8.5</w:t>
      </w:r>
      <w:r w:rsidRPr="00C41524">
        <w:rPr>
          <w:rFonts w:ascii="Palatino Linotype" w:eastAsia="Tahoma" w:hAnsi="Palatino Linotype"/>
          <w:sz w:val="22"/>
          <w:szCs w:val="22"/>
        </w:rPr>
        <w:t xml:space="preserve"> per cent to </w:t>
      </w:r>
      <w:r w:rsidRPr="00C41524">
        <w:rPr>
          <w:rFonts w:ascii="Times New Roman" w:eastAsia="Tahoma" w:hAnsi="Times New Roman"/>
          <w:sz w:val="22"/>
          <w:szCs w:val="22"/>
        </w:rPr>
        <w:t>₹</w:t>
      </w:r>
      <w:r>
        <w:rPr>
          <w:rFonts w:ascii="Palatino Linotype" w:eastAsia="Tahoma" w:hAnsi="Palatino Linotype"/>
          <w:sz w:val="22"/>
          <w:szCs w:val="22"/>
        </w:rPr>
        <w:t>35.7</w:t>
      </w:r>
      <w:r w:rsidRPr="00C41524">
        <w:rPr>
          <w:rFonts w:ascii="Palatino Linotype" w:eastAsia="Tahoma" w:hAnsi="Palatino Linotype"/>
          <w:sz w:val="22"/>
          <w:szCs w:val="22"/>
        </w:rPr>
        <w:t xml:space="preserve"> lakh crore from </w:t>
      </w:r>
      <w:r w:rsidRPr="00C41524">
        <w:rPr>
          <w:rFonts w:ascii="Times New Roman" w:eastAsia="Tahoma" w:hAnsi="Times New Roman"/>
          <w:sz w:val="22"/>
          <w:szCs w:val="22"/>
        </w:rPr>
        <w:t>₹</w:t>
      </w:r>
      <w:r>
        <w:rPr>
          <w:rFonts w:ascii="Palatino Linotype" w:eastAsia="Tahoma" w:hAnsi="Palatino Linotype"/>
          <w:sz w:val="22"/>
          <w:szCs w:val="22"/>
        </w:rPr>
        <w:t>23.9</w:t>
      </w:r>
      <w:r w:rsidRPr="00C41524">
        <w:rPr>
          <w:rFonts w:ascii="Palatino Linotype" w:eastAsia="Tahoma" w:hAnsi="Palatino Linotype"/>
          <w:sz w:val="22"/>
          <w:szCs w:val="22"/>
        </w:rPr>
        <w:t xml:space="preserve"> lakh crore; </w:t>
      </w:r>
    </w:p>
    <w:p w:rsidR="00E940C3" w:rsidRDefault="00E940C3" w:rsidP="00E940C3">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(iii) the notional turnover of index futures increased by </w:t>
      </w:r>
      <w:r>
        <w:rPr>
          <w:rFonts w:ascii="Palatino Linotype" w:eastAsia="Tahoma" w:hAnsi="Palatino Linotype"/>
          <w:sz w:val="22"/>
          <w:szCs w:val="22"/>
        </w:rPr>
        <w:t>24.3</w:t>
      </w:r>
      <w:r w:rsidRPr="00C41524">
        <w:rPr>
          <w:rFonts w:ascii="Palatino Linotype" w:eastAsia="Tahoma" w:hAnsi="Palatino Linotype"/>
          <w:sz w:val="22"/>
          <w:szCs w:val="22"/>
        </w:rPr>
        <w:t xml:space="preserve"> per cent to </w:t>
      </w:r>
      <w:r w:rsidRPr="00C41524">
        <w:rPr>
          <w:rFonts w:ascii="Times New Roman" w:eastAsia="Tahoma" w:hAnsi="Times New Roman"/>
          <w:sz w:val="22"/>
          <w:szCs w:val="22"/>
        </w:rPr>
        <w:t>₹</w:t>
      </w:r>
      <w:r>
        <w:rPr>
          <w:rFonts w:ascii="Times New Roman" w:eastAsia="Tahoma" w:hAnsi="Times New Roman"/>
          <w:sz w:val="22"/>
          <w:szCs w:val="22"/>
        </w:rPr>
        <w:t xml:space="preserve"> </w:t>
      </w:r>
      <w:r>
        <w:rPr>
          <w:rFonts w:ascii="Palatino Linotype" w:eastAsia="Tahoma" w:hAnsi="Palatino Linotype"/>
          <w:sz w:val="22"/>
          <w:szCs w:val="22"/>
        </w:rPr>
        <w:t xml:space="preserve">9.1 </w:t>
      </w:r>
      <w:r w:rsidRPr="00C41524">
        <w:rPr>
          <w:rFonts w:ascii="Palatino Linotype" w:eastAsia="Tahoma" w:hAnsi="Palatino Linotype"/>
          <w:sz w:val="22"/>
          <w:szCs w:val="22"/>
        </w:rPr>
        <w:t xml:space="preserve">lakh crore from </w:t>
      </w:r>
      <w:r w:rsidRPr="00C41524">
        <w:rPr>
          <w:rFonts w:ascii="Times New Roman" w:eastAsia="Tahoma" w:hAnsi="Times New Roman"/>
          <w:sz w:val="22"/>
          <w:szCs w:val="22"/>
        </w:rPr>
        <w:t>₹</w:t>
      </w:r>
      <w:r>
        <w:rPr>
          <w:rFonts w:ascii="Palatino Linotype" w:eastAsia="Tahoma" w:hAnsi="Palatino Linotype"/>
          <w:sz w:val="22"/>
          <w:szCs w:val="22"/>
        </w:rPr>
        <w:t xml:space="preserve"> 7.3</w:t>
      </w:r>
      <w:r w:rsidRPr="00C41524">
        <w:rPr>
          <w:rFonts w:ascii="Palatino Linotype" w:eastAsia="Tahoma" w:hAnsi="Palatino Linotype"/>
          <w:sz w:val="22"/>
          <w:szCs w:val="22"/>
        </w:rPr>
        <w:t xml:space="preserve"> lakh crore; and </w:t>
      </w:r>
    </w:p>
    <w:p w:rsidR="00E940C3" w:rsidRPr="00C41524" w:rsidRDefault="00E940C3" w:rsidP="00E940C3">
      <w:pPr>
        <w:pBdr>
          <w:top w:val="nil"/>
          <w:left w:val="nil"/>
          <w:bottom w:val="nil"/>
          <w:right w:val="nil"/>
          <w:between w:val="nil"/>
        </w:pBdr>
        <w:spacing w:line="276" w:lineRule="auto"/>
        <w:ind w:left="709"/>
        <w:jc w:val="both"/>
        <w:rPr>
          <w:rFonts w:ascii="Palatino Linotype" w:eastAsia="Tahoma" w:hAnsi="Palatino Linotype"/>
          <w:sz w:val="22"/>
          <w:szCs w:val="22"/>
        </w:rPr>
      </w:pPr>
      <w:r w:rsidRPr="00C41524">
        <w:rPr>
          <w:rFonts w:ascii="Palatino Linotype" w:eastAsia="Tahoma" w:hAnsi="Palatino Linotype"/>
          <w:sz w:val="22"/>
          <w:szCs w:val="22"/>
        </w:rPr>
        <w:t xml:space="preserve">(iv) the notional turnover of stock futures increased by </w:t>
      </w:r>
      <w:r>
        <w:rPr>
          <w:rFonts w:ascii="Palatino Linotype" w:eastAsia="Tahoma" w:hAnsi="Palatino Linotype"/>
          <w:sz w:val="22"/>
          <w:szCs w:val="22"/>
        </w:rPr>
        <w:t>12.8</w:t>
      </w:r>
      <w:r w:rsidRPr="00C41524">
        <w:rPr>
          <w:rFonts w:ascii="Palatino Linotype" w:eastAsia="Tahoma" w:hAnsi="Palatino Linotype"/>
          <w:sz w:val="22"/>
          <w:szCs w:val="22"/>
        </w:rPr>
        <w:t xml:space="preserve"> per cent to </w:t>
      </w:r>
      <w:r w:rsidRPr="00C41524">
        <w:rPr>
          <w:rFonts w:ascii="Times New Roman" w:eastAsia="Tahoma" w:hAnsi="Times New Roman"/>
          <w:sz w:val="22"/>
          <w:szCs w:val="22"/>
        </w:rPr>
        <w:t>₹</w:t>
      </w:r>
      <w:r>
        <w:rPr>
          <w:rFonts w:ascii="Times New Roman" w:eastAsia="Tahoma" w:hAnsi="Times New Roman"/>
          <w:sz w:val="22"/>
          <w:szCs w:val="22"/>
        </w:rPr>
        <w:t xml:space="preserve"> </w:t>
      </w:r>
      <w:r>
        <w:rPr>
          <w:rFonts w:ascii="Palatino Linotype" w:eastAsia="Tahoma" w:hAnsi="Palatino Linotype"/>
          <w:sz w:val="22"/>
          <w:szCs w:val="22"/>
        </w:rPr>
        <w:t>19.9</w:t>
      </w:r>
      <w:r w:rsidRPr="00C41524">
        <w:rPr>
          <w:rFonts w:ascii="Palatino Linotype" w:eastAsia="Tahoma" w:hAnsi="Palatino Linotype"/>
          <w:sz w:val="22"/>
          <w:szCs w:val="22"/>
        </w:rPr>
        <w:t xml:space="preserve"> lakh crore from </w:t>
      </w:r>
      <w:r w:rsidRPr="00C41524">
        <w:rPr>
          <w:rFonts w:ascii="Times New Roman" w:eastAsia="Tahoma" w:hAnsi="Times New Roman"/>
          <w:sz w:val="22"/>
          <w:szCs w:val="22"/>
        </w:rPr>
        <w:t>₹</w:t>
      </w:r>
      <w:r>
        <w:rPr>
          <w:rFonts w:ascii="Times New Roman" w:eastAsia="Tahoma" w:hAnsi="Times New Roman"/>
          <w:sz w:val="22"/>
          <w:szCs w:val="22"/>
        </w:rPr>
        <w:t xml:space="preserve"> </w:t>
      </w:r>
      <w:r>
        <w:rPr>
          <w:rFonts w:ascii="Palatino Linotype" w:eastAsia="Tahoma" w:hAnsi="Palatino Linotype"/>
          <w:sz w:val="22"/>
          <w:szCs w:val="22"/>
        </w:rPr>
        <w:t>17.7</w:t>
      </w:r>
      <w:r w:rsidRPr="00C41524">
        <w:rPr>
          <w:rFonts w:ascii="Palatino Linotype" w:eastAsia="Tahoma" w:hAnsi="Palatino Linotype"/>
          <w:sz w:val="22"/>
          <w:szCs w:val="22"/>
        </w:rPr>
        <w:t xml:space="preserve"> lakh crore.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As at end of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open interest in terms of value at NSE stood at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w:t>
      </w:r>
      <w:r w:rsidRPr="00D146E3">
        <w:rPr>
          <w:rFonts w:ascii="Palatino Linotype" w:eastAsia="Palatino Linotype" w:hAnsi="Palatino Linotype" w:cs="Palatino Linotype"/>
          <w:sz w:val="22"/>
          <w:szCs w:val="22"/>
        </w:rPr>
        <w:t>4,80,454</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compared to </w:t>
      </w:r>
      <w:r w:rsidRPr="00956596">
        <w:rPr>
          <w:rFonts w:ascii="Rupee Foradian" w:eastAsia="Palatino Linotype" w:hAnsi="Rupee Foradian" w:cs="Palatino Linotype"/>
          <w:b/>
          <w:sz w:val="20"/>
          <w:szCs w:val="22"/>
        </w:rPr>
        <w:t>`</w:t>
      </w:r>
      <w:r w:rsidRPr="00C41524">
        <w:rPr>
          <w:rFonts w:ascii="Palatino Linotype" w:eastAsia="Palatino Linotype" w:hAnsi="Palatino Linotype" w:cs="Palatino Linotype"/>
          <w:sz w:val="22"/>
          <w:szCs w:val="22"/>
        </w:rPr>
        <w:t xml:space="preserve"> </w:t>
      </w:r>
      <w:r w:rsidRPr="00D146E3">
        <w:rPr>
          <w:rFonts w:ascii="Palatino Linotype" w:eastAsia="Palatino Linotype" w:hAnsi="Palatino Linotype" w:cs="Palatino Linotype"/>
          <w:sz w:val="22"/>
          <w:szCs w:val="22"/>
        </w:rPr>
        <w:t>3,78,480</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in </w:t>
      </w:r>
      <w:r>
        <w:rPr>
          <w:rFonts w:ascii="Palatino Linotype" w:eastAsia="Palatino Linotype" w:hAnsi="Palatino Linotype" w:cs="Palatino Linotype"/>
          <w:sz w:val="22"/>
          <w:szCs w:val="22"/>
        </w:rPr>
        <w:t>January 2021</w:t>
      </w:r>
      <w:r w:rsidRPr="00C41524">
        <w:rPr>
          <w:rFonts w:ascii="Palatino Linotype" w:eastAsia="Palatino Linotype" w:hAnsi="Palatino Linotype" w:cs="Palatino Linotype"/>
          <w:sz w:val="22"/>
          <w:szCs w:val="22"/>
        </w:rPr>
        <w:t xml:space="preserve">, indicating an increase of </w:t>
      </w:r>
      <w:r>
        <w:rPr>
          <w:rFonts w:ascii="Palatino Linotype" w:eastAsia="Palatino Linotype" w:hAnsi="Palatino Linotype" w:cs="Palatino Linotype"/>
          <w:sz w:val="22"/>
          <w:szCs w:val="22"/>
        </w:rPr>
        <w:t>26.9</w:t>
      </w:r>
      <w:r w:rsidRPr="00C41524">
        <w:rPr>
          <w:rFonts w:ascii="Palatino Linotype" w:eastAsia="Palatino Linotype" w:hAnsi="Palatino Linotype" w:cs="Palatino Linotype"/>
          <w:sz w:val="22"/>
          <w:szCs w:val="22"/>
        </w:rPr>
        <w:t xml:space="preserve"> per cent.</w:t>
      </w:r>
    </w:p>
    <w:p w:rsidR="00E940C3" w:rsidRPr="002357A9" w:rsidRDefault="00E940C3" w:rsidP="00E940C3">
      <w:pPr>
        <w:pBdr>
          <w:top w:val="nil"/>
          <w:left w:val="nil"/>
          <w:bottom w:val="nil"/>
          <w:right w:val="nil"/>
          <w:between w:val="nil"/>
        </w:pBdr>
        <w:jc w:val="center"/>
        <w:rPr>
          <w:rFonts w:ascii="Palatino Linotype" w:eastAsia="Palatino Linotype" w:hAnsi="Palatino Linotype" w:cs="Palatino Linotype"/>
          <w:b/>
          <w:sz w:val="22"/>
          <w:szCs w:val="22"/>
          <w:highlight w:val="yellow"/>
        </w:rPr>
      </w:pPr>
    </w:p>
    <w:p w:rsidR="00E940C3" w:rsidRPr="002357A9" w:rsidRDefault="00E940C3" w:rsidP="00E940C3">
      <w:pPr>
        <w:pBdr>
          <w:top w:val="nil"/>
          <w:left w:val="nil"/>
          <w:bottom w:val="nil"/>
          <w:right w:val="nil"/>
          <w:between w:val="nil"/>
        </w:pBdr>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6: Trends of Average Daily Notional Turnover at BSE and NSE (</w:t>
      </w:r>
      <w:r w:rsidRPr="00956596">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E940C3" w:rsidRPr="002357A9" w:rsidRDefault="00E940C3" w:rsidP="00E940C3">
      <w:pPr>
        <w:pBdr>
          <w:top w:val="nil"/>
          <w:left w:val="nil"/>
          <w:bottom w:val="nil"/>
          <w:right w:val="nil"/>
          <w:between w:val="nil"/>
        </w:pBdr>
        <w:jc w:val="center"/>
        <w:rPr>
          <w:rFonts w:ascii="Palatino Linotype" w:eastAsia="Palatino Linotype" w:hAnsi="Palatino Linotype" w:cs="Palatino Linotype"/>
          <w:b/>
          <w:color w:val="2E74B5"/>
          <w:sz w:val="22"/>
          <w:szCs w:val="22"/>
        </w:rPr>
      </w:pPr>
      <w:r>
        <w:rPr>
          <w:noProof/>
          <w:lang w:val="en-IN" w:eastAsia="en-IN" w:bidi="hi-IN"/>
        </w:rPr>
        <w:drawing>
          <wp:inline distT="0" distB="0" distL="0" distR="0" wp14:anchorId="1E3ACA86" wp14:editId="50783EAF">
            <wp:extent cx="5953125" cy="2781300"/>
            <wp:effectExtent l="0" t="0" r="9525" b="0"/>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E940C3" w:rsidRPr="00C41524" w:rsidRDefault="00E940C3" w:rsidP="00E940C3">
      <w:pPr>
        <w:spacing w:line="276" w:lineRule="auto"/>
        <w:rPr>
          <w:rFonts w:ascii="Palatino Linotype" w:eastAsia="Palatino Linotype" w:hAnsi="Palatino Linotype" w:cs="Palatino Linotype"/>
          <w:b/>
          <w:sz w:val="18"/>
          <w:szCs w:val="18"/>
        </w:rPr>
      </w:pPr>
      <w:r w:rsidRPr="00C41524">
        <w:rPr>
          <w:rFonts w:ascii="Palatino Linotype" w:eastAsia="Palatino Linotype" w:hAnsi="Palatino Linotype" w:cs="Palatino Linotype"/>
          <w:b/>
          <w:sz w:val="18"/>
          <w:szCs w:val="18"/>
        </w:rPr>
        <w:t xml:space="preserve">    Note: AD</w:t>
      </w:r>
      <w:r>
        <w:rPr>
          <w:rFonts w:ascii="Palatino Linotype" w:eastAsia="Palatino Linotype" w:hAnsi="Palatino Linotype" w:cs="Palatino Linotype"/>
          <w:b/>
          <w:sz w:val="18"/>
          <w:szCs w:val="18"/>
        </w:rPr>
        <w:t>NT</w:t>
      </w:r>
      <w:r w:rsidRPr="00C41524">
        <w:rPr>
          <w:rFonts w:ascii="Palatino Linotype" w:eastAsia="Palatino Linotype" w:hAnsi="Palatino Linotype" w:cs="Palatino Linotype"/>
          <w:b/>
          <w:sz w:val="18"/>
          <w:szCs w:val="18"/>
        </w:rPr>
        <w:t xml:space="preserve"> implies Average Daily </w:t>
      </w:r>
      <w:r>
        <w:rPr>
          <w:rFonts w:ascii="Palatino Linotype" w:eastAsia="Palatino Linotype" w:hAnsi="Palatino Linotype" w:cs="Palatino Linotype"/>
          <w:b/>
          <w:sz w:val="18"/>
          <w:szCs w:val="18"/>
        </w:rPr>
        <w:t>Notional</w:t>
      </w:r>
      <w:r w:rsidRPr="00C41524">
        <w:rPr>
          <w:rFonts w:ascii="Palatino Linotype" w:eastAsia="Palatino Linotype" w:hAnsi="Palatino Linotype" w:cs="Palatino Linotype"/>
          <w:b/>
          <w:sz w:val="18"/>
          <w:szCs w:val="18"/>
        </w:rPr>
        <w:t xml:space="preserve"> Turnover</w:t>
      </w:r>
    </w:p>
    <w:p w:rsidR="00E940C3" w:rsidRPr="00C41524"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E940C3" w:rsidRPr="002357A9" w:rsidRDefault="00E940C3" w:rsidP="00E940C3">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E940C3" w:rsidRPr="00C41524" w:rsidRDefault="00E940C3" w:rsidP="00E940C3">
      <w:pPr>
        <w:pBdr>
          <w:top w:val="nil"/>
          <w:left w:val="nil"/>
          <w:bottom w:val="nil"/>
          <w:right w:val="nil"/>
          <w:between w:val="nil"/>
        </w:pBdr>
        <w:jc w:val="center"/>
        <w:rPr>
          <w:rFonts w:ascii="Palatino Linotype" w:eastAsia="Palatino Linotype" w:hAnsi="Palatino Linotype" w:cs="Palatino Linotype"/>
          <w:b/>
          <w:color w:val="2E74B5"/>
          <w:sz w:val="22"/>
          <w:szCs w:val="22"/>
        </w:rPr>
      </w:pP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b/>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percentage share of weekly </w:t>
      </w:r>
      <w:r w:rsidR="0019451C">
        <w:rPr>
          <w:rFonts w:ascii="Palatino Linotype" w:eastAsia="Palatino Linotype" w:hAnsi="Palatino Linotype" w:cs="Palatino Linotype"/>
          <w:sz w:val="22"/>
          <w:szCs w:val="22"/>
        </w:rPr>
        <w:t>options (BSE and NSE together) in</w:t>
      </w:r>
      <w:r w:rsidRPr="00C41524">
        <w:rPr>
          <w:rFonts w:ascii="Palatino Linotype" w:eastAsia="Palatino Linotype" w:hAnsi="Palatino Linotype" w:cs="Palatino Linotype"/>
          <w:sz w:val="22"/>
          <w:szCs w:val="22"/>
        </w:rPr>
        <w:t xml:space="preserve"> the total index options notional turnover (BSE and NSE </w:t>
      </w:r>
      <w:r w:rsidR="0019451C">
        <w:rPr>
          <w:rFonts w:ascii="Palatino Linotype" w:eastAsia="Palatino Linotype" w:hAnsi="Palatino Linotype" w:cs="Palatino Linotype"/>
          <w:sz w:val="22"/>
          <w:szCs w:val="22"/>
        </w:rPr>
        <w:t>t</w:t>
      </w:r>
      <w:r w:rsidRPr="00C41524">
        <w:rPr>
          <w:rFonts w:ascii="Palatino Linotype" w:eastAsia="Palatino Linotype" w:hAnsi="Palatino Linotype" w:cs="Palatino Linotype"/>
          <w:sz w:val="22"/>
          <w:szCs w:val="22"/>
        </w:rPr>
        <w:t xml:space="preserve">ogether) stood at </w:t>
      </w:r>
      <w:r>
        <w:rPr>
          <w:rFonts w:ascii="Palatino Linotype" w:eastAsia="Palatino Linotype" w:hAnsi="Palatino Linotype" w:cs="Palatino Linotype"/>
          <w:sz w:val="22"/>
          <w:szCs w:val="22"/>
        </w:rPr>
        <w:t>74</w:t>
      </w:r>
      <w:r w:rsidRPr="00C41524">
        <w:rPr>
          <w:rFonts w:ascii="Palatino Linotype" w:eastAsia="Palatino Linotype" w:hAnsi="Palatino Linotype" w:cs="Palatino Linotype"/>
          <w:sz w:val="22"/>
          <w:szCs w:val="22"/>
        </w:rPr>
        <w:t xml:space="preserve"> per cent compared to </w:t>
      </w:r>
      <w:r>
        <w:rPr>
          <w:rFonts w:ascii="Palatino Linotype" w:eastAsia="Palatino Linotype" w:hAnsi="Palatino Linotype" w:cs="Palatino Linotype"/>
          <w:sz w:val="22"/>
          <w:szCs w:val="22"/>
        </w:rPr>
        <w:t>72.8</w:t>
      </w:r>
      <w:r w:rsidRPr="00C41524">
        <w:rPr>
          <w:rFonts w:ascii="Palatino Linotype" w:eastAsia="Palatino Linotype" w:hAnsi="Palatino Linotype" w:cs="Palatino Linotype"/>
          <w:sz w:val="22"/>
          <w:szCs w:val="22"/>
        </w:rPr>
        <w:t xml:space="preserve"> per cent in </w:t>
      </w:r>
      <w:r>
        <w:rPr>
          <w:rFonts w:ascii="Palatino Linotype" w:eastAsia="Palatino Linotype" w:hAnsi="Palatino Linotype" w:cs="Palatino Linotype"/>
          <w:sz w:val="22"/>
          <w:szCs w:val="22"/>
        </w:rPr>
        <w:t>January 2021</w:t>
      </w:r>
      <w:r w:rsidRPr="00C41524">
        <w:rPr>
          <w:rFonts w:ascii="Palatino Linotype" w:eastAsia="Palatino Linotype" w:hAnsi="Palatino Linotype" w:cs="Palatino Linotype"/>
          <w:sz w:val="22"/>
          <w:szCs w:val="22"/>
        </w:rPr>
        <w:t>. The percentage share of monthly options</w:t>
      </w:r>
      <w:r>
        <w:rPr>
          <w:rFonts w:ascii="Palatino Linotype" w:eastAsia="Palatino Linotype" w:hAnsi="Palatino Linotype" w:cs="Palatino Linotype"/>
          <w:sz w:val="22"/>
          <w:szCs w:val="22"/>
        </w:rPr>
        <w:t xml:space="preserve"> for both the exchanges</w:t>
      </w:r>
      <w:r w:rsidRPr="00C41524">
        <w:rPr>
          <w:rFonts w:ascii="Palatino Linotype" w:eastAsia="Palatino Linotype" w:hAnsi="Palatino Linotype" w:cs="Palatino Linotype"/>
          <w:sz w:val="22"/>
          <w:szCs w:val="22"/>
        </w:rPr>
        <w:t xml:space="preserve"> to total i</w:t>
      </w:r>
      <w:r>
        <w:rPr>
          <w:rFonts w:ascii="Palatino Linotype" w:eastAsia="Palatino Linotype" w:hAnsi="Palatino Linotype" w:cs="Palatino Linotype"/>
          <w:sz w:val="22"/>
          <w:szCs w:val="22"/>
        </w:rPr>
        <w:t>ndex options notional turnover de</w:t>
      </w:r>
      <w:r w:rsidRPr="00C41524">
        <w:rPr>
          <w:rFonts w:ascii="Palatino Linotype" w:eastAsia="Palatino Linotype" w:hAnsi="Palatino Linotype" w:cs="Palatino Linotype"/>
          <w:sz w:val="22"/>
          <w:szCs w:val="22"/>
        </w:rPr>
        <w:t xml:space="preserve">creased to </w:t>
      </w:r>
      <w:r>
        <w:rPr>
          <w:rFonts w:ascii="Palatino Linotype" w:eastAsia="Palatino Linotype" w:hAnsi="Palatino Linotype" w:cs="Palatino Linotype"/>
          <w:sz w:val="22"/>
          <w:szCs w:val="22"/>
        </w:rPr>
        <w:t>25.4</w:t>
      </w:r>
      <w:r w:rsidRPr="00C41524">
        <w:rPr>
          <w:rFonts w:ascii="Palatino Linotype" w:eastAsia="Palatino Linotype" w:hAnsi="Palatino Linotype" w:cs="Palatino Linotype"/>
          <w:sz w:val="22"/>
          <w:szCs w:val="22"/>
        </w:rPr>
        <w:t xml:space="preserve"> per cent in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from 26.6 per cent in January 2021.  </w:t>
      </w: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b/>
          <w:sz w:val="22"/>
          <w:szCs w:val="22"/>
          <w:highlight w:val="yellow"/>
        </w:rPr>
      </w:pPr>
    </w:p>
    <w:p w:rsidR="00E940C3" w:rsidRPr="002357A9" w:rsidRDefault="00E940C3" w:rsidP="00E940C3">
      <w:pPr>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7: Maturity-wise percentage Share of Total Index Options Turnover (per cent)</w:t>
      </w:r>
    </w:p>
    <w:p w:rsidR="00E940C3" w:rsidRPr="002357A9" w:rsidRDefault="00E940C3" w:rsidP="00E940C3">
      <w:pPr>
        <w:spacing w:line="276" w:lineRule="auto"/>
        <w:jc w:val="center"/>
        <w:rPr>
          <w:rFonts w:ascii="Palatino Linotype" w:eastAsia="Palatino Linotype" w:hAnsi="Palatino Linotype" w:cs="Palatino Linotype"/>
          <w:b/>
          <w:sz w:val="22"/>
          <w:szCs w:val="22"/>
          <w:highlight w:val="yellow"/>
        </w:rPr>
      </w:pPr>
      <w:r>
        <w:rPr>
          <w:noProof/>
          <w:lang w:val="en-IN" w:eastAsia="en-IN" w:bidi="hi-IN"/>
        </w:rPr>
        <w:drawing>
          <wp:inline distT="0" distB="0" distL="0" distR="0" wp14:anchorId="3009AEC5" wp14:editId="7E828451">
            <wp:extent cx="5686425" cy="2743200"/>
            <wp:effectExtent l="0" t="0" r="952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E940C3"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BSE and NSE</w:t>
      </w:r>
    </w:p>
    <w:p w:rsidR="00E940C3" w:rsidRPr="00C41524" w:rsidRDefault="00E940C3" w:rsidP="00E940C3">
      <w:pPr>
        <w:spacing w:line="276" w:lineRule="auto"/>
        <w:rPr>
          <w:rFonts w:ascii="Palatino Linotype" w:eastAsia="Palatino Linotype" w:hAnsi="Palatino Linotype" w:cs="Palatino Linotype"/>
          <w:b/>
          <w:sz w:val="18"/>
          <w:szCs w:val="18"/>
        </w:rPr>
      </w:pPr>
    </w:p>
    <w:p w:rsidR="00E940C3" w:rsidRPr="002357A9" w:rsidRDefault="00E940C3" w:rsidP="00E940C3">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Currency Derivatives </w:t>
      </w:r>
    </w:p>
    <w:p w:rsidR="00E940C3" w:rsidRPr="00C41524" w:rsidRDefault="00E940C3" w:rsidP="0019451C">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monthly notional turnover of currency derivatives in India (NSE, BSE and MSEI together) stood at </w:t>
      </w:r>
      <w:r w:rsidRPr="00C41524">
        <w:rPr>
          <w:rFonts w:ascii="Times New Roman" w:eastAsia="Palatino Linotype" w:hAnsi="Times New Roman"/>
          <w:sz w:val="22"/>
          <w:szCs w:val="22"/>
        </w:rPr>
        <w:t>₹</w:t>
      </w:r>
      <w:r>
        <w:rPr>
          <w:rFonts w:ascii="Times New Roman" w:eastAsia="Palatino Linotype" w:hAnsi="Times New Roman"/>
          <w:sz w:val="22"/>
          <w:szCs w:val="22"/>
        </w:rPr>
        <w:t xml:space="preserve"> </w:t>
      </w:r>
      <w:r w:rsidRPr="00995B5C">
        <w:rPr>
          <w:rFonts w:ascii="Palatino Linotype" w:eastAsia="Palatino Linotype" w:hAnsi="Palatino Linotype" w:cs="Palatino Linotype"/>
          <w:sz w:val="22"/>
          <w:szCs w:val="22"/>
        </w:rPr>
        <w:t>15,43,852</w:t>
      </w:r>
      <w:r w:rsidRPr="00C41524">
        <w:rPr>
          <w:rFonts w:ascii="Palatino Linotype" w:eastAsia="Palatino Linotype" w:hAnsi="Palatino Linotype" w:cs="Palatino Linotype"/>
          <w:sz w:val="22"/>
          <w:szCs w:val="22"/>
        </w:rPr>
        <w:t xml:space="preserve"> crore as compared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14,55,030 crore in </w:t>
      </w:r>
      <w:r>
        <w:rPr>
          <w:rFonts w:ascii="Palatino Linotype" w:eastAsia="Palatino Linotype" w:hAnsi="Palatino Linotype" w:cs="Palatino Linotype"/>
          <w:sz w:val="22"/>
          <w:szCs w:val="22"/>
        </w:rPr>
        <w:t>January</w:t>
      </w:r>
      <w:r w:rsidRPr="00C41524">
        <w:rPr>
          <w:rFonts w:ascii="Palatino Linotype" w:eastAsia="Palatino Linotype" w:hAnsi="Palatino Linotype" w:cs="Palatino Linotype"/>
          <w:sz w:val="22"/>
          <w:szCs w:val="22"/>
        </w:rPr>
        <w:t xml:space="preserve"> 202</w:t>
      </w:r>
      <w:r>
        <w:rPr>
          <w:rFonts w:ascii="Palatino Linotype" w:eastAsia="Palatino Linotype" w:hAnsi="Palatino Linotype" w:cs="Palatino Linotype"/>
          <w:sz w:val="22"/>
          <w:szCs w:val="22"/>
        </w:rPr>
        <w:t>1</w:t>
      </w:r>
      <w:r w:rsidRPr="00C41524">
        <w:rPr>
          <w:rFonts w:ascii="Palatino Linotype" w:eastAsia="Palatino Linotype" w:hAnsi="Palatino Linotype" w:cs="Palatino Linotype"/>
          <w:sz w:val="22"/>
          <w:szCs w:val="22"/>
        </w:rPr>
        <w:t>, registering a</w:t>
      </w:r>
      <w:r>
        <w:rPr>
          <w:rFonts w:ascii="Palatino Linotype" w:eastAsia="Palatino Linotype" w:hAnsi="Palatino Linotype" w:cs="Palatino Linotype"/>
          <w:sz w:val="22"/>
          <w:szCs w:val="22"/>
        </w:rPr>
        <w:t>n</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 of </w:t>
      </w:r>
      <w:r>
        <w:rPr>
          <w:rFonts w:ascii="Palatino Linotype" w:eastAsia="Palatino Linotype" w:hAnsi="Palatino Linotype" w:cs="Palatino Linotype"/>
          <w:sz w:val="22"/>
          <w:szCs w:val="22"/>
        </w:rPr>
        <w:t>6.1</w:t>
      </w:r>
      <w:r w:rsidRPr="00C41524">
        <w:rPr>
          <w:rFonts w:ascii="Palatino Linotype" w:eastAsia="Palatino Linotype" w:hAnsi="Palatino Linotype" w:cs="Palatino Linotype"/>
          <w:sz w:val="22"/>
          <w:szCs w:val="22"/>
        </w:rPr>
        <w:t xml:space="preserve"> per cent</w:t>
      </w:r>
      <w:r w:rsidR="0019451C">
        <w:rPr>
          <w:rFonts w:ascii="Palatino Linotype" w:eastAsia="Palatino Linotype" w:hAnsi="Palatino Linotype" w:cs="Palatino Linotype"/>
          <w:sz w:val="22"/>
          <w:szCs w:val="22"/>
        </w:rPr>
        <w:t>.</w:t>
      </w:r>
    </w:p>
    <w:p w:rsidR="00E940C3" w:rsidRPr="002357A9" w:rsidRDefault="00E940C3" w:rsidP="00E940C3">
      <w:pPr>
        <w:pBdr>
          <w:top w:val="nil"/>
          <w:left w:val="nil"/>
          <w:bottom w:val="nil"/>
          <w:right w:val="nil"/>
          <w:between w:val="nil"/>
        </w:pBdr>
        <w:spacing w:line="276" w:lineRule="auto"/>
        <w:jc w:val="both"/>
        <w:rPr>
          <w:rFonts w:ascii="Palatino Linotype" w:eastAsia="Palatino Linotype" w:hAnsi="Palatino Linotype" w:cs="Palatino Linotype"/>
          <w:sz w:val="22"/>
          <w:szCs w:val="22"/>
          <w:highlight w:val="yellow"/>
        </w:rPr>
      </w:pPr>
    </w:p>
    <w:p w:rsidR="00E940C3" w:rsidRPr="002357A9" w:rsidRDefault="00E940C3" w:rsidP="00E940C3">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8: Trends of Currency Derivatives at NSE, MSEI and BSE (</w:t>
      </w:r>
      <w:r w:rsidRPr="00956596">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E940C3" w:rsidRPr="002357A9" w:rsidRDefault="00E940C3" w:rsidP="00E940C3">
      <w:pPr>
        <w:keepNext/>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Pr>
          <w:noProof/>
          <w:lang w:val="en-IN" w:eastAsia="en-IN" w:bidi="hi-IN"/>
        </w:rPr>
        <w:drawing>
          <wp:inline distT="0" distB="0" distL="0" distR="0" wp14:anchorId="701B25F0" wp14:editId="5C8B549B">
            <wp:extent cx="5591175" cy="2747645"/>
            <wp:effectExtent l="0" t="0" r="9525" b="1460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E940C3" w:rsidRDefault="00E940C3" w:rsidP="00E940C3">
      <w:pPr>
        <w:spacing w:line="276" w:lineRule="auto"/>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Source: BSE, NSE and MSEI </w:t>
      </w:r>
    </w:p>
    <w:p w:rsidR="00E940C3" w:rsidRDefault="00E940C3" w:rsidP="00E940C3">
      <w:pPr>
        <w:spacing w:line="276" w:lineRule="auto"/>
        <w:rPr>
          <w:rFonts w:ascii="Palatino Linotype" w:eastAsia="Palatino Linotype" w:hAnsi="Palatino Linotype" w:cs="Palatino Linotype"/>
          <w:b/>
          <w:sz w:val="18"/>
          <w:szCs w:val="18"/>
        </w:rPr>
      </w:pPr>
    </w:p>
    <w:p w:rsidR="00E940C3" w:rsidRDefault="00E940C3" w:rsidP="00E940C3">
      <w:pPr>
        <w:spacing w:line="276" w:lineRule="auto"/>
        <w:rPr>
          <w:rFonts w:ascii="Palatino Linotype" w:eastAsia="Palatino Linotype" w:hAnsi="Palatino Linotype" w:cs="Palatino Linotype"/>
          <w:b/>
          <w:sz w:val="18"/>
          <w:szCs w:val="18"/>
        </w:rPr>
      </w:pPr>
    </w:p>
    <w:p w:rsidR="00E940C3" w:rsidRDefault="00E940C3" w:rsidP="00E940C3">
      <w:pPr>
        <w:spacing w:line="276" w:lineRule="auto"/>
        <w:rPr>
          <w:rFonts w:ascii="Palatino Linotype" w:eastAsia="Palatino Linotype" w:hAnsi="Palatino Linotype" w:cs="Palatino Linotype"/>
          <w:b/>
          <w:sz w:val="18"/>
          <w:szCs w:val="18"/>
        </w:rPr>
      </w:pPr>
    </w:p>
    <w:p w:rsidR="00E940C3" w:rsidRDefault="00E940C3" w:rsidP="00E940C3">
      <w:pPr>
        <w:spacing w:line="276" w:lineRule="auto"/>
        <w:rPr>
          <w:rFonts w:ascii="Palatino Linotype" w:eastAsia="Palatino Linotype" w:hAnsi="Palatino Linotype" w:cs="Palatino Linotype"/>
          <w:b/>
          <w:sz w:val="18"/>
          <w:szCs w:val="18"/>
        </w:rPr>
      </w:pPr>
    </w:p>
    <w:p w:rsidR="00E940C3" w:rsidRPr="00C41524" w:rsidRDefault="00E940C3" w:rsidP="00E940C3">
      <w:pPr>
        <w:spacing w:line="276" w:lineRule="auto"/>
        <w:rPr>
          <w:rFonts w:ascii="Palatino Linotype" w:eastAsia="Palatino Linotype" w:hAnsi="Palatino Linotype" w:cs="Palatino Linotype"/>
          <w:b/>
          <w:sz w:val="18"/>
          <w:szCs w:val="18"/>
        </w:rPr>
      </w:pPr>
    </w:p>
    <w:p w:rsidR="00E940C3" w:rsidRPr="002357A9" w:rsidRDefault="00E940C3" w:rsidP="00E940C3">
      <w:pPr>
        <w:widowControl w:val="0"/>
        <w:numPr>
          <w:ilvl w:val="0"/>
          <w:numId w:val="3"/>
        </w:numPr>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 xml:space="preserve">Interest Rate Derivatives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the monthly notional turnover of interest rate derivatives at NSE </w:t>
      </w:r>
      <w:r>
        <w:rPr>
          <w:rFonts w:ascii="Palatino Linotype" w:eastAsia="Palatino Linotype" w:hAnsi="Palatino Linotype" w:cs="Palatino Linotype"/>
          <w:sz w:val="22"/>
          <w:szCs w:val="22"/>
        </w:rPr>
        <w:t>in</w:t>
      </w:r>
      <w:r w:rsidRPr="00C41524">
        <w:rPr>
          <w:rFonts w:ascii="Palatino Linotype" w:eastAsia="Palatino Linotype" w:hAnsi="Palatino Linotype" w:cs="Palatino Linotype"/>
          <w:sz w:val="22"/>
          <w:szCs w:val="22"/>
        </w:rPr>
        <w:t xml:space="preserve">creased by </w:t>
      </w:r>
      <w:r>
        <w:rPr>
          <w:rFonts w:ascii="Palatino Linotype" w:eastAsia="Palatino Linotype" w:hAnsi="Palatino Linotype" w:cs="Palatino Linotype"/>
          <w:sz w:val="22"/>
          <w:szCs w:val="22"/>
        </w:rPr>
        <w:t>64.5</w:t>
      </w:r>
      <w:r w:rsidRPr="00C41524">
        <w:rPr>
          <w:rFonts w:ascii="Palatino Linotype" w:eastAsia="Palatino Linotype" w:hAnsi="Palatino Linotype" w:cs="Palatino Linotype"/>
          <w:sz w:val="22"/>
          <w:szCs w:val="22"/>
        </w:rPr>
        <w:t xml:space="preserve"> per cent to </w:t>
      </w:r>
      <w:r w:rsidRPr="00C41524">
        <w:rPr>
          <w:rFonts w:ascii="Times New Roman" w:eastAsia="Palatino Linotype" w:hAnsi="Times New Roman"/>
          <w:sz w:val="22"/>
          <w:szCs w:val="22"/>
        </w:rPr>
        <w:t>₹</w:t>
      </w:r>
      <w:r>
        <w:rPr>
          <w:rFonts w:ascii="Palatino Linotype" w:eastAsia="Palatino Linotype" w:hAnsi="Palatino Linotype" w:cs="Palatino Linotype"/>
          <w:sz w:val="22"/>
          <w:szCs w:val="22"/>
        </w:rPr>
        <w:t>6,735</w:t>
      </w:r>
      <w:r w:rsidRPr="00C41524">
        <w:rPr>
          <w:rFonts w:ascii="Palatino Linotype" w:eastAsia="Palatino Linotype" w:hAnsi="Palatino Linotype" w:cs="Palatino Linotype"/>
          <w:sz w:val="22"/>
          <w:szCs w:val="22"/>
        </w:rPr>
        <w:t xml:space="preserve"> crore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4,094 crore during </w:t>
      </w:r>
      <w:r>
        <w:rPr>
          <w:rFonts w:ascii="Palatino Linotype" w:eastAsia="Palatino Linotype" w:hAnsi="Palatino Linotype" w:cs="Palatino Linotype"/>
          <w:sz w:val="22"/>
          <w:szCs w:val="22"/>
        </w:rPr>
        <w:t>January 2021</w:t>
      </w:r>
      <w:r w:rsidRPr="00C41524">
        <w:rPr>
          <w:rFonts w:ascii="Palatino Linotype" w:eastAsia="Palatino Linotype" w:hAnsi="Palatino Linotype" w:cs="Palatino Linotype"/>
          <w:sz w:val="22"/>
          <w:szCs w:val="22"/>
        </w:rPr>
        <w:t xml:space="preserve">.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The monthly notional turnover of interest rate </w:t>
      </w:r>
      <w:r>
        <w:rPr>
          <w:rFonts w:ascii="Palatino Linotype" w:eastAsia="Palatino Linotype" w:hAnsi="Palatino Linotype" w:cs="Palatino Linotype"/>
          <w:sz w:val="22"/>
          <w:szCs w:val="22"/>
        </w:rPr>
        <w:t>futures</w:t>
      </w:r>
      <w:r w:rsidRPr="00C41524">
        <w:rPr>
          <w:rFonts w:ascii="Palatino Linotype" w:eastAsia="Palatino Linotype" w:hAnsi="Palatino Linotype" w:cs="Palatino Linotype"/>
          <w:sz w:val="22"/>
          <w:szCs w:val="22"/>
        </w:rPr>
        <w:t xml:space="preserve"> at BSE increased by </w:t>
      </w:r>
      <w:r>
        <w:rPr>
          <w:rFonts w:ascii="Palatino Linotype" w:eastAsia="Palatino Linotype" w:hAnsi="Palatino Linotype" w:cs="Palatino Linotype"/>
          <w:sz w:val="22"/>
          <w:szCs w:val="22"/>
        </w:rPr>
        <w:t>401.4</w:t>
      </w:r>
      <w:r w:rsidRPr="00C41524">
        <w:rPr>
          <w:rFonts w:ascii="Palatino Linotype" w:eastAsia="Palatino Linotype" w:hAnsi="Palatino Linotype" w:cs="Palatino Linotype"/>
          <w:sz w:val="22"/>
          <w:szCs w:val="22"/>
        </w:rPr>
        <w:t xml:space="preserve"> per cent to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5,520</w:t>
      </w:r>
      <w:r w:rsidRPr="00C41524">
        <w:rPr>
          <w:rFonts w:ascii="Palatino Linotype" w:eastAsia="Palatino Linotype" w:hAnsi="Palatino Linotype" w:cs="Palatino Linotype"/>
          <w:sz w:val="22"/>
          <w:szCs w:val="22"/>
        </w:rPr>
        <w:t xml:space="preserve"> crore from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 1,101 crore during the same period. </w:t>
      </w:r>
    </w:p>
    <w:p w:rsidR="00E940C3" w:rsidRPr="002357A9" w:rsidRDefault="00E940C3" w:rsidP="00E940C3">
      <w:pPr>
        <w:rPr>
          <w:rFonts w:ascii="Palatino Linotype" w:eastAsia="Palatino Linotype" w:hAnsi="Palatino Linotype" w:cs="Palatino Linotype"/>
          <w:b/>
          <w:color w:val="2E74B5"/>
          <w:sz w:val="22"/>
          <w:szCs w:val="22"/>
          <w:highlight w:val="yellow"/>
        </w:rPr>
      </w:pP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9: Trends of Interest Rate Futures at NSE and BSE</w:t>
      </w:r>
    </w:p>
    <w:p w:rsidR="00E940C3" w:rsidRPr="002357A9" w:rsidRDefault="00E940C3" w:rsidP="00E940C3">
      <w:pPr>
        <w:widowControl w:val="0"/>
        <w:spacing w:line="276" w:lineRule="auto"/>
        <w:ind w:left="567"/>
        <w:rPr>
          <w:rFonts w:ascii="Palatino Linotype" w:eastAsia="Palatino Linotype" w:hAnsi="Palatino Linotype" w:cs="Palatino Linotype"/>
          <w:b/>
          <w:sz w:val="22"/>
          <w:szCs w:val="22"/>
        </w:rPr>
      </w:pPr>
      <w:r>
        <w:rPr>
          <w:noProof/>
          <w:lang w:val="en-IN" w:eastAsia="en-IN" w:bidi="hi-IN"/>
        </w:rPr>
        <w:drawing>
          <wp:inline distT="0" distB="0" distL="0" distR="0" wp14:anchorId="6839B837" wp14:editId="095D0421">
            <wp:extent cx="5495925" cy="2557145"/>
            <wp:effectExtent l="0" t="0" r="9525" b="1460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E940C3" w:rsidRDefault="00E940C3" w:rsidP="00E940C3">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 xml:space="preserve"> 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E940C3" w:rsidRDefault="00E940C3" w:rsidP="00E940C3">
      <w:pPr>
        <w:rPr>
          <w:rFonts w:ascii="Palatino Linotype" w:eastAsia="Palatino Linotype" w:hAnsi="Palatino Linotype" w:cs="Palatino Linotype"/>
          <w:b/>
          <w:sz w:val="18"/>
          <w:szCs w:val="18"/>
        </w:rPr>
      </w:pPr>
    </w:p>
    <w:p w:rsidR="00E940C3" w:rsidRPr="002357A9" w:rsidRDefault="00E940C3" w:rsidP="00E940C3">
      <w:pPr>
        <w:widowControl w:val="0"/>
        <w:numPr>
          <w:ilvl w:val="0"/>
          <w:numId w:val="2"/>
        </w:numPr>
        <w:spacing w:line="276" w:lineRule="auto"/>
        <w:ind w:left="454" w:hanging="454"/>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Trading in Corporate Debt Market</w:t>
      </w:r>
    </w:p>
    <w:p w:rsidR="00E940C3" w:rsidRPr="00995B5C"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BSE registered </w:t>
      </w:r>
      <w:r w:rsidRPr="00995B5C">
        <w:rPr>
          <w:rFonts w:ascii="Palatino Linotype" w:eastAsia="Palatino Linotype" w:hAnsi="Palatino Linotype" w:cs="Palatino Linotype"/>
          <w:sz w:val="22"/>
          <w:szCs w:val="22"/>
        </w:rPr>
        <w:t>5,646</w:t>
      </w:r>
      <w:r w:rsidRPr="00C41524">
        <w:rPr>
          <w:rFonts w:ascii="Palatino Linotype" w:eastAsia="Palatino Linotype" w:hAnsi="Palatino Linotype" w:cs="Palatino Linotype"/>
          <w:sz w:val="22"/>
          <w:szCs w:val="22"/>
        </w:rPr>
        <w:t xml:space="preserve"> trades of corporate debt with traded value of </w:t>
      </w:r>
      <w:r w:rsidRPr="00995B5C">
        <w:rPr>
          <w:rFonts w:ascii="Times New Roman" w:eastAsia="Palatino Linotype" w:hAnsi="Times New Roman"/>
          <w:sz w:val="22"/>
          <w:szCs w:val="22"/>
        </w:rPr>
        <w:t>₹</w:t>
      </w:r>
      <w:r w:rsidRPr="00995B5C">
        <w:rPr>
          <w:rFonts w:ascii="Palatino Linotype" w:eastAsia="Palatino Linotype" w:hAnsi="Palatino Linotype" w:cs="Palatino Linotype"/>
          <w:sz w:val="22"/>
          <w:szCs w:val="22"/>
        </w:rPr>
        <w:t xml:space="preserve"> 43,534 </w:t>
      </w:r>
      <w:r w:rsidRPr="00C41524">
        <w:rPr>
          <w:rFonts w:ascii="Palatino Linotype" w:eastAsia="Palatino Linotype" w:hAnsi="Palatino Linotype" w:cs="Palatino Linotype"/>
          <w:sz w:val="22"/>
          <w:szCs w:val="22"/>
        </w:rPr>
        <w:t xml:space="preserve">crore, as compared to 5,537 trades with traded value of </w:t>
      </w:r>
      <w:r w:rsidRPr="00995B5C">
        <w:rPr>
          <w:rFonts w:ascii="Times New Roman" w:eastAsia="Palatino Linotype" w:hAnsi="Times New Roman"/>
          <w:sz w:val="22"/>
          <w:szCs w:val="22"/>
        </w:rPr>
        <w:t>₹</w:t>
      </w:r>
      <w:r w:rsidRPr="00995B5C">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48,385 crore in the previous month.  </w:t>
      </w:r>
    </w:p>
    <w:p w:rsidR="00E940C3" w:rsidRPr="00C41524"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C41524">
        <w:rPr>
          <w:rFonts w:ascii="Palatino Linotype" w:eastAsia="Palatino Linotype" w:hAnsi="Palatino Linotype" w:cs="Palatino Linotype"/>
          <w:sz w:val="22"/>
          <w:szCs w:val="22"/>
        </w:rPr>
        <w:t xml:space="preserve">At NSE, </w:t>
      </w:r>
      <w:r w:rsidRPr="00995B5C">
        <w:rPr>
          <w:rFonts w:ascii="Palatino Linotype" w:eastAsia="Palatino Linotype" w:hAnsi="Palatino Linotype" w:cs="Palatino Linotype"/>
          <w:sz w:val="22"/>
          <w:szCs w:val="22"/>
        </w:rPr>
        <w:t>4,826</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trades were recorded with a traded value of </w:t>
      </w:r>
      <w:r w:rsidRPr="00C41524">
        <w:rPr>
          <w:rFonts w:ascii="Times New Roman" w:eastAsia="Palatino Linotype" w:hAnsi="Times New Roman"/>
          <w:sz w:val="22"/>
          <w:szCs w:val="22"/>
        </w:rPr>
        <w:t>₹</w:t>
      </w:r>
      <w:r>
        <w:rPr>
          <w:rFonts w:ascii="Times New Roman" w:eastAsia="Palatino Linotype" w:hAnsi="Times New Roman"/>
          <w:sz w:val="22"/>
          <w:szCs w:val="22"/>
        </w:rPr>
        <w:t xml:space="preserve"> </w:t>
      </w:r>
      <w:r w:rsidRPr="00995B5C">
        <w:rPr>
          <w:rFonts w:ascii="Palatino Linotype" w:eastAsia="Palatino Linotype" w:hAnsi="Palatino Linotype" w:cs="Palatino Linotype"/>
          <w:sz w:val="22"/>
          <w:szCs w:val="22"/>
        </w:rPr>
        <w:t>75,565</w:t>
      </w:r>
      <w:r>
        <w:rPr>
          <w:rFonts w:ascii="Palatino Linotype" w:eastAsia="Palatino Linotype" w:hAnsi="Palatino Linotype" w:cs="Palatino Linotype"/>
          <w:sz w:val="22"/>
          <w:szCs w:val="22"/>
        </w:rPr>
        <w:t xml:space="preserve"> </w:t>
      </w:r>
      <w:r w:rsidRPr="00C41524">
        <w:rPr>
          <w:rFonts w:ascii="Palatino Linotype" w:eastAsia="Palatino Linotype" w:hAnsi="Palatino Linotype" w:cs="Palatino Linotype"/>
          <w:sz w:val="22"/>
          <w:szCs w:val="22"/>
        </w:rPr>
        <w:t xml:space="preserve">crore in </w:t>
      </w:r>
      <w:r>
        <w:rPr>
          <w:rFonts w:ascii="Palatino Linotype" w:eastAsia="Palatino Linotype" w:hAnsi="Palatino Linotype" w:cs="Palatino Linotype"/>
          <w:sz w:val="22"/>
          <w:szCs w:val="22"/>
        </w:rPr>
        <w:t>February</w:t>
      </w:r>
      <w:r w:rsidRPr="00C41524">
        <w:rPr>
          <w:rFonts w:ascii="Palatino Linotype" w:eastAsia="Palatino Linotype" w:hAnsi="Palatino Linotype" w:cs="Palatino Linotype"/>
          <w:sz w:val="22"/>
          <w:szCs w:val="22"/>
        </w:rPr>
        <w:t xml:space="preserve"> 2021 as compared to 5,221 trades with a traded value of </w:t>
      </w:r>
      <w:r w:rsidRPr="00C41524">
        <w:rPr>
          <w:rFonts w:ascii="Times New Roman" w:eastAsia="Palatino Linotype" w:hAnsi="Times New Roman"/>
          <w:sz w:val="22"/>
          <w:szCs w:val="22"/>
        </w:rPr>
        <w:t>₹</w:t>
      </w:r>
      <w:r w:rsidRPr="00C41524">
        <w:rPr>
          <w:rFonts w:ascii="Palatino Linotype" w:eastAsia="Palatino Linotype" w:hAnsi="Palatino Linotype" w:cs="Palatino Linotype"/>
          <w:sz w:val="22"/>
          <w:szCs w:val="22"/>
        </w:rPr>
        <w:t xml:space="preserve">83,618 crore in January 2021. </w:t>
      </w:r>
    </w:p>
    <w:p w:rsidR="00E940C3" w:rsidRPr="002357A9" w:rsidRDefault="00E940C3" w:rsidP="00E940C3">
      <w:pPr>
        <w:pBdr>
          <w:top w:val="nil"/>
          <w:left w:val="nil"/>
          <w:bottom w:val="nil"/>
          <w:right w:val="nil"/>
          <w:between w:val="nil"/>
        </w:pBdr>
        <w:spacing w:line="276" w:lineRule="auto"/>
        <w:ind w:left="720" w:hanging="720"/>
        <w:rPr>
          <w:rFonts w:ascii="Palatino Linotype" w:eastAsia="Palatino Linotype" w:hAnsi="Palatino Linotype" w:cs="Palatino Linotype"/>
          <w:b/>
          <w:color w:val="2E74B5"/>
          <w:sz w:val="22"/>
          <w:szCs w:val="22"/>
          <w:highlight w:val="yellow"/>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19451C" w:rsidRDefault="0019451C"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10: Trends in Reported Turnover of Corporate Bonds (</w:t>
      </w:r>
      <w:r w:rsidRPr="00956596">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rPr>
      </w:pPr>
      <w:r>
        <w:rPr>
          <w:noProof/>
          <w:lang w:val="en-IN" w:eastAsia="en-IN" w:bidi="hi-IN"/>
        </w:rPr>
        <w:drawing>
          <wp:inline distT="0" distB="0" distL="0" distR="0" wp14:anchorId="507419EA" wp14:editId="1112FB21">
            <wp:extent cx="6105525" cy="2743200"/>
            <wp:effectExtent l="0" t="0" r="9525"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E940C3" w:rsidRDefault="00E940C3" w:rsidP="00E940C3">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w:t>
      </w:r>
      <w:r w:rsidRPr="00C41524">
        <w:rPr>
          <w:rFonts w:ascii="Palatino Linotype" w:eastAsia="Palatino Linotype" w:hAnsi="Palatino Linotype" w:cs="Palatino Linotype"/>
          <w:b/>
          <w:sz w:val="18"/>
          <w:szCs w:val="18"/>
        </w:rPr>
        <w:t>Source: BSE</w:t>
      </w:r>
      <w:r>
        <w:rPr>
          <w:rFonts w:ascii="Palatino Linotype" w:eastAsia="Palatino Linotype" w:hAnsi="Palatino Linotype" w:cs="Palatino Linotype"/>
          <w:b/>
          <w:sz w:val="18"/>
          <w:szCs w:val="18"/>
        </w:rPr>
        <w:t xml:space="preserve"> and</w:t>
      </w:r>
      <w:r w:rsidRPr="00C41524">
        <w:rPr>
          <w:rFonts w:ascii="Palatino Linotype" w:eastAsia="Palatino Linotype" w:hAnsi="Palatino Linotype" w:cs="Palatino Linotype"/>
          <w:b/>
          <w:sz w:val="18"/>
          <w:szCs w:val="18"/>
        </w:rPr>
        <w:t xml:space="preserve"> NSE </w:t>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p>
    <w:p w:rsidR="00E940C3" w:rsidRDefault="00E940C3" w:rsidP="00E940C3">
      <w:pPr>
        <w:widowControl w:val="0"/>
        <w:spacing w:line="276" w:lineRule="auto"/>
        <w:ind w:left="720"/>
        <w:contextualSpacing/>
        <w:jc w:val="both"/>
        <w:rPr>
          <w:rFonts w:ascii="Palatino Linotype" w:hAnsi="Palatino Linotype"/>
          <w:b/>
          <w:color w:val="2E74B5"/>
          <w:sz w:val="22"/>
          <w:szCs w:val="22"/>
        </w:rPr>
      </w:pPr>
    </w:p>
    <w:p w:rsidR="00E940C3" w:rsidRPr="002357A9" w:rsidRDefault="00E940C3" w:rsidP="00E940C3">
      <w:pPr>
        <w:widowControl w:val="0"/>
        <w:numPr>
          <w:ilvl w:val="0"/>
          <w:numId w:val="2"/>
        </w:numPr>
        <w:spacing w:line="276" w:lineRule="auto"/>
        <w:ind w:left="567" w:hanging="567"/>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Institutional Investments</w:t>
      </w:r>
    </w:p>
    <w:p w:rsidR="00E940C3" w:rsidRPr="002357A9" w:rsidRDefault="00E940C3" w:rsidP="00E940C3">
      <w:pPr>
        <w:widowControl w:val="0"/>
        <w:spacing w:line="276" w:lineRule="auto"/>
        <w:ind w:left="720"/>
        <w:jc w:val="both"/>
        <w:rPr>
          <w:rFonts w:ascii="Palatino Linotype" w:eastAsia="Palatino Linotype" w:hAnsi="Palatino Linotype" w:cs="Palatino Linotype"/>
          <w:b/>
          <w:sz w:val="22"/>
          <w:szCs w:val="22"/>
          <w:highlight w:val="yellow"/>
        </w:rPr>
      </w:pPr>
    </w:p>
    <w:p w:rsidR="00E940C3" w:rsidRPr="002357A9" w:rsidRDefault="00E940C3" w:rsidP="00E940C3">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Fund Mobilisation/Transactions by Mutual Funds</w:t>
      </w:r>
    </w:p>
    <w:p w:rsidR="00E940C3" w:rsidRPr="003F3278"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Times New Roman" w:hAnsi="Palatino Linotype" w:cs="Tahoma"/>
          <w:sz w:val="22"/>
          <w:szCs w:val="22"/>
          <w:lang w:val="en-IN" w:eastAsia="en-IN"/>
        </w:rPr>
        <w:t> </w:t>
      </w:r>
      <w:r w:rsidRPr="003F3278">
        <w:rPr>
          <w:rFonts w:ascii="Palatino Linotype" w:eastAsia="Times New Roman" w:hAnsi="Palatino Linotype" w:cs="Tahoma"/>
          <w:sz w:val="22"/>
          <w:szCs w:val="22"/>
          <w:lang w:eastAsia="en-IN"/>
        </w:rPr>
        <w:t xml:space="preserve">As at </w:t>
      </w:r>
      <w:r w:rsidRPr="003F3278">
        <w:rPr>
          <w:rFonts w:ascii="Palatino Linotype" w:eastAsia="Palatino Linotype" w:hAnsi="Palatino Linotype" w:cs="Palatino Linotype"/>
          <w:sz w:val="22"/>
          <w:szCs w:val="22"/>
        </w:rPr>
        <w:t xml:space="preserve">end of February 2021, there were 1,729 mutual fund schemes in the market, of which 1008 were open-ended schemes, 699 were close-ended schemes and 22 were interval schemes. </w:t>
      </w:r>
    </w:p>
    <w:p w:rsidR="00E940C3" w:rsidRPr="00A14012"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The </w:t>
      </w:r>
      <w:r>
        <w:rPr>
          <w:rFonts w:ascii="Palatino Linotype" w:eastAsia="Palatino Linotype" w:hAnsi="Palatino Linotype" w:cs="Palatino Linotype"/>
          <w:sz w:val="22"/>
          <w:szCs w:val="22"/>
        </w:rPr>
        <w:t>mutual fund industry saw a net in</w:t>
      </w:r>
      <w:r w:rsidRPr="002357A9">
        <w:rPr>
          <w:rFonts w:ascii="Palatino Linotype" w:eastAsia="Palatino Linotype" w:hAnsi="Palatino Linotype" w:cs="Palatino Linotype"/>
          <w:sz w:val="22"/>
          <w:szCs w:val="22"/>
        </w:rPr>
        <w:t xml:space="preserve">flow of </w:t>
      </w:r>
      <w:r w:rsidRPr="002357A9">
        <w:rPr>
          <w:rFonts w:ascii="Times New Roman" w:eastAsia="Palatino Linotype" w:hAnsi="Times New Roman"/>
          <w:sz w:val="22"/>
          <w:szCs w:val="22"/>
        </w:rPr>
        <w:t>₹</w:t>
      </w:r>
      <w:r w:rsidRPr="002357A9">
        <w:rPr>
          <w:rFonts w:ascii="Palatino Linotype" w:eastAsia="Palatino Linotype" w:hAnsi="Palatino Linotype" w:cs="Tahoma"/>
          <w:sz w:val="22"/>
          <w:szCs w:val="22"/>
        </w:rPr>
        <w:t xml:space="preserve"> </w:t>
      </w:r>
      <w:r>
        <w:rPr>
          <w:rFonts w:ascii="Palatino Linotype" w:eastAsia="Palatino Linotype" w:hAnsi="Palatino Linotype" w:cs="Palatino Linotype"/>
          <w:sz w:val="22"/>
          <w:szCs w:val="22"/>
        </w:rPr>
        <w:t>4,090</w:t>
      </w:r>
      <w:r w:rsidRPr="002357A9">
        <w:rPr>
          <w:rFonts w:ascii="Palatino Linotype" w:eastAsia="Palatino Linotype" w:hAnsi="Palatino Linotype" w:cs="Palatino Linotype"/>
          <w:sz w:val="22"/>
          <w:szCs w:val="22"/>
        </w:rPr>
        <w:t xml:space="preserve"> crore 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against the </w:t>
      </w:r>
      <w:r w:rsidRPr="00A14012">
        <w:rPr>
          <w:rFonts w:ascii="Palatino Linotype" w:eastAsia="Palatino Linotype" w:hAnsi="Palatino Linotype" w:cs="Palatino Linotype"/>
          <w:sz w:val="22"/>
          <w:szCs w:val="22"/>
        </w:rPr>
        <w:t xml:space="preserve">net outflow of </w:t>
      </w:r>
      <w:r w:rsidRPr="00A14012">
        <w:rPr>
          <w:rFonts w:ascii="Times New Roman" w:eastAsia="Palatino Linotype" w:hAnsi="Times New Roman"/>
          <w:sz w:val="22"/>
          <w:szCs w:val="22"/>
        </w:rPr>
        <w:t>₹</w:t>
      </w:r>
      <w:r w:rsidRPr="00A14012">
        <w:rPr>
          <w:rFonts w:ascii="Palatino Linotype" w:eastAsia="Palatino Linotype" w:hAnsi="Palatino Linotype" w:cs="Tahoma"/>
          <w:sz w:val="22"/>
          <w:szCs w:val="22"/>
        </w:rPr>
        <w:t xml:space="preserve"> </w:t>
      </w:r>
      <w:r w:rsidRPr="00A14012">
        <w:rPr>
          <w:rFonts w:ascii="Palatino Linotype" w:eastAsia="Palatino Linotype" w:hAnsi="Palatino Linotype" w:cs="Palatino Linotype"/>
          <w:sz w:val="22"/>
          <w:szCs w:val="22"/>
        </w:rPr>
        <w:t>35,587 crore during January 2021.</w:t>
      </w:r>
    </w:p>
    <w:p w:rsidR="00E940C3" w:rsidRPr="00A14012"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14012">
        <w:rPr>
          <w:rFonts w:ascii="Palatino Linotype" w:eastAsia="Palatino Linotype" w:hAnsi="Palatino Linotype" w:cs="Palatino Linotype"/>
          <w:sz w:val="22"/>
          <w:szCs w:val="22"/>
        </w:rPr>
        <w:t>The funds mobilised by open-ended schemes during February 2021 w</w:t>
      </w:r>
      <w:r w:rsidR="0019451C">
        <w:rPr>
          <w:rFonts w:ascii="Palatino Linotype" w:eastAsia="Palatino Linotype" w:hAnsi="Palatino Linotype" w:cs="Palatino Linotype"/>
          <w:sz w:val="22"/>
          <w:szCs w:val="22"/>
        </w:rPr>
        <w:t>ere</w:t>
      </w:r>
      <w:r w:rsidRPr="00A14012">
        <w:rPr>
          <w:rFonts w:ascii="Palatino Linotype" w:eastAsia="Palatino Linotype" w:hAnsi="Palatino Linotype" w:cs="Palatino Linotype"/>
          <w:sz w:val="22"/>
          <w:szCs w:val="22"/>
        </w:rPr>
        <w:t xml:space="preserve">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6,01,270 crore against redemption/repurchase of </w:t>
      </w:r>
      <w:r w:rsidRPr="00A14012">
        <w:rPr>
          <w:rFonts w:ascii="Times New Roman" w:eastAsia="Palatino Linotype" w:hAnsi="Times New Roman"/>
          <w:sz w:val="22"/>
          <w:szCs w:val="22"/>
        </w:rPr>
        <w:t>₹</w:t>
      </w:r>
      <w:r w:rsidRPr="00A14012">
        <w:rPr>
          <w:rFonts w:ascii="Palatino Linotype" w:eastAsia="Palatino Linotype" w:hAnsi="Palatino Linotype" w:cs="Tahoma"/>
          <w:sz w:val="22"/>
          <w:szCs w:val="22"/>
        </w:rPr>
        <w:t xml:space="preserve"> </w:t>
      </w:r>
      <w:r w:rsidRPr="00A14012">
        <w:rPr>
          <w:rFonts w:ascii="Palatino Linotype" w:eastAsia="Palatino Linotype" w:hAnsi="Palatino Linotype" w:cs="Palatino Linotype"/>
          <w:sz w:val="22"/>
          <w:szCs w:val="22"/>
        </w:rPr>
        <w:t xml:space="preserve">5,94,464 crore, resulting in a net inflow of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6,806 crore from open-ended schemes. Of the total funds mobilised by the open-ended schemes during the month under consideration,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5,50,590 crore was mobilised through income/debt oriented schemes,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 20,901 crore through growth/equity oriented schemes,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 16,795 crore through hybrid schemes, </w:t>
      </w:r>
      <w:r w:rsidRPr="00A14012">
        <w:rPr>
          <w:rFonts w:ascii="Times New Roman" w:eastAsia="Palatino Linotype" w:hAnsi="Times New Roman"/>
          <w:sz w:val="22"/>
          <w:szCs w:val="22"/>
        </w:rPr>
        <w:t xml:space="preserve">₹ </w:t>
      </w:r>
      <w:r w:rsidRPr="00A14012">
        <w:rPr>
          <w:rFonts w:ascii="Palatino Linotype" w:eastAsia="Palatino Linotype" w:hAnsi="Palatino Linotype" w:cs="Palatino Linotype"/>
          <w:sz w:val="22"/>
          <w:szCs w:val="22"/>
        </w:rPr>
        <w:t xml:space="preserve"> 1,254  crore through solution oriented schemes and </w:t>
      </w:r>
      <w:r w:rsidRPr="00A14012">
        <w:rPr>
          <w:rFonts w:ascii="Times New Roman" w:eastAsia="Palatino Linotype" w:hAnsi="Times New Roman"/>
          <w:sz w:val="22"/>
          <w:szCs w:val="22"/>
        </w:rPr>
        <w:t>₹</w:t>
      </w:r>
      <w:r w:rsidRPr="00A14012">
        <w:rPr>
          <w:rFonts w:ascii="Palatino Linotype" w:eastAsia="Palatino Linotype" w:hAnsi="Palatino Linotype" w:cs="Palatino Linotype"/>
          <w:sz w:val="22"/>
          <w:szCs w:val="22"/>
        </w:rPr>
        <w:t xml:space="preserve"> 11,730 crore through other schemes. </w:t>
      </w:r>
    </w:p>
    <w:p w:rsidR="00E940C3" w:rsidRPr="00A14012"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A14012">
        <w:rPr>
          <w:rFonts w:ascii="Palatino Linotype" w:eastAsia="Palatino Linotype" w:hAnsi="Palatino Linotype" w:cs="Palatino Linotype"/>
          <w:sz w:val="22"/>
          <w:szCs w:val="22"/>
        </w:rPr>
        <w:t xml:space="preserve">During February 2021, close-ended schemes worth </w:t>
      </w:r>
      <w:r w:rsidRPr="00A14012">
        <w:rPr>
          <w:rFonts w:ascii="Times New Roman" w:eastAsia="Palatino Linotype" w:hAnsi="Times New Roman"/>
          <w:sz w:val="22"/>
          <w:szCs w:val="22"/>
        </w:rPr>
        <w:t>₹</w:t>
      </w:r>
      <w:r w:rsidRPr="00A14012">
        <w:rPr>
          <w:rFonts w:ascii="Palatino Linotype" w:hAnsi="Palatino Linotype"/>
          <w:sz w:val="22"/>
          <w:szCs w:val="22"/>
        </w:rPr>
        <w:t xml:space="preserve"> </w:t>
      </w:r>
      <w:r w:rsidRPr="00A14012">
        <w:rPr>
          <w:rFonts w:ascii="Palatino Linotype" w:eastAsia="Palatino Linotype" w:hAnsi="Palatino Linotype" w:cs="Palatino Linotype"/>
          <w:sz w:val="22"/>
          <w:szCs w:val="22"/>
        </w:rPr>
        <w:t>2,538 crore were matured/ repurchased</w:t>
      </w:r>
      <w:r w:rsidRPr="00A14012">
        <w:rPr>
          <w:rFonts w:ascii="Palatino Linotype" w:eastAsia="Palatino Linotype" w:hAnsi="Palatino Linotype" w:cs="Palatino Linotype"/>
          <w:sz w:val="22"/>
          <w:szCs w:val="22"/>
          <w:vertAlign w:val="superscript"/>
        </w:rPr>
        <w:footnoteReference w:id="1"/>
      </w:r>
      <w:r w:rsidRPr="00A14012">
        <w:rPr>
          <w:rFonts w:ascii="Palatino Linotype" w:eastAsia="Palatino Linotype" w:hAnsi="Palatino Linotype" w:cs="Palatino Linotype"/>
          <w:sz w:val="22"/>
          <w:szCs w:val="22"/>
        </w:rPr>
        <w:t xml:space="preserve">.  Also, interval schemes worth </w:t>
      </w:r>
      <w:r w:rsidRPr="00A14012">
        <w:rPr>
          <w:rFonts w:ascii="Times New Roman" w:eastAsia="Palatino Linotype" w:hAnsi="Times New Roman"/>
          <w:sz w:val="22"/>
          <w:szCs w:val="22"/>
        </w:rPr>
        <w:t>₹</w:t>
      </w:r>
      <w:r w:rsidRPr="00A14012">
        <w:rPr>
          <w:rFonts w:ascii="Palatino Linotype" w:eastAsia="Palatino Linotype" w:hAnsi="Palatino Linotype" w:cs="Tahoma"/>
          <w:sz w:val="22"/>
          <w:szCs w:val="22"/>
        </w:rPr>
        <w:t xml:space="preserve"> 179</w:t>
      </w:r>
      <w:r w:rsidRPr="00A14012">
        <w:rPr>
          <w:rFonts w:ascii="Palatino Linotype" w:eastAsia="Palatino Linotype" w:hAnsi="Palatino Linotype" w:cs="Palatino Linotype"/>
          <w:sz w:val="22"/>
          <w:szCs w:val="22"/>
        </w:rPr>
        <w:t xml:space="preserve"> crore were matured/redeemed during the period.  </w:t>
      </w:r>
    </w:p>
    <w:p w:rsidR="00E940C3" w:rsidRPr="002357A9"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The net assets under management of mutual funds stood at </w:t>
      </w:r>
      <w:r w:rsidRPr="002357A9">
        <w:rPr>
          <w:rFonts w:ascii="Times New Roman" w:eastAsia="Palatino Linotype" w:hAnsi="Times New Roman"/>
          <w:sz w:val="22"/>
          <w:szCs w:val="22"/>
        </w:rPr>
        <w:t>₹</w:t>
      </w:r>
      <w:r>
        <w:rPr>
          <w:rFonts w:ascii="Palatino Linotype" w:eastAsia="Palatino Linotype" w:hAnsi="Palatino Linotype" w:cs="Palatino Linotype"/>
          <w:sz w:val="22"/>
          <w:szCs w:val="22"/>
        </w:rPr>
        <w:t>31.6</w:t>
      </w:r>
      <w:r w:rsidRPr="002357A9">
        <w:rPr>
          <w:rFonts w:ascii="Palatino Linotype" w:eastAsia="Palatino Linotype" w:hAnsi="Palatino Linotype" w:cs="Palatino Linotype"/>
          <w:sz w:val="22"/>
          <w:szCs w:val="22"/>
        </w:rPr>
        <w:t xml:space="preserve"> lakh crore as at the end of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w:t>
      </w:r>
      <w:r>
        <w:rPr>
          <w:rFonts w:ascii="Palatino Linotype" w:eastAsia="Palatino Linotype" w:hAnsi="Palatino Linotype" w:cs="Palatino Linotype"/>
          <w:sz w:val="22"/>
          <w:szCs w:val="22"/>
        </w:rPr>
        <w:t xml:space="preserve"> an increased by 3.7 per cent</w:t>
      </w:r>
      <w:r w:rsidRPr="002357A9">
        <w:rPr>
          <w:rFonts w:ascii="Palatino Linotype" w:eastAsia="Palatino Linotype" w:hAnsi="Palatino Linotype" w:cs="Palatino Linotype"/>
          <w:sz w:val="22"/>
          <w:szCs w:val="22"/>
        </w:rPr>
        <w:t xml:space="preserve"> from </w:t>
      </w:r>
      <w:r w:rsidRPr="002357A9">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30.5 lakh crore as at the end of January </w:t>
      </w:r>
      <w:r>
        <w:rPr>
          <w:rFonts w:ascii="Palatino Linotype" w:eastAsia="Palatino Linotype" w:hAnsi="Palatino Linotype" w:cs="Palatino Linotype"/>
          <w:sz w:val="22"/>
          <w:szCs w:val="22"/>
        </w:rPr>
        <w:t>2</w:t>
      </w:r>
      <w:r w:rsidRPr="002357A9">
        <w:rPr>
          <w:rFonts w:ascii="Palatino Linotype" w:eastAsia="Palatino Linotype" w:hAnsi="Palatino Linotype" w:cs="Palatino Linotype"/>
          <w:sz w:val="22"/>
          <w:szCs w:val="22"/>
        </w:rPr>
        <w:t xml:space="preserve">021. </w:t>
      </w:r>
    </w:p>
    <w:p w:rsidR="00E940C3" w:rsidRPr="002357A9"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E940C3" w:rsidRPr="003459B3"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In the secondary market transactions, 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mutual funds liquidated </w:t>
      </w:r>
      <w:r w:rsidRPr="003459B3">
        <w:rPr>
          <w:rFonts w:ascii="Times New Roman" w:eastAsia="Palatino Linotype" w:hAnsi="Times New Roman"/>
          <w:sz w:val="22"/>
          <w:szCs w:val="22"/>
        </w:rPr>
        <w:t>₹</w:t>
      </w:r>
      <w:r w:rsidRPr="003459B3">
        <w:rPr>
          <w:rFonts w:ascii="Palatino Linotype" w:eastAsia="Palatino Linotype" w:hAnsi="Palatino Linotype" w:cs="Palatino Linotype"/>
          <w:sz w:val="22"/>
          <w:szCs w:val="22"/>
        </w:rPr>
        <w:t xml:space="preserve"> 16,306 </w:t>
      </w:r>
      <w:r w:rsidRPr="002357A9">
        <w:rPr>
          <w:rFonts w:ascii="Palatino Linotype" w:eastAsia="Palatino Linotype" w:hAnsi="Palatino Linotype" w:cs="Palatino Linotype"/>
          <w:sz w:val="22"/>
          <w:szCs w:val="22"/>
        </w:rPr>
        <w:t xml:space="preserve">crore from equity schemes and deployed </w:t>
      </w:r>
      <w:r w:rsidRPr="003459B3">
        <w:rPr>
          <w:rFonts w:ascii="Times New Roman" w:eastAsia="Palatino Linotype" w:hAnsi="Times New Roman"/>
          <w:sz w:val="22"/>
          <w:szCs w:val="22"/>
        </w:rPr>
        <w:t>₹</w:t>
      </w:r>
      <w:r w:rsidRPr="003459B3">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8,162</w:t>
      </w:r>
      <w:r w:rsidRPr="002357A9">
        <w:rPr>
          <w:rFonts w:ascii="Palatino Linotype" w:eastAsia="Palatino Linotype" w:hAnsi="Palatino Linotype" w:cs="Palatino Linotype"/>
          <w:sz w:val="22"/>
          <w:szCs w:val="22"/>
        </w:rPr>
        <w:t xml:space="preserve"> crore in debt schemes. </w:t>
      </w:r>
    </w:p>
    <w:p w:rsidR="00E940C3" w:rsidRPr="002357A9" w:rsidRDefault="00E940C3" w:rsidP="00E940C3">
      <w:pPr>
        <w:pBdr>
          <w:top w:val="nil"/>
          <w:left w:val="nil"/>
          <w:bottom w:val="nil"/>
          <w:right w:val="nil"/>
          <w:between w:val="nil"/>
        </w:pBdr>
        <w:spacing w:line="276" w:lineRule="auto"/>
        <w:rPr>
          <w:rFonts w:ascii="Palatino Linotype" w:eastAsia="Palatino Linotype" w:hAnsi="Palatino Linotype" w:cs="Palatino Linotype"/>
          <w:b/>
          <w:color w:val="2E74B5"/>
          <w:sz w:val="22"/>
          <w:szCs w:val="22"/>
          <w:highlight w:val="yellow"/>
        </w:rPr>
      </w:pP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Figure 11: Trends in Mutual Funds Transactions in Secondary Market (</w:t>
      </w:r>
      <w:r w:rsidRPr="00956596">
        <w:rPr>
          <w:rFonts w:ascii="Rupee Foradian" w:eastAsia="Palatino Linotype" w:hAnsi="Rupee Foradian" w:cs="Palatino Linotype"/>
          <w:b/>
          <w:sz w:val="20"/>
          <w:szCs w:val="22"/>
        </w:rPr>
        <w:t>`</w:t>
      </w:r>
      <w:r w:rsidRPr="002357A9">
        <w:rPr>
          <w:rFonts w:ascii="Palatino Linotype" w:eastAsia="Palatino Linotype" w:hAnsi="Palatino Linotype" w:cs="Palatino Linotype"/>
          <w:b/>
          <w:sz w:val="22"/>
          <w:szCs w:val="22"/>
        </w:rPr>
        <w:t xml:space="preserve"> crore)</w:t>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r>
        <w:rPr>
          <w:noProof/>
          <w:lang w:val="en-IN" w:eastAsia="en-IN" w:bidi="hi-IN"/>
        </w:rPr>
        <w:drawing>
          <wp:inline distT="0" distB="0" distL="0" distR="0" wp14:anchorId="2038E1A7" wp14:editId="41359424">
            <wp:extent cx="5715000" cy="2819400"/>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E940C3"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E940C3"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highlight w:val="yellow"/>
        </w:rPr>
      </w:pP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sz w:val="22"/>
          <w:szCs w:val="22"/>
        </w:rPr>
      </w:pPr>
    </w:p>
    <w:p w:rsidR="00E940C3" w:rsidRPr="002357A9" w:rsidRDefault="00E940C3" w:rsidP="00E940C3">
      <w:pPr>
        <w:widowControl w:val="0"/>
        <w:numPr>
          <w:ilvl w:val="0"/>
          <w:numId w:val="4"/>
        </w:numPr>
        <w:tabs>
          <w:tab w:val="left" w:pos="0"/>
        </w:tabs>
        <w:spacing w:line="276" w:lineRule="auto"/>
        <w:ind w:left="567" w:hanging="567"/>
        <w:jc w:val="both"/>
        <w:rPr>
          <w:rFonts w:ascii="Palatino Linotype" w:eastAsia="Palatino Linotype" w:hAnsi="Palatino Linotype" w:cs="Palatino Linotype"/>
          <w:b/>
          <w:sz w:val="22"/>
          <w:szCs w:val="22"/>
        </w:rPr>
      </w:pPr>
      <w:r w:rsidRPr="002357A9">
        <w:rPr>
          <w:rFonts w:ascii="Palatino Linotype" w:eastAsia="Palatino Linotype" w:hAnsi="Palatino Linotype" w:cs="Palatino Linotype"/>
          <w:b/>
          <w:sz w:val="22"/>
          <w:szCs w:val="22"/>
        </w:rPr>
        <w:t>Trends in Investments by the Foreign Portfolio Investors (FPIs)</w:t>
      </w:r>
    </w:p>
    <w:p w:rsidR="00E940C3" w:rsidRPr="002357A9" w:rsidRDefault="00E940C3" w:rsidP="00E940C3">
      <w:pPr>
        <w:widowControl w:val="0"/>
        <w:tabs>
          <w:tab w:val="left" w:pos="0"/>
        </w:tabs>
        <w:spacing w:line="276" w:lineRule="auto"/>
        <w:ind w:left="360"/>
        <w:jc w:val="both"/>
        <w:rPr>
          <w:rFonts w:ascii="Palatino Linotype" w:eastAsia="Palatino Linotype" w:hAnsi="Palatino Linotype" w:cs="Palatino Linotype"/>
          <w:b/>
          <w:sz w:val="22"/>
          <w:szCs w:val="22"/>
        </w:rPr>
      </w:pPr>
    </w:p>
    <w:p w:rsidR="00E940C3" w:rsidRPr="006B1EED"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2357A9">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FPIs invested </w:t>
      </w:r>
      <w:r w:rsidRPr="006B1EED">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24,013</w:t>
      </w:r>
      <w:r w:rsidRPr="002357A9">
        <w:rPr>
          <w:rFonts w:ascii="Palatino Linotype" w:eastAsia="Palatino Linotype" w:hAnsi="Palatino Linotype" w:cs="Palatino Linotype"/>
          <w:sz w:val="22"/>
          <w:szCs w:val="22"/>
        </w:rPr>
        <w:t xml:space="preserve"> crore in the Indian securities market compared to an investment of  </w:t>
      </w:r>
      <w:r w:rsidRPr="006B1EED">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14,631</w:t>
      </w:r>
      <w:r w:rsidRPr="002357A9">
        <w:rPr>
          <w:rFonts w:ascii="Palatino Linotype" w:eastAsia="Palatino Linotype" w:hAnsi="Palatino Linotype" w:cs="Palatino Linotype"/>
          <w:sz w:val="22"/>
          <w:szCs w:val="22"/>
        </w:rPr>
        <w:t xml:space="preserve"> crore in </w:t>
      </w:r>
      <w:r>
        <w:rPr>
          <w:rFonts w:ascii="Palatino Linotype" w:eastAsia="Palatino Linotype" w:hAnsi="Palatino Linotype" w:cs="Palatino Linotype"/>
          <w:sz w:val="22"/>
          <w:szCs w:val="22"/>
        </w:rPr>
        <w:t>January 2021</w:t>
      </w:r>
      <w:r w:rsidRPr="002357A9">
        <w:rPr>
          <w:rFonts w:ascii="Palatino Linotype" w:eastAsia="Palatino Linotype" w:hAnsi="Palatino Linotype" w:cs="Palatino Linotype"/>
          <w:sz w:val="22"/>
          <w:szCs w:val="22"/>
        </w:rPr>
        <w:t xml:space="preserve">. During </w:t>
      </w:r>
      <w:r>
        <w:rPr>
          <w:rFonts w:ascii="Palatino Linotype" w:eastAsia="Palatino Linotype" w:hAnsi="Palatino Linotype" w:cs="Palatino Linotype"/>
          <w:sz w:val="22"/>
          <w:szCs w:val="22"/>
        </w:rPr>
        <w:t>February</w:t>
      </w:r>
      <w:r w:rsidRPr="002357A9">
        <w:rPr>
          <w:rFonts w:ascii="Palatino Linotype" w:eastAsia="Palatino Linotype" w:hAnsi="Palatino Linotype" w:cs="Palatino Linotype"/>
          <w:sz w:val="22"/>
          <w:szCs w:val="22"/>
        </w:rPr>
        <w:t xml:space="preserve"> 2021, FPIs invested  </w:t>
      </w:r>
      <w:r w:rsidRPr="006B1EED">
        <w:rPr>
          <w:rFonts w:ascii="Times New Roman" w:eastAsia="Palatino Linotype" w:hAnsi="Times New Roman"/>
          <w:sz w:val="22"/>
          <w:szCs w:val="22"/>
        </w:rPr>
        <w:t>₹</w:t>
      </w:r>
      <w:r w:rsidRPr="002357A9">
        <w:rPr>
          <w:rFonts w:ascii="Palatino Linotype" w:eastAsia="Palatino Linotype" w:hAnsi="Palatino Linotype" w:cs="Palatino Linotype"/>
          <w:sz w:val="22"/>
          <w:szCs w:val="22"/>
        </w:rPr>
        <w:t xml:space="preserve"> </w:t>
      </w:r>
      <w:r w:rsidRPr="006B1EED">
        <w:rPr>
          <w:rFonts w:ascii="Palatino Linotype" w:eastAsia="Palatino Linotype" w:hAnsi="Palatino Linotype" w:cs="Palatino Linotype"/>
          <w:sz w:val="22"/>
          <w:szCs w:val="22"/>
        </w:rPr>
        <w:t>25,787</w:t>
      </w:r>
      <w:r w:rsidRPr="002357A9">
        <w:rPr>
          <w:rFonts w:ascii="Palatino Linotype" w:eastAsia="Palatino Linotype" w:hAnsi="Palatino Linotype" w:cs="Palatino Linotype"/>
          <w:sz w:val="22"/>
          <w:szCs w:val="22"/>
        </w:rPr>
        <w:t xml:space="preserve"> crore</w:t>
      </w:r>
      <w:r>
        <w:rPr>
          <w:rFonts w:ascii="Palatino Linotype" w:eastAsia="Palatino Linotype" w:hAnsi="Palatino Linotype" w:cs="Palatino Linotype"/>
          <w:sz w:val="22"/>
          <w:szCs w:val="22"/>
        </w:rPr>
        <w:t xml:space="preserve"> in </w:t>
      </w:r>
      <w:r w:rsidR="00F3519E">
        <w:rPr>
          <w:rFonts w:ascii="Palatino Linotype" w:eastAsia="Palatino Linotype" w:hAnsi="Palatino Linotype" w:cs="Palatino Linotype"/>
          <w:sz w:val="22"/>
          <w:szCs w:val="22"/>
        </w:rPr>
        <w:t>e</w:t>
      </w:r>
      <w:r>
        <w:rPr>
          <w:rFonts w:ascii="Palatino Linotype" w:eastAsia="Palatino Linotype" w:hAnsi="Palatino Linotype" w:cs="Palatino Linotype"/>
          <w:sz w:val="22"/>
          <w:szCs w:val="22"/>
        </w:rPr>
        <w:t>quity</w:t>
      </w:r>
      <w:r w:rsidRPr="002357A9">
        <w:rPr>
          <w:rFonts w:ascii="Palatino Linotype" w:eastAsia="Palatino Linotype" w:hAnsi="Palatino Linotype" w:cs="Palatino Linotype"/>
          <w:sz w:val="22"/>
          <w:szCs w:val="22"/>
        </w:rPr>
        <w:t xml:space="preserve">, </w:t>
      </w:r>
      <w:r w:rsidRPr="00956596">
        <w:rPr>
          <w:rFonts w:ascii="Rupee Foradian" w:eastAsia="Palatino Linotype" w:hAnsi="Rupee Foradian" w:cs="Palatino Linotype"/>
          <w:b/>
          <w:sz w:val="20"/>
          <w:szCs w:val="22"/>
        </w:rPr>
        <w:t>`</w:t>
      </w:r>
      <w:r>
        <w:rPr>
          <w:rFonts w:ascii="Palatino Linotype" w:eastAsia="Palatino Linotype" w:hAnsi="Palatino Linotype" w:cs="Palatino Linotype"/>
          <w:sz w:val="22"/>
          <w:szCs w:val="22"/>
        </w:rPr>
        <w:t xml:space="preserve"> </w:t>
      </w:r>
      <w:r w:rsidRPr="006B1EED">
        <w:rPr>
          <w:rFonts w:ascii="Palatino Linotype" w:eastAsia="Palatino Linotype" w:hAnsi="Palatino Linotype" w:cs="Palatino Linotype"/>
          <w:sz w:val="22"/>
          <w:szCs w:val="22"/>
        </w:rPr>
        <w:t xml:space="preserve">4,364 crore in </w:t>
      </w:r>
      <w:r w:rsidR="00F3519E">
        <w:rPr>
          <w:rFonts w:ascii="Palatino Linotype" w:eastAsia="Palatino Linotype" w:hAnsi="Palatino Linotype" w:cs="Palatino Linotype"/>
          <w:sz w:val="22"/>
          <w:szCs w:val="22"/>
        </w:rPr>
        <w:t>d</w:t>
      </w:r>
      <w:r w:rsidRPr="002357A9">
        <w:rPr>
          <w:rFonts w:ascii="Palatino Linotype" w:eastAsia="Palatino Linotype" w:hAnsi="Palatino Linotype" w:cs="Palatino Linotype"/>
          <w:sz w:val="22"/>
          <w:szCs w:val="22"/>
        </w:rPr>
        <w:t>ebt-</w:t>
      </w:r>
      <w:r w:rsidRPr="00E263F0">
        <w:rPr>
          <w:rFonts w:ascii="Palatino Linotype" w:eastAsia="Palatino Linotype" w:hAnsi="Palatino Linotype" w:cs="Palatino Linotype"/>
          <w:sz w:val="22"/>
          <w:szCs w:val="22"/>
        </w:rPr>
        <w:t>Voluntary Retention Route</w:t>
      </w:r>
      <w:r>
        <w:rPr>
          <w:rFonts w:ascii="Palatino Linotype" w:eastAsia="Palatino Linotype" w:hAnsi="Palatino Linotype" w:cs="Palatino Linotype"/>
          <w:sz w:val="22"/>
          <w:szCs w:val="22"/>
        </w:rPr>
        <w:t xml:space="preserve">, </w:t>
      </w:r>
      <w:r w:rsidRPr="00956596">
        <w:rPr>
          <w:rFonts w:ascii="Rupee Foradian" w:eastAsia="Palatino Linotype" w:hAnsi="Rupee Foradian" w:cs="Palatino Linotype"/>
          <w:b/>
          <w:sz w:val="20"/>
          <w:szCs w:val="22"/>
        </w:rPr>
        <w:t>`</w:t>
      </w:r>
      <w:r>
        <w:rPr>
          <w:rFonts w:ascii="Palatino Linotype" w:eastAsia="Palatino Linotype" w:hAnsi="Palatino Linotype" w:cs="Palatino Linotype"/>
          <w:sz w:val="22"/>
          <w:szCs w:val="22"/>
        </w:rPr>
        <w:t xml:space="preserve"> 350 crore </w:t>
      </w:r>
      <w:r w:rsidR="00F3519E">
        <w:rPr>
          <w:rFonts w:ascii="Palatino Linotype" w:eastAsia="Palatino Linotype" w:hAnsi="Palatino Linotype" w:cs="Palatino Linotype"/>
          <w:sz w:val="22"/>
          <w:szCs w:val="22"/>
        </w:rPr>
        <w:t>h</w:t>
      </w:r>
      <w:r w:rsidRPr="002357A9">
        <w:rPr>
          <w:rFonts w:ascii="Palatino Linotype" w:eastAsia="Palatino Linotype" w:hAnsi="Palatino Linotype" w:cs="Palatino Linotype"/>
          <w:sz w:val="22"/>
          <w:szCs w:val="22"/>
        </w:rPr>
        <w:t>ybrid securities</w:t>
      </w:r>
      <w:r>
        <w:rPr>
          <w:rFonts w:ascii="Palatino Linotype" w:eastAsia="Palatino Linotype" w:hAnsi="Palatino Linotype" w:cs="Palatino Linotype"/>
          <w:sz w:val="22"/>
          <w:szCs w:val="22"/>
        </w:rPr>
        <w:t xml:space="preserve">. </w:t>
      </w:r>
      <w:r w:rsidRPr="002357A9">
        <w:rPr>
          <w:rFonts w:ascii="Palatino Linotype" w:eastAsia="Palatino Linotype" w:hAnsi="Palatino Linotype" w:cs="Palatino Linotype"/>
          <w:sz w:val="22"/>
          <w:szCs w:val="22"/>
        </w:rPr>
        <w:t xml:space="preserve"> However, FPIs withdraw of </w:t>
      </w:r>
      <w:r w:rsidRPr="00956596">
        <w:rPr>
          <w:rFonts w:ascii="Rupee Foradian" w:eastAsia="Palatino Linotype" w:hAnsi="Rupee Foradian" w:cs="Palatino Linotype"/>
          <w:b/>
          <w:sz w:val="20"/>
          <w:szCs w:val="22"/>
        </w:rPr>
        <w:t>`</w:t>
      </w:r>
      <w:r w:rsidRPr="002357A9">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6,488</w:t>
      </w:r>
      <w:r w:rsidRPr="002357A9">
        <w:rPr>
          <w:rFonts w:ascii="Palatino Linotype" w:eastAsia="Palatino Linotype" w:hAnsi="Palatino Linotype" w:cs="Palatino Linotype"/>
          <w:sz w:val="22"/>
          <w:szCs w:val="22"/>
        </w:rPr>
        <w:t xml:space="preserve"> crore from </w:t>
      </w:r>
      <w:r w:rsidR="00F3519E">
        <w:rPr>
          <w:rFonts w:ascii="Palatino Linotype" w:eastAsia="Palatino Linotype" w:hAnsi="Palatino Linotype" w:cs="Palatino Linotype"/>
          <w:sz w:val="22"/>
          <w:szCs w:val="22"/>
        </w:rPr>
        <w:t>d</w:t>
      </w:r>
      <w:r w:rsidRPr="002357A9">
        <w:rPr>
          <w:rFonts w:ascii="Palatino Linotype" w:eastAsia="Palatino Linotype" w:hAnsi="Palatino Linotype" w:cs="Palatino Linotype"/>
          <w:sz w:val="22"/>
          <w:szCs w:val="22"/>
        </w:rPr>
        <w:t xml:space="preserve">ebt </w:t>
      </w:r>
      <w:r w:rsidR="00F3519E">
        <w:rPr>
          <w:rFonts w:ascii="Palatino Linotype" w:eastAsia="Palatino Linotype" w:hAnsi="Palatino Linotype" w:cs="Palatino Linotype"/>
          <w:sz w:val="22"/>
          <w:szCs w:val="22"/>
        </w:rPr>
        <w:t>s</w:t>
      </w:r>
      <w:r w:rsidRPr="002357A9">
        <w:rPr>
          <w:rFonts w:ascii="Palatino Linotype" w:eastAsia="Palatino Linotype" w:hAnsi="Palatino Linotype" w:cs="Palatino Linotype"/>
          <w:sz w:val="22"/>
          <w:szCs w:val="22"/>
        </w:rPr>
        <w:t>ecurities</w:t>
      </w:r>
      <w:r>
        <w:rPr>
          <w:rFonts w:ascii="Palatino Linotype" w:eastAsia="Palatino Linotype" w:hAnsi="Palatino Linotype" w:cs="Palatino Linotype"/>
          <w:sz w:val="22"/>
          <w:szCs w:val="22"/>
        </w:rPr>
        <w:t xml:space="preserve"> during February 2021. </w:t>
      </w:r>
    </w:p>
    <w:p w:rsidR="00E940C3" w:rsidRPr="002357A9"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E940C3" w:rsidRPr="007C6AB3"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7C6AB3">
        <w:rPr>
          <w:rFonts w:ascii="Palatino Linotype" w:eastAsia="Palatino Linotype" w:hAnsi="Palatino Linotype" w:cs="Palatino Linotype"/>
          <w:sz w:val="22"/>
          <w:szCs w:val="22"/>
        </w:rPr>
        <w:t xml:space="preserve">The assets of FPIs in India, as reported by custodians, as at the end of February 2021 was </w:t>
      </w:r>
      <w:r w:rsidRPr="007C6AB3">
        <w:rPr>
          <w:rFonts w:ascii="Times New Roman" w:eastAsia="Palatino Linotype" w:hAnsi="Times New Roman"/>
          <w:sz w:val="22"/>
          <w:szCs w:val="22"/>
        </w:rPr>
        <w:t xml:space="preserve">₹ </w:t>
      </w:r>
      <w:r w:rsidRPr="007C6AB3">
        <w:rPr>
          <w:rFonts w:ascii="Palatino Linotype" w:eastAsia="Palatino Linotype" w:hAnsi="Palatino Linotype" w:cs="Palatino Linotype"/>
          <w:sz w:val="22"/>
          <w:szCs w:val="22"/>
        </w:rPr>
        <w:t xml:space="preserve"> 44,06,706 crore, out of which the notional value of offshore derivative instruments (ODIs) (including ODIs on derivatives) was </w:t>
      </w:r>
      <w:r w:rsidRPr="007C6AB3">
        <w:rPr>
          <w:rFonts w:ascii="Times New Roman" w:eastAsia="Palatino Linotype" w:hAnsi="Times New Roman"/>
          <w:sz w:val="22"/>
          <w:szCs w:val="22"/>
        </w:rPr>
        <w:t>₹</w:t>
      </w:r>
      <w:r w:rsidRPr="007C6AB3">
        <w:rPr>
          <w:rFonts w:ascii="Palatino Linotype" w:eastAsia="Palatino Linotype" w:hAnsi="Palatino Linotype" w:cs="Palatino Linotype"/>
          <w:sz w:val="22"/>
          <w:szCs w:val="22"/>
        </w:rPr>
        <w:t xml:space="preserve">  91,658 crore which is 2.1 per cent of total assets of FPIs.  </w:t>
      </w:r>
    </w:p>
    <w:p w:rsidR="00E940C3" w:rsidRDefault="00E940C3" w:rsidP="00E940C3">
      <w:pPr>
        <w:pStyle w:val="ListParagraph"/>
        <w:rPr>
          <w:rFonts w:ascii="Palatino Linotype" w:eastAsia="Palatino Linotype" w:hAnsi="Palatino Linotype" w:cs="Palatino Linotype"/>
          <w:b/>
          <w:sz w:val="22"/>
          <w:szCs w:val="22"/>
        </w:rPr>
      </w:pPr>
    </w:p>
    <w:p w:rsidR="00E940C3" w:rsidRPr="00E0006F" w:rsidRDefault="00E940C3" w:rsidP="00E940C3">
      <w:pPr>
        <w:pBdr>
          <w:top w:val="nil"/>
          <w:left w:val="nil"/>
          <w:bottom w:val="nil"/>
          <w:right w:val="nil"/>
          <w:between w:val="nil"/>
        </w:pBdr>
        <w:spacing w:line="276" w:lineRule="auto"/>
        <w:ind w:left="720"/>
        <w:rPr>
          <w:rFonts w:ascii="Palatino Linotype" w:eastAsia="Palatino Linotype" w:hAnsi="Palatino Linotype" w:cs="Palatino Linotype"/>
          <w:b/>
          <w:sz w:val="22"/>
          <w:szCs w:val="22"/>
          <w:highlight w:val="yellow"/>
        </w:rPr>
      </w:pPr>
      <w:r w:rsidRPr="00E0006F">
        <w:rPr>
          <w:rFonts w:ascii="Palatino Linotype" w:eastAsia="Palatino Linotype" w:hAnsi="Palatino Linotype" w:cs="Palatino Linotype"/>
          <w:b/>
          <w:sz w:val="22"/>
          <w:szCs w:val="22"/>
        </w:rPr>
        <w:t>Figure 12: Trends in FPIs’ Investments</w:t>
      </w:r>
    </w:p>
    <w:p w:rsidR="00E940C3" w:rsidRPr="002357A9" w:rsidRDefault="00E940C3" w:rsidP="00E940C3">
      <w:pPr>
        <w:pBdr>
          <w:top w:val="nil"/>
          <w:left w:val="nil"/>
          <w:bottom w:val="nil"/>
          <w:right w:val="nil"/>
          <w:between w:val="nil"/>
        </w:pBdr>
        <w:spacing w:line="276" w:lineRule="auto"/>
        <w:ind w:left="720" w:hanging="720"/>
        <w:jc w:val="center"/>
        <w:rPr>
          <w:rFonts w:ascii="Palatino Linotype" w:eastAsia="Palatino Linotype" w:hAnsi="Palatino Linotype" w:cs="Palatino Linotype"/>
          <w:b/>
          <w:color w:val="2E74B5"/>
          <w:sz w:val="22"/>
          <w:szCs w:val="22"/>
          <w:highlight w:val="yellow"/>
        </w:rPr>
      </w:pPr>
      <w:r>
        <w:rPr>
          <w:noProof/>
          <w:lang w:val="en-IN" w:eastAsia="en-IN" w:bidi="hi-IN"/>
        </w:rPr>
        <w:drawing>
          <wp:inline distT="0" distB="0" distL="0" distR="0" wp14:anchorId="3F810611" wp14:editId="53D27D9C">
            <wp:extent cx="6278880" cy="2826385"/>
            <wp:effectExtent l="0" t="0" r="7620" b="1206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E940C3" w:rsidRDefault="00E940C3" w:rsidP="00E940C3">
      <w:pPr>
        <w:rPr>
          <w:rFonts w:ascii="Palatino Linotype" w:eastAsia="Palatino Linotype" w:hAnsi="Palatino Linotype" w:cs="Palatino Linotype"/>
          <w:b/>
          <w:sz w:val="18"/>
          <w:szCs w:val="18"/>
        </w:rPr>
      </w:pPr>
      <w:r>
        <w:rPr>
          <w:rFonts w:ascii="Palatino Linotype" w:eastAsia="Palatino Linotype" w:hAnsi="Palatino Linotype" w:cs="Palatino Linotype"/>
          <w:b/>
          <w:sz w:val="18"/>
          <w:szCs w:val="18"/>
        </w:rPr>
        <w:t xml:space="preserve">  Source: CDSL and NSDL</w:t>
      </w:r>
    </w:p>
    <w:p w:rsidR="00E940C3" w:rsidRPr="002357A9" w:rsidRDefault="00E940C3" w:rsidP="00E940C3">
      <w:pPr>
        <w:pBdr>
          <w:top w:val="nil"/>
          <w:left w:val="nil"/>
          <w:bottom w:val="nil"/>
          <w:right w:val="nil"/>
          <w:between w:val="nil"/>
        </w:pBdr>
        <w:spacing w:line="276" w:lineRule="auto"/>
        <w:jc w:val="center"/>
        <w:rPr>
          <w:rFonts w:ascii="Palatino Linotype" w:eastAsia="Palatino Linotype" w:hAnsi="Palatino Linotype" w:cs="Palatino Linotype"/>
          <w:b/>
          <w:color w:val="2E74B5"/>
          <w:sz w:val="22"/>
          <w:szCs w:val="22"/>
          <w:highlight w:val="yellow"/>
        </w:rPr>
      </w:pPr>
    </w:p>
    <w:p w:rsidR="00E940C3" w:rsidRPr="002357A9" w:rsidRDefault="00E940C3" w:rsidP="00E940C3">
      <w:pPr>
        <w:pBdr>
          <w:top w:val="nil"/>
          <w:left w:val="nil"/>
          <w:bottom w:val="nil"/>
          <w:right w:val="nil"/>
          <w:between w:val="nil"/>
        </w:pBdr>
        <w:spacing w:line="276" w:lineRule="auto"/>
        <w:ind w:left="720" w:hanging="720"/>
        <w:rPr>
          <w:rFonts w:ascii="Palatino Linotype" w:eastAsia="Palatino Linotype" w:hAnsi="Palatino Linotype" w:cs="Palatino Linotype"/>
          <w:b/>
          <w:color w:val="222A35"/>
          <w:sz w:val="22"/>
          <w:szCs w:val="22"/>
          <w:highlight w:val="yellow"/>
        </w:rPr>
      </w:pPr>
      <w:bookmarkStart w:id="0" w:name="_30j0zll" w:colFirst="0" w:colLast="0"/>
      <w:bookmarkEnd w:id="0"/>
    </w:p>
    <w:p w:rsidR="00E940C3" w:rsidRPr="002357A9" w:rsidRDefault="00E940C3" w:rsidP="00E940C3">
      <w:pPr>
        <w:widowControl w:val="0"/>
        <w:numPr>
          <w:ilvl w:val="0"/>
          <w:numId w:val="2"/>
        </w:numPr>
        <w:spacing w:line="276" w:lineRule="auto"/>
        <w:ind w:left="567" w:hanging="567"/>
        <w:jc w:val="both"/>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Trends in Portfolio Management Services (PMS)</w:t>
      </w:r>
    </w:p>
    <w:p w:rsidR="00E940C3" w:rsidRPr="00956596"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956596">
        <w:rPr>
          <w:rFonts w:ascii="Palatino Linotype" w:eastAsia="Palatino Linotype" w:hAnsi="Palatino Linotype" w:cs="Palatino Linotype"/>
          <w:sz w:val="22"/>
          <w:szCs w:val="22"/>
        </w:rPr>
        <w:t xml:space="preserve">As at end of October 2020, AUM of the portfolio management industry stood at </w:t>
      </w:r>
      <w:r w:rsidRPr="00956596">
        <w:rPr>
          <w:rFonts w:ascii="Times New Roman" w:eastAsia="Palatino Linotype" w:hAnsi="Times New Roman"/>
          <w:sz w:val="22"/>
          <w:szCs w:val="22"/>
        </w:rPr>
        <w:t>₹</w:t>
      </w:r>
      <w:r w:rsidRPr="00956596">
        <w:rPr>
          <w:rFonts w:ascii="Palatino Linotype" w:eastAsia="Palatino Linotype" w:hAnsi="Palatino Linotype" w:cs="Palatino Linotype"/>
          <w:sz w:val="22"/>
          <w:szCs w:val="22"/>
        </w:rPr>
        <w:t xml:space="preserve">19.2 lakh crore. Of the total AUM, funds from EPFO/PFs account for </w:t>
      </w:r>
      <w:r w:rsidRPr="00956596">
        <w:rPr>
          <w:rFonts w:ascii="Times New Roman" w:eastAsia="Palatino Linotype" w:hAnsi="Times New Roman"/>
          <w:sz w:val="22"/>
          <w:szCs w:val="22"/>
        </w:rPr>
        <w:t>₹</w:t>
      </w:r>
      <w:r w:rsidRPr="00956596">
        <w:rPr>
          <w:rFonts w:ascii="Palatino Linotype" w:eastAsia="Palatino Linotype" w:hAnsi="Palatino Linotype" w:cs="Palatino Linotype"/>
          <w:sz w:val="22"/>
          <w:szCs w:val="22"/>
        </w:rPr>
        <w:t xml:space="preserve">14.6 lakh crore. </w:t>
      </w:r>
    </w:p>
    <w:p w:rsidR="00E940C3" w:rsidRPr="00956596" w:rsidRDefault="00E940C3" w:rsidP="00E940C3">
      <w:pPr>
        <w:numPr>
          <w:ilvl w:val="0"/>
          <w:numId w:val="1"/>
        </w:numPr>
        <w:pBdr>
          <w:top w:val="nil"/>
          <w:left w:val="nil"/>
          <w:bottom w:val="nil"/>
          <w:right w:val="nil"/>
          <w:between w:val="nil"/>
        </w:pBdr>
        <w:spacing w:line="276" w:lineRule="auto"/>
        <w:jc w:val="both"/>
        <w:rPr>
          <w:rFonts w:ascii="Palatino Linotype" w:eastAsia="Palatino Linotype" w:hAnsi="Palatino Linotype" w:cs="Palatino Linotype"/>
          <w:sz w:val="22"/>
          <w:szCs w:val="22"/>
        </w:rPr>
      </w:pPr>
      <w:r w:rsidRPr="00956596">
        <w:rPr>
          <w:rFonts w:ascii="Palatino Linotype" w:eastAsia="Palatino Linotype" w:hAnsi="Palatino Linotype" w:cs="Palatino Linotype"/>
          <w:sz w:val="22"/>
          <w:szCs w:val="22"/>
        </w:rPr>
        <w:t xml:space="preserve">There were 1,55,796 total clients in PMS industry as at the end of October 2020, of which 1,45,404 clients belong to discretionary services category, 8,409 clients belong to non-discretionary services category and 1,983 clients belong to advisory services category of portfolio management services.   </w:t>
      </w: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sz w:val="22"/>
          <w:szCs w:val="22"/>
          <w:highlight w:val="yellow"/>
        </w:rPr>
      </w:pPr>
    </w:p>
    <w:p w:rsidR="00E940C3" w:rsidRPr="002357A9" w:rsidRDefault="00E940C3" w:rsidP="00E940C3">
      <w:pPr>
        <w:widowControl w:val="0"/>
        <w:numPr>
          <w:ilvl w:val="0"/>
          <w:numId w:val="2"/>
        </w:numPr>
        <w:spacing w:line="276" w:lineRule="auto"/>
        <w:ind w:left="567" w:hanging="567"/>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Trends in Substantial Acquisition of Shares and Takeovers</w:t>
      </w:r>
    </w:p>
    <w:p w:rsidR="00E940C3" w:rsidRPr="002357A9" w:rsidRDefault="00E940C3" w:rsidP="00E940C3">
      <w:pPr>
        <w:jc w:val="both"/>
        <w:rPr>
          <w:rFonts w:ascii="Palatino Linotype" w:eastAsia="Palatino Linotype" w:hAnsi="Palatino Linotype" w:cs="Palatino Linotype"/>
          <w:sz w:val="22"/>
          <w:szCs w:val="22"/>
        </w:rPr>
      </w:pPr>
    </w:p>
    <w:p w:rsidR="00E940C3" w:rsidRPr="002357A9" w:rsidRDefault="00E940C3" w:rsidP="00E940C3">
      <w:pPr>
        <w:jc w:val="both"/>
        <w:rPr>
          <w:rFonts w:ascii="Palatino Linotype" w:eastAsia="Times New Roman" w:hAnsi="Palatino Linotype" w:cs="Garamond"/>
          <w:sz w:val="22"/>
          <w:szCs w:val="22"/>
        </w:rPr>
      </w:pPr>
      <w:r w:rsidRPr="00E0006F">
        <w:rPr>
          <w:rFonts w:ascii="Palatino Linotype" w:eastAsia="Palatino Linotype" w:hAnsi="Palatino Linotype" w:cs="Palatino Linotype"/>
          <w:sz w:val="22"/>
          <w:szCs w:val="22"/>
        </w:rPr>
        <w:t xml:space="preserve">During </w:t>
      </w:r>
      <w:r>
        <w:rPr>
          <w:rFonts w:ascii="Palatino Linotype" w:eastAsia="Palatino Linotype" w:hAnsi="Palatino Linotype" w:cs="Palatino Linotype"/>
          <w:sz w:val="22"/>
          <w:szCs w:val="22"/>
        </w:rPr>
        <w:t>February</w:t>
      </w:r>
      <w:r w:rsidRPr="00E0006F">
        <w:rPr>
          <w:rFonts w:ascii="Palatino Linotype" w:eastAsia="Palatino Linotype" w:hAnsi="Palatino Linotype" w:cs="Palatino Linotype"/>
          <w:sz w:val="22"/>
          <w:szCs w:val="22"/>
        </w:rPr>
        <w:t xml:space="preserve"> 2021, </w:t>
      </w:r>
      <w:r>
        <w:rPr>
          <w:rFonts w:ascii="Palatino Linotype" w:eastAsia="Palatino Linotype" w:hAnsi="Palatino Linotype" w:cs="Palatino Linotype"/>
          <w:sz w:val="22"/>
          <w:szCs w:val="22"/>
        </w:rPr>
        <w:t>five</w:t>
      </w:r>
      <w:r w:rsidRPr="00E0006F">
        <w:rPr>
          <w:rFonts w:ascii="Palatino Linotype" w:eastAsia="Palatino Linotype" w:hAnsi="Palatino Linotype" w:cs="Palatino Linotype"/>
          <w:sz w:val="22"/>
          <w:szCs w:val="22"/>
        </w:rPr>
        <w:t xml:space="preserve"> open offers with offer value of </w:t>
      </w:r>
      <w:r w:rsidRPr="00E0006F">
        <w:rPr>
          <w:rFonts w:ascii="Times New Roman" w:eastAsia="Palatino Linotype" w:hAnsi="Times New Roman"/>
          <w:sz w:val="22"/>
          <w:szCs w:val="22"/>
        </w:rPr>
        <w:t>₹</w:t>
      </w:r>
      <w:r>
        <w:rPr>
          <w:rFonts w:ascii="Times New Roman" w:eastAsia="Palatino Linotype" w:hAnsi="Times New Roman"/>
          <w:sz w:val="22"/>
          <w:szCs w:val="22"/>
        </w:rPr>
        <w:t xml:space="preserve"> </w:t>
      </w:r>
      <w:r>
        <w:rPr>
          <w:rFonts w:ascii="Palatino Linotype" w:eastAsia="Palatino Linotype" w:hAnsi="Palatino Linotype" w:cs="Palatino Linotype"/>
          <w:sz w:val="22"/>
          <w:szCs w:val="22"/>
        </w:rPr>
        <w:t>211</w:t>
      </w:r>
      <w:r w:rsidRPr="00E0006F">
        <w:rPr>
          <w:rFonts w:ascii="Palatino Linotype" w:eastAsia="Palatino Linotype" w:hAnsi="Palatino Linotype" w:cs="Palatino Linotype"/>
          <w:sz w:val="22"/>
          <w:szCs w:val="22"/>
        </w:rPr>
        <w:t xml:space="preserve"> crore were closed </w:t>
      </w:r>
      <w:r w:rsidRPr="00E0006F">
        <w:rPr>
          <w:rFonts w:ascii="Palatino Linotype" w:eastAsia="Palatino Linotype" w:hAnsi="Palatino Linotype" w:cs="Palatino Linotype"/>
          <w:color w:val="222A35"/>
          <w:sz w:val="22"/>
          <w:szCs w:val="22"/>
        </w:rPr>
        <w:t xml:space="preserve">under SEBI (Substantial Acquisition of Shares and Takeover) Regulations, 2011 </w:t>
      </w:r>
      <w:r w:rsidRPr="00E0006F">
        <w:rPr>
          <w:rFonts w:ascii="Palatino Linotype" w:eastAsia="Palatino Linotype" w:hAnsi="Palatino Linotype" w:cs="Palatino Linotype"/>
          <w:sz w:val="22"/>
          <w:szCs w:val="22"/>
        </w:rPr>
        <w:t xml:space="preserve">as against </w:t>
      </w:r>
      <w:r>
        <w:rPr>
          <w:rFonts w:ascii="Palatino Linotype" w:eastAsia="Palatino Linotype" w:hAnsi="Palatino Linotype" w:cs="Palatino Linotype"/>
          <w:sz w:val="22"/>
          <w:szCs w:val="22"/>
        </w:rPr>
        <w:t>three</w:t>
      </w:r>
      <w:r w:rsidRPr="00E0006F">
        <w:rPr>
          <w:rFonts w:ascii="Palatino Linotype" w:eastAsia="Palatino Linotype" w:hAnsi="Palatino Linotype" w:cs="Palatino Linotype"/>
          <w:sz w:val="22"/>
          <w:szCs w:val="22"/>
        </w:rPr>
        <w:t xml:space="preserve"> open offer with offer value of </w:t>
      </w:r>
      <w:r w:rsidRPr="00E0006F">
        <w:rPr>
          <w:rFonts w:ascii="Times New Roman" w:eastAsia="Tahoma" w:hAnsi="Times New Roman"/>
          <w:sz w:val="22"/>
          <w:szCs w:val="22"/>
        </w:rPr>
        <w:t>₹</w:t>
      </w:r>
      <w:r w:rsidRPr="00E0006F">
        <w:rPr>
          <w:rFonts w:ascii="Palatino Linotype" w:eastAsia="Palatino Linotype" w:hAnsi="Palatino Linotype" w:cs="Palatino Linotype"/>
          <w:sz w:val="22"/>
          <w:szCs w:val="22"/>
        </w:rPr>
        <w:t xml:space="preserve"> </w:t>
      </w:r>
      <w:r>
        <w:rPr>
          <w:rFonts w:ascii="Palatino Linotype" w:eastAsia="Palatino Linotype" w:hAnsi="Palatino Linotype" w:cs="Palatino Linotype"/>
          <w:sz w:val="22"/>
          <w:szCs w:val="22"/>
        </w:rPr>
        <w:t>141</w:t>
      </w:r>
      <w:r w:rsidRPr="00E0006F">
        <w:rPr>
          <w:rFonts w:ascii="Palatino Linotype" w:eastAsia="Palatino Linotype" w:hAnsi="Palatino Linotype" w:cs="Palatino Linotype"/>
          <w:sz w:val="22"/>
          <w:szCs w:val="22"/>
        </w:rPr>
        <w:t xml:space="preserve"> crore were closed in </w:t>
      </w:r>
      <w:r>
        <w:rPr>
          <w:rFonts w:ascii="Palatino Linotype" w:eastAsia="Palatino Linotype" w:hAnsi="Palatino Linotype" w:cs="Palatino Linotype"/>
          <w:sz w:val="22"/>
          <w:szCs w:val="22"/>
        </w:rPr>
        <w:t>January 2021</w:t>
      </w:r>
      <w:r w:rsidRPr="00E0006F">
        <w:rPr>
          <w:rFonts w:ascii="Palatino Linotype" w:eastAsia="Palatino Linotype" w:hAnsi="Palatino Linotype" w:cs="Palatino Linotype"/>
          <w:color w:val="222A35"/>
          <w:sz w:val="22"/>
          <w:szCs w:val="22"/>
        </w:rPr>
        <w:t xml:space="preserve">. </w:t>
      </w:r>
      <w:r w:rsidRPr="00E0006F">
        <w:rPr>
          <w:rFonts w:ascii="Palatino Linotype" w:eastAsia="Times New Roman" w:hAnsi="Palatino Linotype" w:cs="Garamond"/>
          <w:sz w:val="22"/>
          <w:szCs w:val="22"/>
        </w:rPr>
        <w:t xml:space="preserve">Of the </w:t>
      </w:r>
      <w:r>
        <w:rPr>
          <w:rFonts w:ascii="Palatino Linotype" w:eastAsia="Times New Roman" w:hAnsi="Palatino Linotype" w:cs="Garamond"/>
          <w:sz w:val="22"/>
          <w:szCs w:val="22"/>
        </w:rPr>
        <w:t>five</w:t>
      </w:r>
      <w:r w:rsidRPr="00E0006F">
        <w:rPr>
          <w:rFonts w:ascii="Palatino Linotype" w:eastAsia="Times New Roman" w:hAnsi="Palatino Linotype" w:cs="Garamond"/>
          <w:sz w:val="22"/>
          <w:szCs w:val="22"/>
        </w:rPr>
        <w:t xml:space="preserve"> offers, </w:t>
      </w:r>
      <w:r>
        <w:rPr>
          <w:rFonts w:ascii="Palatino Linotype" w:eastAsia="Times New Roman" w:hAnsi="Palatino Linotype" w:cs="Garamond"/>
          <w:sz w:val="22"/>
          <w:szCs w:val="22"/>
        </w:rPr>
        <w:t>four</w:t>
      </w:r>
      <w:r w:rsidRPr="00E0006F">
        <w:rPr>
          <w:rFonts w:ascii="Palatino Linotype" w:eastAsia="Times New Roman" w:hAnsi="Palatino Linotype" w:cs="Garamond"/>
          <w:sz w:val="22"/>
          <w:szCs w:val="22"/>
        </w:rPr>
        <w:t xml:space="preserve"> open offer</w:t>
      </w:r>
      <w:r>
        <w:rPr>
          <w:rFonts w:ascii="Palatino Linotype" w:eastAsia="Times New Roman" w:hAnsi="Palatino Linotype" w:cs="Garamond"/>
          <w:sz w:val="22"/>
          <w:szCs w:val="22"/>
        </w:rPr>
        <w:t>s were</w:t>
      </w:r>
      <w:r w:rsidRPr="00E0006F">
        <w:rPr>
          <w:rFonts w:ascii="Palatino Linotype" w:eastAsia="Times New Roman" w:hAnsi="Palatino Linotype" w:cs="Garamond"/>
          <w:sz w:val="22"/>
          <w:szCs w:val="22"/>
        </w:rPr>
        <w:t xml:space="preserve"> for change in control of management and </w:t>
      </w:r>
      <w:r>
        <w:rPr>
          <w:rFonts w:ascii="Palatino Linotype" w:eastAsia="Times New Roman" w:hAnsi="Palatino Linotype" w:cs="Garamond"/>
          <w:sz w:val="22"/>
          <w:szCs w:val="22"/>
        </w:rPr>
        <w:t>one</w:t>
      </w:r>
      <w:r w:rsidRPr="00E0006F">
        <w:rPr>
          <w:rFonts w:ascii="Palatino Linotype" w:eastAsia="Times New Roman" w:hAnsi="Palatino Linotype" w:cs="Garamond"/>
          <w:sz w:val="22"/>
          <w:szCs w:val="22"/>
        </w:rPr>
        <w:t xml:space="preserve"> </w:t>
      </w:r>
      <w:r>
        <w:rPr>
          <w:rFonts w:ascii="Palatino Linotype" w:eastAsia="Times New Roman" w:hAnsi="Palatino Linotype" w:cs="Garamond"/>
          <w:sz w:val="22"/>
          <w:szCs w:val="22"/>
        </w:rPr>
        <w:t>was</w:t>
      </w:r>
      <w:r w:rsidRPr="00E0006F">
        <w:rPr>
          <w:rFonts w:ascii="Palatino Linotype" w:eastAsia="Times New Roman" w:hAnsi="Palatino Linotype" w:cs="Garamond"/>
          <w:sz w:val="22"/>
          <w:szCs w:val="22"/>
        </w:rPr>
        <w:t xml:space="preserve"> made under </w:t>
      </w:r>
      <w:r w:rsidR="00F3519E">
        <w:rPr>
          <w:rFonts w:ascii="Palatino Linotype" w:eastAsia="Times New Roman" w:hAnsi="Palatino Linotype" w:cs="Garamond"/>
          <w:sz w:val="22"/>
          <w:szCs w:val="22"/>
        </w:rPr>
        <w:t>s</w:t>
      </w:r>
      <w:r w:rsidRPr="00E0006F">
        <w:rPr>
          <w:rFonts w:ascii="Palatino Linotype" w:eastAsia="Times New Roman" w:hAnsi="Palatino Linotype" w:cs="Garamond"/>
          <w:sz w:val="22"/>
          <w:szCs w:val="22"/>
        </w:rPr>
        <w:t xml:space="preserve">ubstantial </w:t>
      </w:r>
      <w:r w:rsidR="00F3519E">
        <w:rPr>
          <w:rFonts w:ascii="Palatino Linotype" w:eastAsia="Times New Roman" w:hAnsi="Palatino Linotype" w:cs="Garamond"/>
          <w:sz w:val="22"/>
          <w:szCs w:val="22"/>
        </w:rPr>
        <w:t>a</w:t>
      </w:r>
      <w:r w:rsidRPr="00E0006F">
        <w:rPr>
          <w:rFonts w:ascii="Palatino Linotype" w:eastAsia="Times New Roman" w:hAnsi="Palatino Linotype" w:cs="Garamond"/>
          <w:sz w:val="22"/>
          <w:szCs w:val="22"/>
        </w:rPr>
        <w:t>cquisition.</w:t>
      </w:r>
      <w:r w:rsidRPr="002357A9">
        <w:rPr>
          <w:rFonts w:ascii="Palatino Linotype" w:eastAsia="Times New Roman" w:hAnsi="Palatino Linotype" w:cs="Garamond"/>
          <w:sz w:val="22"/>
          <w:szCs w:val="22"/>
        </w:rPr>
        <w:t xml:space="preserve"> </w:t>
      </w: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Pr="002357A9" w:rsidRDefault="00E940C3" w:rsidP="00E940C3">
      <w:pPr>
        <w:pBdr>
          <w:top w:val="nil"/>
          <w:left w:val="nil"/>
          <w:bottom w:val="nil"/>
          <w:right w:val="nil"/>
          <w:between w:val="nil"/>
        </w:pBdr>
        <w:spacing w:line="276" w:lineRule="auto"/>
        <w:ind w:left="720"/>
        <w:jc w:val="both"/>
        <w:rPr>
          <w:rFonts w:ascii="Palatino Linotype" w:eastAsia="Palatino Linotype" w:hAnsi="Palatino Linotype" w:cs="Palatino Linotype"/>
          <w:color w:val="222A35"/>
          <w:sz w:val="22"/>
          <w:szCs w:val="22"/>
          <w:highlight w:val="yellow"/>
        </w:rPr>
      </w:pPr>
    </w:p>
    <w:p w:rsidR="00E940C3" w:rsidRPr="002357A9" w:rsidRDefault="00E940C3" w:rsidP="00E940C3">
      <w:pPr>
        <w:jc w:val="center"/>
        <w:rPr>
          <w:rFonts w:ascii="Palatino Linotype" w:eastAsia="Palatino Linotype" w:hAnsi="Palatino Linotype" w:cs="Palatino Linotype"/>
          <w:b/>
          <w:color w:val="222A35"/>
          <w:sz w:val="22"/>
          <w:szCs w:val="22"/>
        </w:rPr>
      </w:pPr>
      <w:r w:rsidRPr="002357A9">
        <w:rPr>
          <w:rFonts w:ascii="Palatino Linotype" w:eastAsia="Palatino Linotype" w:hAnsi="Palatino Linotype" w:cs="Palatino Linotype"/>
          <w:b/>
          <w:color w:val="222A35"/>
          <w:sz w:val="22"/>
          <w:szCs w:val="22"/>
        </w:rPr>
        <w:t>Figure 13: Details of Open Offers Closed under the SEBI (SAST) Regulations</w:t>
      </w:r>
    </w:p>
    <w:p w:rsidR="00E940C3" w:rsidRPr="002357A9" w:rsidRDefault="00E940C3" w:rsidP="00E940C3">
      <w:pPr>
        <w:spacing w:line="276" w:lineRule="auto"/>
        <w:jc w:val="center"/>
        <w:rPr>
          <w:rFonts w:ascii="Palatino Linotype" w:eastAsia="Palatino Linotype" w:hAnsi="Palatino Linotype" w:cs="Palatino Linotype"/>
          <w:b/>
          <w:color w:val="222A35"/>
          <w:sz w:val="22"/>
          <w:szCs w:val="22"/>
          <w:highlight w:val="yellow"/>
        </w:rPr>
      </w:pPr>
      <w:r>
        <w:rPr>
          <w:noProof/>
          <w:lang w:val="en-IN" w:eastAsia="en-IN" w:bidi="hi-IN"/>
        </w:rPr>
        <w:drawing>
          <wp:inline distT="0" distB="0" distL="0" distR="0" wp14:anchorId="4D29B5CB" wp14:editId="54300AB5">
            <wp:extent cx="5600700" cy="2743200"/>
            <wp:effectExtent l="0" t="0" r="0" b="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909C0" w:rsidRDefault="00C909C0" w:rsidP="00C909C0">
      <w:pPr>
        <w:spacing w:line="259" w:lineRule="auto"/>
        <w:rPr>
          <w:rFonts w:ascii="Palatino Linotype" w:hAnsi="Palatino Linotype" w:cs="Arial"/>
          <w:bCs/>
        </w:rPr>
      </w:pPr>
    </w:p>
    <w:p w:rsidR="00C909C0" w:rsidRDefault="00C909C0">
      <w:pPr>
        <w:rPr>
          <w:rFonts w:ascii="Garamond" w:hAnsi="Garamond"/>
          <w:b/>
          <w:color w:val="0D0D0D" w:themeColor="text1" w:themeTint="F2"/>
          <w:sz w:val="18"/>
          <w:szCs w:val="18"/>
        </w:rPr>
      </w:pPr>
    </w:p>
    <w:p w:rsidR="00852BDF" w:rsidRPr="00B92D2D" w:rsidRDefault="00852BDF" w:rsidP="00852BDF">
      <w:pPr>
        <w:widowControl w:val="0"/>
        <w:ind w:left="-284"/>
        <w:jc w:val="both"/>
        <w:rPr>
          <w:rFonts w:ascii="Palatino Linotype" w:eastAsia="Times New Roman" w:hAnsi="Palatino Linotype"/>
          <w:b/>
          <w:color w:val="0F0684"/>
        </w:rPr>
      </w:pPr>
      <w:r w:rsidRPr="00B92D2D">
        <w:rPr>
          <w:rFonts w:ascii="Palatino Linotype" w:hAnsi="Palatino Linotype"/>
          <w:b/>
          <w:color w:val="0F0684"/>
        </w:rPr>
        <w:t>IX.</w:t>
      </w:r>
      <w:r>
        <w:rPr>
          <w:rFonts w:ascii="Palatino Linotype" w:hAnsi="Palatino Linotype"/>
          <w:b/>
          <w:color w:val="0F0684"/>
        </w:rPr>
        <w:t xml:space="preserve">     Commodity </w:t>
      </w:r>
      <w:r w:rsidRPr="00B92D2D">
        <w:rPr>
          <w:rFonts w:ascii="Palatino Linotype" w:hAnsi="Palatino Linotype"/>
          <w:b/>
          <w:color w:val="0F0684"/>
        </w:rPr>
        <w:t>Derivatives Markets</w:t>
      </w:r>
    </w:p>
    <w:p w:rsidR="00852BDF" w:rsidRPr="00B92D2D" w:rsidRDefault="00852BDF" w:rsidP="00852BDF">
      <w:pPr>
        <w:pStyle w:val="ListParagraph"/>
        <w:spacing w:after="0" w:line="240" w:lineRule="auto"/>
        <w:jc w:val="both"/>
        <w:rPr>
          <w:rFonts w:ascii="Palatino Linotype" w:eastAsia="Times New Roman" w:hAnsi="Palatino Linotype"/>
          <w:b/>
          <w:color w:val="000000"/>
          <w:sz w:val="22"/>
          <w:szCs w:val="22"/>
        </w:rPr>
      </w:pPr>
    </w:p>
    <w:p w:rsidR="00852BDF" w:rsidRPr="00B92D2D" w:rsidRDefault="00852BDF" w:rsidP="00852BDF">
      <w:pPr>
        <w:pStyle w:val="ListParagraph"/>
        <w:numPr>
          <w:ilvl w:val="0"/>
          <w:numId w:val="29"/>
        </w:numPr>
        <w:spacing w:after="0" w:line="240" w:lineRule="auto"/>
        <w:ind w:left="-284" w:firstLine="0"/>
        <w:jc w:val="both"/>
        <w:rPr>
          <w:rFonts w:ascii="Palatino Linotype" w:eastAsia="Times New Roman" w:hAnsi="Palatino Linotype"/>
          <w:b/>
          <w:color w:val="000000"/>
          <w:sz w:val="22"/>
          <w:szCs w:val="22"/>
        </w:rPr>
      </w:pPr>
      <w:r>
        <w:rPr>
          <w:rFonts w:ascii="Palatino Linotype" w:eastAsia="Times New Roman" w:hAnsi="Palatino Linotype"/>
          <w:b/>
          <w:color w:val="000000"/>
          <w:sz w:val="22"/>
          <w:szCs w:val="22"/>
        </w:rPr>
        <w:t xml:space="preserve">      </w:t>
      </w:r>
      <w:r w:rsidRPr="00B92D2D">
        <w:rPr>
          <w:rFonts w:ascii="Palatino Linotype" w:eastAsia="Times New Roman" w:hAnsi="Palatino Linotype"/>
          <w:b/>
          <w:color w:val="000000"/>
          <w:sz w:val="22"/>
          <w:szCs w:val="22"/>
        </w:rPr>
        <w:t>Market Trends</w:t>
      </w:r>
    </w:p>
    <w:p w:rsidR="00852BDF" w:rsidRPr="00B92D2D" w:rsidRDefault="00852BDF" w:rsidP="00852BDF">
      <w:pPr>
        <w:pStyle w:val="ListParagraph"/>
        <w:spacing w:after="0" w:line="240" w:lineRule="auto"/>
        <w:jc w:val="both"/>
        <w:rPr>
          <w:rFonts w:ascii="Palatino Linotype" w:hAnsi="Palatino Linotype"/>
          <w:sz w:val="22"/>
          <w:szCs w:val="22"/>
        </w:rPr>
      </w:pPr>
    </w:p>
    <w:p w:rsidR="00852BDF" w:rsidRPr="00B92D2D" w:rsidRDefault="00852BDF" w:rsidP="00852BDF">
      <w:pPr>
        <w:pStyle w:val="ListParagraph"/>
        <w:numPr>
          <w:ilvl w:val="0"/>
          <w:numId w:val="30"/>
        </w:numPr>
        <w:spacing w:after="0" w:line="240" w:lineRule="auto"/>
        <w:ind w:left="284" w:hanging="578"/>
        <w:jc w:val="both"/>
        <w:rPr>
          <w:rFonts w:ascii="Palatino Linotype" w:hAnsi="Palatino Linotype"/>
          <w:sz w:val="22"/>
          <w:szCs w:val="22"/>
        </w:rPr>
      </w:pPr>
      <w:r w:rsidRPr="00B92D2D">
        <w:rPr>
          <w:rFonts w:ascii="Palatino Linotype" w:hAnsi="Palatino Linotype"/>
          <w:sz w:val="22"/>
          <w:szCs w:val="22"/>
        </w:rPr>
        <w:t>Durin</w:t>
      </w:r>
      <w:r>
        <w:rPr>
          <w:rFonts w:ascii="Palatino Linotype" w:hAnsi="Palatino Linotype"/>
          <w:sz w:val="22"/>
          <w:szCs w:val="22"/>
        </w:rPr>
        <w:t>g February</w:t>
      </w:r>
      <w:r w:rsidRPr="00B92D2D">
        <w:rPr>
          <w:rFonts w:ascii="Palatino Linotype" w:hAnsi="Palatino Linotype"/>
          <w:sz w:val="22"/>
          <w:szCs w:val="22"/>
        </w:rPr>
        <w:t xml:space="preserve"> 202</w:t>
      </w:r>
      <w:r>
        <w:rPr>
          <w:rFonts w:ascii="Palatino Linotype" w:hAnsi="Palatino Linotype"/>
          <w:sz w:val="22"/>
          <w:szCs w:val="22"/>
        </w:rPr>
        <w:t>1</w:t>
      </w:r>
      <w:r w:rsidRPr="00B92D2D">
        <w:rPr>
          <w:rFonts w:ascii="Palatino Linotype" w:hAnsi="Palatino Linotype"/>
          <w:sz w:val="22"/>
          <w:szCs w:val="22"/>
        </w:rPr>
        <w:t>, MCX iCOMDEX composite index, witnessed a</w:t>
      </w:r>
      <w:r>
        <w:rPr>
          <w:rFonts w:ascii="Palatino Linotype" w:hAnsi="Palatino Linotype"/>
          <w:sz w:val="22"/>
          <w:szCs w:val="22"/>
        </w:rPr>
        <w:t>n</w:t>
      </w:r>
      <w:r w:rsidRPr="00B92D2D">
        <w:rPr>
          <w:rFonts w:ascii="Palatino Linotype" w:hAnsi="Palatino Linotype"/>
          <w:sz w:val="22"/>
          <w:szCs w:val="22"/>
        </w:rPr>
        <w:t xml:space="preserve"> </w:t>
      </w:r>
      <w:r>
        <w:rPr>
          <w:rFonts w:ascii="Palatino Linotype" w:hAnsi="Palatino Linotype"/>
          <w:sz w:val="22"/>
          <w:szCs w:val="22"/>
        </w:rPr>
        <w:t>increase</w:t>
      </w:r>
      <w:r w:rsidRPr="00B92D2D">
        <w:rPr>
          <w:rFonts w:ascii="Palatino Linotype" w:hAnsi="Palatino Linotype"/>
          <w:sz w:val="22"/>
          <w:szCs w:val="22"/>
        </w:rPr>
        <w:t xml:space="preserve"> of </w:t>
      </w:r>
      <w:r>
        <w:rPr>
          <w:rFonts w:ascii="Palatino Linotype" w:hAnsi="Palatino Linotype"/>
          <w:sz w:val="22"/>
          <w:szCs w:val="22"/>
        </w:rPr>
        <w:t>2.7</w:t>
      </w:r>
      <w:r w:rsidRPr="00B92D2D">
        <w:rPr>
          <w:rFonts w:ascii="Palatino Linotype" w:hAnsi="Palatino Linotype"/>
          <w:sz w:val="22"/>
          <w:szCs w:val="22"/>
        </w:rPr>
        <w:t xml:space="preserve"> per cent (M-o-M) driven by </w:t>
      </w:r>
      <w:r>
        <w:rPr>
          <w:rFonts w:ascii="Palatino Linotype" w:hAnsi="Palatino Linotype"/>
          <w:sz w:val="22"/>
          <w:szCs w:val="22"/>
        </w:rPr>
        <w:t>in</w:t>
      </w:r>
      <w:r w:rsidRPr="00B92D2D">
        <w:rPr>
          <w:rFonts w:ascii="Palatino Linotype" w:hAnsi="Palatino Linotype"/>
          <w:sz w:val="22"/>
          <w:szCs w:val="22"/>
        </w:rPr>
        <w:t xml:space="preserve">crease in futures prices of </w:t>
      </w:r>
      <w:r>
        <w:rPr>
          <w:rFonts w:ascii="Palatino Linotype" w:hAnsi="Palatino Linotype"/>
          <w:sz w:val="22"/>
          <w:szCs w:val="22"/>
        </w:rPr>
        <w:t xml:space="preserve">energy, </w:t>
      </w:r>
      <w:r w:rsidRPr="00B92D2D">
        <w:rPr>
          <w:rFonts w:ascii="Palatino Linotype" w:hAnsi="Palatino Linotype"/>
          <w:sz w:val="22"/>
          <w:szCs w:val="22"/>
        </w:rPr>
        <w:t>base metals</w:t>
      </w:r>
      <w:r>
        <w:rPr>
          <w:rFonts w:ascii="Palatino Linotype" w:hAnsi="Palatino Linotype"/>
          <w:sz w:val="22"/>
          <w:szCs w:val="22"/>
        </w:rPr>
        <w:t xml:space="preserve"> and cotton and crude palm oil contracts of </w:t>
      </w:r>
      <w:r w:rsidRPr="00B92D2D">
        <w:rPr>
          <w:rFonts w:ascii="Palatino Linotype" w:hAnsi="Palatino Linotype"/>
          <w:sz w:val="22"/>
          <w:szCs w:val="22"/>
        </w:rPr>
        <w:t>agri</w:t>
      </w:r>
      <w:r>
        <w:rPr>
          <w:rFonts w:ascii="Palatino Linotype" w:hAnsi="Palatino Linotype"/>
          <w:sz w:val="22"/>
          <w:szCs w:val="22"/>
        </w:rPr>
        <w:t>.</w:t>
      </w:r>
      <w:r w:rsidRPr="00B92D2D">
        <w:rPr>
          <w:rFonts w:ascii="Palatino Linotype" w:hAnsi="Palatino Linotype"/>
          <w:sz w:val="22"/>
          <w:szCs w:val="22"/>
        </w:rPr>
        <w:t xml:space="preserve"> segment</w:t>
      </w:r>
      <w:r>
        <w:rPr>
          <w:rFonts w:ascii="Palatino Linotype" w:hAnsi="Palatino Linotype"/>
          <w:sz w:val="22"/>
          <w:szCs w:val="22"/>
        </w:rPr>
        <w:t>s</w:t>
      </w:r>
      <w:r w:rsidRPr="00B92D2D">
        <w:rPr>
          <w:rFonts w:ascii="Palatino Linotype" w:hAnsi="Palatino Linotype"/>
          <w:sz w:val="22"/>
          <w:szCs w:val="22"/>
        </w:rPr>
        <w:t>. O</w:t>
      </w:r>
      <w:r w:rsidRPr="00B92D2D">
        <w:rPr>
          <w:rFonts w:ascii="Palatino Linotype" w:eastAsia="Times New Roman" w:hAnsi="Palatino Linotype"/>
          <w:color w:val="000000"/>
          <w:sz w:val="22"/>
          <w:szCs w:val="22"/>
        </w:rPr>
        <w:t xml:space="preserve">n Y-o-Y basis, MCX iCOMDEX composite index </w:t>
      </w:r>
      <w:r>
        <w:rPr>
          <w:rFonts w:ascii="Palatino Linotype" w:eastAsia="Times New Roman" w:hAnsi="Palatino Linotype"/>
          <w:color w:val="000000"/>
          <w:sz w:val="22"/>
          <w:szCs w:val="22"/>
        </w:rPr>
        <w:t>in</w:t>
      </w:r>
      <w:r w:rsidRPr="00B92D2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14.9</w:t>
      </w:r>
      <w:r w:rsidRPr="00B92D2D">
        <w:rPr>
          <w:rFonts w:ascii="Palatino Linotype" w:eastAsia="Times New Roman" w:hAnsi="Palatino Linotype"/>
          <w:color w:val="000000"/>
          <w:sz w:val="22"/>
          <w:szCs w:val="22"/>
        </w:rPr>
        <w:t xml:space="preserve"> per cent. </w:t>
      </w:r>
    </w:p>
    <w:p w:rsidR="00852BDF" w:rsidRPr="00F4237D" w:rsidRDefault="00852BDF" w:rsidP="00852BDF">
      <w:pPr>
        <w:pStyle w:val="ListParagraph"/>
        <w:numPr>
          <w:ilvl w:val="0"/>
          <w:numId w:val="30"/>
        </w:numPr>
        <w:spacing w:after="0" w:line="240" w:lineRule="auto"/>
        <w:ind w:left="284" w:hanging="578"/>
        <w:jc w:val="both"/>
        <w:rPr>
          <w:rFonts w:ascii="Palatino Linotype" w:hAnsi="Palatino Linotype"/>
          <w:sz w:val="22"/>
          <w:szCs w:val="22"/>
        </w:rPr>
      </w:pPr>
      <w:r w:rsidRPr="00F4237D">
        <w:rPr>
          <w:rFonts w:ascii="Palatino Linotype" w:hAnsi="Palatino Linotype"/>
          <w:sz w:val="22"/>
          <w:szCs w:val="22"/>
        </w:rPr>
        <w:t xml:space="preserve">During the month, </w:t>
      </w:r>
      <w:r w:rsidRPr="00F4237D">
        <w:rPr>
          <w:rFonts w:ascii="Palatino Linotype" w:eastAsia="Times New Roman" w:hAnsi="Palatino Linotype"/>
          <w:color w:val="000000"/>
          <w:sz w:val="22"/>
          <w:szCs w:val="22"/>
        </w:rPr>
        <w:t xml:space="preserve">MCX iCOMDEX crude oil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20.0</w:t>
      </w:r>
      <w:r w:rsidRPr="00F4237D">
        <w:rPr>
          <w:rFonts w:ascii="Palatino Linotype" w:eastAsia="Times New Roman" w:hAnsi="Palatino Linotype"/>
          <w:color w:val="000000"/>
          <w:sz w:val="22"/>
          <w:szCs w:val="22"/>
        </w:rPr>
        <w:t xml:space="preserve"> per cent on account of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 in futures price of crude oil by </w:t>
      </w:r>
      <w:r>
        <w:rPr>
          <w:rFonts w:ascii="Palatino Linotype" w:eastAsia="Times New Roman" w:hAnsi="Palatino Linotype"/>
          <w:color w:val="000000"/>
          <w:sz w:val="22"/>
          <w:szCs w:val="22"/>
        </w:rPr>
        <w:t>20.5</w:t>
      </w:r>
      <w:r w:rsidRPr="00F4237D">
        <w:rPr>
          <w:rFonts w:ascii="Palatino Linotype" w:eastAsia="Times New Roman" w:hAnsi="Palatino Linotype"/>
          <w:color w:val="000000"/>
          <w:sz w:val="22"/>
          <w:szCs w:val="22"/>
        </w:rPr>
        <w:t xml:space="preserve"> per cent. MCX iCOMDEX base metal index </w:t>
      </w:r>
      <w:r>
        <w:rPr>
          <w:rFonts w:ascii="Palatino Linotype" w:eastAsia="Times New Roman" w:hAnsi="Palatino Linotype"/>
          <w:color w:val="000000"/>
          <w:sz w:val="22"/>
          <w:szCs w:val="22"/>
        </w:rPr>
        <w:t>in</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10.7</w:t>
      </w:r>
      <w:r w:rsidRPr="00F4237D">
        <w:rPr>
          <w:rFonts w:ascii="Palatino Linotype" w:eastAsia="Times New Roman" w:hAnsi="Palatino Linotype"/>
          <w:color w:val="000000"/>
          <w:sz w:val="22"/>
          <w:szCs w:val="22"/>
        </w:rPr>
        <w:t xml:space="preserve"> per cent </w:t>
      </w:r>
      <w:r>
        <w:rPr>
          <w:rFonts w:ascii="Palatino Linotype" w:eastAsia="Times New Roman" w:hAnsi="Palatino Linotype"/>
          <w:color w:val="000000"/>
          <w:sz w:val="22"/>
          <w:szCs w:val="22"/>
        </w:rPr>
        <w:t xml:space="preserve">as the futures prices of all base metals increased during the month.  </w:t>
      </w:r>
      <w:r w:rsidRPr="00F4237D">
        <w:rPr>
          <w:rFonts w:ascii="Palatino Linotype" w:eastAsia="Times New Roman" w:hAnsi="Palatino Linotype"/>
          <w:color w:val="000000"/>
          <w:sz w:val="22"/>
          <w:szCs w:val="22"/>
        </w:rPr>
        <w:t xml:space="preserve">MCX iCOMDEX bullion index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 xml:space="preserve">creased by </w:t>
      </w:r>
      <w:r>
        <w:rPr>
          <w:rFonts w:ascii="Palatino Linotype" w:eastAsia="Times New Roman" w:hAnsi="Palatino Linotype"/>
          <w:color w:val="000000"/>
          <w:sz w:val="22"/>
          <w:szCs w:val="22"/>
        </w:rPr>
        <w:t>6.1</w:t>
      </w:r>
      <w:r w:rsidRPr="00F4237D">
        <w:rPr>
          <w:rFonts w:ascii="Palatino Linotype" w:eastAsia="Times New Roman" w:hAnsi="Palatino Linotype"/>
          <w:color w:val="000000"/>
          <w:sz w:val="22"/>
          <w:szCs w:val="22"/>
        </w:rPr>
        <w:t xml:space="preserve"> per cent due to </w:t>
      </w:r>
      <w:r>
        <w:rPr>
          <w:rFonts w:ascii="Palatino Linotype" w:eastAsia="Times New Roman" w:hAnsi="Palatino Linotype"/>
          <w:color w:val="000000"/>
          <w:sz w:val="22"/>
          <w:szCs w:val="22"/>
        </w:rPr>
        <w:t>de</w:t>
      </w:r>
      <w:r w:rsidRPr="00F4237D">
        <w:rPr>
          <w:rFonts w:ascii="Palatino Linotype" w:eastAsia="Times New Roman" w:hAnsi="Palatino Linotype"/>
          <w:color w:val="000000"/>
          <w:sz w:val="22"/>
          <w:szCs w:val="22"/>
        </w:rPr>
        <w:t>crease in future</w:t>
      </w:r>
      <w:r>
        <w:rPr>
          <w:rFonts w:ascii="Palatino Linotype" w:eastAsia="Times New Roman" w:hAnsi="Palatino Linotype"/>
          <w:color w:val="000000"/>
          <w:sz w:val="22"/>
          <w:szCs w:val="22"/>
        </w:rPr>
        <w:t>s</w:t>
      </w:r>
      <w:r w:rsidRPr="00F4237D">
        <w:rPr>
          <w:rFonts w:ascii="Palatino Linotype" w:eastAsia="Times New Roman" w:hAnsi="Palatino Linotype"/>
          <w:color w:val="000000"/>
          <w:sz w:val="22"/>
          <w:szCs w:val="22"/>
        </w:rPr>
        <w:t xml:space="preserve"> prices of </w:t>
      </w:r>
      <w:r>
        <w:rPr>
          <w:rFonts w:ascii="Palatino Linotype" w:eastAsia="Times New Roman" w:hAnsi="Palatino Linotype"/>
          <w:color w:val="000000"/>
          <w:sz w:val="22"/>
          <w:szCs w:val="22"/>
        </w:rPr>
        <w:t xml:space="preserve">both </w:t>
      </w:r>
      <w:r w:rsidRPr="00F4237D">
        <w:rPr>
          <w:rFonts w:ascii="Palatino Linotype" w:eastAsia="Times New Roman" w:hAnsi="Palatino Linotype"/>
          <w:color w:val="000000"/>
          <w:sz w:val="22"/>
          <w:szCs w:val="22"/>
        </w:rPr>
        <w:t xml:space="preserve">gold </w:t>
      </w:r>
      <w:r>
        <w:rPr>
          <w:rFonts w:ascii="Palatino Linotype" w:eastAsia="Times New Roman" w:hAnsi="Palatino Linotype"/>
          <w:color w:val="000000"/>
          <w:sz w:val="22"/>
          <w:szCs w:val="22"/>
        </w:rPr>
        <w:t xml:space="preserve">and silver </w:t>
      </w:r>
      <w:r w:rsidRPr="00F4237D">
        <w:rPr>
          <w:rFonts w:ascii="Palatino Linotype" w:eastAsia="Times New Roman" w:hAnsi="Palatino Linotype"/>
          <w:color w:val="000000"/>
          <w:sz w:val="22"/>
          <w:szCs w:val="22"/>
        </w:rPr>
        <w:t xml:space="preserve">by </w:t>
      </w:r>
      <w:r>
        <w:rPr>
          <w:rFonts w:ascii="Palatino Linotype" w:eastAsia="Times New Roman" w:hAnsi="Palatino Linotype"/>
          <w:color w:val="000000"/>
          <w:sz w:val="22"/>
          <w:szCs w:val="22"/>
        </w:rPr>
        <w:t>6.8 per cent and 3.5 per cent respectively.</w:t>
      </w:r>
      <w:r w:rsidRPr="00F4237D">
        <w:rPr>
          <w:rFonts w:ascii="Palatino Linotype" w:eastAsia="Times New Roman" w:hAnsi="Palatino Linotype"/>
          <w:color w:val="000000"/>
          <w:sz w:val="22"/>
          <w:szCs w:val="22"/>
        </w:rPr>
        <w:t xml:space="preserve"> </w:t>
      </w:r>
    </w:p>
    <w:p w:rsidR="00852BDF" w:rsidRPr="00933687" w:rsidRDefault="00852BDF" w:rsidP="00852BDF">
      <w:pPr>
        <w:pStyle w:val="ListParagraph"/>
        <w:numPr>
          <w:ilvl w:val="0"/>
          <w:numId w:val="30"/>
        </w:numPr>
        <w:tabs>
          <w:tab w:val="left" w:pos="426"/>
        </w:tabs>
        <w:spacing w:after="0" w:line="240" w:lineRule="auto"/>
        <w:ind w:left="284" w:hanging="426"/>
        <w:jc w:val="both"/>
        <w:rPr>
          <w:rFonts w:ascii="Palatino Linotype" w:eastAsia="Times New Roman" w:hAnsi="Palatino Linotype"/>
          <w:color w:val="000000"/>
          <w:sz w:val="22"/>
          <w:szCs w:val="22"/>
        </w:rPr>
      </w:pPr>
      <w:r w:rsidRPr="00F4237D">
        <w:rPr>
          <w:rFonts w:ascii="Palatino Linotype" w:hAnsi="Palatino Linotype"/>
          <w:sz w:val="22"/>
          <w:szCs w:val="22"/>
        </w:rPr>
        <w:t xml:space="preserve">NKrishi index </w:t>
      </w:r>
      <w:r>
        <w:rPr>
          <w:rFonts w:ascii="Palatino Linotype" w:hAnsi="Palatino Linotype"/>
          <w:sz w:val="22"/>
          <w:szCs w:val="22"/>
        </w:rPr>
        <w:t>in</w:t>
      </w:r>
      <w:r w:rsidRPr="00F4237D">
        <w:rPr>
          <w:rFonts w:ascii="Palatino Linotype" w:hAnsi="Palatino Linotype"/>
          <w:sz w:val="22"/>
          <w:szCs w:val="22"/>
        </w:rPr>
        <w:t xml:space="preserve">creased by </w:t>
      </w:r>
      <w:r>
        <w:rPr>
          <w:rFonts w:ascii="Palatino Linotype" w:hAnsi="Palatino Linotype"/>
          <w:sz w:val="22"/>
          <w:szCs w:val="22"/>
        </w:rPr>
        <w:t>5.2</w:t>
      </w:r>
      <w:r w:rsidRPr="00F4237D">
        <w:rPr>
          <w:rFonts w:ascii="Palatino Linotype" w:hAnsi="Palatino Linotype"/>
          <w:sz w:val="22"/>
          <w:szCs w:val="22"/>
        </w:rPr>
        <w:t xml:space="preserve"> per cent (M-o-M) as futures prices of </w:t>
      </w:r>
      <w:r>
        <w:rPr>
          <w:rFonts w:ascii="Palatino Linotype" w:hAnsi="Palatino Linotype"/>
          <w:sz w:val="22"/>
          <w:szCs w:val="22"/>
        </w:rPr>
        <w:t>seven</w:t>
      </w:r>
      <w:r w:rsidRPr="00F4237D">
        <w:rPr>
          <w:rFonts w:ascii="Palatino Linotype" w:hAnsi="Palatino Linotype"/>
          <w:sz w:val="22"/>
          <w:szCs w:val="22"/>
        </w:rPr>
        <w:t xml:space="preserve"> out of 10 </w:t>
      </w:r>
      <w:r w:rsidRPr="00F4237D">
        <w:rPr>
          <w:rFonts w:ascii="Palatino Linotype" w:eastAsia="Times New Roman" w:hAnsi="Palatino Linotype"/>
          <w:color w:val="000000"/>
          <w:sz w:val="22"/>
          <w:szCs w:val="22"/>
        </w:rPr>
        <w:t xml:space="preserve">constituent commodities of the index viz. </w:t>
      </w:r>
      <w:r>
        <w:rPr>
          <w:rFonts w:ascii="Palatino Linotype" w:eastAsia="Times New Roman" w:hAnsi="Palatino Linotype"/>
          <w:color w:val="000000"/>
          <w:sz w:val="22"/>
          <w:szCs w:val="22"/>
        </w:rPr>
        <w:t xml:space="preserve">soybean, chana, turmeric, cottonseed oilcake, jeera, coriander and castorseed </w:t>
      </w:r>
      <w:r w:rsidRPr="00F4237D">
        <w:rPr>
          <w:rFonts w:ascii="Palatino Linotype" w:eastAsia="Times New Roman" w:hAnsi="Palatino Linotype"/>
          <w:color w:val="000000"/>
          <w:sz w:val="22"/>
          <w:szCs w:val="22"/>
        </w:rPr>
        <w:t xml:space="preserve">witnessed </w:t>
      </w:r>
      <w:r>
        <w:rPr>
          <w:rFonts w:ascii="Palatino Linotype" w:eastAsia="Times New Roman" w:hAnsi="Palatino Linotype"/>
          <w:color w:val="000000"/>
          <w:sz w:val="22"/>
          <w:szCs w:val="22"/>
        </w:rPr>
        <w:t>an up</w:t>
      </w:r>
      <w:r w:rsidRPr="00F4237D">
        <w:rPr>
          <w:rFonts w:ascii="Palatino Linotype" w:eastAsia="Times New Roman" w:hAnsi="Palatino Linotype"/>
          <w:color w:val="000000"/>
          <w:sz w:val="22"/>
          <w:szCs w:val="22"/>
        </w:rPr>
        <w:t xml:space="preserve">end. On Y-o-Y basis NKrishi index increased by </w:t>
      </w:r>
      <w:r>
        <w:rPr>
          <w:rFonts w:ascii="Palatino Linotype" w:eastAsia="Times New Roman" w:hAnsi="Palatino Linotype"/>
          <w:color w:val="000000"/>
          <w:sz w:val="22"/>
          <w:szCs w:val="22"/>
        </w:rPr>
        <w:t>27.0</w:t>
      </w:r>
      <w:r w:rsidRPr="00F4237D">
        <w:rPr>
          <w:rFonts w:ascii="Palatino Linotype" w:eastAsia="Times New Roman" w:hAnsi="Palatino Linotype"/>
          <w:color w:val="000000"/>
          <w:sz w:val="22"/>
          <w:szCs w:val="22"/>
        </w:rPr>
        <w:t xml:space="preserve"> per cent. </w:t>
      </w:r>
    </w:p>
    <w:p w:rsidR="00852BDF" w:rsidRPr="00F4237D" w:rsidRDefault="00852BDF" w:rsidP="00852BDF">
      <w:pPr>
        <w:pStyle w:val="ListParagraph"/>
        <w:numPr>
          <w:ilvl w:val="0"/>
          <w:numId w:val="30"/>
        </w:numPr>
        <w:tabs>
          <w:tab w:val="left" w:pos="426"/>
        </w:tabs>
        <w:spacing w:after="0" w:line="240" w:lineRule="auto"/>
        <w:ind w:left="284" w:hanging="426"/>
        <w:jc w:val="both"/>
        <w:rPr>
          <w:rFonts w:ascii="Palatino Linotype" w:eastAsia="Times New Roman" w:hAnsi="Palatino Linotype"/>
          <w:color w:val="000000"/>
          <w:sz w:val="22"/>
          <w:szCs w:val="22"/>
        </w:rPr>
      </w:pPr>
      <w:r w:rsidRPr="00F4237D">
        <w:rPr>
          <w:rFonts w:ascii="Palatino Linotype" w:eastAsia="Times New Roman" w:hAnsi="Palatino Linotype"/>
          <w:color w:val="000000"/>
          <w:sz w:val="22"/>
          <w:szCs w:val="22"/>
        </w:rPr>
        <w:t xml:space="preserve">Monthly trends in MCX iCOMDEX composite Index and NKrishi Index are </w:t>
      </w:r>
      <w:r>
        <w:rPr>
          <w:rFonts w:ascii="Palatino Linotype" w:eastAsia="Times New Roman" w:hAnsi="Palatino Linotype"/>
          <w:color w:val="000000"/>
          <w:sz w:val="22"/>
          <w:szCs w:val="22"/>
        </w:rPr>
        <w:t>provided</w:t>
      </w:r>
      <w:r w:rsidRPr="00F4237D">
        <w:rPr>
          <w:rFonts w:ascii="Palatino Linotype" w:eastAsia="Times New Roman" w:hAnsi="Palatino Linotype"/>
          <w:color w:val="000000"/>
          <w:sz w:val="22"/>
          <w:szCs w:val="22"/>
        </w:rPr>
        <w:t xml:space="preserve"> in Table 64.</w:t>
      </w:r>
    </w:p>
    <w:p w:rsidR="00852BDF" w:rsidRPr="00F4237D" w:rsidRDefault="00852BDF" w:rsidP="00852BDF">
      <w:pPr>
        <w:pStyle w:val="ListParagraph"/>
        <w:spacing w:after="0" w:line="240" w:lineRule="auto"/>
        <w:ind w:left="426" w:hanging="142"/>
        <w:jc w:val="center"/>
        <w:rPr>
          <w:rFonts w:ascii="Palatino Linotype" w:eastAsia="Times New Roman" w:hAnsi="Palatino Linotype"/>
          <w:b/>
          <w:color w:val="2E74B5" w:themeColor="accent1" w:themeShade="BF"/>
          <w:sz w:val="22"/>
          <w:szCs w:val="22"/>
        </w:rPr>
      </w:pPr>
    </w:p>
    <w:p w:rsidR="00852BDF" w:rsidRDefault="00852BDF" w:rsidP="00852BDF">
      <w:pPr>
        <w:pStyle w:val="ListParagraph"/>
        <w:spacing w:after="0" w:line="240" w:lineRule="auto"/>
        <w:ind w:left="142" w:hanging="142"/>
        <w:jc w:val="center"/>
        <w:rPr>
          <w:rFonts w:ascii="Palatino Linotype" w:eastAsia="Times New Roman" w:hAnsi="Palatino Linotype"/>
          <w:b/>
          <w:sz w:val="22"/>
          <w:szCs w:val="22"/>
        </w:rPr>
      </w:pPr>
      <w:r w:rsidRPr="009B2971">
        <w:rPr>
          <w:rFonts w:ascii="Palatino Linotype" w:eastAsia="Times New Roman" w:hAnsi="Palatino Linotype"/>
          <w:b/>
          <w:sz w:val="22"/>
          <w:szCs w:val="22"/>
        </w:rPr>
        <w:t>Figure 14: Movement of Commodit</w:t>
      </w:r>
      <w:r>
        <w:rPr>
          <w:rFonts w:ascii="Palatino Linotype" w:eastAsia="Times New Roman" w:hAnsi="Palatino Linotype"/>
          <w:b/>
          <w:sz w:val="22"/>
          <w:szCs w:val="22"/>
        </w:rPr>
        <w:t>y</w:t>
      </w:r>
      <w:r w:rsidRPr="009B2971">
        <w:rPr>
          <w:rFonts w:ascii="Palatino Linotype" w:eastAsia="Times New Roman" w:hAnsi="Palatino Linotype"/>
          <w:b/>
          <w:sz w:val="22"/>
          <w:szCs w:val="22"/>
        </w:rPr>
        <w:t xml:space="preserve"> Derivatives Market Indices during </w:t>
      </w:r>
      <w:r>
        <w:rPr>
          <w:rFonts w:ascii="Palatino Linotype" w:eastAsia="Times New Roman" w:hAnsi="Palatino Linotype"/>
          <w:b/>
          <w:sz w:val="22"/>
          <w:szCs w:val="22"/>
        </w:rPr>
        <w:t xml:space="preserve">February </w:t>
      </w:r>
      <w:r w:rsidRPr="009B2971">
        <w:rPr>
          <w:rFonts w:ascii="Palatino Linotype" w:eastAsia="Times New Roman" w:hAnsi="Palatino Linotype"/>
          <w:b/>
          <w:sz w:val="22"/>
          <w:szCs w:val="22"/>
        </w:rPr>
        <w:t>202</w:t>
      </w:r>
      <w:r>
        <w:rPr>
          <w:rFonts w:ascii="Palatino Linotype" w:eastAsia="Times New Roman" w:hAnsi="Palatino Linotype"/>
          <w:b/>
          <w:sz w:val="22"/>
          <w:szCs w:val="22"/>
        </w:rPr>
        <w:t>1</w:t>
      </w:r>
    </w:p>
    <w:p w:rsidR="00852BDF" w:rsidRPr="00B92D2D" w:rsidRDefault="00852BDF" w:rsidP="00852BDF">
      <w:pPr>
        <w:pStyle w:val="ListParagraph"/>
        <w:spacing w:after="0" w:line="240" w:lineRule="auto"/>
        <w:ind w:left="142" w:hanging="142"/>
        <w:jc w:val="center"/>
        <w:rPr>
          <w:rFonts w:ascii="Palatino Linotype" w:eastAsia="Times New Roman" w:hAnsi="Palatino Linotype"/>
          <w:b/>
          <w:color w:val="2E74B5" w:themeColor="accent1" w:themeShade="BF"/>
          <w:sz w:val="22"/>
          <w:szCs w:val="22"/>
        </w:rPr>
      </w:pPr>
    </w:p>
    <w:p w:rsidR="00852BDF" w:rsidRPr="00B92D2D" w:rsidRDefault="00852BDF" w:rsidP="00852BDF">
      <w:pPr>
        <w:pStyle w:val="ListParagraph"/>
        <w:spacing w:after="0" w:line="240" w:lineRule="auto"/>
        <w:ind w:left="142" w:hanging="142"/>
        <w:jc w:val="center"/>
        <w:rPr>
          <w:rFonts w:ascii="Palatino Linotype" w:eastAsia="Times New Roman" w:hAnsi="Palatino Linotype"/>
          <w:b/>
          <w:color w:val="2E74B5" w:themeColor="accent1" w:themeShade="BF"/>
          <w:sz w:val="22"/>
          <w:szCs w:val="22"/>
        </w:rPr>
      </w:pPr>
      <w:r>
        <w:rPr>
          <w:noProof/>
          <w:lang w:val="en-IN" w:eastAsia="en-IN" w:bidi="hi-IN"/>
        </w:rPr>
        <w:drawing>
          <wp:inline distT="0" distB="0" distL="0" distR="0" wp14:anchorId="385D2EF4" wp14:editId="69DF1384">
            <wp:extent cx="4588565" cy="2675283"/>
            <wp:effectExtent l="0" t="0" r="2540" b="10795"/>
            <wp:docPr id="2" name="Chart 2">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852BDF" w:rsidRDefault="00852BDF" w:rsidP="00852BDF">
      <w:pPr>
        <w:pStyle w:val="ListParagraph"/>
        <w:spacing w:after="0" w:line="480" w:lineRule="auto"/>
        <w:ind w:left="-426"/>
        <w:rPr>
          <w:rFonts w:ascii="Palatino Linotype" w:hAnsi="Palatino Linotype" w:cs="Arial"/>
          <w:b/>
          <w:bCs/>
          <w:sz w:val="22"/>
          <w:szCs w:val="22"/>
        </w:rPr>
      </w:pPr>
      <w:r w:rsidRPr="00B92D2D">
        <w:rPr>
          <w:rFonts w:ascii="Palatino Linotype" w:hAnsi="Palatino Linotype" w:cs="Arial"/>
          <w:b/>
          <w:bCs/>
          <w:sz w:val="22"/>
          <w:szCs w:val="22"/>
        </w:rPr>
        <w:t xml:space="preserve">             </w:t>
      </w:r>
      <w:r>
        <w:rPr>
          <w:rFonts w:ascii="Palatino Linotype" w:hAnsi="Palatino Linotype" w:cs="Arial"/>
          <w:b/>
          <w:bCs/>
          <w:sz w:val="22"/>
          <w:szCs w:val="22"/>
        </w:rPr>
        <w:t xml:space="preserve">             </w:t>
      </w:r>
      <w:r w:rsidRPr="009B2971">
        <w:rPr>
          <w:rFonts w:ascii="Palatino Linotype" w:hAnsi="Palatino Linotype" w:cs="Arial"/>
          <w:b/>
          <w:bCs/>
          <w:sz w:val="18"/>
          <w:szCs w:val="18"/>
        </w:rPr>
        <w:t>Source: MCX and NCDEX</w:t>
      </w:r>
    </w:p>
    <w:p w:rsidR="00852BDF" w:rsidRDefault="00852BDF" w:rsidP="00852BDF">
      <w:pPr>
        <w:pStyle w:val="ListParagraph"/>
        <w:spacing w:after="0" w:line="480" w:lineRule="auto"/>
        <w:ind w:left="-426"/>
        <w:rPr>
          <w:rFonts w:ascii="Palatino Linotype" w:hAnsi="Palatino Linotype" w:cs="Arial"/>
          <w:b/>
          <w:bCs/>
          <w:sz w:val="22"/>
          <w:szCs w:val="22"/>
        </w:rPr>
      </w:pPr>
    </w:p>
    <w:p w:rsidR="00852BDF" w:rsidRDefault="00852BDF" w:rsidP="00852BDF">
      <w:pPr>
        <w:pStyle w:val="ListParagraph"/>
        <w:tabs>
          <w:tab w:val="left" w:pos="3360"/>
        </w:tabs>
        <w:spacing w:after="0" w:line="480" w:lineRule="auto"/>
        <w:ind w:left="-426"/>
        <w:rPr>
          <w:rFonts w:ascii="Palatino Linotype" w:hAnsi="Palatino Linotype" w:cs="Arial"/>
          <w:b/>
          <w:bCs/>
          <w:sz w:val="22"/>
          <w:szCs w:val="22"/>
        </w:rPr>
      </w:pPr>
      <w:r>
        <w:rPr>
          <w:rFonts w:ascii="Palatino Linotype" w:hAnsi="Palatino Linotype" w:cs="Arial"/>
          <w:b/>
          <w:bCs/>
          <w:sz w:val="22"/>
          <w:szCs w:val="22"/>
        </w:rPr>
        <w:tab/>
      </w:r>
    </w:p>
    <w:p w:rsidR="00852BDF" w:rsidRDefault="00852BDF" w:rsidP="00852BDF">
      <w:pPr>
        <w:pStyle w:val="ListParagraph"/>
        <w:tabs>
          <w:tab w:val="left" w:pos="3360"/>
        </w:tabs>
        <w:spacing w:after="0" w:line="480" w:lineRule="auto"/>
        <w:ind w:left="-426"/>
        <w:rPr>
          <w:rFonts w:ascii="Palatino Linotype" w:hAnsi="Palatino Linotype" w:cs="Arial"/>
          <w:b/>
          <w:bCs/>
          <w:sz w:val="22"/>
          <w:szCs w:val="22"/>
        </w:rPr>
      </w:pPr>
    </w:p>
    <w:p w:rsidR="00852BDF" w:rsidRDefault="00852BDF" w:rsidP="00852BDF">
      <w:pPr>
        <w:ind w:left="-426"/>
        <w:jc w:val="both"/>
        <w:rPr>
          <w:rFonts w:ascii="Palatino Linotype" w:hAnsi="Palatino Linotype" w:cs="Arial"/>
          <w:b/>
          <w:bCs/>
        </w:rPr>
      </w:pPr>
      <w:r>
        <w:rPr>
          <w:rFonts w:ascii="Palatino Linotype" w:hAnsi="Palatino Linotype" w:cs="Arial"/>
          <w:b/>
          <w:bCs/>
        </w:rPr>
        <w:t xml:space="preserve">        </w:t>
      </w:r>
    </w:p>
    <w:p w:rsidR="00852BDF" w:rsidRDefault="00852BDF" w:rsidP="00852BDF">
      <w:pPr>
        <w:ind w:left="-426"/>
        <w:jc w:val="both"/>
        <w:rPr>
          <w:rFonts w:ascii="Palatino Linotype" w:hAnsi="Palatino Linotype" w:cs="Arial"/>
          <w:b/>
          <w:bCs/>
        </w:rPr>
      </w:pPr>
      <w:r>
        <w:rPr>
          <w:rFonts w:ascii="Palatino Linotype" w:hAnsi="Palatino Linotype" w:cs="Arial"/>
          <w:b/>
          <w:bCs/>
        </w:rPr>
        <w:t xml:space="preserve">           </w:t>
      </w:r>
    </w:p>
    <w:p w:rsidR="00852BDF" w:rsidRDefault="00852BDF" w:rsidP="00852BDF">
      <w:pPr>
        <w:ind w:left="-426"/>
        <w:jc w:val="both"/>
        <w:rPr>
          <w:rFonts w:ascii="Palatino Linotype" w:hAnsi="Palatino Linotype" w:cs="Arial"/>
          <w:b/>
          <w:bCs/>
        </w:rPr>
      </w:pPr>
    </w:p>
    <w:p w:rsidR="00852BDF" w:rsidRDefault="00852BDF" w:rsidP="00852BDF">
      <w:pPr>
        <w:ind w:left="-426"/>
        <w:jc w:val="both"/>
        <w:rPr>
          <w:rFonts w:ascii="Palatino Linotype" w:hAnsi="Palatino Linotype" w:cs="Arial"/>
          <w:b/>
          <w:bCs/>
        </w:rPr>
      </w:pPr>
      <w:r>
        <w:rPr>
          <w:rFonts w:ascii="Palatino Linotype" w:hAnsi="Palatino Linotype" w:cs="Arial"/>
          <w:b/>
          <w:bCs/>
        </w:rPr>
        <w:t xml:space="preserve">     </w:t>
      </w:r>
      <w:r w:rsidRPr="00B92D2D">
        <w:rPr>
          <w:rFonts w:ascii="Palatino Linotype" w:hAnsi="Palatino Linotype" w:cs="Arial"/>
          <w:b/>
          <w:bCs/>
        </w:rPr>
        <w:t xml:space="preserve">Table </w:t>
      </w:r>
      <w:r>
        <w:rPr>
          <w:rFonts w:ascii="Palatino Linotype" w:hAnsi="Palatino Linotype" w:cs="Arial"/>
          <w:b/>
          <w:bCs/>
        </w:rPr>
        <w:t>4</w:t>
      </w:r>
      <w:r w:rsidRPr="00B92D2D">
        <w:rPr>
          <w:rFonts w:ascii="Palatino Linotype" w:hAnsi="Palatino Linotype" w:cs="Arial"/>
          <w:b/>
          <w:bCs/>
        </w:rPr>
        <w:t>: Snapshot of Indian Commodit</w:t>
      </w:r>
      <w:r>
        <w:rPr>
          <w:rFonts w:ascii="Palatino Linotype" w:hAnsi="Palatino Linotype" w:cs="Arial"/>
          <w:b/>
          <w:bCs/>
        </w:rPr>
        <w:t>y</w:t>
      </w:r>
      <w:r w:rsidRPr="00B92D2D">
        <w:rPr>
          <w:rFonts w:ascii="Palatino Linotype" w:hAnsi="Palatino Linotype" w:cs="Arial"/>
          <w:b/>
          <w:bCs/>
        </w:rPr>
        <w:t xml:space="preserve"> Derivative</w:t>
      </w:r>
      <w:r>
        <w:rPr>
          <w:rFonts w:ascii="Palatino Linotype" w:hAnsi="Palatino Linotype" w:cs="Arial"/>
          <w:b/>
          <w:bCs/>
        </w:rPr>
        <w:t>s</w:t>
      </w:r>
      <w:r w:rsidRPr="00B92D2D">
        <w:rPr>
          <w:rFonts w:ascii="Palatino Linotype" w:hAnsi="Palatino Linotype" w:cs="Arial"/>
          <w:b/>
          <w:bCs/>
        </w:rPr>
        <w:t xml:space="preserve"> Markets</w:t>
      </w:r>
    </w:p>
    <w:p w:rsidR="00852BDF" w:rsidRPr="00B92D2D" w:rsidRDefault="00852BDF" w:rsidP="00852BDF">
      <w:pPr>
        <w:ind w:left="-426"/>
        <w:jc w:val="both"/>
        <w:rPr>
          <w:rFonts w:ascii="Palatino Linotype" w:hAnsi="Palatino Linotype" w:cs="Arial"/>
          <w:b/>
          <w:bCs/>
        </w:rPr>
      </w:pPr>
    </w:p>
    <w:tbl>
      <w:tblPr>
        <w:tblpPr w:leftFromText="180" w:rightFromText="180" w:vertAnchor="text" w:tblpXSpec="center" w:tblpY="1"/>
        <w:tblOverlap w:val="never"/>
        <w:tblW w:w="8784" w:type="dxa"/>
        <w:jc w:val="center"/>
        <w:tblLook w:val="04A0" w:firstRow="1" w:lastRow="0" w:firstColumn="1" w:lastColumn="0" w:noHBand="0" w:noVBand="1"/>
      </w:tblPr>
      <w:tblGrid>
        <w:gridCol w:w="3271"/>
        <w:gridCol w:w="1128"/>
        <w:gridCol w:w="1236"/>
        <w:gridCol w:w="1319"/>
        <w:gridCol w:w="1830"/>
      </w:tblGrid>
      <w:tr w:rsidR="00852BDF" w:rsidRPr="00B92D2D" w:rsidTr="008056BB">
        <w:trPr>
          <w:trHeight w:val="699"/>
          <w:jc w:val="center"/>
        </w:trPr>
        <w:tc>
          <w:tcPr>
            <w:tcW w:w="3271" w:type="dxa"/>
            <w:tcBorders>
              <w:top w:val="single" w:sz="4" w:space="0" w:color="auto"/>
              <w:left w:val="single" w:sz="4" w:space="0" w:color="auto"/>
              <w:bottom w:val="single" w:sz="4" w:space="0" w:color="auto"/>
              <w:right w:val="single" w:sz="4" w:space="0" w:color="auto"/>
            </w:tcBorders>
            <w:shd w:val="clear" w:color="auto" w:fill="auto"/>
            <w:noWrap/>
            <w:hideMark/>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Items</w:t>
            </w:r>
          </w:p>
        </w:tc>
        <w:tc>
          <w:tcPr>
            <w:tcW w:w="1128" w:type="dxa"/>
            <w:tcBorders>
              <w:top w:val="single" w:sz="4" w:space="0" w:color="auto"/>
              <w:left w:val="single" w:sz="4" w:space="0" w:color="auto"/>
              <w:bottom w:val="single" w:sz="4" w:space="0" w:color="auto"/>
              <w:right w:val="single" w:sz="4" w:space="0" w:color="auto"/>
            </w:tcBorders>
            <w:shd w:val="clear" w:color="auto" w:fill="auto"/>
            <w:noWrap/>
            <w:hideMark/>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2019-20</w:t>
            </w:r>
          </w:p>
        </w:tc>
        <w:tc>
          <w:tcPr>
            <w:tcW w:w="1236" w:type="dxa"/>
            <w:tcBorders>
              <w:top w:val="single" w:sz="4" w:space="0" w:color="auto"/>
              <w:left w:val="single" w:sz="4" w:space="0" w:color="auto"/>
              <w:right w:val="single" w:sz="4" w:space="0" w:color="auto"/>
            </w:tcBorders>
          </w:tcPr>
          <w:p w:rsidR="00852BDF" w:rsidRPr="00DF31BD" w:rsidRDefault="00852BDF" w:rsidP="008056BB">
            <w:pPr>
              <w:rPr>
                <w:rFonts w:ascii="Palatino Linotype" w:hAnsi="Palatino Linotype" w:cs="Arial"/>
                <w:b/>
                <w:bCs/>
                <w:sz w:val="18"/>
                <w:szCs w:val="18"/>
              </w:rPr>
            </w:pPr>
            <w:r>
              <w:rPr>
                <w:rFonts w:ascii="Palatino Linotype" w:hAnsi="Palatino Linotype" w:cs="Arial"/>
                <w:b/>
                <w:bCs/>
                <w:sz w:val="18"/>
                <w:szCs w:val="18"/>
              </w:rPr>
              <w:t>Jan</w:t>
            </w:r>
            <w:r w:rsidRPr="00DF31BD">
              <w:rPr>
                <w:rFonts w:ascii="Palatino Linotype" w:hAnsi="Palatino Linotype" w:cs="Arial"/>
                <w:b/>
                <w:bCs/>
                <w:sz w:val="18"/>
                <w:szCs w:val="18"/>
              </w:rPr>
              <w:t>- 202</w:t>
            </w:r>
            <w:r>
              <w:rPr>
                <w:rFonts w:ascii="Palatino Linotype" w:hAnsi="Palatino Linotype" w:cs="Arial"/>
                <w:b/>
                <w:bCs/>
                <w:sz w:val="18"/>
                <w:szCs w:val="18"/>
              </w:rPr>
              <w:t>1</w:t>
            </w:r>
          </w:p>
        </w:tc>
        <w:tc>
          <w:tcPr>
            <w:tcW w:w="1319" w:type="dxa"/>
            <w:tcBorders>
              <w:top w:val="single" w:sz="4" w:space="0" w:color="auto"/>
              <w:left w:val="single" w:sz="4" w:space="0" w:color="auto"/>
              <w:bottom w:val="single" w:sz="4" w:space="0" w:color="auto"/>
              <w:right w:val="single" w:sz="4" w:space="0" w:color="auto"/>
            </w:tcBorders>
            <w:shd w:val="clear" w:color="auto" w:fill="auto"/>
            <w:noWrap/>
            <w:hideMark/>
          </w:tcPr>
          <w:p w:rsidR="00852BDF" w:rsidRPr="00DF31BD" w:rsidRDefault="00852BDF" w:rsidP="008056BB">
            <w:pPr>
              <w:rPr>
                <w:rFonts w:ascii="Palatino Linotype" w:hAnsi="Palatino Linotype" w:cs="Arial"/>
                <w:b/>
                <w:bCs/>
                <w:sz w:val="18"/>
                <w:szCs w:val="18"/>
              </w:rPr>
            </w:pPr>
            <w:r>
              <w:rPr>
                <w:rFonts w:ascii="Palatino Linotype" w:hAnsi="Palatino Linotype" w:cs="Arial"/>
                <w:b/>
                <w:bCs/>
                <w:sz w:val="18"/>
                <w:szCs w:val="18"/>
              </w:rPr>
              <w:t>Feb</w:t>
            </w:r>
            <w:r w:rsidRPr="00DF31BD">
              <w:rPr>
                <w:rFonts w:ascii="Palatino Linotype" w:hAnsi="Palatino Linotype" w:cs="Arial"/>
                <w:b/>
                <w:bCs/>
                <w:sz w:val="18"/>
                <w:szCs w:val="18"/>
              </w:rPr>
              <w:t xml:space="preserve"> -202</w:t>
            </w:r>
            <w:r>
              <w:rPr>
                <w:rFonts w:ascii="Palatino Linotype" w:hAnsi="Palatino Linotype" w:cs="Arial"/>
                <w:b/>
                <w:bCs/>
                <w:sz w:val="18"/>
                <w:szCs w:val="18"/>
              </w:rPr>
              <w:t>1</w:t>
            </w:r>
          </w:p>
        </w:tc>
        <w:tc>
          <w:tcPr>
            <w:tcW w:w="1830" w:type="dxa"/>
            <w:tcBorders>
              <w:top w:val="single" w:sz="4" w:space="0" w:color="auto"/>
              <w:left w:val="single" w:sz="4" w:space="0" w:color="auto"/>
              <w:bottom w:val="single" w:sz="4" w:space="0" w:color="000000"/>
              <w:right w:val="single" w:sz="4" w:space="0" w:color="auto"/>
            </w:tcBorders>
            <w:shd w:val="clear" w:color="auto" w:fill="auto"/>
            <w:hideMark/>
          </w:tcPr>
          <w:p w:rsidR="00852BDF"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 xml:space="preserve">Percentage variation </w:t>
            </w:r>
          </w:p>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M-o-M</w:t>
            </w:r>
          </w:p>
        </w:tc>
      </w:tr>
      <w:tr w:rsidR="00852BDF" w:rsidRPr="00B92D2D" w:rsidTr="008056BB">
        <w:trPr>
          <w:trHeight w:val="367"/>
          <w:jc w:val="center"/>
        </w:trPr>
        <w:tc>
          <w:tcPr>
            <w:tcW w:w="8784" w:type="dxa"/>
            <w:gridSpan w:val="5"/>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52BDF">
            <w:pPr>
              <w:pStyle w:val="ListParagraph"/>
              <w:numPr>
                <w:ilvl w:val="0"/>
                <w:numId w:val="28"/>
              </w:numPr>
              <w:spacing w:after="0" w:line="240" w:lineRule="auto"/>
              <w:ind w:left="317" w:hanging="284"/>
              <w:rPr>
                <w:rFonts w:ascii="Palatino Linotype" w:hAnsi="Palatino Linotype" w:cs="Arial"/>
                <w:b/>
                <w:bCs/>
                <w:sz w:val="18"/>
                <w:szCs w:val="18"/>
              </w:rPr>
            </w:pPr>
            <w:r w:rsidRPr="00DF31BD">
              <w:rPr>
                <w:rFonts w:ascii="Palatino Linotype" w:hAnsi="Palatino Linotype" w:cs="Arial"/>
                <w:b/>
                <w:bCs/>
                <w:sz w:val="18"/>
                <w:szCs w:val="18"/>
              </w:rPr>
              <w:t>Indices</w:t>
            </w:r>
          </w:p>
        </w:tc>
      </w:tr>
      <w:tr w:rsidR="00852BDF" w:rsidRPr="00B92D2D" w:rsidTr="008056BB">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hideMark/>
          </w:tcPr>
          <w:p w:rsidR="00852BDF" w:rsidRPr="00DF31BD" w:rsidRDefault="00852BDF" w:rsidP="008056BB">
            <w:pPr>
              <w:rPr>
                <w:rFonts w:ascii="Palatino Linotype" w:hAnsi="Palatino Linotype" w:cs="Arial"/>
                <w:bCs/>
                <w:sz w:val="18"/>
                <w:szCs w:val="18"/>
              </w:rPr>
            </w:pPr>
            <w:r w:rsidRPr="00DF31BD">
              <w:rPr>
                <w:rFonts w:ascii="Palatino Linotype" w:hAnsi="Palatino Linotype" w:cs="Arial"/>
                <w:bCs/>
                <w:sz w:val="18"/>
                <w:szCs w:val="18"/>
              </w:rPr>
              <w:t>Nkrishi</w:t>
            </w:r>
          </w:p>
        </w:tc>
        <w:tc>
          <w:tcPr>
            <w:tcW w:w="1128" w:type="dxa"/>
            <w:tcBorders>
              <w:top w:val="nil"/>
              <w:left w:val="nil"/>
              <w:bottom w:val="single" w:sz="4" w:space="0" w:color="auto"/>
              <w:right w:val="single" w:sz="4" w:space="0" w:color="auto"/>
            </w:tcBorders>
            <w:shd w:val="clear" w:color="auto" w:fill="auto"/>
            <w:noWrap/>
            <w:hideMark/>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 3,179.9</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3,708.0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3,900.6</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5.2</w:t>
            </w:r>
          </w:p>
        </w:tc>
      </w:tr>
      <w:tr w:rsidR="00852BDF" w:rsidRPr="00B92D2D" w:rsidTr="008056BB">
        <w:trPr>
          <w:trHeight w:val="224"/>
          <w:jc w:val="center"/>
        </w:trPr>
        <w:tc>
          <w:tcPr>
            <w:tcW w:w="3271"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rPr>
                <w:rFonts w:ascii="Palatino Linotype" w:hAnsi="Palatino Linotype" w:cs="Arial"/>
                <w:bCs/>
                <w:sz w:val="18"/>
                <w:szCs w:val="18"/>
              </w:rPr>
            </w:pPr>
            <w:r w:rsidRPr="00DF31BD">
              <w:rPr>
                <w:rFonts w:ascii="Palatino Linotype" w:hAnsi="Palatino Linotype" w:cs="Arial"/>
                <w:bCs/>
                <w:sz w:val="18"/>
                <w:szCs w:val="18"/>
              </w:rPr>
              <w:t>MCX iCOMDEX</w:t>
            </w:r>
          </w:p>
        </w:tc>
        <w:tc>
          <w:tcPr>
            <w:tcW w:w="1128"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8,255.5</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10,638.0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10,920.0</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2.7</w:t>
            </w:r>
          </w:p>
        </w:tc>
      </w:tr>
      <w:tr w:rsidR="00852BDF" w:rsidRPr="00B92D2D" w:rsidTr="008056BB">
        <w:trPr>
          <w:trHeight w:val="224"/>
          <w:jc w:val="center"/>
        </w:trPr>
        <w:tc>
          <w:tcPr>
            <w:tcW w:w="8784" w:type="dxa"/>
            <w:gridSpan w:val="5"/>
            <w:tcBorders>
              <w:top w:val="nil"/>
              <w:left w:val="single" w:sz="4" w:space="0" w:color="auto"/>
              <w:bottom w:val="single" w:sz="4" w:space="0" w:color="auto"/>
              <w:right w:val="single" w:sz="4" w:space="0" w:color="auto"/>
            </w:tcBorders>
            <w:shd w:val="clear" w:color="auto" w:fill="auto"/>
            <w:noWrap/>
          </w:tcPr>
          <w:p w:rsidR="00852BDF" w:rsidRPr="00DF31BD" w:rsidRDefault="00852BDF" w:rsidP="00852BDF">
            <w:pPr>
              <w:pStyle w:val="ListParagraph"/>
              <w:numPr>
                <w:ilvl w:val="0"/>
                <w:numId w:val="28"/>
              </w:numPr>
              <w:spacing w:after="0" w:line="240" w:lineRule="auto"/>
              <w:ind w:left="317" w:hanging="317"/>
              <w:rPr>
                <w:rFonts w:ascii="Palatino Linotype" w:hAnsi="Palatino Linotype" w:cs="Arial"/>
                <w:bCs/>
                <w:sz w:val="18"/>
                <w:szCs w:val="18"/>
              </w:rPr>
            </w:pPr>
            <w:r w:rsidRPr="00DF31BD">
              <w:rPr>
                <w:rFonts w:ascii="Palatino Linotype" w:hAnsi="Palatino Linotype" w:cs="Arial"/>
                <w:b/>
                <w:bCs/>
                <w:sz w:val="18"/>
                <w:szCs w:val="18"/>
              </w:rPr>
              <w:t>Turnover (</w:t>
            </w:r>
            <w:r w:rsidRPr="00DF31BD">
              <w:rPr>
                <w:rFonts w:ascii="Times New Roman" w:hAnsi="Times New Roman"/>
                <w:b/>
                <w:bCs/>
                <w:sz w:val="18"/>
                <w:szCs w:val="18"/>
              </w:rPr>
              <w:t>₹</w:t>
            </w:r>
            <w:r w:rsidRPr="00DF31BD">
              <w:rPr>
                <w:rFonts w:ascii="Palatino Linotype" w:hAnsi="Palatino Linotype" w:cs="Arial"/>
                <w:b/>
                <w:bCs/>
                <w:sz w:val="18"/>
                <w:szCs w:val="18"/>
              </w:rPr>
              <w:t>crore)</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hideMark/>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All-India</w:t>
            </w:r>
          </w:p>
        </w:tc>
        <w:tc>
          <w:tcPr>
            <w:tcW w:w="1128" w:type="dxa"/>
            <w:tcBorders>
              <w:top w:val="nil"/>
              <w:left w:val="single" w:sz="4" w:space="0" w:color="auto"/>
              <w:bottom w:val="single" w:sz="4" w:space="0" w:color="auto"/>
              <w:right w:val="single" w:sz="4" w:space="0" w:color="auto"/>
            </w:tcBorders>
            <w:shd w:val="clear" w:color="auto" w:fill="auto"/>
            <w:noWrap/>
            <w:hideMark/>
          </w:tcPr>
          <w:p w:rsidR="00852BDF" w:rsidRPr="00DF31BD" w:rsidRDefault="00852BDF" w:rsidP="008056BB">
            <w:pPr>
              <w:jc w:val="right"/>
              <w:rPr>
                <w:rFonts w:ascii="Palatino Linotype" w:hAnsi="Palatino Linotype" w:cs="Arial"/>
                <w:b/>
                <w:bCs/>
                <w:sz w:val="18"/>
                <w:szCs w:val="18"/>
              </w:rPr>
            </w:pPr>
            <w:r w:rsidRPr="00DF31BD">
              <w:rPr>
                <w:rFonts w:ascii="Palatino Linotype" w:hAnsi="Palatino Linotype" w:cs="Arial"/>
                <w:b/>
                <w:bCs/>
                <w:sz w:val="18"/>
                <w:szCs w:val="18"/>
              </w:rPr>
              <w:t>92,24,8</w:t>
            </w:r>
            <w:r>
              <w:rPr>
                <w:rFonts w:ascii="Palatino Linotype" w:hAnsi="Palatino Linotype" w:cs="Arial"/>
                <w:b/>
                <w:bCs/>
                <w:sz w:val="18"/>
                <w:szCs w:val="18"/>
              </w:rPr>
              <w:t>39.9</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7,67,726.7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8,59,820.8</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12.0</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MCX, of which</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tabs>
                <w:tab w:val="right" w:pos="912"/>
              </w:tabs>
              <w:rPr>
                <w:rFonts w:ascii="Palatino Linotype" w:hAnsi="Palatino Linotype" w:cs="Arial"/>
                <w:b/>
                <w:bCs/>
                <w:sz w:val="18"/>
                <w:szCs w:val="18"/>
              </w:rPr>
            </w:pPr>
            <w:r>
              <w:rPr>
                <w:rFonts w:ascii="Palatino Linotype" w:hAnsi="Palatino Linotype" w:cs="Arial"/>
                <w:b/>
                <w:bCs/>
                <w:sz w:val="18"/>
                <w:szCs w:val="18"/>
              </w:rPr>
              <w:t xml:space="preserve"> 86,89,517.6</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6,69,693.7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tabs>
                <w:tab w:val="center" w:pos="551"/>
              </w:tabs>
              <w:jc w:val="right"/>
              <w:rPr>
                <w:rFonts w:ascii="Palatino Linotype" w:hAnsi="Palatino Linotype" w:cs="Arial"/>
                <w:b/>
                <w:bCs/>
                <w:sz w:val="18"/>
                <w:szCs w:val="18"/>
              </w:rPr>
            </w:pPr>
            <w:r>
              <w:rPr>
                <w:rFonts w:ascii="Palatino Linotype" w:hAnsi="Palatino Linotype" w:cs="Arial"/>
                <w:b/>
                <w:bCs/>
                <w:sz w:val="18"/>
                <w:szCs w:val="18"/>
              </w:rPr>
              <w:t>7,61,784.1</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13.8</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Cs/>
                <w:sz w:val="18"/>
                <w:szCs w:val="18"/>
              </w:rPr>
              <w:t>83,97,775</w:t>
            </w:r>
            <w:r>
              <w:rPr>
                <w:rFonts w:ascii="Palatino Linotype" w:hAnsi="Palatino Linotype" w:cs="Arial"/>
                <w:bCs/>
                <w:sz w:val="18"/>
                <w:szCs w:val="18"/>
              </w:rPr>
              <w:t>.0</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6,43,734.6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7,44,627.8</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15.7</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 xml:space="preserve">  2,91,742..7</w:t>
            </w:r>
            <w:r w:rsidRPr="00DF31BD">
              <w:rPr>
                <w:rFonts w:ascii="Palatino Linotype" w:hAnsi="Palatino Linotype" w:cs="Arial"/>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25,959.1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17,156.3</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-33.9</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
                <w:bCs/>
                <w:sz w:val="18"/>
                <w:szCs w:val="18"/>
              </w:rPr>
              <w:t>BSE, of which</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
                <w:bCs/>
                <w:sz w:val="18"/>
                <w:szCs w:val="18"/>
              </w:rPr>
              <w:t>46,438.7</w:t>
            </w:r>
            <w:r w:rsidRPr="00DF31BD">
              <w:rPr>
                <w:rFonts w:ascii="Palatino Linotype" w:hAnsi="Palatino Linotype" w:cs="Arial"/>
                <w:b/>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852BDF" w:rsidRPr="00184B26" w:rsidRDefault="00852BDF" w:rsidP="008056BB">
            <w:pPr>
              <w:jc w:val="right"/>
              <w:rPr>
                <w:rFonts w:ascii="Palatino Linotype" w:hAnsi="Palatino Linotype" w:cs="Arial"/>
                <w:b/>
                <w:sz w:val="18"/>
                <w:szCs w:val="18"/>
              </w:rPr>
            </w:pPr>
            <w:r w:rsidRPr="00184B26">
              <w:rPr>
                <w:rFonts w:ascii="Palatino Linotype" w:hAnsi="Palatino Linotype" w:cs="Arial"/>
                <w:b/>
                <w:sz w:val="18"/>
                <w:szCs w:val="18"/>
              </w:rPr>
              <w:t>62,537.6</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184B26" w:rsidRDefault="00852BDF" w:rsidP="008056BB">
            <w:pPr>
              <w:jc w:val="right"/>
              <w:rPr>
                <w:rFonts w:ascii="Palatino Linotype" w:hAnsi="Palatino Linotype" w:cs="Arial"/>
                <w:b/>
                <w:sz w:val="18"/>
                <w:szCs w:val="18"/>
              </w:rPr>
            </w:pPr>
            <w:r>
              <w:rPr>
                <w:rFonts w:ascii="Palatino Linotype" w:hAnsi="Palatino Linotype" w:cs="Arial"/>
                <w:b/>
                <w:sz w:val="18"/>
                <w:szCs w:val="18"/>
              </w:rPr>
              <w:t>65,180.3</w:t>
            </w:r>
          </w:p>
        </w:tc>
        <w:tc>
          <w:tcPr>
            <w:tcW w:w="1830" w:type="dxa"/>
            <w:tcBorders>
              <w:top w:val="nil"/>
              <w:left w:val="nil"/>
              <w:bottom w:val="single" w:sz="4" w:space="0" w:color="auto"/>
              <w:right w:val="single" w:sz="4" w:space="0" w:color="auto"/>
            </w:tcBorders>
            <w:shd w:val="clear" w:color="auto" w:fill="auto"/>
            <w:noWrap/>
          </w:tcPr>
          <w:p w:rsidR="00852BDF" w:rsidRPr="008219E0" w:rsidRDefault="00852BDF" w:rsidP="008056BB">
            <w:pPr>
              <w:jc w:val="right"/>
              <w:rPr>
                <w:rFonts w:ascii="Palatino Linotype" w:hAnsi="Palatino Linotype" w:cs="Arial"/>
                <w:b/>
                <w:sz w:val="18"/>
                <w:szCs w:val="18"/>
              </w:rPr>
            </w:pPr>
            <w:r>
              <w:rPr>
                <w:rFonts w:ascii="Palatino Linotype" w:hAnsi="Palatino Linotype" w:cs="Arial"/>
                <w:b/>
                <w:sz w:val="18"/>
                <w:szCs w:val="18"/>
              </w:rPr>
              <w:t>4.2</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sz w:val="18"/>
                <w:szCs w:val="18"/>
              </w:rPr>
              <w:t>46,438.7</w:t>
            </w:r>
            <w:r w:rsidRPr="00DF31BD">
              <w:rPr>
                <w:rFonts w:ascii="Palatino Linotype" w:hAnsi="Palatino Linotype" w:cs="Arial"/>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96.7</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93.0</w:t>
            </w:r>
          </w:p>
        </w:tc>
        <w:tc>
          <w:tcPr>
            <w:tcW w:w="1830" w:type="dxa"/>
            <w:tcBorders>
              <w:top w:val="nil"/>
              <w:left w:val="nil"/>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-3.8</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62,440.9</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65,087.3</w:t>
            </w:r>
          </w:p>
        </w:tc>
        <w:tc>
          <w:tcPr>
            <w:tcW w:w="1830" w:type="dxa"/>
            <w:tcBorders>
              <w:top w:val="nil"/>
              <w:left w:val="nil"/>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4.2</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NCDEX, of which</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sidRPr="00DF31BD">
              <w:rPr>
                <w:rFonts w:ascii="Palatino Linotype" w:hAnsi="Palatino Linotype" w:cs="Arial"/>
                <w:b/>
                <w:bCs/>
                <w:sz w:val="18"/>
                <w:szCs w:val="18"/>
              </w:rPr>
              <w:t>4,42,009</w:t>
            </w:r>
            <w:r>
              <w:rPr>
                <w:rFonts w:ascii="Palatino Linotype" w:hAnsi="Palatino Linotype" w:cs="Arial"/>
                <w:b/>
                <w:bCs/>
                <w:sz w:val="18"/>
                <w:szCs w:val="18"/>
              </w:rPr>
              <w:t>.1</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32,731.4</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30,799.8</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-5.9</w:t>
            </w:r>
          </w:p>
        </w:tc>
      </w:tr>
      <w:tr w:rsidR="00852BDF" w:rsidRPr="00B92D2D" w:rsidTr="008056BB">
        <w:trPr>
          <w:trHeight w:val="310"/>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Cs/>
                <w:sz w:val="18"/>
                <w:szCs w:val="18"/>
              </w:rPr>
              <w:t xml:space="preserve"> 4,41,967</w:t>
            </w:r>
            <w:r>
              <w:rPr>
                <w:rFonts w:ascii="Palatino Linotype" w:hAnsi="Palatino Linotype" w:cs="Arial"/>
                <w:bCs/>
                <w:sz w:val="18"/>
                <w:szCs w:val="18"/>
              </w:rPr>
              <w:t>.0</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32,730.1</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30,798.6</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-5.9</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   </w:t>
            </w:r>
            <w:r>
              <w:rPr>
                <w:rFonts w:ascii="Palatino Linotype" w:hAnsi="Palatino Linotype" w:cs="Arial"/>
                <w:bCs/>
                <w:sz w:val="18"/>
                <w:szCs w:val="18"/>
              </w:rPr>
              <w:t xml:space="preserve"> </w:t>
            </w:r>
            <w:r w:rsidRPr="00DF31BD">
              <w:rPr>
                <w:rFonts w:ascii="Palatino Linotype" w:hAnsi="Palatino Linotype" w:cs="Arial"/>
                <w:bCs/>
                <w:sz w:val="18"/>
                <w:szCs w:val="18"/>
              </w:rPr>
              <w:t xml:space="preserve">42.2 </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1.23</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1.19</w:t>
            </w:r>
          </w:p>
        </w:tc>
        <w:tc>
          <w:tcPr>
            <w:tcW w:w="1830" w:type="dxa"/>
            <w:tcBorders>
              <w:top w:val="nil"/>
              <w:left w:val="nil"/>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Pr>
                <w:rFonts w:ascii="Palatino Linotype" w:hAnsi="Palatino Linotype" w:cs="Arial"/>
                <w:bCs/>
                <w:sz w:val="18"/>
                <w:szCs w:val="18"/>
              </w:rPr>
              <w:t>-3.6</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
                <w:bCs/>
                <w:sz w:val="18"/>
                <w:szCs w:val="18"/>
              </w:rPr>
              <w:t>NSE, of which</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
                <w:bCs/>
                <w:sz w:val="18"/>
                <w:szCs w:val="18"/>
              </w:rPr>
              <w:t xml:space="preserve">       6,362</w:t>
            </w:r>
            <w:r>
              <w:rPr>
                <w:rFonts w:ascii="Palatino Linotype" w:hAnsi="Palatino Linotype" w:cs="Arial"/>
                <w:b/>
                <w:bCs/>
                <w:sz w:val="18"/>
                <w:szCs w:val="18"/>
              </w:rPr>
              <w:t>.0</w:t>
            </w:r>
            <w:r w:rsidRPr="00DF31BD">
              <w:rPr>
                <w:rFonts w:ascii="Palatino Linotype" w:hAnsi="Palatino Linotype" w:cs="Arial"/>
                <w:b/>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852BDF" w:rsidRPr="00B46A54" w:rsidRDefault="00852BDF" w:rsidP="008056BB">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2,751.0</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B46A54" w:rsidRDefault="00852BDF" w:rsidP="008056BB">
            <w:pPr>
              <w:tabs>
                <w:tab w:val="left" w:pos="252"/>
                <w:tab w:val="center" w:pos="551"/>
              </w:tabs>
              <w:jc w:val="right"/>
              <w:rPr>
                <w:rFonts w:ascii="Palatino Linotype" w:hAnsi="Palatino Linotype" w:cs="Arial"/>
                <w:b/>
                <w:sz w:val="18"/>
                <w:szCs w:val="18"/>
              </w:rPr>
            </w:pPr>
            <w:r>
              <w:rPr>
                <w:rFonts w:ascii="Palatino Linotype" w:hAnsi="Palatino Linotype" w:cs="Arial"/>
                <w:b/>
                <w:sz w:val="18"/>
                <w:szCs w:val="18"/>
              </w:rPr>
              <w:t>2,038.4</w:t>
            </w:r>
          </w:p>
        </w:tc>
        <w:tc>
          <w:tcPr>
            <w:tcW w:w="1830" w:type="dxa"/>
            <w:tcBorders>
              <w:top w:val="nil"/>
              <w:left w:val="nil"/>
              <w:bottom w:val="single" w:sz="4" w:space="0" w:color="auto"/>
              <w:right w:val="single" w:sz="4" w:space="0" w:color="auto"/>
            </w:tcBorders>
            <w:shd w:val="clear" w:color="auto" w:fill="auto"/>
            <w:noWrap/>
          </w:tcPr>
          <w:p w:rsidR="00852BDF" w:rsidRPr="008219E0" w:rsidRDefault="00852BDF" w:rsidP="008056BB">
            <w:pPr>
              <w:jc w:val="right"/>
              <w:rPr>
                <w:rFonts w:ascii="Palatino Linotype" w:hAnsi="Palatino Linotype" w:cs="Arial"/>
                <w:b/>
                <w:sz w:val="18"/>
                <w:szCs w:val="18"/>
              </w:rPr>
            </w:pPr>
            <w:r>
              <w:rPr>
                <w:rFonts w:ascii="Palatino Linotype" w:hAnsi="Palatino Linotype" w:cs="Arial"/>
                <w:b/>
                <w:sz w:val="18"/>
                <w:szCs w:val="18"/>
              </w:rPr>
              <w:t>-25.9</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Futures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sz w:val="18"/>
                <w:szCs w:val="18"/>
              </w:rPr>
              <w:t xml:space="preserve">       6,362</w:t>
            </w:r>
            <w:r>
              <w:rPr>
                <w:rFonts w:ascii="Palatino Linotype" w:hAnsi="Palatino Linotype" w:cs="Arial"/>
                <w:sz w:val="18"/>
                <w:szCs w:val="18"/>
              </w:rPr>
              <w:t>.0</w:t>
            </w:r>
          </w:p>
        </w:tc>
        <w:tc>
          <w:tcPr>
            <w:tcW w:w="1236" w:type="dxa"/>
            <w:tcBorders>
              <w:top w:val="single" w:sz="4" w:space="0" w:color="auto"/>
              <w:left w:val="single" w:sz="4" w:space="0" w:color="auto"/>
              <w:bottom w:val="single" w:sz="4" w:space="0" w:color="auto"/>
              <w:right w:val="single" w:sz="4" w:space="0" w:color="auto"/>
            </w:tcBorders>
          </w:tcPr>
          <w:p w:rsidR="00852BDF"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837.2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934.6</w:t>
            </w:r>
          </w:p>
        </w:tc>
        <w:tc>
          <w:tcPr>
            <w:tcW w:w="1830" w:type="dxa"/>
            <w:tcBorders>
              <w:top w:val="nil"/>
              <w:left w:val="nil"/>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11.6</w:t>
            </w:r>
          </w:p>
        </w:tc>
      </w:tr>
      <w:tr w:rsidR="00852BDF" w:rsidRPr="00B92D2D" w:rsidTr="008056BB">
        <w:trPr>
          <w:trHeight w:val="308"/>
          <w:jc w:val="center"/>
        </w:trPr>
        <w:tc>
          <w:tcPr>
            <w:tcW w:w="3271" w:type="dxa"/>
            <w:tcBorders>
              <w:top w:val="nil"/>
              <w:left w:val="single" w:sz="4" w:space="0" w:color="auto"/>
              <w:bottom w:val="single" w:sz="4" w:space="0" w:color="auto"/>
              <w:right w:val="nil"/>
            </w:tcBorders>
            <w:shd w:val="clear" w:color="auto" w:fill="auto"/>
            <w:noWrap/>
          </w:tcPr>
          <w:p w:rsidR="00852BDF" w:rsidRPr="00DF31BD" w:rsidRDefault="00852BDF" w:rsidP="008056BB">
            <w:pPr>
              <w:rPr>
                <w:rFonts w:ascii="Palatino Linotype" w:hAnsi="Palatino Linotype" w:cs="Arial"/>
                <w:bCs/>
                <w:i/>
                <w:sz w:val="18"/>
                <w:szCs w:val="18"/>
              </w:rPr>
            </w:pPr>
            <w:r w:rsidRPr="00DF31BD">
              <w:rPr>
                <w:rFonts w:ascii="Palatino Linotype" w:hAnsi="Palatino Linotype" w:cs="Arial"/>
                <w:bCs/>
                <w:i/>
                <w:sz w:val="18"/>
                <w:szCs w:val="18"/>
              </w:rPr>
              <w:t xml:space="preserve">            Options</w:t>
            </w:r>
          </w:p>
        </w:tc>
        <w:tc>
          <w:tcPr>
            <w:tcW w:w="1128" w:type="dxa"/>
            <w:tcBorders>
              <w:top w:val="nil"/>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Cs/>
                <w:sz w:val="18"/>
                <w:szCs w:val="18"/>
              </w:rPr>
            </w:pPr>
            <w:r w:rsidRPr="00DF31BD">
              <w:rPr>
                <w:rFonts w:ascii="Palatino Linotype" w:hAnsi="Palatino Linotype" w:cs="Arial"/>
                <w:b/>
                <w:bCs/>
                <w:sz w:val="18"/>
                <w:szCs w:val="18"/>
              </w:rPr>
              <w:t>-</w:t>
            </w:r>
          </w:p>
        </w:tc>
        <w:tc>
          <w:tcPr>
            <w:tcW w:w="1236" w:type="dxa"/>
            <w:tcBorders>
              <w:top w:val="single" w:sz="4" w:space="0" w:color="auto"/>
              <w:left w:val="single" w:sz="4" w:space="0" w:color="auto"/>
              <w:bottom w:val="single" w:sz="4" w:space="0" w:color="auto"/>
              <w:right w:val="single" w:sz="4" w:space="0" w:color="auto"/>
            </w:tcBorders>
          </w:tcPr>
          <w:p w:rsidR="00852BDF"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1,913.8</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Default="00852BDF" w:rsidP="008056BB">
            <w:pPr>
              <w:tabs>
                <w:tab w:val="left" w:pos="252"/>
                <w:tab w:val="center" w:pos="551"/>
              </w:tabs>
              <w:jc w:val="right"/>
              <w:rPr>
                <w:rFonts w:ascii="Palatino Linotype" w:hAnsi="Palatino Linotype" w:cs="Arial"/>
                <w:bCs/>
                <w:sz w:val="18"/>
                <w:szCs w:val="18"/>
              </w:rPr>
            </w:pPr>
            <w:r>
              <w:rPr>
                <w:rFonts w:ascii="Palatino Linotype" w:hAnsi="Palatino Linotype" w:cs="Arial"/>
                <w:bCs/>
                <w:sz w:val="18"/>
                <w:szCs w:val="18"/>
              </w:rPr>
              <w:t>1,103.8</w:t>
            </w:r>
          </w:p>
        </w:tc>
        <w:tc>
          <w:tcPr>
            <w:tcW w:w="1830" w:type="dxa"/>
            <w:tcBorders>
              <w:top w:val="nil"/>
              <w:left w:val="nil"/>
              <w:bottom w:val="single" w:sz="4" w:space="0" w:color="auto"/>
              <w:right w:val="single" w:sz="4" w:space="0" w:color="auto"/>
            </w:tcBorders>
            <w:shd w:val="clear" w:color="auto" w:fill="auto"/>
            <w:noWrap/>
          </w:tcPr>
          <w:p w:rsidR="00852BDF" w:rsidRDefault="00852BDF" w:rsidP="008056BB">
            <w:pPr>
              <w:jc w:val="right"/>
              <w:rPr>
                <w:rFonts w:ascii="Palatino Linotype" w:hAnsi="Palatino Linotype" w:cs="Arial"/>
                <w:bCs/>
                <w:sz w:val="18"/>
                <w:szCs w:val="18"/>
              </w:rPr>
            </w:pPr>
            <w:r>
              <w:rPr>
                <w:rFonts w:ascii="Palatino Linotype" w:hAnsi="Palatino Linotype" w:cs="Arial"/>
                <w:bCs/>
                <w:sz w:val="18"/>
                <w:szCs w:val="18"/>
              </w:rPr>
              <w:t>-42.3</w:t>
            </w:r>
          </w:p>
        </w:tc>
      </w:tr>
      <w:tr w:rsidR="00852BDF" w:rsidRPr="00B92D2D" w:rsidTr="008056BB">
        <w:trPr>
          <w:trHeight w:val="224"/>
          <w:jc w:val="center"/>
        </w:trPr>
        <w:tc>
          <w:tcPr>
            <w:tcW w:w="3271" w:type="dxa"/>
            <w:tcBorders>
              <w:top w:val="nil"/>
              <w:left w:val="single" w:sz="4" w:space="0" w:color="auto"/>
              <w:bottom w:val="single" w:sz="4" w:space="0" w:color="auto"/>
              <w:right w:val="single" w:sz="4" w:space="0" w:color="auto"/>
            </w:tcBorders>
            <w:shd w:val="clear" w:color="auto" w:fill="auto"/>
            <w:hideMark/>
          </w:tcPr>
          <w:p w:rsidR="00852BDF" w:rsidRPr="00DF31BD" w:rsidRDefault="00852BDF" w:rsidP="008056BB">
            <w:pPr>
              <w:rPr>
                <w:rFonts w:ascii="Palatino Linotype" w:hAnsi="Palatino Linotype" w:cs="Arial"/>
                <w:b/>
                <w:bCs/>
                <w:sz w:val="18"/>
                <w:szCs w:val="18"/>
              </w:rPr>
            </w:pPr>
            <w:r w:rsidRPr="00DF31BD">
              <w:rPr>
                <w:rFonts w:ascii="Palatino Linotype" w:hAnsi="Palatino Linotype" w:cs="Arial"/>
                <w:b/>
                <w:bCs/>
                <w:sz w:val="18"/>
                <w:szCs w:val="18"/>
              </w:rPr>
              <w:t>ICEX (Futures)</w:t>
            </w:r>
          </w:p>
        </w:tc>
        <w:tc>
          <w:tcPr>
            <w:tcW w:w="1128" w:type="dxa"/>
            <w:tcBorders>
              <w:top w:val="nil"/>
              <w:left w:val="nil"/>
              <w:bottom w:val="single" w:sz="4" w:space="0" w:color="auto"/>
              <w:right w:val="single" w:sz="4" w:space="0" w:color="auto"/>
            </w:tcBorders>
            <w:shd w:val="clear" w:color="auto" w:fill="auto"/>
            <w:noWrap/>
            <w:hideMark/>
          </w:tcPr>
          <w:p w:rsidR="00852BDF" w:rsidRPr="00DF31BD" w:rsidRDefault="00852BDF" w:rsidP="008056BB">
            <w:pPr>
              <w:jc w:val="right"/>
              <w:rPr>
                <w:rFonts w:ascii="Palatino Linotype" w:hAnsi="Palatino Linotype" w:cs="Arial"/>
                <w:b/>
                <w:bCs/>
                <w:sz w:val="18"/>
                <w:szCs w:val="18"/>
              </w:rPr>
            </w:pPr>
            <w:r w:rsidRPr="00DF31BD">
              <w:rPr>
                <w:rFonts w:ascii="Palatino Linotype" w:hAnsi="Palatino Linotype" w:cs="Arial"/>
                <w:b/>
                <w:bCs/>
                <w:sz w:val="18"/>
                <w:szCs w:val="18"/>
              </w:rPr>
              <w:t>40,511</w:t>
            </w:r>
            <w:r>
              <w:rPr>
                <w:rFonts w:ascii="Palatino Linotype" w:hAnsi="Palatino Linotype" w:cs="Arial"/>
                <w:b/>
                <w:bCs/>
                <w:sz w:val="18"/>
                <w:szCs w:val="18"/>
              </w:rPr>
              <w:t>.3</w:t>
            </w:r>
            <w:r w:rsidRPr="00DF31BD">
              <w:rPr>
                <w:rFonts w:ascii="Palatino Linotype" w:hAnsi="Palatino Linotype" w:cs="Arial"/>
                <w:b/>
                <w:bCs/>
                <w:sz w:val="18"/>
                <w:szCs w:val="18"/>
              </w:rPr>
              <w:t xml:space="preserve"> </w:t>
            </w:r>
          </w:p>
        </w:tc>
        <w:tc>
          <w:tcPr>
            <w:tcW w:w="1236" w:type="dxa"/>
            <w:tcBorders>
              <w:top w:val="single" w:sz="4" w:space="0" w:color="auto"/>
              <w:left w:val="single" w:sz="4" w:space="0" w:color="auto"/>
              <w:bottom w:val="single" w:sz="4" w:space="0" w:color="auto"/>
              <w:right w:val="single" w:sz="4" w:space="0" w:color="auto"/>
            </w:tcBorders>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13.2</w:t>
            </w:r>
          </w:p>
        </w:tc>
        <w:tc>
          <w:tcPr>
            <w:tcW w:w="1319" w:type="dxa"/>
            <w:tcBorders>
              <w:top w:val="single" w:sz="4" w:space="0" w:color="auto"/>
              <w:left w:val="single" w:sz="4" w:space="0" w:color="auto"/>
              <w:bottom w:val="single" w:sz="4" w:space="0" w:color="auto"/>
              <w:right w:val="single" w:sz="4" w:space="0" w:color="auto"/>
            </w:tcBorders>
            <w:shd w:val="clear" w:color="auto" w:fill="auto"/>
            <w:noWrap/>
          </w:tcPr>
          <w:p w:rsidR="00852BDF" w:rsidRPr="00DF31BD"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18.6</w:t>
            </w:r>
          </w:p>
        </w:tc>
        <w:tc>
          <w:tcPr>
            <w:tcW w:w="1830" w:type="dxa"/>
            <w:tcBorders>
              <w:top w:val="nil"/>
              <w:left w:val="nil"/>
              <w:bottom w:val="single" w:sz="4" w:space="0" w:color="auto"/>
              <w:right w:val="single" w:sz="4" w:space="0" w:color="auto"/>
            </w:tcBorders>
            <w:shd w:val="clear" w:color="auto" w:fill="auto"/>
            <w:noWrap/>
          </w:tcPr>
          <w:p w:rsidR="00852BDF" w:rsidRPr="008219E0" w:rsidRDefault="00852BDF" w:rsidP="008056BB">
            <w:pPr>
              <w:jc w:val="right"/>
              <w:rPr>
                <w:rFonts w:ascii="Palatino Linotype" w:hAnsi="Palatino Linotype" w:cs="Arial"/>
                <w:b/>
                <w:bCs/>
                <w:sz w:val="18"/>
                <w:szCs w:val="18"/>
              </w:rPr>
            </w:pPr>
            <w:r>
              <w:rPr>
                <w:rFonts w:ascii="Palatino Linotype" w:hAnsi="Palatino Linotype" w:cs="Arial"/>
                <w:b/>
                <w:bCs/>
                <w:sz w:val="18"/>
                <w:szCs w:val="18"/>
              </w:rPr>
              <w:t>40.8</w:t>
            </w:r>
          </w:p>
        </w:tc>
      </w:tr>
    </w:tbl>
    <w:p w:rsidR="00852BDF" w:rsidRDefault="00852BDF" w:rsidP="00852BDF">
      <w:pPr>
        <w:jc w:val="both"/>
        <w:rPr>
          <w:rFonts w:ascii="Palatino Linotype" w:hAnsi="Palatino Linotype" w:cs="Arial"/>
          <w:b/>
          <w:bCs/>
          <w:sz w:val="18"/>
          <w:szCs w:val="18"/>
        </w:rPr>
      </w:pPr>
    </w:p>
    <w:p w:rsidR="00852BDF" w:rsidRPr="00DF31BD" w:rsidRDefault="00852BDF" w:rsidP="00852BDF">
      <w:pPr>
        <w:jc w:val="both"/>
        <w:rPr>
          <w:rFonts w:ascii="Palatino Linotype" w:hAnsi="Palatino Linotype" w:cs="Arial"/>
          <w:b/>
          <w:bCs/>
          <w:sz w:val="18"/>
          <w:szCs w:val="18"/>
        </w:rPr>
      </w:pPr>
      <w:r w:rsidRPr="00DF31BD">
        <w:rPr>
          <w:rFonts w:ascii="Palatino Linotype" w:hAnsi="Palatino Linotype" w:cs="Arial"/>
          <w:b/>
          <w:bCs/>
          <w:sz w:val="18"/>
          <w:szCs w:val="18"/>
        </w:rPr>
        <w:t xml:space="preserve"> Source: </w:t>
      </w:r>
      <w:r>
        <w:rPr>
          <w:rFonts w:ascii="Palatino Linotype" w:hAnsi="Palatino Linotype" w:cs="Arial"/>
          <w:b/>
          <w:bCs/>
          <w:sz w:val="18"/>
          <w:szCs w:val="18"/>
        </w:rPr>
        <w:t>MCX, BSE, NCDEX, NSE, ICEX</w:t>
      </w:r>
      <w:r w:rsidRPr="00DF31BD">
        <w:rPr>
          <w:rFonts w:ascii="Palatino Linotype" w:hAnsi="Palatino Linotype" w:cs="Arial"/>
          <w:b/>
          <w:bCs/>
          <w:sz w:val="18"/>
          <w:szCs w:val="18"/>
        </w:rPr>
        <w:t>.</w:t>
      </w:r>
    </w:p>
    <w:p w:rsidR="00852BDF" w:rsidRPr="00DF31BD" w:rsidRDefault="00852BDF" w:rsidP="00852BDF">
      <w:pPr>
        <w:jc w:val="both"/>
        <w:rPr>
          <w:rFonts w:ascii="Palatino Linotype" w:hAnsi="Palatino Linotype" w:cs="Arial"/>
          <w:b/>
          <w:bCs/>
          <w:sz w:val="18"/>
          <w:szCs w:val="18"/>
        </w:rPr>
      </w:pPr>
    </w:p>
    <w:p w:rsidR="00852BDF" w:rsidRPr="00B92D2D" w:rsidRDefault="00852BDF" w:rsidP="00852BDF">
      <w:pPr>
        <w:ind w:left="-284"/>
        <w:jc w:val="both"/>
        <w:rPr>
          <w:rFonts w:ascii="Palatino Linotype" w:hAnsi="Palatino Linotype" w:cs="Arial"/>
          <w:bCs/>
        </w:rPr>
      </w:pPr>
      <w:r>
        <w:rPr>
          <w:rFonts w:ascii="Palatino Linotype" w:hAnsi="Palatino Linotype" w:cs="Arial"/>
          <w:b/>
          <w:bCs/>
        </w:rPr>
        <w:t xml:space="preserve">B.       </w:t>
      </w:r>
      <w:r w:rsidRPr="00B92D2D">
        <w:rPr>
          <w:rFonts w:ascii="Palatino Linotype" w:hAnsi="Palatino Linotype" w:cs="Arial"/>
          <w:b/>
          <w:bCs/>
        </w:rPr>
        <w:t>Turnover</w:t>
      </w:r>
    </w:p>
    <w:p w:rsidR="00852BDF" w:rsidRDefault="00852BDF" w:rsidP="00852BDF">
      <w:pPr>
        <w:jc w:val="both"/>
        <w:rPr>
          <w:rFonts w:ascii="Palatino Linotype" w:hAnsi="Palatino Linotype" w:cs="Arial"/>
          <w:bCs/>
        </w:rPr>
      </w:pPr>
    </w:p>
    <w:p w:rsidR="00852BDF" w:rsidRPr="00D63EDD" w:rsidRDefault="00852BDF" w:rsidP="00852BDF">
      <w:pPr>
        <w:pStyle w:val="ListParagraph"/>
        <w:numPr>
          <w:ilvl w:val="0"/>
          <w:numId w:val="31"/>
        </w:numPr>
        <w:spacing w:after="0" w:line="240" w:lineRule="auto"/>
        <w:ind w:left="284" w:hanging="568"/>
        <w:jc w:val="both"/>
        <w:rPr>
          <w:rFonts w:ascii="Palatino Linotype" w:hAnsi="Palatino Linotype" w:cs="Arial"/>
          <w:bCs/>
          <w:sz w:val="22"/>
          <w:szCs w:val="22"/>
        </w:rPr>
      </w:pPr>
      <w:r w:rsidRPr="00D63EDD">
        <w:rPr>
          <w:rFonts w:ascii="Palatino Linotype" w:hAnsi="Palatino Linotype" w:cs="Arial"/>
          <w:bCs/>
          <w:sz w:val="22"/>
          <w:szCs w:val="22"/>
        </w:rPr>
        <w:t xml:space="preserve">During </w:t>
      </w:r>
      <w:r>
        <w:rPr>
          <w:rFonts w:ascii="Palatino Linotype" w:hAnsi="Palatino Linotype" w:cs="Arial"/>
          <w:bCs/>
          <w:sz w:val="22"/>
          <w:szCs w:val="22"/>
        </w:rPr>
        <w:t>February</w:t>
      </w:r>
      <w:r w:rsidRPr="00D63EDD">
        <w:rPr>
          <w:rFonts w:ascii="Palatino Linotype" w:hAnsi="Palatino Linotype" w:cs="Arial"/>
          <w:bCs/>
          <w:sz w:val="22"/>
          <w:szCs w:val="22"/>
        </w:rPr>
        <w:t xml:space="preserve"> 202</w:t>
      </w:r>
      <w:r>
        <w:rPr>
          <w:rFonts w:ascii="Palatino Linotype" w:hAnsi="Palatino Linotype" w:cs="Arial"/>
          <w:bCs/>
          <w:sz w:val="22"/>
          <w:szCs w:val="22"/>
        </w:rPr>
        <w:t>1</w:t>
      </w:r>
      <w:r w:rsidRPr="00D63EDD">
        <w:rPr>
          <w:rFonts w:ascii="Palatino Linotype" w:hAnsi="Palatino Linotype" w:cs="Arial"/>
          <w:bCs/>
          <w:sz w:val="22"/>
          <w:szCs w:val="22"/>
        </w:rPr>
        <w:t xml:space="preserve">, pan- India turnover of the commodity derivatives </w:t>
      </w:r>
      <w:r>
        <w:rPr>
          <w:rFonts w:ascii="Palatino Linotype" w:hAnsi="Palatino Linotype" w:cs="Arial"/>
          <w:bCs/>
          <w:sz w:val="22"/>
          <w:szCs w:val="22"/>
        </w:rPr>
        <w:t>in</w:t>
      </w:r>
      <w:r w:rsidRPr="00D63EDD">
        <w:rPr>
          <w:rFonts w:ascii="Palatino Linotype" w:hAnsi="Palatino Linotype" w:cs="Arial"/>
          <w:bCs/>
          <w:sz w:val="22"/>
          <w:szCs w:val="22"/>
        </w:rPr>
        <w:t xml:space="preserve">creased by </w:t>
      </w:r>
      <w:r>
        <w:rPr>
          <w:rFonts w:ascii="Palatino Linotype" w:hAnsi="Palatino Linotype" w:cs="Arial"/>
          <w:bCs/>
          <w:sz w:val="22"/>
          <w:szCs w:val="22"/>
        </w:rPr>
        <w:t>12.0</w:t>
      </w:r>
      <w:r w:rsidRPr="00D63EDD">
        <w:rPr>
          <w:rFonts w:ascii="Palatino Linotype" w:hAnsi="Palatino Linotype" w:cs="Arial"/>
          <w:bCs/>
          <w:sz w:val="22"/>
          <w:szCs w:val="22"/>
        </w:rPr>
        <w:t xml:space="preserve"> per cent to </w:t>
      </w:r>
      <w:r w:rsidRPr="00D63EDD">
        <w:rPr>
          <w:rFonts w:ascii="Times New Roman" w:hAnsi="Times New Roman"/>
          <w:bCs/>
          <w:sz w:val="22"/>
          <w:szCs w:val="22"/>
        </w:rPr>
        <w:t>₹</w:t>
      </w:r>
      <w:r w:rsidRPr="003F7A72">
        <w:rPr>
          <w:rFonts w:ascii="Palatino Linotype" w:hAnsi="Palatino Linotype" w:cs="Arial"/>
          <w:bCs/>
          <w:sz w:val="22"/>
          <w:szCs w:val="22"/>
        </w:rPr>
        <w:t>8,59,820.8</w:t>
      </w:r>
      <w:r w:rsidRPr="00D63EDD">
        <w:rPr>
          <w:rFonts w:ascii="Palatino Linotype" w:hAnsi="Palatino Linotype" w:cs="Arial"/>
          <w:bCs/>
          <w:sz w:val="22"/>
          <w:szCs w:val="22"/>
        </w:rPr>
        <w:t xml:space="preserve"> crore </w:t>
      </w:r>
      <w:r>
        <w:rPr>
          <w:rFonts w:ascii="Palatino Linotype" w:hAnsi="Palatino Linotype" w:cs="Arial"/>
          <w:bCs/>
          <w:sz w:val="22"/>
          <w:szCs w:val="22"/>
        </w:rPr>
        <w:t>driven by increase</w:t>
      </w:r>
      <w:r w:rsidRPr="00D63EDD">
        <w:rPr>
          <w:rFonts w:ascii="Palatino Linotype" w:hAnsi="Palatino Linotype" w:cs="Arial"/>
          <w:bCs/>
          <w:sz w:val="22"/>
          <w:szCs w:val="22"/>
        </w:rPr>
        <w:t xml:space="preserve"> in turnover at </w:t>
      </w:r>
      <w:r>
        <w:rPr>
          <w:rFonts w:ascii="Palatino Linotype" w:hAnsi="Palatino Linotype" w:cs="Arial"/>
          <w:bCs/>
          <w:sz w:val="22"/>
          <w:szCs w:val="22"/>
        </w:rPr>
        <w:t xml:space="preserve">all the exchanges except NCDEX and NSE. </w:t>
      </w:r>
      <w:r w:rsidRPr="00D63EDD">
        <w:rPr>
          <w:rFonts w:ascii="Palatino Linotype" w:hAnsi="Palatino Linotype" w:cs="Arial"/>
          <w:bCs/>
          <w:sz w:val="22"/>
          <w:szCs w:val="22"/>
        </w:rPr>
        <w:t xml:space="preserve">The agricultural segment contributed </w:t>
      </w:r>
      <w:r>
        <w:rPr>
          <w:rFonts w:ascii="Palatino Linotype" w:hAnsi="Palatino Linotype" w:cs="Arial"/>
          <w:bCs/>
          <w:sz w:val="22"/>
          <w:szCs w:val="22"/>
        </w:rPr>
        <w:t>5.1</w:t>
      </w:r>
      <w:r w:rsidRPr="00D63EDD">
        <w:rPr>
          <w:rFonts w:ascii="Palatino Linotype" w:hAnsi="Palatino Linotype" w:cs="Arial"/>
          <w:bCs/>
          <w:sz w:val="22"/>
          <w:szCs w:val="22"/>
        </w:rPr>
        <w:t xml:space="preserve"> per cent to the total turnover, while non-agricultural segment accounted for </w:t>
      </w:r>
      <w:r>
        <w:rPr>
          <w:rFonts w:ascii="Palatino Linotype" w:hAnsi="Palatino Linotype" w:cs="Arial"/>
          <w:bCs/>
          <w:sz w:val="22"/>
          <w:szCs w:val="22"/>
        </w:rPr>
        <w:t>94.9</w:t>
      </w:r>
      <w:r w:rsidRPr="00D63EDD">
        <w:rPr>
          <w:rFonts w:ascii="Palatino Linotype" w:hAnsi="Palatino Linotype" w:cs="Arial"/>
          <w:bCs/>
          <w:sz w:val="22"/>
          <w:szCs w:val="22"/>
        </w:rPr>
        <w:t xml:space="preserve"> per cent. </w:t>
      </w:r>
    </w:p>
    <w:p w:rsidR="00852BDF" w:rsidRDefault="00852BDF" w:rsidP="00852BDF">
      <w:pPr>
        <w:pStyle w:val="ListParagraph"/>
        <w:numPr>
          <w:ilvl w:val="0"/>
          <w:numId w:val="31"/>
        </w:numPr>
        <w:spacing w:after="0" w:line="240" w:lineRule="auto"/>
        <w:ind w:left="284" w:hanging="568"/>
        <w:jc w:val="both"/>
        <w:rPr>
          <w:rFonts w:ascii="Palatino Linotype" w:hAnsi="Palatino Linotype" w:cs="Arial"/>
          <w:bCs/>
          <w:sz w:val="22"/>
          <w:szCs w:val="22"/>
        </w:rPr>
      </w:pPr>
      <w:r w:rsidRPr="00DA1314">
        <w:rPr>
          <w:rFonts w:ascii="Palatino Linotype" w:hAnsi="Palatino Linotype" w:cs="Arial"/>
          <w:bCs/>
          <w:sz w:val="22"/>
          <w:szCs w:val="22"/>
        </w:rPr>
        <w:t xml:space="preserve">The total turnover at MCX </w:t>
      </w:r>
      <w:r>
        <w:rPr>
          <w:rFonts w:ascii="Palatino Linotype" w:hAnsi="Palatino Linotype" w:cs="Arial"/>
          <w:bCs/>
          <w:sz w:val="22"/>
          <w:szCs w:val="22"/>
        </w:rPr>
        <w:t>in</w:t>
      </w:r>
      <w:r w:rsidRPr="00DA1314">
        <w:rPr>
          <w:rFonts w:ascii="Palatino Linotype" w:hAnsi="Palatino Linotype" w:cs="Arial"/>
          <w:bCs/>
          <w:sz w:val="22"/>
          <w:szCs w:val="22"/>
        </w:rPr>
        <w:t xml:space="preserve">creased by </w:t>
      </w:r>
      <w:r>
        <w:rPr>
          <w:rFonts w:ascii="Palatino Linotype" w:hAnsi="Palatino Linotype" w:cs="Arial"/>
          <w:bCs/>
          <w:sz w:val="22"/>
          <w:szCs w:val="22"/>
        </w:rPr>
        <w:t>13.8</w:t>
      </w:r>
      <w:r w:rsidRPr="00DA1314">
        <w:rPr>
          <w:rFonts w:ascii="Palatino Linotype" w:hAnsi="Palatino Linotype" w:cs="Arial"/>
          <w:bCs/>
          <w:sz w:val="22"/>
          <w:szCs w:val="22"/>
        </w:rPr>
        <w:t xml:space="preserve"> per cent to </w:t>
      </w:r>
      <w:r w:rsidRPr="00DA1314">
        <w:rPr>
          <w:rFonts w:ascii="Times New Roman" w:hAnsi="Times New Roman"/>
          <w:bCs/>
          <w:sz w:val="22"/>
          <w:szCs w:val="22"/>
        </w:rPr>
        <w:t>₹</w:t>
      </w:r>
      <w:r w:rsidRPr="003F7A72">
        <w:rPr>
          <w:rFonts w:ascii="Palatino Linotype" w:hAnsi="Palatino Linotype" w:cs="Arial"/>
          <w:bCs/>
          <w:sz w:val="22"/>
          <w:szCs w:val="22"/>
        </w:rPr>
        <w:t>7,61,784.1</w:t>
      </w:r>
      <w:r w:rsidRPr="00DA1314">
        <w:rPr>
          <w:rFonts w:ascii="Palatino Linotype" w:hAnsi="Palatino Linotype" w:cs="Arial"/>
          <w:bCs/>
          <w:sz w:val="22"/>
          <w:szCs w:val="22"/>
        </w:rPr>
        <w:t xml:space="preserve"> crore during </w:t>
      </w:r>
      <w:r>
        <w:rPr>
          <w:rFonts w:ascii="Palatino Linotype" w:hAnsi="Palatino Linotype" w:cs="Arial"/>
          <w:bCs/>
          <w:sz w:val="22"/>
          <w:szCs w:val="22"/>
        </w:rPr>
        <w:t>February</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 xml:space="preserve"> driven by </w:t>
      </w:r>
      <w:r>
        <w:rPr>
          <w:rFonts w:ascii="Palatino Linotype" w:hAnsi="Palatino Linotype" w:cs="Arial"/>
          <w:bCs/>
          <w:sz w:val="22"/>
          <w:szCs w:val="22"/>
        </w:rPr>
        <w:t>in</w:t>
      </w:r>
      <w:r w:rsidRPr="00DA1314">
        <w:rPr>
          <w:rFonts w:ascii="Palatino Linotype" w:hAnsi="Palatino Linotype" w:cs="Arial"/>
          <w:bCs/>
          <w:sz w:val="22"/>
          <w:szCs w:val="22"/>
        </w:rPr>
        <w:t xml:space="preserve">crease in traded value of </w:t>
      </w:r>
      <w:r>
        <w:rPr>
          <w:rFonts w:ascii="Palatino Linotype" w:hAnsi="Palatino Linotype" w:cs="Arial"/>
          <w:bCs/>
          <w:sz w:val="22"/>
          <w:szCs w:val="22"/>
        </w:rPr>
        <w:t xml:space="preserve">metal </w:t>
      </w:r>
      <w:r w:rsidRPr="00DA1314">
        <w:rPr>
          <w:rFonts w:ascii="Palatino Linotype" w:hAnsi="Palatino Linotype" w:cs="Arial"/>
          <w:bCs/>
          <w:sz w:val="22"/>
          <w:szCs w:val="22"/>
        </w:rPr>
        <w:t>and energy futures</w:t>
      </w:r>
      <w:r>
        <w:rPr>
          <w:rFonts w:ascii="Palatino Linotype" w:hAnsi="Palatino Linotype" w:cs="Arial"/>
          <w:bCs/>
          <w:sz w:val="22"/>
          <w:szCs w:val="22"/>
        </w:rPr>
        <w:t xml:space="preserve"> by 21.2 per cent and 59.6 per cent respectively</w:t>
      </w:r>
      <w:r w:rsidRPr="00DA1314">
        <w:rPr>
          <w:rFonts w:ascii="Palatino Linotype" w:hAnsi="Palatino Linotype" w:cs="Arial"/>
          <w:bCs/>
          <w:sz w:val="22"/>
          <w:szCs w:val="22"/>
        </w:rPr>
        <w:t xml:space="preserve">. However, turnover in </w:t>
      </w:r>
      <w:r>
        <w:rPr>
          <w:rFonts w:ascii="Palatino Linotype" w:hAnsi="Palatino Linotype" w:cs="Arial"/>
          <w:bCs/>
          <w:sz w:val="22"/>
          <w:szCs w:val="22"/>
        </w:rPr>
        <w:t>bullion and agri. futures de</w:t>
      </w:r>
      <w:r w:rsidRPr="00DA1314">
        <w:rPr>
          <w:rFonts w:ascii="Palatino Linotype" w:hAnsi="Palatino Linotype" w:cs="Arial"/>
          <w:bCs/>
          <w:sz w:val="22"/>
          <w:szCs w:val="22"/>
        </w:rPr>
        <w:t xml:space="preserve">creased by </w:t>
      </w:r>
      <w:r>
        <w:rPr>
          <w:rFonts w:ascii="Palatino Linotype" w:hAnsi="Palatino Linotype" w:cs="Arial"/>
          <w:bCs/>
          <w:sz w:val="22"/>
          <w:szCs w:val="22"/>
        </w:rPr>
        <w:t>2.1 per cent and 2.9 per cent respectively</w:t>
      </w:r>
      <w:r w:rsidRPr="00DA1314">
        <w:rPr>
          <w:rFonts w:ascii="Palatino Linotype" w:hAnsi="Palatino Linotype" w:cs="Arial"/>
          <w:bCs/>
          <w:sz w:val="22"/>
          <w:szCs w:val="22"/>
        </w:rPr>
        <w:t xml:space="preserve">. </w:t>
      </w:r>
      <w:r w:rsidRPr="00D85AD5">
        <w:rPr>
          <w:rFonts w:ascii="Palatino Linotype" w:hAnsi="Palatino Linotype" w:cs="Arial"/>
          <w:bCs/>
          <w:sz w:val="22"/>
          <w:szCs w:val="22"/>
        </w:rPr>
        <w:t>The turnover in iCOMDEX bullion</w:t>
      </w:r>
      <w:r>
        <w:rPr>
          <w:rFonts w:ascii="Palatino Linotype" w:hAnsi="Palatino Linotype" w:cs="Arial"/>
          <w:bCs/>
          <w:sz w:val="22"/>
          <w:szCs w:val="22"/>
        </w:rPr>
        <w:t xml:space="preserve"> and iCOMDEX metal </w:t>
      </w:r>
      <w:r w:rsidRPr="00D85AD5">
        <w:rPr>
          <w:rFonts w:ascii="Palatino Linotype" w:hAnsi="Palatino Linotype" w:cs="Arial"/>
          <w:bCs/>
          <w:sz w:val="22"/>
          <w:szCs w:val="22"/>
        </w:rPr>
        <w:t>ind</w:t>
      </w:r>
      <w:r>
        <w:rPr>
          <w:rFonts w:ascii="Palatino Linotype" w:hAnsi="Palatino Linotype" w:cs="Arial"/>
          <w:bCs/>
          <w:sz w:val="22"/>
          <w:szCs w:val="22"/>
        </w:rPr>
        <w:t>ex futures</w:t>
      </w:r>
      <w:r w:rsidRPr="00D85AD5">
        <w:rPr>
          <w:rFonts w:ascii="Palatino Linotype" w:hAnsi="Palatino Linotype" w:cs="Arial"/>
          <w:bCs/>
          <w:sz w:val="22"/>
          <w:szCs w:val="22"/>
        </w:rPr>
        <w:t xml:space="preserve"> </w:t>
      </w:r>
      <w:r>
        <w:rPr>
          <w:rFonts w:ascii="Palatino Linotype" w:hAnsi="Palatino Linotype" w:cs="Arial"/>
          <w:bCs/>
          <w:sz w:val="22"/>
          <w:szCs w:val="22"/>
        </w:rPr>
        <w:t>in</w:t>
      </w:r>
      <w:r w:rsidRPr="00D85AD5">
        <w:rPr>
          <w:rFonts w:ascii="Palatino Linotype" w:hAnsi="Palatino Linotype" w:cs="Arial"/>
          <w:bCs/>
          <w:sz w:val="22"/>
          <w:szCs w:val="22"/>
        </w:rPr>
        <w:t xml:space="preserve">creased by </w:t>
      </w:r>
      <w:r>
        <w:rPr>
          <w:rFonts w:ascii="Palatino Linotype" w:hAnsi="Palatino Linotype" w:cs="Arial"/>
          <w:bCs/>
          <w:sz w:val="22"/>
          <w:szCs w:val="22"/>
        </w:rPr>
        <w:t>11.8</w:t>
      </w:r>
      <w:r w:rsidRPr="00D85AD5">
        <w:rPr>
          <w:rFonts w:ascii="Palatino Linotype" w:hAnsi="Palatino Linotype" w:cs="Arial"/>
          <w:bCs/>
          <w:sz w:val="22"/>
          <w:szCs w:val="22"/>
        </w:rPr>
        <w:t xml:space="preserve"> per cent</w:t>
      </w:r>
      <w:r>
        <w:rPr>
          <w:rFonts w:ascii="Palatino Linotype" w:hAnsi="Palatino Linotype" w:cs="Arial"/>
          <w:bCs/>
          <w:sz w:val="22"/>
          <w:szCs w:val="22"/>
        </w:rPr>
        <w:t xml:space="preserve"> and 69.7 per cent </w:t>
      </w:r>
      <w:r w:rsidRPr="00D85AD5">
        <w:rPr>
          <w:rFonts w:ascii="Palatino Linotype" w:hAnsi="Palatino Linotype" w:cs="Arial"/>
          <w:bCs/>
          <w:sz w:val="22"/>
          <w:szCs w:val="22"/>
        </w:rPr>
        <w:t xml:space="preserve">to </w:t>
      </w:r>
      <w:r w:rsidRPr="00D85AD5">
        <w:rPr>
          <w:rFonts w:ascii="Tahoma" w:hAnsi="Tahoma" w:cs="Tahoma"/>
          <w:bCs/>
          <w:sz w:val="22"/>
          <w:szCs w:val="22"/>
        </w:rPr>
        <w:t>₹</w:t>
      </w:r>
      <w:r w:rsidRPr="00D85AD5">
        <w:rPr>
          <w:rFonts w:ascii="Palatino Linotype" w:hAnsi="Palatino Linotype" w:cs="Arial"/>
          <w:bCs/>
          <w:sz w:val="22"/>
          <w:szCs w:val="22"/>
        </w:rPr>
        <w:t xml:space="preserve"> </w:t>
      </w:r>
      <w:r>
        <w:rPr>
          <w:rFonts w:ascii="Palatino Linotype" w:hAnsi="Palatino Linotype" w:cs="Arial"/>
          <w:bCs/>
          <w:sz w:val="22"/>
          <w:szCs w:val="22"/>
        </w:rPr>
        <w:t xml:space="preserve">6,349 crore and </w:t>
      </w:r>
      <w:r w:rsidRPr="00D85AD5">
        <w:rPr>
          <w:rFonts w:ascii="Tahoma" w:hAnsi="Tahoma" w:cs="Tahoma"/>
          <w:bCs/>
          <w:sz w:val="22"/>
          <w:szCs w:val="22"/>
        </w:rPr>
        <w:t>₹</w:t>
      </w:r>
      <w:r>
        <w:rPr>
          <w:rFonts w:ascii="Tahoma" w:hAnsi="Tahoma" w:cs="Tahoma"/>
          <w:bCs/>
          <w:sz w:val="22"/>
          <w:szCs w:val="22"/>
        </w:rPr>
        <w:t xml:space="preserve"> </w:t>
      </w:r>
      <w:r w:rsidRPr="00DE7CEA">
        <w:rPr>
          <w:rFonts w:ascii="Palatino Linotype" w:hAnsi="Palatino Linotype" w:cs="Arial"/>
          <w:bCs/>
          <w:sz w:val="22"/>
          <w:szCs w:val="22"/>
        </w:rPr>
        <w:t>2,005</w:t>
      </w:r>
      <w:r w:rsidRPr="009A25B4">
        <w:rPr>
          <w:rFonts w:ascii="Palatino Linotype" w:hAnsi="Palatino Linotype" w:cs="Arial"/>
          <w:bCs/>
          <w:sz w:val="22"/>
          <w:szCs w:val="22"/>
        </w:rPr>
        <w:t xml:space="preserve"> crore respectively</w:t>
      </w:r>
      <w:r>
        <w:rPr>
          <w:rFonts w:ascii="Palatino Linotype" w:hAnsi="Palatino Linotype" w:cs="Arial"/>
          <w:bCs/>
          <w:sz w:val="22"/>
          <w:szCs w:val="22"/>
        </w:rPr>
        <w:t>.</w:t>
      </w:r>
    </w:p>
    <w:p w:rsidR="00852BDF" w:rsidRDefault="00852BDF" w:rsidP="00852BDF">
      <w:pPr>
        <w:pStyle w:val="ListParagraph"/>
        <w:numPr>
          <w:ilvl w:val="0"/>
          <w:numId w:val="32"/>
        </w:numPr>
        <w:spacing w:after="0" w:line="240" w:lineRule="auto"/>
        <w:ind w:left="284" w:hanging="568"/>
        <w:jc w:val="both"/>
        <w:rPr>
          <w:rFonts w:ascii="Palatino Linotype" w:hAnsi="Palatino Linotype" w:cs="Arial"/>
          <w:bCs/>
          <w:sz w:val="22"/>
          <w:szCs w:val="22"/>
        </w:rPr>
      </w:pPr>
      <w:r w:rsidRPr="00DA1314">
        <w:rPr>
          <w:rFonts w:ascii="Palatino Linotype" w:hAnsi="Palatino Linotype" w:cs="Arial"/>
          <w:bCs/>
          <w:sz w:val="22"/>
          <w:szCs w:val="22"/>
        </w:rPr>
        <w:t xml:space="preserve">The notional turnover of options segment at MCX </w:t>
      </w:r>
      <w:r>
        <w:rPr>
          <w:rFonts w:ascii="Palatino Linotype" w:hAnsi="Palatino Linotype" w:cs="Arial"/>
          <w:bCs/>
          <w:sz w:val="22"/>
          <w:szCs w:val="22"/>
        </w:rPr>
        <w:t>de</w:t>
      </w:r>
      <w:r w:rsidRPr="00DA1314">
        <w:rPr>
          <w:rFonts w:ascii="Palatino Linotype" w:hAnsi="Palatino Linotype" w:cs="Arial"/>
          <w:bCs/>
          <w:sz w:val="22"/>
          <w:szCs w:val="22"/>
        </w:rPr>
        <w:t xml:space="preserve">creased by </w:t>
      </w:r>
      <w:r>
        <w:rPr>
          <w:rFonts w:ascii="Palatino Linotype" w:hAnsi="Palatino Linotype" w:cs="Arial"/>
          <w:bCs/>
          <w:sz w:val="22"/>
          <w:szCs w:val="22"/>
        </w:rPr>
        <w:t>33.9</w:t>
      </w:r>
      <w:r w:rsidRPr="00DA1314">
        <w:rPr>
          <w:rFonts w:ascii="Palatino Linotype" w:hAnsi="Palatino Linotype" w:cs="Arial"/>
          <w:bCs/>
          <w:sz w:val="22"/>
          <w:szCs w:val="22"/>
        </w:rPr>
        <w:t xml:space="preserve"> per cent during the month driven by </w:t>
      </w:r>
      <w:r>
        <w:rPr>
          <w:rFonts w:ascii="Palatino Linotype" w:hAnsi="Palatino Linotype" w:cs="Arial"/>
          <w:bCs/>
          <w:sz w:val="22"/>
          <w:szCs w:val="22"/>
        </w:rPr>
        <w:t>de</w:t>
      </w:r>
      <w:r w:rsidRPr="00DA1314">
        <w:rPr>
          <w:rFonts w:ascii="Palatino Linotype" w:hAnsi="Palatino Linotype" w:cs="Arial"/>
          <w:bCs/>
          <w:sz w:val="22"/>
          <w:szCs w:val="22"/>
        </w:rPr>
        <w:t xml:space="preserve">crease in </w:t>
      </w:r>
      <w:r>
        <w:rPr>
          <w:rFonts w:ascii="Palatino Linotype" w:hAnsi="Palatino Linotype" w:cs="Arial"/>
          <w:bCs/>
          <w:sz w:val="22"/>
          <w:szCs w:val="22"/>
        </w:rPr>
        <w:t xml:space="preserve">traded value in </w:t>
      </w:r>
      <w:r w:rsidRPr="00DA1314">
        <w:rPr>
          <w:rFonts w:ascii="Palatino Linotype" w:hAnsi="Palatino Linotype" w:cs="Arial"/>
          <w:bCs/>
          <w:sz w:val="22"/>
          <w:szCs w:val="22"/>
        </w:rPr>
        <w:t>bullion segment</w:t>
      </w:r>
      <w:r>
        <w:rPr>
          <w:rFonts w:ascii="Palatino Linotype" w:hAnsi="Palatino Linotype" w:cs="Arial"/>
          <w:bCs/>
          <w:sz w:val="22"/>
          <w:szCs w:val="22"/>
        </w:rPr>
        <w:t xml:space="preserve"> by 46.2 per cent. However, turnover in metal and energy segments increased by 93.7 per cent and 70.2 per cent respectively. </w:t>
      </w:r>
      <w:r w:rsidRPr="00DA1314">
        <w:rPr>
          <w:rFonts w:ascii="Palatino Linotype" w:hAnsi="Palatino Linotype" w:cs="Arial"/>
          <w:bCs/>
          <w:sz w:val="22"/>
          <w:szCs w:val="22"/>
        </w:rPr>
        <w:t xml:space="preserve">The options contracts contributed </w:t>
      </w:r>
      <w:r>
        <w:rPr>
          <w:rFonts w:ascii="Palatino Linotype" w:hAnsi="Palatino Linotype" w:cs="Arial"/>
          <w:bCs/>
          <w:sz w:val="22"/>
          <w:szCs w:val="22"/>
        </w:rPr>
        <w:t>2.3</w:t>
      </w:r>
      <w:r w:rsidRPr="00DA1314">
        <w:rPr>
          <w:rFonts w:ascii="Palatino Linotype" w:hAnsi="Palatino Linotype" w:cs="Arial"/>
          <w:bCs/>
          <w:sz w:val="22"/>
          <w:szCs w:val="22"/>
        </w:rPr>
        <w:t xml:space="preserve"> per cent to the total turnover at MCX.</w:t>
      </w:r>
    </w:p>
    <w:p w:rsidR="00852BDF" w:rsidRPr="00853C95" w:rsidRDefault="00852BDF" w:rsidP="00852BDF">
      <w:pPr>
        <w:pStyle w:val="ListParagraph"/>
        <w:numPr>
          <w:ilvl w:val="0"/>
          <w:numId w:val="32"/>
        </w:numPr>
        <w:spacing w:after="0" w:line="240" w:lineRule="auto"/>
        <w:ind w:left="284" w:hanging="568"/>
        <w:jc w:val="both"/>
        <w:rPr>
          <w:rFonts w:ascii="Palatino Linotype" w:hAnsi="Palatino Linotype" w:cs="Arial"/>
          <w:bCs/>
          <w:sz w:val="22"/>
          <w:szCs w:val="22"/>
        </w:rPr>
      </w:pPr>
      <w:r>
        <w:rPr>
          <w:rFonts w:ascii="Palatino Linotype" w:hAnsi="Palatino Linotype" w:cs="Arial"/>
          <w:bCs/>
          <w:sz w:val="22"/>
          <w:szCs w:val="22"/>
        </w:rPr>
        <w:t>The total turnover at BSE in</w:t>
      </w:r>
      <w:r w:rsidRPr="00853C95">
        <w:rPr>
          <w:rFonts w:ascii="Palatino Linotype" w:hAnsi="Palatino Linotype" w:cs="Arial"/>
          <w:bCs/>
          <w:sz w:val="22"/>
          <w:szCs w:val="22"/>
        </w:rPr>
        <w:t xml:space="preserve">creased by </w:t>
      </w:r>
      <w:r>
        <w:rPr>
          <w:rFonts w:ascii="Palatino Linotype" w:hAnsi="Palatino Linotype" w:cs="Arial"/>
          <w:bCs/>
          <w:sz w:val="22"/>
          <w:szCs w:val="22"/>
        </w:rPr>
        <w:t>4.2</w:t>
      </w:r>
      <w:r w:rsidRPr="00853C95">
        <w:rPr>
          <w:rFonts w:ascii="Palatino Linotype" w:hAnsi="Palatino Linotype" w:cs="Arial"/>
          <w:bCs/>
          <w:sz w:val="22"/>
          <w:szCs w:val="22"/>
        </w:rPr>
        <w:t xml:space="preserve"> per cent to </w:t>
      </w:r>
      <w:r w:rsidRPr="00853C95">
        <w:rPr>
          <w:rFonts w:ascii="Tahoma" w:hAnsi="Tahoma" w:cs="Tahoma"/>
          <w:bCs/>
          <w:sz w:val="22"/>
          <w:szCs w:val="22"/>
        </w:rPr>
        <w:t>₹</w:t>
      </w:r>
      <w:r w:rsidRPr="00853C95">
        <w:rPr>
          <w:rFonts w:ascii="Palatino Linotype" w:hAnsi="Palatino Linotype" w:cs="Arial"/>
          <w:bCs/>
          <w:sz w:val="22"/>
          <w:szCs w:val="22"/>
        </w:rPr>
        <w:t xml:space="preserve"> </w:t>
      </w:r>
      <w:r>
        <w:rPr>
          <w:rFonts w:ascii="Palatino Linotype" w:hAnsi="Palatino Linotype" w:cs="Arial"/>
          <w:bCs/>
          <w:sz w:val="22"/>
          <w:szCs w:val="22"/>
        </w:rPr>
        <w:t>65,180.3 crore  driven by increase</w:t>
      </w:r>
      <w:r w:rsidRPr="00853C95">
        <w:rPr>
          <w:rFonts w:ascii="Palatino Linotype" w:hAnsi="Palatino Linotype" w:cs="Arial"/>
          <w:bCs/>
          <w:sz w:val="22"/>
          <w:szCs w:val="22"/>
        </w:rPr>
        <w:t xml:space="preserve"> in turnover in </w:t>
      </w:r>
      <w:r>
        <w:rPr>
          <w:rFonts w:ascii="Palatino Linotype" w:hAnsi="Palatino Linotype" w:cs="Arial"/>
          <w:bCs/>
          <w:sz w:val="22"/>
          <w:szCs w:val="22"/>
        </w:rPr>
        <w:t xml:space="preserve">options contracts of </w:t>
      </w:r>
      <w:r w:rsidRPr="00853C95">
        <w:rPr>
          <w:rFonts w:ascii="Palatino Linotype" w:hAnsi="Palatino Linotype" w:cs="Arial"/>
          <w:bCs/>
          <w:sz w:val="22"/>
          <w:szCs w:val="22"/>
        </w:rPr>
        <w:t xml:space="preserve">bullion </w:t>
      </w:r>
      <w:r>
        <w:rPr>
          <w:rFonts w:ascii="Palatino Linotype" w:hAnsi="Palatino Linotype" w:cs="Arial"/>
          <w:bCs/>
          <w:sz w:val="22"/>
          <w:szCs w:val="22"/>
        </w:rPr>
        <w:t>segment by 4.2 per cent in February 2021</w:t>
      </w:r>
      <w:r w:rsidRPr="00853C95">
        <w:rPr>
          <w:rFonts w:ascii="Palatino Linotype" w:hAnsi="Palatino Linotype" w:cs="Arial"/>
          <w:bCs/>
          <w:sz w:val="22"/>
          <w:szCs w:val="22"/>
        </w:rPr>
        <w:t xml:space="preserve">.  </w:t>
      </w:r>
      <w:r>
        <w:rPr>
          <w:rFonts w:ascii="Palatino Linotype" w:hAnsi="Palatino Linotype" w:cs="Arial"/>
          <w:bCs/>
          <w:sz w:val="22"/>
          <w:szCs w:val="22"/>
        </w:rPr>
        <w:t xml:space="preserve">In futures segment, bullion and agri. contracts, registered a total turnover of </w:t>
      </w:r>
      <w:r w:rsidRPr="0086580F">
        <w:rPr>
          <w:rFonts w:ascii="Tahoma" w:hAnsi="Tahoma" w:cs="Tahoma"/>
          <w:bCs/>
          <w:sz w:val="22"/>
          <w:szCs w:val="22"/>
        </w:rPr>
        <w:t>₹</w:t>
      </w:r>
      <w:r w:rsidRPr="0086580F">
        <w:rPr>
          <w:rFonts w:ascii="Palatino Linotype" w:hAnsi="Palatino Linotype" w:cs="Arial"/>
          <w:bCs/>
          <w:sz w:val="22"/>
          <w:szCs w:val="22"/>
        </w:rPr>
        <w:t xml:space="preserve"> 9.9 crore and </w:t>
      </w:r>
      <w:r w:rsidRPr="0086580F">
        <w:rPr>
          <w:rFonts w:ascii="Tahoma" w:hAnsi="Tahoma" w:cs="Tahoma"/>
          <w:bCs/>
          <w:sz w:val="22"/>
          <w:szCs w:val="22"/>
        </w:rPr>
        <w:t>₹</w:t>
      </w:r>
      <w:r w:rsidRPr="0086580F">
        <w:rPr>
          <w:rFonts w:ascii="Palatino Linotype" w:hAnsi="Palatino Linotype" w:cs="Arial"/>
          <w:bCs/>
          <w:sz w:val="22"/>
          <w:szCs w:val="22"/>
        </w:rPr>
        <w:t xml:space="preserve">83.1 crore </w:t>
      </w:r>
      <w:r>
        <w:rPr>
          <w:rFonts w:ascii="Palatino Linotype" w:hAnsi="Palatino Linotype" w:cs="Arial"/>
          <w:bCs/>
          <w:sz w:val="22"/>
          <w:szCs w:val="22"/>
        </w:rPr>
        <w:t xml:space="preserve"> respectively</w:t>
      </w:r>
      <w:r w:rsidRPr="00CD630C">
        <w:rPr>
          <w:rFonts w:ascii="Palatino Linotype" w:hAnsi="Palatino Linotype" w:cs="Arial"/>
          <w:bCs/>
          <w:sz w:val="22"/>
          <w:szCs w:val="22"/>
        </w:rPr>
        <w:t>.</w:t>
      </w:r>
    </w:p>
    <w:p w:rsidR="00852BDF" w:rsidRPr="00D651BF" w:rsidRDefault="00852BDF" w:rsidP="00852BDF">
      <w:pPr>
        <w:pStyle w:val="ListParagraph"/>
        <w:numPr>
          <w:ilvl w:val="0"/>
          <w:numId w:val="32"/>
        </w:numPr>
        <w:spacing w:after="0" w:line="240" w:lineRule="auto"/>
        <w:ind w:left="284" w:hanging="568"/>
        <w:jc w:val="both"/>
        <w:rPr>
          <w:rFonts w:ascii="Palatino Linotype" w:hAnsi="Palatino Linotype" w:cs="Arial"/>
          <w:bCs/>
        </w:rPr>
      </w:pPr>
      <w:r w:rsidRPr="00DA1314">
        <w:rPr>
          <w:rFonts w:ascii="Palatino Linotype" w:hAnsi="Palatino Linotype" w:cs="Arial"/>
          <w:bCs/>
          <w:sz w:val="22"/>
          <w:szCs w:val="22"/>
        </w:rPr>
        <w:t xml:space="preserve">During the month, the total turnover at NCDEX </w:t>
      </w:r>
      <w:r>
        <w:rPr>
          <w:rFonts w:ascii="Palatino Linotype" w:hAnsi="Palatino Linotype" w:cs="Arial"/>
          <w:bCs/>
          <w:sz w:val="22"/>
          <w:szCs w:val="22"/>
        </w:rPr>
        <w:t>de</w:t>
      </w:r>
      <w:r w:rsidRPr="00DA1314">
        <w:rPr>
          <w:rFonts w:ascii="Palatino Linotype" w:hAnsi="Palatino Linotype" w:cs="Arial"/>
          <w:bCs/>
          <w:sz w:val="22"/>
          <w:szCs w:val="22"/>
        </w:rPr>
        <w:t xml:space="preserve">creased by </w:t>
      </w:r>
      <w:r>
        <w:rPr>
          <w:rFonts w:ascii="Palatino Linotype" w:hAnsi="Palatino Linotype" w:cs="Arial"/>
          <w:bCs/>
          <w:sz w:val="22"/>
          <w:szCs w:val="22"/>
        </w:rPr>
        <w:t>5.9</w:t>
      </w:r>
      <w:r w:rsidRPr="00DA1314">
        <w:rPr>
          <w:rFonts w:ascii="Palatino Linotype" w:hAnsi="Palatino Linotype" w:cs="Arial"/>
          <w:bCs/>
          <w:sz w:val="22"/>
          <w:szCs w:val="22"/>
        </w:rPr>
        <w:t xml:space="preserve"> per cent to </w:t>
      </w:r>
      <w:r w:rsidRPr="00DA1314">
        <w:rPr>
          <w:rFonts w:ascii="Times New Roman" w:hAnsi="Times New Roman"/>
          <w:bCs/>
          <w:sz w:val="22"/>
          <w:szCs w:val="22"/>
        </w:rPr>
        <w:t>₹</w:t>
      </w:r>
      <w:r w:rsidRPr="00DA1314">
        <w:rPr>
          <w:rFonts w:ascii="Palatino Linotype" w:hAnsi="Palatino Linotype" w:cs="Arial"/>
          <w:bCs/>
          <w:sz w:val="22"/>
          <w:szCs w:val="22"/>
        </w:rPr>
        <w:t>3</w:t>
      </w:r>
      <w:r>
        <w:rPr>
          <w:rFonts w:ascii="Palatino Linotype" w:hAnsi="Palatino Linotype" w:cs="Arial"/>
          <w:bCs/>
          <w:sz w:val="22"/>
          <w:szCs w:val="22"/>
        </w:rPr>
        <w:t>0,799.8</w:t>
      </w:r>
      <w:r w:rsidRPr="00DA1314">
        <w:rPr>
          <w:rFonts w:ascii="Palatino Linotype" w:hAnsi="Palatino Linotype" w:cs="Arial"/>
          <w:bCs/>
          <w:sz w:val="22"/>
          <w:szCs w:val="22"/>
        </w:rPr>
        <w:t xml:space="preserve"> crore, due to </w:t>
      </w:r>
      <w:r>
        <w:rPr>
          <w:rFonts w:ascii="Palatino Linotype" w:hAnsi="Palatino Linotype" w:cs="Arial"/>
          <w:bCs/>
          <w:sz w:val="22"/>
          <w:szCs w:val="22"/>
        </w:rPr>
        <w:t>de</w:t>
      </w:r>
      <w:r w:rsidRPr="00DA1314">
        <w:rPr>
          <w:rFonts w:ascii="Palatino Linotype" w:hAnsi="Palatino Linotype" w:cs="Arial"/>
          <w:bCs/>
          <w:sz w:val="22"/>
          <w:szCs w:val="22"/>
        </w:rPr>
        <w:t xml:space="preserve">crease in traded </w:t>
      </w:r>
      <w:r>
        <w:rPr>
          <w:rFonts w:ascii="Palatino Linotype" w:hAnsi="Palatino Linotype" w:cs="Arial"/>
          <w:bCs/>
          <w:sz w:val="22"/>
          <w:szCs w:val="22"/>
        </w:rPr>
        <w:t xml:space="preserve">volume and </w:t>
      </w:r>
      <w:r w:rsidRPr="00DA1314">
        <w:rPr>
          <w:rFonts w:ascii="Palatino Linotype" w:hAnsi="Palatino Linotype" w:cs="Arial"/>
          <w:bCs/>
          <w:sz w:val="22"/>
          <w:szCs w:val="22"/>
        </w:rPr>
        <w:t xml:space="preserve">value of </w:t>
      </w:r>
      <w:r>
        <w:rPr>
          <w:rFonts w:ascii="Palatino Linotype" w:hAnsi="Palatino Linotype" w:cs="Arial"/>
          <w:bCs/>
          <w:sz w:val="22"/>
          <w:szCs w:val="22"/>
        </w:rPr>
        <w:t xml:space="preserve">nine </w:t>
      </w:r>
      <w:r w:rsidRPr="00DA1314">
        <w:rPr>
          <w:rFonts w:ascii="Palatino Linotype" w:hAnsi="Palatino Linotype" w:cs="Arial"/>
          <w:bCs/>
          <w:sz w:val="22"/>
          <w:szCs w:val="22"/>
        </w:rPr>
        <w:t xml:space="preserve">out of total </w:t>
      </w:r>
      <w:r>
        <w:rPr>
          <w:rFonts w:ascii="Palatino Linotype" w:hAnsi="Palatino Linotype" w:cs="Arial"/>
          <w:bCs/>
          <w:sz w:val="22"/>
          <w:szCs w:val="22"/>
        </w:rPr>
        <w:t>17</w:t>
      </w:r>
      <w:r w:rsidRPr="00DA1314">
        <w:rPr>
          <w:rFonts w:ascii="Palatino Linotype" w:hAnsi="Palatino Linotype" w:cs="Arial"/>
          <w:bCs/>
          <w:sz w:val="22"/>
          <w:szCs w:val="22"/>
        </w:rPr>
        <w:t xml:space="preserve"> traded commodities. Turnover in Agridex futures indices </w:t>
      </w:r>
      <w:r>
        <w:rPr>
          <w:rFonts w:ascii="Palatino Linotype" w:hAnsi="Palatino Linotype" w:cs="Arial"/>
          <w:bCs/>
          <w:sz w:val="22"/>
          <w:szCs w:val="22"/>
        </w:rPr>
        <w:t>de</w:t>
      </w:r>
      <w:r w:rsidRPr="00DA1314">
        <w:rPr>
          <w:rFonts w:ascii="Palatino Linotype" w:hAnsi="Palatino Linotype" w:cs="Arial"/>
          <w:bCs/>
          <w:sz w:val="22"/>
          <w:szCs w:val="22"/>
        </w:rPr>
        <w:t xml:space="preserve">creased to </w:t>
      </w:r>
      <w:r w:rsidRPr="00E15F87">
        <w:rPr>
          <w:rFonts w:ascii="Tahoma" w:hAnsi="Tahoma" w:cs="Tahoma"/>
          <w:bCs/>
          <w:sz w:val="22"/>
          <w:szCs w:val="22"/>
        </w:rPr>
        <w:t>₹</w:t>
      </w:r>
      <w:r w:rsidRPr="00E15F87">
        <w:rPr>
          <w:rFonts w:ascii="Palatino Linotype" w:hAnsi="Palatino Linotype" w:cs="Arial"/>
          <w:bCs/>
          <w:sz w:val="22"/>
          <w:szCs w:val="22"/>
        </w:rPr>
        <w:t>8.0</w:t>
      </w:r>
      <w:r w:rsidRPr="00DA1314">
        <w:rPr>
          <w:rFonts w:ascii="Palatino Linotype" w:hAnsi="Palatino Linotype" w:cs="Arial"/>
          <w:bCs/>
          <w:sz w:val="22"/>
          <w:szCs w:val="22"/>
        </w:rPr>
        <w:t xml:space="preserve"> crore, a </w:t>
      </w:r>
      <w:r>
        <w:rPr>
          <w:rFonts w:ascii="Palatino Linotype" w:hAnsi="Palatino Linotype" w:cs="Arial"/>
          <w:bCs/>
          <w:sz w:val="22"/>
          <w:szCs w:val="22"/>
        </w:rPr>
        <w:t>decrease</w:t>
      </w:r>
      <w:r w:rsidRPr="00DA1314">
        <w:rPr>
          <w:rFonts w:ascii="Palatino Linotype" w:hAnsi="Palatino Linotype" w:cs="Arial"/>
          <w:bCs/>
          <w:sz w:val="22"/>
          <w:szCs w:val="22"/>
        </w:rPr>
        <w:t xml:space="preserve"> of </w:t>
      </w:r>
      <w:r>
        <w:rPr>
          <w:rFonts w:ascii="Palatino Linotype" w:hAnsi="Palatino Linotype" w:cs="Arial"/>
          <w:bCs/>
          <w:sz w:val="22"/>
          <w:szCs w:val="22"/>
        </w:rPr>
        <w:t>36.8</w:t>
      </w:r>
      <w:r w:rsidRPr="00DA1314">
        <w:rPr>
          <w:rFonts w:ascii="Palatino Linotype" w:hAnsi="Palatino Linotype" w:cs="Arial"/>
          <w:bCs/>
          <w:sz w:val="22"/>
          <w:szCs w:val="22"/>
        </w:rPr>
        <w:t xml:space="preserve"> per cent during </w:t>
      </w:r>
      <w:r>
        <w:rPr>
          <w:rFonts w:ascii="Palatino Linotype" w:hAnsi="Palatino Linotype" w:cs="Arial"/>
          <w:bCs/>
          <w:sz w:val="22"/>
          <w:szCs w:val="22"/>
        </w:rPr>
        <w:t>February</w:t>
      </w:r>
      <w:r w:rsidRPr="00DA1314">
        <w:rPr>
          <w:rFonts w:ascii="Palatino Linotype" w:hAnsi="Palatino Linotype" w:cs="Arial"/>
          <w:bCs/>
          <w:sz w:val="22"/>
          <w:szCs w:val="22"/>
        </w:rPr>
        <w:t xml:space="preserve"> 202</w:t>
      </w:r>
      <w:r>
        <w:rPr>
          <w:rFonts w:ascii="Palatino Linotype" w:hAnsi="Palatino Linotype" w:cs="Arial"/>
          <w:bCs/>
          <w:sz w:val="22"/>
          <w:szCs w:val="22"/>
        </w:rPr>
        <w:t>1</w:t>
      </w:r>
      <w:r w:rsidRPr="00DA1314">
        <w:rPr>
          <w:rFonts w:ascii="Palatino Linotype" w:hAnsi="Palatino Linotype" w:cs="Arial"/>
          <w:bCs/>
          <w:sz w:val="22"/>
          <w:szCs w:val="22"/>
        </w:rPr>
        <w:t>.</w:t>
      </w:r>
      <w:r>
        <w:rPr>
          <w:rFonts w:ascii="Palatino Linotype" w:hAnsi="Palatino Linotype" w:cs="Arial"/>
          <w:bCs/>
          <w:sz w:val="22"/>
          <w:szCs w:val="22"/>
        </w:rPr>
        <w:t xml:space="preserve"> Steel long contracts of non-agri. segment registered a total turnover of </w:t>
      </w:r>
      <w:r w:rsidRPr="00DA1314">
        <w:rPr>
          <w:rFonts w:ascii="Times New Roman" w:hAnsi="Times New Roman"/>
          <w:bCs/>
          <w:sz w:val="22"/>
          <w:szCs w:val="22"/>
        </w:rPr>
        <w:t>₹</w:t>
      </w:r>
      <w:r w:rsidRPr="00E15F87">
        <w:rPr>
          <w:rFonts w:ascii="Palatino Linotype" w:hAnsi="Palatino Linotype" w:cs="Arial"/>
          <w:bCs/>
          <w:sz w:val="22"/>
          <w:szCs w:val="22"/>
        </w:rPr>
        <w:t>39</w:t>
      </w:r>
      <w:r>
        <w:rPr>
          <w:rFonts w:ascii="Times New Roman" w:hAnsi="Times New Roman"/>
          <w:bCs/>
          <w:sz w:val="22"/>
          <w:szCs w:val="22"/>
        </w:rPr>
        <w:t xml:space="preserve"> </w:t>
      </w:r>
      <w:r w:rsidRPr="00E15F87">
        <w:rPr>
          <w:rFonts w:ascii="Palatino Linotype" w:hAnsi="Palatino Linotype" w:cs="Arial"/>
          <w:bCs/>
          <w:sz w:val="22"/>
          <w:szCs w:val="22"/>
        </w:rPr>
        <w:t>crore</w:t>
      </w:r>
      <w:r>
        <w:rPr>
          <w:rFonts w:ascii="Times New Roman" w:hAnsi="Times New Roman"/>
          <w:bCs/>
          <w:sz w:val="22"/>
          <w:szCs w:val="22"/>
        </w:rPr>
        <w:t>.</w:t>
      </w:r>
    </w:p>
    <w:p w:rsidR="00852BDF" w:rsidRPr="00F70B13" w:rsidRDefault="00852BDF" w:rsidP="00852BDF">
      <w:pPr>
        <w:pStyle w:val="ListParagraph"/>
        <w:numPr>
          <w:ilvl w:val="0"/>
          <w:numId w:val="32"/>
        </w:numPr>
        <w:spacing w:after="0" w:line="240" w:lineRule="auto"/>
        <w:ind w:left="284" w:hanging="568"/>
        <w:jc w:val="both"/>
        <w:rPr>
          <w:rFonts w:ascii="Palatino Linotype" w:hAnsi="Palatino Linotype" w:cs="Arial"/>
          <w:bCs/>
          <w:sz w:val="22"/>
          <w:szCs w:val="22"/>
        </w:rPr>
      </w:pPr>
      <w:r>
        <w:rPr>
          <w:rFonts w:ascii="Palatino Linotype" w:hAnsi="Palatino Linotype" w:cs="Arial"/>
          <w:bCs/>
          <w:sz w:val="22"/>
          <w:szCs w:val="22"/>
        </w:rPr>
        <w:t>NCDEX launched futures trading in soymeal contracts on 17</w:t>
      </w:r>
      <w:r w:rsidRPr="00F70B13">
        <w:rPr>
          <w:rFonts w:ascii="Palatino Linotype" w:hAnsi="Palatino Linotype" w:cs="Arial"/>
          <w:bCs/>
          <w:sz w:val="22"/>
          <w:szCs w:val="22"/>
          <w:vertAlign w:val="superscript"/>
        </w:rPr>
        <w:t>th</w:t>
      </w:r>
      <w:r>
        <w:rPr>
          <w:rFonts w:ascii="Palatino Linotype" w:hAnsi="Palatino Linotype" w:cs="Arial"/>
          <w:bCs/>
          <w:sz w:val="22"/>
          <w:szCs w:val="22"/>
        </w:rPr>
        <w:t xml:space="preserve"> February, 2021 and recorded monthly turnover of </w:t>
      </w:r>
      <w:r w:rsidRPr="00F70B13">
        <w:rPr>
          <w:rFonts w:ascii="Tahoma" w:hAnsi="Tahoma" w:cs="Tahoma"/>
          <w:bCs/>
          <w:sz w:val="22"/>
          <w:szCs w:val="22"/>
        </w:rPr>
        <w:t>₹</w:t>
      </w:r>
      <w:r w:rsidRPr="00F70B13">
        <w:rPr>
          <w:rFonts w:ascii="Palatino Linotype" w:hAnsi="Palatino Linotype" w:cs="Arial"/>
          <w:bCs/>
          <w:sz w:val="22"/>
          <w:szCs w:val="22"/>
        </w:rPr>
        <w:t>7.3 crore.</w:t>
      </w:r>
    </w:p>
    <w:p w:rsidR="00852BDF" w:rsidRDefault="00852BDF" w:rsidP="00852BDF">
      <w:pPr>
        <w:pStyle w:val="ListParagraph"/>
        <w:numPr>
          <w:ilvl w:val="0"/>
          <w:numId w:val="32"/>
        </w:numPr>
        <w:spacing w:after="0" w:line="240" w:lineRule="auto"/>
        <w:ind w:left="284" w:hanging="568"/>
        <w:jc w:val="both"/>
        <w:rPr>
          <w:rFonts w:ascii="Palatino Linotype" w:hAnsi="Palatino Linotype" w:cs="Arial"/>
          <w:bCs/>
          <w:sz w:val="22"/>
          <w:szCs w:val="22"/>
        </w:rPr>
      </w:pPr>
      <w:r>
        <w:rPr>
          <w:rFonts w:ascii="Palatino Linotype" w:hAnsi="Palatino Linotype" w:cs="Arial"/>
          <w:bCs/>
          <w:sz w:val="22"/>
          <w:szCs w:val="22"/>
        </w:rPr>
        <w:t xml:space="preserve"> The total turnover at NSE de</w:t>
      </w:r>
      <w:r w:rsidRPr="009454C6">
        <w:rPr>
          <w:rFonts w:ascii="Palatino Linotype" w:hAnsi="Palatino Linotype" w:cs="Arial"/>
          <w:bCs/>
          <w:sz w:val="22"/>
          <w:szCs w:val="22"/>
        </w:rPr>
        <w:t xml:space="preserve">creased by </w:t>
      </w:r>
      <w:r>
        <w:rPr>
          <w:rFonts w:ascii="Palatino Linotype" w:hAnsi="Palatino Linotype" w:cs="Arial"/>
          <w:bCs/>
          <w:sz w:val="22"/>
          <w:szCs w:val="22"/>
        </w:rPr>
        <w:t>25.9</w:t>
      </w:r>
      <w:r w:rsidRPr="009454C6">
        <w:rPr>
          <w:rFonts w:ascii="Palatino Linotype" w:hAnsi="Palatino Linotype" w:cs="Arial"/>
          <w:bCs/>
          <w:sz w:val="22"/>
          <w:szCs w:val="22"/>
        </w:rPr>
        <w:t xml:space="preserve"> per cent to </w:t>
      </w:r>
      <w:r w:rsidRPr="009454C6">
        <w:rPr>
          <w:rFonts w:ascii="Times New Roman" w:hAnsi="Times New Roman"/>
          <w:bCs/>
          <w:sz w:val="22"/>
          <w:szCs w:val="22"/>
        </w:rPr>
        <w:t>₹</w:t>
      </w:r>
      <w:r w:rsidRPr="009454C6">
        <w:rPr>
          <w:rFonts w:ascii="Palatino Linotype" w:hAnsi="Palatino Linotype" w:cs="Arial"/>
          <w:bCs/>
          <w:sz w:val="22"/>
          <w:szCs w:val="22"/>
        </w:rPr>
        <w:t>2,</w:t>
      </w:r>
      <w:r>
        <w:rPr>
          <w:rFonts w:ascii="Palatino Linotype" w:hAnsi="Palatino Linotype" w:cs="Arial"/>
          <w:bCs/>
          <w:sz w:val="22"/>
          <w:szCs w:val="22"/>
        </w:rPr>
        <w:t>038.4</w:t>
      </w:r>
      <w:r w:rsidRPr="009454C6">
        <w:rPr>
          <w:rFonts w:ascii="Palatino Linotype" w:hAnsi="Palatino Linotype" w:cs="Arial"/>
          <w:bCs/>
          <w:sz w:val="22"/>
          <w:szCs w:val="22"/>
        </w:rPr>
        <w:t xml:space="preserve"> crore in </w:t>
      </w:r>
      <w:r>
        <w:rPr>
          <w:rFonts w:ascii="Palatino Linotype" w:hAnsi="Palatino Linotype" w:cs="Arial"/>
          <w:bCs/>
          <w:sz w:val="22"/>
          <w:szCs w:val="22"/>
        </w:rPr>
        <w:t xml:space="preserve">February 2021 </w:t>
      </w:r>
      <w:r w:rsidRPr="009454C6">
        <w:rPr>
          <w:rFonts w:ascii="Palatino Linotype" w:hAnsi="Palatino Linotype" w:cs="Arial"/>
          <w:bCs/>
          <w:sz w:val="22"/>
          <w:szCs w:val="22"/>
        </w:rPr>
        <w:t>on account of</w:t>
      </w:r>
      <w:r>
        <w:rPr>
          <w:rFonts w:ascii="Palatino Linotype" w:hAnsi="Palatino Linotype" w:cs="Arial"/>
          <w:bCs/>
          <w:sz w:val="22"/>
          <w:szCs w:val="22"/>
        </w:rPr>
        <w:t xml:space="preserve"> decline in turnover in bullion options contracts by 42.3 per cent</w:t>
      </w:r>
      <w:r w:rsidRPr="009454C6">
        <w:rPr>
          <w:rFonts w:ascii="Palatino Linotype" w:hAnsi="Palatino Linotype" w:cs="Arial"/>
          <w:bCs/>
          <w:sz w:val="22"/>
          <w:szCs w:val="22"/>
        </w:rPr>
        <w:t xml:space="preserve">. </w:t>
      </w:r>
      <w:r>
        <w:rPr>
          <w:rFonts w:ascii="Palatino Linotype" w:hAnsi="Palatino Linotype" w:cs="Arial"/>
          <w:bCs/>
          <w:sz w:val="22"/>
          <w:szCs w:val="22"/>
        </w:rPr>
        <w:t>In futures segment, while, the turnover in bullion contracts declined by 5.0 per cent, agri. contracts recorded an increase</w:t>
      </w:r>
      <w:r w:rsidRPr="009454C6">
        <w:rPr>
          <w:rFonts w:ascii="Palatino Linotype" w:hAnsi="Palatino Linotype" w:cs="Arial"/>
          <w:bCs/>
          <w:sz w:val="22"/>
          <w:szCs w:val="22"/>
        </w:rPr>
        <w:t xml:space="preserve"> </w:t>
      </w:r>
      <w:r>
        <w:rPr>
          <w:rFonts w:ascii="Palatino Linotype" w:hAnsi="Palatino Linotype" w:cs="Arial"/>
          <w:bCs/>
          <w:sz w:val="22"/>
          <w:szCs w:val="22"/>
        </w:rPr>
        <w:t>of 11.4</w:t>
      </w:r>
      <w:r w:rsidRPr="009454C6">
        <w:rPr>
          <w:rFonts w:ascii="Palatino Linotype" w:hAnsi="Palatino Linotype" w:cs="Arial"/>
          <w:bCs/>
          <w:sz w:val="22"/>
          <w:szCs w:val="22"/>
        </w:rPr>
        <w:t xml:space="preserve"> per cent</w:t>
      </w:r>
      <w:r>
        <w:rPr>
          <w:rFonts w:ascii="Palatino Linotype" w:hAnsi="Palatino Linotype" w:cs="Arial"/>
          <w:bCs/>
          <w:sz w:val="22"/>
          <w:szCs w:val="22"/>
        </w:rPr>
        <w:t xml:space="preserve"> during the month. </w:t>
      </w:r>
    </w:p>
    <w:p w:rsidR="00852BDF" w:rsidRDefault="00852BDF" w:rsidP="00852BDF">
      <w:pPr>
        <w:pStyle w:val="ListParagraph"/>
        <w:numPr>
          <w:ilvl w:val="0"/>
          <w:numId w:val="32"/>
        </w:numPr>
        <w:spacing w:after="0" w:line="240" w:lineRule="auto"/>
        <w:ind w:left="284" w:hanging="568"/>
        <w:jc w:val="both"/>
        <w:rPr>
          <w:rFonts w:ascii="Palatino Linotype" w:hAnsi="Palatino Linotype" w:cs="Arial"/>
          <w:bCs/>
          <w:sz w:val="22"/>
          <w:szCs w:val="22"/>
        </w:rPr>
      </w:pPr>
      <w:r>
        <w:rPr>
          <w:rFonts w:ascii="Palatino Linotype" w:hAnsi="Palatino Linotype" w:cs="Arial"/>
          <w:bCs/>
          <w:sz w:val="22"/>
          <w:szCs w:val="22"/>
        </w:rPr>
        <w:t>During the month, NSE launched futures and options trading in copper of base metal segment (non-agri.) on 22</w:t>
      </w:r>
      <w:r w:rsidRPr="007C7926">
        <w:rPr>
          <w:rFonts w:ascii="Palatino Linotype" w:hAnsi="Palatino Linotype" w:cs="Arial"/>
          <w:bCs/>
          <w:sz w:val="22"/>
          <w:szCs w:val="22"/>
          <w:vertAlign w:val="superscript"/>
        </w:rPr>
        <w:t>nd</w:t>
      </w:r>
      <w:r>
        <w:rPr>
          <w:rFonts w:ascii="Palatino Linotype" w:hAnsi="Palatino Linotype" w:cs="Arial"/>
          <w:bCs/>
          <w:sz w:val="22"/>
          <w:szCs w:val="22"/>
        </w:rPr>
        <w:t xml:space="preserve"> February, 2021. While copper futures contracts recorded a total turnover of </w:t>
      </w:r>
      <w:r w:rsidRPr="007C7926">
        <w:rPr>
          <w:rFonts w:ascii="Tahoma" w:hAnsi="Tahoma" w:cs="Tahoma"/>
          <w:bCs/>
          <w:sz w:val="22"/>
          <w:szCs w:val="22"/>
        </w:rPr>
        <w:t>₹</w:t>
      </w:r>
      <w:r w:rsidRPr="007C7926">
        <w:rPr>
          <w:rFonts w:ascii="Palatino Linotype" w:hAnsi="Palatino Linotype" w:cs="Arial"/>
          <w:bCs/>
          <w:sz w:val="22"/>
          <w:szCs w:val="22"/>
        </w:rPr>
        <w:t>3.8 crore, options contract</w:t>
      </w:r>
      <w:r>
        <w:rPr>
          <w:rFonts w:ascii="Palatino Linotype" w:hAnsi="Palatino Linotype" w:cs="Arial"/>
          <w:bCs/>
          <w:sz w:val="22"/>
          <w:szCs w:val="22"/>
        </w:rPr>
        <w:t>s</w:t>
      </w:r>
      <w:r w:rsidRPr="007C7926">
        <w:rPr>
          <w:rFonts w:ascii="Palatino Linotype" w:hAnsi="Palatino Linotype" w:cs="Arial"/>
          <w:bCs/>
          <w:sz w:val="22"/>
          <w:szCs w:val="22"/>
        </w:rPr>
        <w:t xml:space="preserve"> </w:t>
      </w:r>
      <w:r>
        <w:rPr>
          <w:rFonts w:ascii="Palatino Linotype" w:hAnsi="Palatino Linotype" w:cs="Arial"/>
          <w:bCs/>
          <w:sz w:val="22"/>
          <w:szCs w:val="22"/>
        </w:rPr>
        <w:t xml:space="preserve">was not </w:t>
      </w:r>
      <w:r w:rsidRPr="007C7926">
        <w:rPr>
          <w:rFonts w:ascii="Palatino Linotype" w:hAnsi="Palatino Linotype" w:cs="Arial"/>
          <w:bCs/>
          <w:sz w:val="22"/>
          <w:szCs w:val="22"/>
        </w:rPr>
        <w:t xml:space="preserve">traded during the month. </w:t>
      </w:r>
      <w:r>
        <w:rPr>
          <w:rFonts w:ascii="Palatino Linotype" w:hAnsi="Palatino Linotype" w:cs="Arial"/>
          <w:bCs/>
          <w:sz w:val="22"/>
          <w:szCs w:val="22"/>
        </w:rPr>
        <w:t xml:space="preserve"> </w:t>
      </w:r>
      <w:r w:rsidRPr="009454C6">
        <w:rPr>
          <w:rFonts w:ascii="Palatino Linotype" w:hAnsi="Palatino Linotype" w:cs="Arial"/>
          <w:bCs/>
          <w:sz w:val="22"/>
          <w:szCs w:val="22"/>
        </w:rPr>
        <w:t xml:space="preserve"> </w:t>
      </w:r>
    </w:p>
    <w:p w:rsidR="00852BDF" w:rsidRPr="00FD351C" w:rsidRDefault="00852BDF" w:rsidP="00852BDF">
      <w:pPr>
        <w:pStyle w:val="ListParagraph"/>
        <w:numPr>
          <w:ilvl w:val="0"/>
          <w:numId w:val="33"/>
        </w:numPr>
        <w:spacing w:after="0" w:line="240" w:lineRule="auto"/>
        <w:ind w:left="284" w:hanging="568"/>
        <w:jc w:val="both"/>
        <w:rPr>
          <w:rFonts w:ascii="Palatino Linotype" w:hAnsi="Palatino Linotype" w:cs="Arial"/>
          <w:bCs/>
          <w:sz w:val="22"/>
          <w:szCs w:val="22"/>
        </w:rPr>
      </w:pPr>
      <w:r w:rsidRPr="00184B26">
        <w:rPr>
          <w:rFonts w:ascii="Palatino Linotype" w:hAnsi="Palatino Linotype" w:cs="Arial"/>
          <w:bCs/>
          <w:sz w:val="22"/>
          <w:szCs w:val="22"/>
        </w:rPr>
        <w:t xml:space="preserve">In </w:t>
      </w:r>
      <w:r>
        <w:rPr>
          <w:rFonts w:ascii="Palatino Linotype" w:hAnsi="Palatino Linotype" w:cs="Arial"/>
          <w:bCs/>
          <w:sz w:val="22"/>
          <w:szCs w:val="22"/>
        </w:rPr>
        <w:t>February</w:t>
      </w:r>
      <w:r w:rsidRPr="00184B26">
        <w:rPr>
          <w:rFonts w:ascii="Palatino Linotype" w:hAnsi="Palatino Linotype" w:cs="Arial"/>
          <w:bCs/>
          <w:sz w:val="22"/>
          <w:szCs w:val="22"/>
        </w:rPr>
        <w:t xml:space="preserve"> 2021, </w:t>
      </w:r>
      <w:r w:rsidRPr="00FD351C">
        <w:rPr>
          <w:rFonts w:ascii="Palatino Linotype" w:hAnsi="Palatino Linotype" w:cs="Arial"/>
          <w:bCs/>
          <w:sz w:val="22"/>
          <w:szCs w:val="22"/>
        </w:rPr>
        <w:t xml:space="preserve">the total turnover at ICEX, increased by </w:t>
      </w:r>
      <w:r>
        <w:rPr>
          <w:rFonts w:ascii="Palatino Linotype" w:hAnsi="Palatino Linotype" w:cs="Arial"/>
          <w:bCs/>
          <w:sz w:val="22"/>
          <w:szCs w:val="22"/>
        </w:rPr>
        <w:t>40.8</w:t>
      </w:r>
      <w:r w:rsidRPr="00FD351C">
        <w:rPr>
          <w:rFonts w:ascii="Palatino Linotype" w:hAnsi="Palatino Linotype" w:cs="Arial"/>
          <w:bCs/>
          <w:sz w:val="22"/>
          <w:szCs w:val="22"/>
        </w:rPr>
        <w:t xml:space="preserve"> per cent </w:t>
      </w:r>
      <w:r w:rsidRPr="00B92991">
        <w:rPr>
          <w:rFonts w:ascii="Palatino Linotype" w:hAnsi="Palatino Linotype" w:cs="Arial"/>
          <w:bCs/>
          <w:sz w:val="22"/>
          <w:szCs w:val="22"/>
        </w:rPr>
        <w:t xml:space="preserve">to </w:t>
      </w:r>
      <w:r w:rsidRPr="00FD351C">
        <w:rPr>
          <w:rFonts w:ascii="Tahoma" w:hAnsi="Tahoma" w:cs="Tahoma"/>
          <w:bCs/>
          <w:sz w:val="22"/>
          <w:szCs w:val="22"/>
        </w:rPr>
        <w:t>₹</w:t>
      </w:r>
      <w:r w:rsidRPr="00FD351C">
        <w:rPr>
          <w:rFonts w:ascii="Palatino Linotype" w:hAnsi="Palatino Linotype" w:cs="Arial"/>
          <w:bCs/>
          <w:sz w:val="22"/>
          <w:szCs w:val="22"/>
        </w:rPr>
        <w:t>1</w:t>
      </w:r>
      <w:r>
        <w:rPr>
          <w:rFonts w:ascii="Palatino Linotype" w:hAnsi="Palatino Linotype" w:cs="Arial"/>
          <w:bCs/>
          <w:sz w:val="22"/>
          <w:szCs w:val="22"/>
        </w:rPr>
        <w:t>8.6</w:t>
      </w:r>
      <w:r w:rsidRPr="00FD351C">
        <w:rPr>
          <w:rFonts w:ascii="Palatino Linotype" w:hAnsi="Palatino Linotype" w:cs="Arial"/>
          <w:bCs/>
          <w:sz w:val="22"/>
          <w:szCs w:val="22"/>
        </w:rPr>
        <w:t xml:space="preserve"> crore </w:t>
      </w:r>
      <w:r w:rsidRPr="00184B26">
        <w:rPr>
          <w:rFonts w:ascii="Palatino Linotype" w:hAnsi="Palatino Linotype" w:cs="Arial"/>
          <w:bCs/>
          <w:sz w:val="22"/>
          <w:szCs w:val="22"/>
        </w:rPr>
        <w:t xml:space="preserve">due to increase in traded value of </w:t>
      </w:r>
      <w:r w:rsidRPr="00FD351C">
        <w:rPr>
          <w:rFonts w:ascii="Palatino Linotype" w:hAnsi="Palatino Linotype" w:cs="Arial"/>
          <w:bCs/>
          <w:sz w:val="22"/>
          <w:szCs w:val="22"/>
        </w:rPr>
        <w:t>steel long contracts</w:t>
      </w:r>
      <w:r>
        <w:rPr>
          <w:rFonts w:ascii="Palatino Linotype" w:hAnsi="Palatino Linotype" w:cs="Arial"/>
          <w:bCs/>
          <w:sz w:val="22"/>
          <w:szCs w:val="22"/>
        </w:rPr>
        <w:t xml:space="preserve"> by 54.6 per cent</w:t>
      </w:r>
      <w:r>
        <w:rPr>
          <w:rFonts w:ascii="Tahoma" w:hAnsi="Tahoma" w:cs="Tahoma"/>
          <w:bCs/>
          <w:sz w:val="22"/>
          <w:szCs w:val="22"/>
        </w:rPr>
        <w:t>.</w:t>
      </w:r>
      <w:r w:rsidRPr="00FD351C">
        <w:rPr>
          <w:rFonts w:ascii="Palatino Linotype" w:hAnsi="Palatino Linotype" w:cs="Arial"/>
          <w:bCs/>
          <w:sz w:val="22"/>
          <w:szCs w:val="22"/>
        </w:rPr>
        <w:t xml:space="preserve"> </w:t>
      </w:r>
    </w:p>
    <w:p w:rsidR="00852BDF" w:rsidRPr="00184B26" w:rsidRDefault="00852BDF" w:rsidP="00852BDF">
      <w:pPr>
        <w:pStyle w:val="ListParagraph"/>
        <w:numPr>
          <w:ilvl w:val="0"/>
          <w:numId w:val="33"/>
        </w:numPr>
        <w:spacing w:after="0" w:line="240" w:lineRule="auto"/>
        <w:ind w:left="284" w:hanging="568"/>
        <w:jc w:val="both"/>
      </w:pPr>
      <w:r w:rsidRPr="00184B26">
        <w:rPr>
          <w:rFonts w:ascii="Palatino Linotype" w:hAnsi="Palatino Linotype" w:cs="Arial"/>
          <w:bCs/>
          <w:sz w:val="22"/>
          <w:szCs w:val="22"/>
        </w:rPr>
        <w:t xml:space="preserve">The turnover of agricultural and non-agricultural commodities at exchanges is shown in Figures </w:t>
      </w:r>
      <w:r w:rsidRPr="00B92991">
        <w:rPr>
          <w:rFonts w:ascii="Palatino Linotype" w:hAnsi="Palatino Linotype" w:cs="Arial"/>
          <w:bCs/>
          <w:sz w:val="22"/>
          <w:szCs w:val="22"/>
        </w:rPr>
        <w:t>15</w:t>
      </w:r>
      <w:r w:rsidRPr="00A7414A">
        <w:rPr>
          <w:rFonts w:ascii="Palatino Linotype" w:hAnsi="Palatino Linotype" w:cs="Arial"/>
          <w:bCs/>
          <w:sz w:val="22"/>
          <w:szCs w:val="22"/>
        </w:rPr>
        <w:t>,</w:t>
      </w:r>
      <w:r w:rsidRPr="00B92991">
        <w:rPr>
          <w:rFonts w:ascii="Palatino Linotype" w:hAnsi="Palatino Linotype" w:cs="Arial"/>
          <w:bCs/>
          <w:sz w:val="22"/>
          <w:szCs w:val="22"/>
        </w:rPr>
        <w:t xml:space="preserve"> 16 and 17 and the details are given in Tables 65 to 69.</w:t>
      </w:r>
    </w:p>
    <w:p w:rsidR="00852BDF" w:rsidRDefault="00852BDF" w:rsidP="00852BDF">
      <w:pPr>
        <w:jc w:val="both"/>
        <w:rPr>
          <w:rFonts w:ascii="Palatino Linotype" w:hAnsi="Palatino Linotype" w:cs="Arial"/>
          <w:bCs/>
        </w:rPr>
      </w:pPr>
    </w:p>
    <w:p w:rsidR="00852BDF" w:rsidRDefault="00852BDF" w:rsidP="00852BDF">
      <w:pPr>
        <w:pStyle w:val="ListParagraph"/>
        <w:spacing w:after="0" w:line="240" w:lineRule="auto"/>
        <w:jc w:val="center"/>
        <w:rPr>
          <w:rFonts w:ascii="Palatino Linotype" w:hAnsi="Palatino Linotype" w:cs="Arial"/>
          <w:b/>
          <w:bCs/>
          <w:sz w:val="22"/>
          <w:szCs w:val="22"/>
        </w:rPr>
      </w:pPr>
      <w:r w:rsidRPr="009B2971">
        <w:rPr>
          <w:rFonts w:ascii="Palatino Linotype" w:hAnsi="Palatino Linotype" w:cs="Arial"/>
          <w:b/>
          <w:bCs/>
          <w:sz w:val="22"/>
          <w:szCs w:val="22"/>
        </w:rPr>
        <w:t xml:space="preserve">Figure 15: Trends in Turnover of Agricultural Commodity Derivatives </w:t>
      </w:r>
    </w:p>
    <w:p w:rsidR="00852BDF" w:rsidRDefault="00852BDF" w:rsidP="00852BDF">
      <w:pPr>
        <w:pStyle w:val="ListParagraph"/>
        <w:spacing w:after="0" w:line="240" w:lineRule="auto"/>
        <w:jc w:val="center"/>
        <w:rPr>
          <w:rFonts w:ascii="Palatino Linotype" w:hAnsi="Palatino Linotype" w:cs="Arial"/>
          <w:b/>
          <w:bCs/>
          <w:sz w:val="22"/>
          <w:szCs w:val="22"/>
        </w:rPr>
      </w:pPr>
    </w:p>
    <w:p w:rsidR="00852BDF" w:rsidRDefault="00852BDF" w:rsidP="00852BDF">
      <w:pPr>
        <w:pStyle w:val="ListParagraph"/>
        <w:spacing w:after="0" w:line="240" w:lineRule="auto"/>
        <w:ind w:left="0"/>
        <w:jc w:val="center"/>
        <w:rPr>
          <w:rFonts w:ascii="Palatino Linotype" w:hAnsi="Palatino Linotype" w:cs="Arial"/>
          <w:b/>
          <w:bCs/>
          <w:color w:val="2E74B5" w:themeColor="accent1" w:themeShade="BF"/>
          <w:sz w:val="22"/>
          <w:szCs w:val="22"/>
        </w:rPr>
      </w:pPr>
      <w:r>
        <w:rPr>
          <w:noProof/>
          <w:lang w:val="en-IN" w:eastAsia="en-IN" w:bidi="hi-IN"/>
        </w:rPr>
        <w:drawing>
          <wp:inline distT="0" distB="0" distL="0" distR="0" wp14:anchorId="2DFC96BB" wp14:editId="4E2F4D5D">
            <wp:extent cx="5731510" cy="2958860"/>
            <wp:effectExtent l="0" t="0" r="2540" b="13335"/>
            <wp:docPr id="1" name="Chart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852BDF" w:rsidRDefault="00852BDF" w:rsidP="00852BDF">
      <w:pPr>
        <w:rPr>
          <w:rFonts w:ascii="Palatino Linotype" w:hAnsi="Palatino Linotype"/>
          <w:b/>
          <w:color w:val="0D0D0D" w:themeColor="text1" w:themeTint="F2"/>
          <w:sz w:val="18"/>
          <w:szCs w:val="18"/>
        </w:rPr>
      </w:pPr>
    </w:p>
    <w:p w:rsidR="00852BDF" w:rsidRPr="009B2971" w:rsidRDefault="00852BDF" w:rsidP="00852BDF">
      <w:pPr>
        <w:rPr>
          <w:rFonts w:ascii="Palatino Linotype" w:hAnsi="Palatino Linotype"/>
          <w:b/>
          <w:color w:val="0D0D0D" w:themeColor="text1" w:themeTint="F2"/>
          <w:sz w:val="18"/>
          <w:szCs w:val="18"/>
        </w:rPr>
      </w:pPr>
      <w:r w:rsidRPr="009B2971">
        <w:rPr>
          <w:rFonts w:ascii="Palatino Linotype" w:hAnsi="Palatino Linotype"/>
          <w:b/>
          <w:color w:val="0D0D0D" w:themeColor="text1" w:themeTint="F2"/>
          <w:sz w:val="18"/>
          <w:szCs w:val="18"/>
        </w:rPr>
        <w:t xml:space="preserve">Source: MCX, NCDEX, </w:t>
      </w:r>
      <w:r>
        <w:rPr>
          <w:rFonts w:ascii="Palatino Linotype" w:hAnsi="Palatino Linotype"/>
          <w:b/>
          <w:color w:val="0D0D0D" w:themeColor="text1" w:themeTint="F2"/>
          <w:sz w:val="18"/>
          <w:szCs w:val="18"/>
        </w:rPr>
        <w:t xml:space="preserve">NSE, </w:t>
      </w:r>
      <w:r w:rsidRPr="009B2971">
        <w:rPr>
          <w:rFonts w:ascii="Palatino Linotype" w:hAnsi="Palatino Linotype"/>
          <w:b/>
          <w:color w:val="0D0D0D" w:themeColor="text1" w:themeTint="F2"/>
          <w:sz w:val="18"/>
          <w:szCs w:val="18"/>
        </w:rPr>
        <w:t>BSE &amp; ICEX</w:t>
      </w: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jc w:val="center"/>
        <w:rPr>
          <w:rFonts w:ascii="Palatino Linotype" w:hAnsi="Palatino Linotype"/>
          <w:b/>
          <w:color w:val="365F91"/>
          <w:sz w:val="22"/>
          <w:szCs w:val="22"/>
        </w:rPr>
      </w:pPr>
    </w:p>
    <w:p w:rsidR="00852BDF" w:rsidRDefault="00852BDF" w:rsidP="00852BDF">
      <w:pPr>
        <w:pStyle w:val="ListParagraph"/>
        <w:spacing w:after="0" w:line="240" w:lineRule="auto"/>
        <w:ind w:left="426" w:hanging="862"/>
        <w:jc w:val="center"/>
        <w:rPr>
          <w:rFonts w:ascii="Palatino Linotype" w:hAnsi="Palatino Linotype"/>
          <w:b/>
          <w:sz w:val="22"/>
          <w:szCs w:val="22"/>
        </w:rPr>
      </w:pPr>
      <w:r>
        <w:rPr>
          <w:rFonts w:ascii="Palatino Linotype" w:hAnsi="Palatino Linotype"/>
          <w:b/>
          <w:sz w:val="22"/>
          <w:szCs w:val="22"/>
        </w:rPr>
        <w:t xml:space="preserve">   </w:t>
      </w:r>
      <w:r w:rsidRPr="009B2971">
        <w:rPr>
          <w:rFonts w:ascii="Palatino Linotype" w:hAnsi="Palatino Linotype"/>
          <w:b/>
          <w:sz w:val="22"/>
          <w:szCs w:val="22"/>
        </w:rPr>
        <w:t xml:space="preserve">Figure 16: Trends in Turnover of Non-Agricultural </w:t>
      </w:r>
      <w:r>
        <w:rPr>
          <w:rFonts w:ascii="Palatino Linotype" w:hAnsi="Palatino Linotype"/>
          <w:b/>
          <w:sz w:val="22"/>
          <w:szCs w:val="22"/>
        </w:rPr>
        <w:t>Futures contracts</w:t>
      </w:r>
      <w:r w:rsidRPr="009B2971">
        <w:rPr>
          <w:rFonts w:ascii="Palatino Linotype" w:hAnsi="Palatino Linotype"/>
          <w:b/>
          <w:sz w:val="22"/>
          <w:szCs w:val="22"/>
        </w:rPr>
        <w:t xml:space="preserve"> </w:t>
      </w:r>
    </w:p>
    <w:p w:rsidR="00852BDF" w:rsidRDefault="00852BDF" w:rsidP="00852BDF">
      <w:pPr>
        <w:pStyle w:val="ListParagraph"/>
        <w:spacing w:after="0" w:line="240" w:lineRule="auto"/>
        <w:ind w:left="426" w:hanging="862"/>
        <w:jc w:val="center"/>
        <w:rPr>
          <w:rFonts w:ascii="Palatino Linotype" w:hAnsi="Palatino Linotype"/>
          <w:b/>
          <w:sz w:val="22"/>
          <w:szCs w:val="22"/>
        </w:rPr>
      </w:pPr>
    </w:p>
    <w:p w:rsidR="00852BDF" w:rsidRPr="009B2971" w:rsidRDefault="00852BDF" w:rsidP="00852BDF">
      <w:pPr>
        <w:pStyle w:val="ListParagraph"/>
        <w:spacing w:after="0" w:line="240" w:lineRule="auto"/>
        <w:ind w:left="426" w:hanging="862"/>
        <w:jc w:val="center"/>
        <w:rPr>
          <w:rFonts w:ascii="Palatino Linotype" w:hAnsi="Palatino Linotype" w:cs="Arial"/>
          <w:b/>
          <w:bCs/>
          <w:sz w:val="22"/>
          <w:szCs w:val="22"/>
        </w:rPr>
      </w:pPr>
      <w:r>
        <w:rPr>
          <w:noProof/>
          <w:lang w:val="en-IN" w:eastAsia="en-IN" w:bidi="hi-IN"/>
        </w:rPr>
        <w:drawing>
          <wp:inline distT="0" distB="0" distL="0" distR="0" wp14:anchorId="07B7C2ED" wp14:editId="2FBDC548">
            <wp:extent cx="5836285" cy="3985404"/>
            <wp:effectExtent l="0" t="0" r="12065" b="15240"/>
            <wp:docPr id="19" name="Chart 19">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852BDF" w:rsidRDefault="00852BDF" w:rsidP="00852BDF">
      <w:pPr>
        <w:spacing w:line="259" w:lineRule="auto"/>
        <w:rPr>
          <w:rFonts w:ascii="Palatino Linotype" w:hAnsi="Palatino Linotype"/>
          <w:b/>
          <w:color w:val="0D0D0D" w:themeColor="text1" w:themeTint="F2"/>
          <w:sz w:val="18"/>
          <w:szCs w:val="18"/>
        </w:rPr>
      </w:pPr>
      <w:r w:rsidRPr="009B2971">
        <w:rPr>
          <w:rFonts w:ascii="Palatino Linotype" w:hAnsi="Palatino Linotype"/>
          <w:b/>
          <w:color w:val="0D0D0D" w:themeColor="text1" w:themeTint="F2"/>
          <w:sz w:val="18"/>
          <w:szCs w:val="18"/>
        </w:rPr>
        <w:t xml:space="preserve">  </w:t>
      </w:r>
    </w:p>
    <w:p w:rsidR="00852BDF" w:rsidRDefault="00852BDF" w:rsidP="00852BDF">
      <w:pPr>
        <w:spacing w:line="259" w:lineRule="auto"/>
        <w:rPr>
          <w:rFonts w:ascii="Palatino Linotype" w:hAnsi="Palatino Linotype" w:cs="Arial"/>
          <w:bCs/>
        </w:rPr>
      </w:pPr>
      <w:r w:rsidRPr="009B2971">
        <w:rPr>
          <w:rFonts w:ascii="Palatino Linotype" w:hAnsi="Palatino Linotype"/>
          <w:b/>
          <w:color w:val="0D0D0D" w:themeColor="text1" w:themeTint="F2"/>
          <w:sz w:val="18"/>
          <w:szCs w:val="18"/>
        </w:rPr>
        <w:t>Source: MCX, ICEX, BSE &amp; NSE.</w:t>
      </w:r>
      <w:r w:rsidRPr="00B92D2D">
        <w:rPr>
          <w:rFonts w:ascii="Palatino Linotype" w:hAnsi="Palatino Linotype" w:cs="Arial"/>
          <w:bCs/>
        </w:rPr>
        <w:t xml:space="preserve">                                                                  </w:t>
      </w:r>
    </w:p>
    <w:p w:rsidR="00852BDF" w:rsidRDefault="00852BDF" w:rsidP="00852BDF">
      <w:pPr>
        <w:pStyle w:val="ListParagraph"/>
        <w:spacing w:after="0" w:line="240" w:lineRule="auto"/>
        <w:ind w:left="-284" w:hanging="152"/>
        <w:jc w:val="center"/>
        <w:rPr>
          <w:rFonts w:ascii="Palatino Linotype" w:hAnsi="Palatino Linotype"/>
          <w:b/>
          <w:sz w:val="22"/>
          <w:szCs w:val="22"/>
        </w:rPr>
      </w:pPr>
      <w:r>
        <w:rPr>
          <w:rFonts w:ascii="Palatino Linotype" w:hAnsi="Palatino Linotype"/>
          <w:b/>
          <w:sz w:val="22"/>
          <w:szCs w:val="22"/>
        </w:rPr>
        <w:t>F</w:t>
      </w:r>
      <w:r w:rsidRPr="009B2971">
        <w:rPr>
          <w:rFonts w:ascii="Palatino Linotype" w:hAnsi="Palatino Linotype"/>
          <w:b/>
          <w:sz w:val="22"/>
          <w:szCs w:val="22"/>
        </w:rPr>
        <w:t>igure 1</w:t>
      </w:r>
      <w:r>
        <w:rPr>
          <w:rFonts w:ascii="Palatino Linotype" w:hAnsi="Palatino Linotype"/>
          <w:b/>
          <w:sz w:val="22"/>
          <w:szCs w:val="22"/>
        </w:rPr>
        <w:t>7</w:t>
      </w:r>
      <w:r w:rsidRPr="009B2971">
        <w:rPr>
          <w:rFonts w:ascii="Palatino Linotype" w:hAnsi="Palatino Linotype"/>
          <w:b/>
          <w:sz w:val="22"/>
          <w:szCs w:val="22"/>
        </w:rPr>
        <w:t xml:space="preserve">: Trends in Turnover of Non-Agricultural </w:t>
      </w:r>
      <w:r>
        <w:rPr>
          <w:rFonts w:ascii="Palatino Linotype" w:hAnsi="Palatino Linotype"/>
          <w:b/>
          <w:sz w:val="22"/>
          <w:szCs w:val="22"/>
        </w:rPr>
        <w:t xml:space="preserve">Options contracts </w:t>
      </w:r>
    </w:p>
    <w:p w:rsidR="00852BDF" w:rsidRDefault="00852BDF" w:rsidP="00852BDF">
      <w:pPr>
        <w:pStyle w:val="ListParagraph"/>
        <w:spacing w:after="0" w:line="240" w:lineRule="auto"/>
        <w:ind w:left="-284" w:hanging="152"/>
        <w:jc w:val="center"/>
        <w:rPr>
          <w:rFonts w:ascii="Palatino Linotype" w:hAnsi="Palatino Linotype"/>
          <w:b/>
          <w:sz w:val="22"/>
          <w:szCs w:val="22"/>
        </w:rPr>
      </w:pPr>
      <w:r>
        <w:rPr>
          <w:noProof/>
          <w:lang w:val="en-IN" w:eastAsia="en-IN" w:bidi="hi-IN"/>
        </w:rPr>
        <w:drawing>
          <wp:inline distT="0" distB="0" distL="0" distR="0" wp14:anchorId="1E462410" wp14:editId="03E2498A">
            <wp:extent cx="5731510" cy="3683479"/>
            <wp:effectExtent l="0" t="0" r="2540" b="12700"/>
            <wp:docPr id="20" name="Chart 20">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852BDF" w:rsidRDefault="00852BDF" w:rsidP="00852BDF">
      <w:pPr>
        <w:spacing w:line="259" w:lineRule="auto"/>
        <w:rPr>
          <w:rFonts w:ascii="Palatino Linotype" w:hAnsi="Palatino Linotype" w:cs="Arial"/>
          <w:bCs/>
        </w:rPr>
      </w:pPr>
      <w:r w:rsidRPr="009B2971">
        <w:rPr>
          <w:rFonts w:ascii="Palatino Linotype" w:hAnsi="Palatino Linotype"/>
          <w:b/>
          <w:color w:val="0D0D0D" w:themeColor="text1" w:themeTint="F2"/>
          <w:sz w:val="18"/>
          <w:szCs w:val="18"/>
        </w:rPr>
        <w:t>Source: MCX, BSE &amp; NSE.</w:t>
      </w:r>
    </w:p>
    <w:p w:rsidR="00396049" w:rsidRDefault="00396049">
      <w:pPr>
        <w:rPr>
          <w:rFonts w:ascii="Garamond" w:hAnsi="Garamond"/>
          <w:b/>
          <w:color w:val="0D0D0D" w:themeColor="text1" w:themeTint="F2"/>
          <w:sz w:val="18"/>
          <w:szCs w:val="18"/>
        </w:rPr>
      </w:pPr>
      <w:bookmarkStart w:id="1" w:name="_GoBack"/>
      <w:bookmarkEnd w:id="1"/>
      <w:r>
        <w:rPr>
          <w:rFonts w:ascii="Garamond" w:hAnsi="Garamond"/>
          <w:b/>
          <w:color w:val="0D0D0D" w:themeColor="text1" w:themeTint="F2"/>
          <w:sz w:val="18"/>
          <w:szCs w:val="18"/>
        </w:rPr>
        <w:br w:type="page"/>
      </w:r>
    </w:p>
    <w:p w:rsidR="002576F1" w:rsidRDefault="002576F1" w:rsidP="00146D0E">
      <w:pPr>
        <w:spacing w:after="160" w:line="259" w:lineRule="auto"/>
        <w:rPr>
          <w:rFonts w:ascii="Garamond" w:hAnsi="Garamond"/>
          <w:b/>
          <w:color w:val="0D0D0D" w:themeColor="text1" w:themeTint="F2"/>
          <w:sz w:val="18"/>
          <w:szCs w:val="18"/>
        </w:rPr>
      </w:pPr>
    </w:p>
    <w:p w:rsidR="00D46528" w:rsidRPr="00D46528" w:rsidRDefault="00D46528" w:rsidP="00396049">
      <w:pPr>
        <w:keepNext/>
        <w:keepLines/>
        <w:spacing w:before="240" w:after="40"/>
        <w:contextualSpacing/>
        <w:jc w:val="center"/>
        <w:outlineLvl w:val="3"/>
        <w:rPr>
          <w:rFonts w:ascii="Palatino Linotype" w:eastAsia="Times New Roman" w:hAnsi="Palatino Linotype"/>
          <w:b/>
          <w:color w:val="000000"/>
          <w:lang w:val="en-IN" w:eastAsia="en-IN"/>
        </w:rPr>
      </w:pPr>
      <w:r w:rsidRPr="00D46528">
        <w:rPr>
          <w:rFonts w:ascii="Palatino Linotype" w:eastAsia="Times New Roman" w:hAnsi="Palatino Linotype"/>
          <w:b/>
          <w:color w:val="000000"/>
          <w:lang w:val="en-IN" w:eastAsia="en-IN"/>
        </w:rPr>
        <w:t>OVERVIEW OF THE GLOBAL FINANCIAL MARKETS</w:t>
      </w:r>
    </w:p>
    <w:p w:rsidR="00D46528" w:rsidRPr="00D46528" w:rsidRDefault="00D46528" w:rsidP="00D46528">
      <w:pPr>
        <w:ind w:left="360"/>
        <w:contextualSpacing/>
        <w:jc w:val="both"/>
        <w:rPr>
          <w:rFonts w:ascii="Times New Roman" w:eastAsia="Times New Roman" w:hAnsi="Times New Roman"/>
          <w:sz w:val="20"/>
          <w:szCs w:val="20"/>
          <w:cs/>
          <w:lang w:val="en-US" w:eastAsia="en-GB" w:bidi="bn-IN"/>
        </w:rPr>
      </w:pPr>
    </w:p>
    <w:p w:rsidR="00D46528" w:rsidRPr="00D46528" w:rsidRDefault="00D46528" w:rsidP="00D46528">
      <w:pPr>
        <w:spacing w:line="23" w:lineRule="atLeast"/>
        <w:ind w:left="360"/>
        <w:contextualSpacing/>
        <w:jc w:val="both"/>
        <w:rPr>
          <w:rFonts w:ascii="Times New Roman" w:eastAsia="Times New Roman" w:hAnsi="Times New Roman"/>
          <w:sz w:val="20"/>
          <w:szCs w:val="20"/>
          <w:cs/>
          <w:lang w:val="en-US" w:eastAsia="en-GB" w:bidi="bn-IN"/>
        </w:rPr>
      </w:pPr>
    </w:p>
    <w:p w:rsidR="002C1136" w:rsidRPr="00FC45E5"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FC45E5">
        <w:rPr>
          <w:rFonts w:ascii="Palatino Linotype" w:eastAsia="Times New Roman" w:hAnsi="Palatino Linotype"/>
          <w:sz w:val="22"/>
          <w:szCs w:val="22"/>
          <w:lang w:val="en-US"/>
        </w:rPr>
        <w:t xml:space="preserve">The JPMorgan Global Composite Purchasing Managers’ Index (PMI), compiled by IHS Markit, </w:t>
      </w:r>
      <w:r>
        <w:rPr>
          <w:rFonts w:ascii="Palatino Linotype" w:eastAsia="Times New Roman" w:hAnsi="Palatino Linotype"/>
          <w:sz w:val="22"/>
          <w:szCs w:val="22"/>
          <w:lang w:val="en-US"/>
        </w:rPr>
        <w:t>increased</w:t>
      </w:r>
      <w:r w:rsidRPr="00FC45E5">
        <w:rPr>
          <w:rFonts w:ascii="Palatino Linotype" w:eastAsia="Times New Roman" w:hAnsi="Palatino Linotype"/>
          <w:sz w:val="22"/>
          <w:szCs w:val="22"/>
          <w:lang w:val="en-US"/>
        </w:rPr>
        <w:t xml:space="preserve"> to 53.2 in February, up from 52.3 in</w:t>
      </w:r>
      <w:r>
        <w:rPr>
          <w:rFonts w:ascii="Palatino Linotype" w:eastAsia="Times New Roman" w:hAnsi="Palatino Linotype"/>
          <w:sz w:val="22"/>
          <w:szCs w:val="22"/>
          <w:lang w:val="en-US"/>
        </w:rPr>
        <w:t xml:space="preserve"> </w:t>
      </w:r>
      <w:r w:rsidRPr="00FC45E5">
        <w:rPr>
          <w:rFonts w:ascii="Palatino Linotype" w:eastAsia="Times New Roman" w:hAnsi="Palatino Linotype"/>
          <w:sz w:val="22"/>
          <w:szCs w:val="22"/>
          <w:lang w:val="en-US"/>
        </w:rPr>
        <w:t xml:space="preserve">January. A reading of PMI above 50 means growth or expansion in economic activity. </w:t>
      </w:r>
    </w:p>
    <w:p w:rsidR="002C1136" w:rsidRPr="00FC45E5" w:rsidRDefault="002C1136" w:rsidP="002C1136">
      <w:pPr>
        <w:spacing w:before="100" w:beforeAutospacing="1" w:line="276" w:lineRule="auto"/>
        <w:ind w:left="360" w:right="107"/>
        <w:contextualSpacing/>
        <w:jc w:val="both"/>
        <w:rPr>
          <w:rFonts w:ascii="Palatino Linotype" w:eastAsia="Times New Roman" w:hAnsi="Palatino Linotype"/>
          <w:sz w:val="22"/>
          <w:szCs w:val="22"/>
        </w:rPr>
      </w:pPr>
    </w:p>
    <w:p w:rsidR="002C1136" w:rsidRPr="00FC45E5" w:rsidRDefault="00F3519E"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rPr>
        <w:t xml:space="preserve">In its February 2021 release, </w:t>
      </w:r>
      <w:r w:rsidR="002C1136" w:rsidRPr="007879CA">
        <w:rPr>
          <w:rFonts w:ascii="Palatino Linotype" w:eastAsia="Times New Roman" w:hAnsi="Palatino Linotype"/>
          <w:sz w:val="22"/>
          <w:szCs w:val="22"/>
        </w:rPr>
        <w:t>World Economic Situation and Prospects, United Nation</w:t>
      </w:r>
      <w:r w:rsidR="002C1136">
        <w:rPr>
          <w:rFonts w:ascii="Palatino Linotype" w:eastAsia="Times New Roman" w:hAnsi="Palatino Linotype"/>
          <w:sz w:val="22"/>
          <w:szCs w:val="22"/>
        </w:rPr>
        <w:t>s</w:t>
      </w:r>
      <w:r w:rsidR="002C1136" w:rsidRPr="007879CA">
        <w:rPr>
          <w:rFonts w:ascii="Palatino Linotype" w:eastAsia="Times New Roman" w:hAnsi="Palatino Linotype"/>
          <w:sz w:val="22"/>
          <w:szCs w:val="22"/>
        </w:rPr>
        <w:t xml:space="preserve"> (UN) estimated that </w:t>
      </w:r>
      <w:r w:rsidR="002C1136">
        <w:rPr>
          <w:rFonts w:ascii="Palatino Linotype" w:eastAsia="Times New Roman" w:hAnsi="Palatino Linotype"/>
          <w:sz w:val="22"/>
          <w:szCs w:val="22"/>
        </w:rPr>
        <w:t xml:space="preserve">during 2020, </w:t>
      </w:r>
      <w:r w:rsidR="002C1136" w:rsidRPr="007879CA">
        <w:rPr>
          <w:rFonts w:ascii="Palatino Linotype" w:eastAsia="Times New Roman" w:hAnsi="Palatino Linotype"/>
          <w:sz w:val="22"/>
          <w:szCs w:val="22"/>
        </w:rPr>
        <w:t>the world output shrank by 4.3 per cent.</w:t>
      </w:r>
      <w:r w:rsidR="002C1136" w:rsidRPr="007879CA">
        <w:rPr>
          <w:rFonts w:ascii="Palatino Linotype" w:eastAsia="Times New Roman" w:hAnsi="Palatino Linotype"/>
          <w:sz w:val="22"/>
          <w:szCs w:val="22"/>
          <w:lang w:val="en-US"/>
        </w:rPr>
        <w:t xml:space="preserve"> This was estimated to be three times more than the crisis of 2009. The effect of the pandemic was observed to be relatively stronger in developed economies than in developing economies. </w:t>
      </w:r>
    </w:p>
    <w:p w:rsidR="002C1136" w:rsidRPr="00FC45E5" w:rsidRDefault="002C1136" w:rsidP="002C1136">
      <w:pPr>
        <w:spacing w:before="100" w:beforeAutospacing="1" w:line="276" w:lineRule="auto"/>
        <w:ind w:left="360" w:right="107"/>
        <w:contextualSpacing/>
        <w:jc w:val="both"/>
        <w:rPr>
          <w:rFonts w:ascii="Palatino Linotype" w:eastAsia="Times New Roman" w:hAnsi="Palatino Linotype"/>
          <w:sz w:val="22"/>
          <w:szCs w:val="22"/>
        </w:rPr>
      </w:pPr>
    </w:p>
    <w:p w:rsidR="002C1136" w:rsidRPr="000D3B57"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Pr>
          <w:rFonts w:ascii="Palatino Linotype" w:eastAsia="Times New Roman" w:hAnsi="Palatino Linotype"/>
          <w:sz w:val="22"/>
          <w:szCs w:val="22"/>
          <w:lang w:val="en-US"/>
        </w:rPr>
        <w:t xml:space="preserve">The global trade shrank by 7.6 per cent during 2020 which was marginally lesser than the effect of the 2009 crisis. The recovery in merchandise trade was primarily steered by China and other East Asian economies. </w:t>
      </w:r>
    </w:p>
    <w:p w:rsidR="002C1136" w:rsidRPr="000D3B57"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0D3B57"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C57A69">
        <w:rPr>
          <w:rFonts w:ascii="Palatino Linotype" w:eastAsia="Times New Roman" w:hAnsi="Palatino Linotype"/>
          <w:sz w:val="22"/>
          <w:szCs w:val="22"/>
          <w:lang w:val="en-US"/>
        </w:rPr>
        <w:t xml:space="preserve">The emerging equity markets outperformed advanced markets in January 2021. MSCI Emerging Market (EM) index increased by </w:t>
      </w:r>
      <w:r>
        <w:rPr>
          <w:rFonts w:ascii="Palatino Linotype" w:eastAsia="Times New Roman" w:hAnsi="Palatino Linotype"/>
          <w:sz w:val="22"/>
          <w:szCs w:val="22"/>
          <w:lang w:val="en-US"/>
        </w:rPr>
        <w:t>0.7</w:t>
      </w:r>
      <w:r w:rsidRPr="00C57A69">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February</w:t>
      </w:r>
      <w:r w:rsidRPr="00C57A69">
        <w:rPr>
          <w:rFonts w:ascii="Palatino Linotype" w:eastAsia="Times New Roman" w:hAnsi="Palatino Linotype"/>
          <w:sz w:val="22"/>
          <w:szCs w:val="22"/>
          <w:lang w:val="en-US"/>
        </w:rPr>
        <w:t xml:space="preserve"> 2021 over the previous month, while MSCI World index </w:t>
      </w:r>
      <w:r>
        <w:rPr>
          <w:rFonts w:ascii="Palatino Linotype" w:eastAsia="Times New Roman" w:hAnsi="Palatino Linotype"/>
          <w:sz w:val="22"/>
          <w:szCs w:val="22"/>
          <w:lang w:val="en-US"/>
        </w:rPr>
        <w:t>increased</w:t>
      </w:r>
      <w:r w:rsidRPr="00C57A69">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2.2</w:t>
      </w:r>
      <w:r w:rsidRPr="00C57A69">
        <w:rPr>
          <w:rFonts w:ascii="Palatino Linotype" w:eastAsia="Times New Roman" w:hAnsi="Palatino Linotype"/>
          <w:sz w:val="22"/>
          <w:szCs w:val="22"/>
          <w:lang w:val="en-US"/>
        </w:rPr>
        <w:t xml:space="preserve"> per cent during same period. </w:t>
      </w:r>
    </w:p>
    <w:p w:rsidR="002C1136" w:rsidRPr="000D3B57"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0D3B57"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3B57">
        <w:rPr>
          <w:rFonts w:ascii="Palatino Linotype" w:eastAsia="Times New Roman" w:hAnsi="Palatino Linotype"/>
          <w:sz w:val="22"/>
          <w:szCs w:val="22"/>
          <w:lang w:val="en-US"/>
        </w:rPr>
        <w:t xml:space="preserve">The volatility in the equity markets </w:t>
      </w:r>
      <w:r>
        <w:rPr>
          <w:rFonts w:ascii="Palatino Linotype" w:eastAsia="Times New Roman" w:hAnsi="Palatino Linotype"/>
          <w:sz w:val="22"/>
          <w:szCs w:val="22"/>
          <w:lang w:val="en-US"/>
        </w:rPr>
        <w:t>decreased</w:t>
      </w:r>
      <w:r w:rsidRPr="000D3B57">
        <w:rPr>
          <w:rFonts w:ascii="Palatino Linotype" w:eastAsia="Times New Roman" w:hAnsi="Palatino Linotype"/>
          <w:sz w:val="22"/>
          <w:szCs w:val="22"/>
          <w:lang w:val="en-US"/>
        </w:rPr>
        <w:t xml:space="preserve"> during </w:t>
      </w:r>
      <w:r>
        <w:rPr>
          <w:rFonts w:ascii="Palatino Linotype" w:eastAsia="Times New Roman" w:hAnsi="Palatino Linotype"/>
          <w:sz w:val="22"/>
          <w:szCs w:val="22"/>
          <w:lang w:val="en-US"/>
        </w:rPr>
        <w:t>February</w:t>
      </w:r>
      <w:r w:rsidRPr="000D3B57">
        <w:rPr>
          <w:rFonts w:ascii="Palatino Linotype" w:eastAsia="Times New Roman" w:hAnsi="Palatino Linotype"/>
          <w:sz w:val="22"/>
          <w:szCs w:val="22"/>
          <w:lang w:val="en-US"/>
        </w:rPr>
        <w:t xml:space="preserve"> 2021. The CBOE VIX index </w:t>
      </w:r>
      <w:r>
        <w:rPr>
          <w:rFonts w:ascii="Palatino Linotype" w:eastAsia="Times New Roman" w:hAnsi="Palatino Linotype"/>
          <w:sz w:val="22"/>
          <w:szCs w:val="22"/>
          <w:lang w:val="en-US"/>
        </w:rPr>
        <w:t>decreased</w:t>
      </w:r>
      <w:r w:rsidRPr="000D3B57">
        <w:rPr>
          <w:rFonts w:ascii="Palatino Linotype" w:eastAsia="Times New Roman" w:hAnsi="Palatino Linotype"/>
          <w:sz w:val="22"/>
          <w:szCs w:val="22"/>
          <w:lang w:val="en-US"/>
        </w:rPr>
        <w:t xml:space="preserve"> to</w:t>
      </w:r>
      <w:r w:rsidRPr="00847B9F">
        <w:t xml:space="preserve"> </w:t>
      </w:r>
      <w:r w:rsidRPr="00847B9F">
        <w:rPr>
          <w:rFonts w:ascii="Palatino Linotype" w:eastAsia="Times New Roman" w:hAnsi="Palatino Linotype"/>
          <w:sz w:val="22"/>
          <w:szCs w:val="22"/>
          <w:lang w:val="en-US"/>
        </w:rPr>
        <w:t>2</w:t>
      </w:r>
      <w:r>
        <w:rPr>
          <w:rFonts w:ascii="Palatino Linotype" w:eastAsia="Times New Roman" w:hAnsi="Palatino Linotype"/>
          <w:sz w:val="22"/>
          <w:szCs w:val="22"/>
          <w:lang w:val="en-US"/>
        </w:rPr>
        <w:t>8</w:t>
      </w:r>
      <w:r w:rsidRPr="00847B9F">
        <w:rPr>
          <w:rFonts w:ascii="Palatino Linotype" w:eastAsia="Times New Roman" w:hAnsi="Palatino Linotype"/>
          <w:sz w:val="22"/>
          <w:szCs w:val="22"/>
          <w:lang w:val="en-US"/>
        </w:rPr>
        <w:t>.</w:t>
      </w:r>
      <w:r>
        <w:rPr>
          <w:rFonts w:ascii="Palatino Linotype" w:eastAsia="Times New Roman" w:hAnsi="Palatino Linotype"/>
          <w:sz w:val="22"/>
          <w:szCs w:val="22"/>
          <w:lang w:val="en-US"/>
        </w:rPr>
        <w:t>0</w:t>
      </w:r>
      <w:r w:rsidRPr="000D3B5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at the</w:t>
      </w:r>
      <w:r w:rsidRPr="000D3B57">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end of February 2021</w:t>
      </w:r>
      <w:r w:rsidRPr="000D3B57">
        <w:rPr>
          <w:rFonts w:ascii="Palatino Linotype" w:eastAsia="Times New Roman" w:hAnsi="Palatino Linotype"/>
          <w:sz w:val="22"/>
          <w:szCs w:val="22"/>
          <w:lang w:val="en-US"/>
        </w:rPr>
        <w:t xml:space="preserve"> from </w:t>
      </w:r>
      <w:r>
        <w:rPr>
          <w:rFonts w:ascii="Palatino Linotype" w:eastAsia="Times New Roman" w:hAnsi="Palatino Linotype"/>
          <w:sz w:val="22"/>
          <w:szCs w:val="22"/>
          <w:lang w:val="en-US"/>
        </w:rPr>
        <w:t>33.1</w:t>
      </w:r>
      <w:r w:rsidRPr="000D3B57">
        <w:rPr>
          <w:rFonts w:ascii="Palatino Linotype" w:eastAsia="Times New Roman" w:hAnsi="Palatino Linotype"/>
          <w:sz w:val="22"/>
          <w:szCs w:val="22"/>
          <w:lang w:val="en-US"/>
        </w:rPr>
        <w:t xml:space="preserve"> as </w:t>
      </w:r>
      <w:r>
        <w:rPr>
          <w:rFonts w:ascii="Palatino Linotype" w:eastAsia="Times New Roman" w:hAnsi="Palatino Linotype"/>
          <w:sz w:val="22"/>
          <w:szCs w:val="22"/>
          <w:lang w:val="en-US"/>
        </w:rPr>
        <w:t>at</w:t>
      </w:r>
      <w:r w:rsidRPr="000D3B57">
        <w:rPr>
          <w:rFonts w:ascii="Palatino Linotype" w:eastAsia="Times New Roman" w:hAnsi="Palatino Linotype"/>
          <w:sz w:val="22"/>
          <w:szCs w:val="22"/>
          <w:lang w:val="en-US"/>
        </w:rPr>
        <w:t xml:space="preserve"> the end of last month.</w:t>
      </w:r>
    </w:p>
    <w:p w:rsidR="002C1136" w:rsidRPr="000D3B57"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0D3B57"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3B57">
        <w:rPr>
          <w:rFonts w:ascii="Palatino Linotype" w:eastAsia="Times New Roman" w:hAnsi="Palatino Linotype"/>
          <w:sz w:val="22"/>
          <w:szCs w:val="22"/>
          <w:lang w:val="en-US"/>
        </w:rPr>
        <w:t xml:space="preserve">The bond markets remained mostly flat during </w:t>
      </w:r>
      <w:r>
        <w:rPr>
          <w:rFonts w:ascii="Palatino Linotype" w:eastAsia="Times New Roman" w:hAnsi="Palatino Linotype"/>
          <w:sz w:val="22"/>
          <w:szCs w:val="22"/>
          <w:lang w:val="en-US"/>
        </w:rPr>
        <w:t>February</w:t>
      </w:r>
      <w:r w:rsidRPr="000D3B57">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0D3B57">
        <w:rPr>
          <w:rFonts w:ascii="Palatino Linotype" w:eastAsia="Times New Roman" w:hAnsi="Palatino Linotype"/>
          <w:sz w:val="22"/>
          <w:szCs w:val="22"/>
          <w:lang w:val="en-US"/>
        </w:rPr>
        <w:t xml:space="preserve">. While the US 10-year government bond yield increased by </w:t>
      </w:r>
      <w:r>
        <w:rPr>
          <w:rFonts w:ascii="Palatino Linotype" w:eastAsia="Times New Roman" w:hAnsi="Palatino Linotype"/>
          <w:sz w:val="22"/>
          <w:szCs w:val="22"/>
          <w:lang w:val="en-US"/>
        </w:rPr>
        <w:t>36</w:t>
      </w:r>
      <w:r w:rsidRPr="000D3B57">
        <w:rPr>
          <w:rFonts w:ascii="Palatino Linotype" w:eastAsia="Times New Roman" w:hAnsi="Palatino Linotype"/>
          <w:sz w:val="22"/>
          <w:szCs w:val="22"/>
          <w:lang w:val="en-US"/>
        </w:rPr>
        <w:t xml:space="preserve"> bps to </w:t>
      </w:r>
      <w:r>
        <w:rPr>
          <w:rFonts w:ascii="Palatino Linotype" w:eastAsia="Times New Roman" w:hAnsi="Palatino Linotype"/>
          <w:sz w:val="22"/>
          <w:szCs w:val="22"/>
          <w:lang w:val="en-US"/>
        </w:rPr>
        <w:t>1.46</w:t>
      </w:r>
      <w:r w:rsidRPr="000D3B57">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February</w:t>
      </w:r>
      <w:r w:rsidRPr="000D3B57">
        <w:rPr>
          <w:rFonts w:ascii="Palatino Linotype" w:eastAsia="Times New Roman" w:hAnsi="Palatino Linotype"/>
          <w:sz w:val="22"/>
          <w:szCs w:val="22"/>
          <w:lang w:val="en-US"/>
        </w:rPr>
        <w:t xml:space="preserve"> 2020. The 10-year government bond yield of India </w:t>
      </w:r>
      <w:r>
        <w:rPr>
          <w:rFonts w:ascii="Palatino Linotype" w:eastAsia="Times New Roman" w:hAnsi="Palatino Linotype"/>
          <w:sz w:val="22"/>
          <w:szCs w:val="22"/>
          <w:lang w:val="en-US"/>
        </w:rPr>
        <w:t>increased</w:t>
      </w:r>
      <w:r w:rsidRPr="000D3B57">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 xml:space="preserve">28 </w:t>
      </w:r>
      <w:r w:rsidRPr="000D3B57">
        <w:rPr>
          <w:rFonts w:ascii="Palatino Linotype" w:eastAsia="Times New Roman" w:hAnsi="Palatino Linotype"/>
          <w:sz w:val="22"/>
          <w:szCs w:val="22"/>
          <w:lang w:val="en-US"/>
        </w:rPr>
        <w:t xml:space="preserve">bps to </w:t>
      </w:r>
      <w:r>
        <w:rPr>
          <w:rFonts w:ascii="Palatino Linotype" w:eastAsia="Times New Roman" w:hAnsi="Palatino Linotype"/>
          <w:sz w:val="22"/>
          <w:szCs w:val="22"/>
          <w:lang w:val="en-US"/>
        </w:rPr>
        <w:t>6.23</w:t>
      </w:r>
      <w:r w:rsidRPr="000D3B57">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at the end of February 2021</w:t>
      </w:r>
      <w:r w:rsidRPr="000D3B57">
        <w:rPr>
          <w:rFonts w:ascii="Palatino Linotype" w:eastAsia="Times New Roman" w:hAnsi="Palatino Linotype"/>
          <w:sz w:val="22"/>
          <w:szCs w:val="22"/>
          <w:lang w:val="en-US"/>
        </w:rPr>
        <w:t>, compared to end of the previous month.</w:t>
      </w:r>
    </w:p>
    <w:p w:rsidR="002C1136" w:rsidRPr="00634D19"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634D19"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634D19">
        <w:rPr>
          <w:rFonts w:ascii="Palatino Linotype" w:eastAsia="Times New Roman" w:hAnsi="Palatino Linotype"/>
          <w:sz w:val="22"/>
          <w:szCs w:val="22"/>
          <w:lang w:val="en-US"/>
        </w:rPr>
        <w:t>The WTI crude</w:t>
      </w:r>
      <w:r>
        <w:rPr>
          <w:rFonts w:ascii="Palatino Linotype" w:eastAsia="Times New Roman" w:hAnsi="Palatino Linotype"/>
          <w:sz w:val="22"/>
          <w:szCs w:val="22"/>
          <w:lang w:val="en-US"/>
        </w:rPr>
        <w:t xml:space="preserve"> </w:t>
      </w:r>
      <w:r w:rsidRPr="00634D19">
        <w:rPr>
          <w:rFonts w:ascii="Palatino Linotype" w:eastAsia="Times New Roman" w:hAnsi="Palatino Linotype"/>
          <w:sz w:val="22"/>
          <w:szCs w:val="22"/>
          <w:lang w:val="en-US"/>
        </w:rPr>
        <w:t xml:space="preserve">oil prices increased by USD </w:t>
      </w:r>
      <w:r>
        <w:rPr>
          <w:rFonts w:ascii="Palatino Linotype" w:eastAsia="Times New Roman" w:hAnsi="Palatino Linotype"/>
          <w:sz w:val="22"/>
          <w:szCs w:val="22"/>
          <w:lang w:val="en-US"/>
        </w:rPr>
        <w:t>9.3</w:t>
      </w:r>
      <w:r w:rsidRPr="00634D19">
        <w:rPr>
          <w:rFonts w:ascii="Palatino Linotype" w:eastAsia="Times New Roman" w:hAnsi="Palatino Linotype"/>
          <w:sz w:val="22"/>
          <w:szCs w:val="22"/>
          <w:lang w:val="en-US"/>
        </w:rPr>
        <w:t xml:space="preserve"> per barrel (or by </w:t>
      </w:r>
      <w:r>
        <w:rPr>
          <w:rFonts w:ascii="Palatino Linotype" w:eastAsia="Times New Roman" w:hAnsi="Palatino Linotype"/>
          <w:sz w:val="22"/>
          <w:szCs w:val="22"/>
          <w:lang w:val="en-US"/>
        </w:rPr>
        <w:t>17.8</w:t>
      </w:r>
      <w:r w:rsidRPr="00634D19">
        <w:rPr>
          <w:rFonts w:ascii="Palatino Linotype" w:eastAsia="Times New Roman" w:hAnsi="Palatino Linotype"/>
          <w:sz w:val="22"/>
          <w:szCs w:val="22"/>
          <w:lang w:val="en-US"/>
        </w:rPr>
        <w:t xml:space="preserve"> per cent) to USD </w:t>
      </w:r>
      <w:r>
        <w:rPr>
          <w:rFonts w:ascii="Palatino Linotype" w:eastAsia="Times New Roman" w:hAnsi="Palatino Linotype"/>
          <w:sz w:val="22"/>
          <w:szCs w:val="22"/>
          <w:lang w:val="en-US"/>
        </w:rPr>
        <w:t>61.5</w:t>
      </w:r>
      <w:r w:rsidRPr="00634D19">
        <w:rPr>
          <w:rFonts w:ascii="Palatino Linotype" w:eastAsia="Times New Roman" w:hAnsi="Palatino Linotype"/>
          <w:sz w:val="22"/>
          <w:szCs w:val="22"/>
          <w:lang w:val="en-US"/>
        </w:rPr>
        <w:t xml:space="preserve"> per barrel in </w:t>
      </w:r>
      <w:r>
        <w:rPr>
          <w:rFonts w:ascii="Palatino Linotype" w:eastAsia="Times New Roman" w:hAnsi="Palatino Linotype"/>
          <w:sz w:val="22"/>
          <w:szCs w:val="22"/>
          <w:lang w:val="en-US"/>
        </w:rPr>
        <w:t>February</w:t>
      </w:r>
      <w:r w:rsidRPr="00634D19">
        <w:rPr>
          <w:rFonts w:ascii="Palatino Linotype" w:eastAsia="Times New Roman" w:hAnsi="Palatino Linotype"/>
          <w:sz w:val="22"/>
          <w:szCs w:val="22"/>
          <w:lang w:val="en-US"/>
        </w:rPr>
        <w:t xml:space="preserve"> 2021. Gold prices, decreased by </w:t>
      </w:r>
      <w:r>
        <w:rPr>
          <w:rFonts w:ascii="Palatino Linotype" w:eastAsia="Times New Roman" w:hAnsi="Palatino Linotype"/>
          <w:sz w:val="22"/>
          <w:szCs w:val="22"/>
          <w:lang w:val="en-US"/>
        </w:rPr>
        <w:t>6.1</w:t>
      </w:r>
      <w:r w:rsidRPr="00634D19">
        <w:rPr>
          <w:rFonts w:ascii="Palatino Linotype" w:eastAsia="Times New Roman" w:hAnsi="Palatino Linotype"/>
          <w:sz w:val="22"/>
          <w:szCs w:val="22"/>
          <w:lang w:val="en-US"/>
        </w:rPr>
        <w:t xml:space="preserve"> per cent during </w:t>
      </w:r>
      <w:r>
        <w:rPr>
          <w:rFonts w:ascii="Palatino Linotype" w:eastAsia="Times New Roman" w:hAnsi="Palatino Linotype"/>
          <w:sz w:val="22"/>
          <w:szCs w:val="22"/>
          <w:lang w:val="en-US"/>
        </w:rPr>
        <w:t>February</w:t>
      </w:r>
      <w:r w:rsidRPr="00634D19">
        <w:rPr>
          <w:rFonts w:ascii="Palatino Linotype" w:eastAsia="Times New Roman" w:hAnsi="Palatino Linotype"/>
          <w:sz w:val="22"/>
          <w:szCs w:val="22"/>
          <w:lang w:val="en-US"/>
        </w:rPr>
        <w:t xml:space="preserve"> to USD 1,</w:t>
      </w:r>
      <w:r>
        <w:rPr>
          <w:rFonts w:ascii="Palatino Linotype" w:eastAsia="Times New Roman" w:hAnsi="Palatino Linotype"/>
          <w:sz w:val="22"/>
          <w:szCs w:val="22"/>
          <w:lang w:val="en-US"/>
        </w:rPr>
        <w:t>733.5 at the end of February</w:t>
      </w:r>
      <w:r w:rsidRPr="00634D19">
        <w:rPr>
          <w:rFonts w:ascii="Palatino Linotype" w:eastAsia="Times New Roman" w:hAnsi="Palatino Linotype"/>
          <w:sz w:val="22"/>
          <w:szCs w:val="22"/>
          <w:lang w:val="en-US"/>
        </w:rPr>
        <w:t xml:space="preserve"> 2021 from USD 1,</w:t>
      </w:r>
      <w:r>
        <w:rPr>
          <w:rFonts w:ascii="Palatino Linotype" w:eastAsia="Times New Roman" w:hAnsi="Palatino Linotype"/>
          <w:sz w:val="22"/>
          <w:szCs w:val="22"/>
          <w:lang w:val="en-US"/>
        </w:rPr>
        <w:t>846.1</w:t>
      </w:r>
      <w:r w:rsidRPr="00634D19">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at the end of January 2021</w:t>
      </w:r>
      <w:r w:rsidRPr="00634D19">
        <w:rPr>
          <w:rFonts w:ascii="Palatino Linotype" w:eastAsia="Times New Roman" w:hAnsi="Palatino Linotype"/>
          <w:sz w:val="22"/>
          <w:szCs w:val="22"/>
          <w:lang w:val="en-US"/>
        </w:rPr>
        <w:t>. </w:t>
      </w:r>
    </w:p>
    <w:p w:rsidR="002C1136" w:rsidRPr="00DA729E"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284E73"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DA729E">
        <w:rPr>
          <w:rFonts w:ascii="Palatino Linotype" w:eastAsia="Times New Roman" w:hAnsi="Palatino Linotype"/>
          <w:sz w:val="22"/>
          <w:szCs w:val="22"/>
          <w:lang w:val="en-US"/>
        </w:rPr>
        <w:t>As per the latest estimate, the US economy expanded by 4.</w:t>
      </w:r>
      <w:r>
        <w:rPr>
          <w:rFonts w:ascii="Palatino Linotype" w:eastAsia="Times New Roman" w:hAnsi="Palatino Linotype"/>
          <w:sz w:val="22"/>
          <w:szCs w:val="22"/>
          <w:lang w:val="en-US"/>
        </w:rPr>
        <w:t>1</w:t>
      </w:r>
      <w:r w:rsidRPr="00DA729E">
        <w:rPr>
          <w:rFonts w:ascii="Palatino Linotype" w:eastAsia="Times New Roman" w:hAnsi="Palatino Linotype"/>
          <w:sz w:val="22"/>
          <w:szCs w:val="22"/>
          <w:lang w:val="en-US"/>
        </w:rPr>
        <w:t xml:space="preserve"> per cent Q-o-Q in annualised terms in the Q4 of 2020, compared to 33.4 per cent increase Q-o-Q in annualised terms during the previous quarter. The US unemployment rate </w:t>
      </w:r>
      <w:r>
        <w:rPr>
          <w:rFonts w:ascii="Palatino Linotype" w:eastAsia="Times New Roman" w:hAnsi="Palatino Linotype"/>
          <w:sz w:val="22"/>
          <w:szCs w:val="22"/>
          <w:lang w:val="en-US"/>
        </w:rPr>
        <w:t>decreased to</w:t>
      </w:r>
      <w:r w:rsidRPr="00DA729E">
        <w:rPr>
          <w:rFonts w:ascii="Palatino Linotype" w:eastAsia="Times New Roman" w:hAnsi="Palatino Linotype"/>
          <w:sz w:val="22"/>
          <w:szCs w:val="22"/>
          <w:lang w:val="en-US"/>
        </w:rPr>
        <w:t xml:space="preserve"> 6.2 per cent in </w:t>
      </w:r>
      <w:r>
        <w:rPr>
          <w:rFonts w:ascii="Palatino Linotype" w:eastAsia="Times New Roman" w:hAnsi="Palatino Linotype"/>
          <w:sz w:val="22"/>
          <w:szCs w:val="22"/>
          <w:lang w:val="en-US"/>
        </w:rPr>
        <w:t>February</w:t>
      </w:r>
      <w:r w:rsidRPr="00DA729E">
        <w:rPr>
          <w:rFonts w:ascii="Palatino Linotype" w:eastAsia="Times New Roman" w:hAnsi="Palatino Linotype"/>
          <w:sz w:val="22"/>
          <w:szCs w:val="22"/>
          <w:lang w:val="en-US"/>
        </w:rPr>
        <w:t xml:space="preserve"> 2021 from 6.</w:t>
      </w:r>
      <w:r>
        <w:rPr>
          <w:rFonts w:ascii="Palatino Linotype" w:eastAsia="Times New Roman" w:hAnsi="Palatino Linotype"/>
          <w:sz w:val="22"/>
          <w:szCs w:val="22"/>
          <w:lang w:val="en-US"/>
        </w:rPr>
        <w:t>3</w:t>
      </w:r>
      <w:r w:rsidRPr="00DA729E">
        <w:rPr>
          <w:rFonts w:ascii="Palatino Linotype" w:eastAsia="Times New Roman" w:hAnsi="Palatino Linotype"/>
          <w:sz w:val="22"/>
          <w:szCs w:val="22"/>
          <w:lang w:val="en-US"/>
        </w:rPr>
        <w:t xml:space="preserve"> per cent in the previous month. The US PMI data also indicate rising economic activity.</w:t>
      </w:r>
      <w:r w:rsidRPr="00284E73">
        <w:rPr>
          <w:rFonts w:ascii="Palatino Linotype" w:eastAsia="Times New Roman" w:hAnsi="Palatino Linotype"/>
          <w:sz w:val="22"/>
          <w:szCs w:val="22"/>
          <w:lang w:val="en-US"/>
        </w:rPr>
        <w:t xml:space="preserve"> The IHS Market’s US </w:t>
      </w:r>
      <w:r>
        <w:rPr>
          <w:rFonts w:ascii="Palatino Linotype" w:eastAsia="Times New Roman" w:hAnsi="Palatino Linotype"/>
          <w:sz w:val="22"/>
          <w:szCs w:val="22"/>
          <w:lang w:val="en-US"/>
        </w:rPr>
        <w:t>Manufacturing</w:t>
      </w:r>
      <w:r w:rsidRPr="00284E73">
        <w:rPr>
          <w:rFonts w:ascii="Palatino Linotype" w:eastAsia="Times New Roman" w:hAnsi="Palatino Linotype"/>
          <w:sz w:val="22"/>
          <w:szCs w:val="22"/>
          <w:lang w:val="en-US"/>
        </w:rPr>
        <w:t xml:space="preserve"> PMI </w:t>
      </w:r>
      <w:r>
        <w:rPr>
          <w:rFonts w:ascii="Palatino Linotype" w:eastAsia="Times New Roman" w:hAnsi="Palatino Linotype"/>
          <w:sz w:val="22"/>
          <w:szCs w:val="22"/>
          <w:lang w:val="en-US"/>
        </w:rPr>
        <w:t>decreased</w:t>
      </w:r>
      <w:r w:rsidRPr="00284E73">
        <w:rPr>
          <w:rFonts w:ascii="Palatino Linotype" w:eastAsia="Times New Roman" w:hAnsi="Palatino Linotype"/>
          <w:sz w:val="22"/>
          <w:szCs w:val="22"/>
          <w:lang w:val="en-US"/>
        </w:rPr>
        <w:t xml:space="preserve"> to 58.</w:t>
      </w:r>
      <w:r>
        <w:rPr>
          <w:rFonts w:ascii="Palatino Linotype" w:eastAsia="Times New Roman" w:hAnsi="Palatino Linotype"/>
          <w:sz w:val="22"/>
          <w:szCs w:val="22"/>
          <w:lang w:val="en-US"/>
        </w:rPr>
        <w:t>6</w:t>
      </w:r>
      <w:r w:rsidRPr="00284E73">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February</w:t>
      </w:r>
      <w:r w:rsidRPr="00284E73">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59.2</w:t>
      </w:r>
      <w:r w:rsidRPr="00284E73">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January 2021</w:t>
      </w:r>
      <w:r w:rsidRPr="00284E73">
        <w:rPr>
          <w:rFonts w:ascii="Palatino Linotype" w:eastAsia="Times New Roman" w:hAnsi="Palatino Linotype"/>
          <w:sz w:val="22"/>
          <w:szCs w:val="22"/>
          <w:lang w:val="en-US"/>
        </w:rPr>
        <w:t>.</w:t>
      </w:r>
    </w:p>
    <w:p w:rsidR="002C1136" w:rsidRPr="00284E73" w:rsidRDefault="002C1136" w:rsidP="002C1136">
      <w:pPr>
        <w:spacing w:after="200" w:line="276" w:lineRule="auto"/>
        <w:ind w:left="720" w:right="107"/>
        <w:contextualSpacing/>
        <w:rPr>
          <w:rFonts w:ascii="Palatino Linotype" w:eastAsia="Times New Roman" w:hAnsi="Palatino Linotype"/>
          <w:sz w:val="22"/>
          <w:szCs w:val="22"/>
          <w:lang w:val="en-US"/>
        </w:rPr>
      </w:pPr>
    </w:p>
    <w:p w:rsidR="002C1136" w:rsidRPr="00FA155B"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FA155B">
        <w:rPr>
          <w:rFonts w:ascii="Palatino Linotype" w:eastAsia="Times New Roman" w:hAnsi="Palatino Linotype"/>
          <w:sz w:val="22"/>
          <w:szCs w:val="22"/>
          <w:lang w:val="en-US"/>
        </w:rPr>
        <w:t xml:space="preserve">The UK economy grew by 1.0 per cent Q-o-Q in Q4 of 2020, against 16.1 per cent expansion of the previous quarter. The IHS Markit UK composite PMI observed at </w:t>
      </w:r>
      <w:r>
        <w:rPr>
          <w:rFonts w:ascii="Palatino Linotype" w:eastAsia="Times New Roman" w:hAnsi="Palatino Linotype"/>
          <w:sz w:val="22"/>
          <w:szCs w:val="22"/>
          <w:lang w:val="en-US"/>
        </w:rPr>
        <w:t>49.8</w:t>
      </w:r>
      <w:r w:rsidRPr="00FA155B">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February</w:t>
      </w:r>
      <w:r w:rsidRPr="00FA155B">
        <w:rPr>
          <w:rFonts w:ascii="Palatino Linotype" w:eastAsia="Times New Roman" w:hAnsi="Palatino Linotype"/>
          <w:sz w:val="22"/>
          <w:szCs w:val="22"/>
          <w:lang w:val="en-US"/>
        </w:rPr>
        <w:t xml:space="preserve"> 2021 from </w:t>
      </w:r>
      <w:r>
        <w:rPr>
          <w:rFonts w:ascii="Palatino Linotype" w:eastAsia="Times New Roman" w:hAnsi="Palatino Linotype"/>
          <w:sz w:val="22"/>
          <w:szCs w:val="22"/>
          <w:lang w:val="en-US"/>
        </w:rPr>
        <w:t>41.2</w:t>
      </w:r>
      <w:r w:rsidRPr="00FA155B">
        <w:rPr>
          <w:rFonts w:ascii="Palatino Linotype" w:eastAsia="Times New Roman" w:hAnsi="Palatino Linotype"/>
          <w:sz w:val="22"/>
          <w:szCs w:val="22"/>
          <w:lang w:val="en-US"/>
        </w:rPr>
        <w:t xml:space="preserve"> in previous month. </w:t>
      </w:r>
    </w:p>
    <w:p w:rsidR="002C1136" w:rsidRPr="00EA4DF8"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EA4DF8"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EA4DF8">
        <w:rPr>
          <w:rFonts w:ascii="Palatino Linotype" w:eastAsia="Times New Roman" w:hAnsi="Palatino Linotype"/>
          <w:sz w:val="22"/>
          <w:szCs w:val="22"/>
          <w:lang w:val="en-US"/>
        </w:rPr>
        <w:t xml:space="preserve">According to the data published by Eurostat, the Eurozone economy shrank by </w:t>
      </w:r>
      <w:r>
        <w:rPr>
          <w:rFonts w:ascii="Palatino Linotype" w:eastAsia="Times New Roman" w:hAnsi="Palatino Linotype"/>
          <w:sz w:val="22"/>
          <w:szCs w:val="22"/>
          <w:lang w:val="en-US"/>
        </w:rPr>
        <w:t>0.7</w:t>
      </w:r>
      <w:r w:rsidRPr="00EA4DF8">
        <w:rPr>
          <w:rFonts w:ascii="Palatino Linotype" w:eastAsia="Times New Roman" w:hAnsi="Palatino Linotype"/>
          <w:sz w:val="22"/>
          <w:szCs w:val="22"/>
          <w:lang w:val="en-US"/>
        </w:rPr>
        <w:t xml:space="preserve"> per cent Q-o-Q in Q4 of 2020, after growing by 12.4 per cent in Q3 of 2020. All major economies in the Eurozone posted decrease in GDP in Q4. Among the largest economies of Eurozone</w:t>
      </w:r>
      <w:r>
        <w:rPr>
          <w:rFonts w:ascii="Palatino Linotype" w:eastAsia="Times New Roman" w:hAnsi="Palatino Linotype"/>
          <w:sz w:val="22"/>
          <w:szCs w:val="22"/>
          <w:lang w:val="en-US"/>
        </w:rPr>
        <w:t>,</w:t>
      </w:r>
      <w:r w:rsidRPr="00EA4DF8">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d</w:t>
      </w:r>
      <w:r w:rsidRPr="00EA4DF8">
        <w:rPr>
          <w:rFonts w:ascii="Palatino Linotype" w:eastAsia="Times New Roman" w:hAnsi="Palatino Linotype"/>
          <w:sz w:val="22"/>
          <w:szCs w:val="22"/>
          <w:lang w:val="en-US"/>
        </w:rPr>
        <w:t xml:space="preserve">ecrease in </w:t>
      </w:r>
      <w:r>
        <w:rPr>
          <w:rFonts w:ascii="Palatino Linotype" w:eastAsia="Times New Roman" w:hAnsi="Palatino Linotype"/>
          <w:sz w:val="22"/>
          <w:szCs w:val="22"/>
          <w:lang w:val="en-US"/>
        </w:rPr>
        <w:t>GDP growth rate in France</w:t>
      </w:r>
      <w:r w:rsidRPr="00EA4DF8">
        <w:rPr>
          <w:rFonts w:ascii="Palatino Linotype" w:eastAsia="Times New Roman" w:hAnsi="Palatino Linotype"/>
          <w:sz w:val="22"/>
          <w:szCs w:val="22"/>
          <w:lang w:val="en-US"/>
        </w:rPr>
        <w:t xml:space="preserve"> was -1.</w:t>
      </w:r>
      <w:r>
        <w:rPr>
          <w:rFonts w:ascii="Palatino Linotype" w:eastAsia="Times New Roman" w:hAnsi="Palatino Linotype"/>
          <w:sz w:val="22"/>
          <w:szCs w:val="22"/>
          <w:lang w:val="en-US"/>
        </w:rPr>
        <w:t>4</w:t>
      </w:r>
      <w:r w:rsidRPr="00EA4DF8">
        <w:rPr>
          <w:rFonts w:ascii="Palatino Linotype" w:eastAsia="Times New Roman" w:hAnsi="Palatino Linotype"/>
          <w:sz w:val="22"/>
          <w:szCs w:val="22"/>
          <w:lang w:val="en-US"/>
        </w:rPr>
        <w:t xml:space="preserve"> per cent), in Netherlands it was -0.1 per cent and in Italy, it was</w:t>
      </w:r>
      <w:r>
        <w:rPr>
          <w:rFonts w:ascii="Palatino Linotype" w:eastAsia="Times New Roman" w:hAnsi="Palatino Linotype"/>
          <w:sz w:val="22"/>
          <w:szCs w:val="22"/>
          <w:lang w:val="en-US"/>
        </w:rPr>
        <w:t xml:space="preserve"> </w:t>
      </w:r>
      <w:r w:rsidRPr="00EA4DF8">
        <w:rPr>
          <w:rFonts w:ascii="Palatino Linotype" w:eastAsia="Times New Roman" w:hAnsi="Palatino Linotype"/>
          <w:sz w:val="22"/>
          <w:szCs w:val="22"/>
          <w:lang w:val="en-US"/>
        </w:rPr>
        <w:t>-</w:t>
      </w:r>
      <w:r>
        <w:rPr>
          <w:rFonts w:ascii="Palatino Linotype" w:eastAsia="Times New Roman" w:hAnsi="Palatino Linotype"/>
          <w:sz w:val="22"/>
          <w:szCs w:val="22"/>
          <w:lang w:val="en-US"/>
        </w:rPr>
        <w:t>1.9</w:t>
      </w:r>
      <w:r w:rsidRPr="00EA4DF8">
        <w:rPr>
          <w:rFonts w:ascii="Palatino Linotype" w:eastAsia="Times New Roman" w:hAnsi="Palatino Linotype"/>
          <w:sz w:val="22"/>
          <w:szCs w:val="22"/>
          <w:lang w:val="en-US"/>
        </w:rPr>
        <w:t xml:space="preserve"> per cent as compared to the previous quarter. GDP growth in Germany and Spain reflected a positive growth of 0.</w:t>
      </w:r>
      <w:r>
        <w:rPr>
          <w:rFonts w:ascii="Palatino Linotype" w:eastAsia="Times New Roman" w:hAnsi="Palatino Linotype"/>
          <w:sz w:val="22"/>
          <w:szCs w:val="22"/>
          <w:lang w:val="en-US"/>
        </w:rPr>
        <w:t>3</w:t>
      </w:r>
      <w:r w:rsidRPr="00EA4DF8">
        <w:rPr>
          <w:rFonts w:ascii="Palatino Linotype" w:eastAsia="Times New Roman" w:hAnsi="Palatino Linotype"/>
          <w:sz w:val="22"/>
          <w:szCs w:val="22"/>
          <w:lang w:val="en-US"/>
        </w:rPr>
        <w:t xml:space="preserve"> and 0.4 </w:t>
      </w:r>
      <w:r>
        <w:rPr>
          <w:rFonts w:ascii="Palatino Linotype" w:eastAsia="Times New Roman" w:hAnsi="Palatino Linotype"/>
          <w:sz w:val="22"/>
          <w:szCs w:val="22"/>
          <w:lang w:val="en-US"/>
        </w:rPr>
        <w:t xml:space="preserve">per cent </w:t>
      </w:r>
      <w:r w:rsidRPr="00EA4DF8">
        <w:rPr>
          <w:rFonts w:ascii="Palatino Linotype" w:eastAsia="Times New Roman" w:hAnsi="Palatino Linotype"/>
          <w:sz w:val="22"/>
          <w:szCs w:val="22"/>
          <w:lang w:val="en-US"/>
        </w:rPr>
        <w:t>respectively.</w:t>
      </w:r>
    </w:p>
    <w:p w:rsidR="002C1136" w:rsidRPr="000D45CD"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0D45CD"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45CD">
        <w:rPr>
          <w:rFonts w:ascii="Palatino Linotype" w:eastAsia="Times New Roman" w:hAnsi="Palatino Linotype"/>
          <w:sz w:val="22"/>
          <w:szCs w:val="22"/>
          <w:lang w:val="en-US"/>
        </w:rPr>
        <w:t>GDP growth of China rebounded strongly by 2.6 per cent year-on-year in Q4 of 2020,</w:t>
      </w:r>
      <w:r>
        <w:rPr>
          <w:rFonts w:ascii="Palatino Linotype" w:eastAsia="Times New Roman" w:hAnsi="Palatino Linotype"/>
          <w:sz w:val="22"/>
          <w:szCs w:val="22"/>
          <w:lang w:val="en-US"/>
        </w:rPr>
        <w:t xml:space="preserve"> however, it was less than the growth in the previous quarter.</w:t>
      </w:r>
      <w:r w:rsidRPr="000D45CD">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G</w:t>
      </w:r>
      <w:r w:rsidRPr="000D45CD">
        <w:rPr>
          <w:rFonts w:ascii="Palatino Linotype" w:eastAsia="Times New Roman" w:hAnsi="Palatino Linotype"/>
          <w:sz w:val="22"/>
          <w:szCs w:val="22"/>
          <w:lang w:val="en-US"/>
        </w:rPr>
        <w:t xml:space="preserve">rowth rate </w:t>
      </w:r>
      <w:r>
        <w:rPr>
          <w:rFonts w:ascii="Palatino Linotype" w:eastAsia="Times New Roman" w:hAnsi="Palatino Linotype"/>
          <w:sz w:val="22"/>
          <w:szCs w:val="22"/>
          <w:lang w:val="en-US"/>
        </w:rPr>
        <w:t xml:space="preserve">in GDP was </w:t>
      </w:r>
      <w:r w:rsidRPr="000D45CD">
        <w:rPr>
          <w:rFonts w:ascii="Palatino Linotype" w:eastAsia="Times New Roman" w:hAnsi="Palatino Linotype"/>
          <w:sz w:val="22"/>
          <w:szCs w:val="22"/>
          <w:lang w:val="en-US"/>
        </w:rPr>
        <w:t>of 3.0 per cent in Q3 of 2020</w:t>
      </w:r>
      <w:r>
        <w:rPr>
          <w:rFonts w:ascii="Palatino Linotype" w:eastAsia="Times New Roman" w:hAnsi="Palatino Linotype"/>
          <w:sz w:val="22"/>
          <w:szCs w:val="22"/>
          <w:lang w:val="en-US"/>
        </w:rPr>
        <w:t xml:space="preserve"> in China</w:t>
      </w:r>
      <w:r w:rsidRPr="000D45CD">
        <w:rPr>
          <w:rFonts w:ascii="Palatino Linotype" w:eastAsia="Times New Roman" w:hAnsi="Palatino Linotype"/>
          <w:sz w:val="22"/>
          <w:szCs w:val="22"/>
          <w:lang w:val="en-US"/>
        </w:rPr>
        <w:t xml:space="preserve">. According to IMF projections, the Chinese economy is expected to slow down to 2.3 per cent in 2020 before recovering to strong growth of 8.1 per cent in 2021. </w:t>
      </w:r>
    </w:p>
    <w:p w:rsidR="002C1136" w:rsidRPr="000D45CD"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0D45CD"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0D45CD">
        <w:rPr>
          <w:rFonts w:ascii="Palatino Linotype" w:eastAsia="Times New Roman" w:hAnsi="Palatino Linotype"/>
          <w:sz w:val="22"/>
          <w:szCs w:val="22"/>
          <w:lang w:val="en-US"/>
        </w:rPr>
        <w:t xml:space="preserve">India’s GDP </w:t>
      </w:r>
      <w:r>
        <w:rPr>
          <w:rFonts w:ascii="Palatino Linotype" w:eastAsia="Times New Roman" w:hAnsi="Palatino Linotype"/>
          <w:sz w:val="22"/>
          <w:szCs w:val="22"/>
          <w:lang w:val="en-US"/>
        </w:rPr>
        <w:t>grew</w:t>
      </w:r>
      <w:r w:rsidRPr="000D45CD">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0.4</w:t>
      </w:r>
      <w:r w:rsidRPr="000D45CD">
        <w:rPr>
          <w:rFonts w:ascii="Palatino Linotype" w:eastAsia="Times New Roman" w:hAnsi="Palatino Linotype"/>
          <w:sz w:val="22"/>
          <w:szCs w:val="22"/>
          <w:lang w:val="en-US"/>
        </w:rPr>
        <w:t xml:space="preserve"> per cent Y-o-Y </w:t>
      </w:r>
      <w:r w:rsidRPr="00E50FD2">
        <w:rPr>
          <w:rFonts w:ascii="Palatino Linotype" w:eastAsia="Times New Roman" w:hAnsi="Palatino Linotype"/>
          <w:sz w:val="22"/>
          <w:szCs w:val="22"/>
          <w:lang w:val="en-US"/>
        </w:rPr>
        <w:t xml:space="preserve">during Q3 of 2020-21 compared to a negative Y-o-Y growth rate of 7.3 per cent in Q2 of 2020-21. In Q3 of 2020-21, the business activity in hotels, transport, communication service declined by -7.7 per </w:t>
      </w:r>
      <w:r>
        <w:rPr>
          <w:rFonts w:ascii="Palatino Linotype" w:eastAsia="Times New Roman" w:hAnsi="Palatino Linotype"/>
          <w:sz w:val="22"/>
          <w:szCs w:val="22"/>
          <w:lang w:val="en-US"/>
        </w:rPr>
        <w:t xml:space="preserve">cent, </w:t>
      </w:r>
      <w:r w:rsidRPr="00E50FD2">
        <w:rPr>
          <w:rFonts w:ascii="Palatino Linotype" w:eastAsia="Times New Roman" w:hAnsi="Palatino Linotype"/>
          <w:sz w:val="22"/>
          <w:szCs w:val="22"/>
          <w:lang w:val="en-US"/>
        </w:rPr>
        <w:t>public admi</w:t>
      </w:r>
      <w:r w:rsidRPr="000D45CD">
        <w:rPr>
          <w:rFonts w:ascii="Palatino Linotype" w:eastAsia="Times New Roman" w:hAnsi="Palatino Linotype"/>
          <w:sz w:val="22"/>
          <w:szCs w:val="22"/>
          <w:lang w:val="en-US"/>
        </w:rPr>
        <w:t xml:space="preserve">nistration services </w:t>
      </w:r>
      <w:r>
        <w:rPr>
          <w:rFonts w:ascii="Palatino Linotype" w:eastAsia="Times New Roman" w:hAnsi="Palatino Linotype"/>
          <w:sz w:val="22"/>
          <w:szCs w:val="22"/>
          <w:lang w:val="en-US"/>
        </w:rPr>
        <w:t>declined by -1.5</w:t>
      </w:r>
      <w:r w:rsidRPr="000D45CD">
        <w:rPr>
          <w:rFonts w:ascii="Palatino Linotype" w:eastAsia="Times New Roman" w:hAnsi="Palatino Linotype"/>
          <w:sz w:val="22"/>
          <w:szCs w:val="22"/>
          <w:lang w:val="en-US"/>
        </w:rPr>
        <w:t xml:space="preserve"> per cent</w:t>
      </w:r>
      <w:r>
        <w:rPr>
          <w:rFonts w:ascii="Palatino Linotype" w:eastAsia="Times New Roman" w:hAnsi="Palatino Linotype"/>
          <w:sz w:val="22"/>
          <w:szCs w:val="22"/>
          <w:lang w:val="en-US"/>
        </w:rPr>
        <w:t>, and</w:t>
      </w:r>
      <w:r w:rsidRPr="000D45CD">
        <w:rPr>
          <w:rFonts w:ascii="Palatino Linotype" w:eastAsia="Times New Roman" w:hAnsi="Palatino Linotype"/>
          <w:sz w:val="22"/>
          <w:szCs w:val="22"/>
          <w:lang w:val="en-US"/>
        </w:rPr>
        <w:t xml:space="preserve"> mining and quarrying </w:t>
      </w:r>
      <w:r>
        <w:rPr>
          <w:rFonts w:ascii="Palatino Linotype" w:eastAsia="Times New Roman" w:hAnsi="Palatino Linotype"/>
          <w:sz w:val="22"/>
          <w:szCs w:val="22"/>
          <w:lang w:val="en-US"/>
        </w:rPr>
        <w:t>declined by 5.9</w:t>
      </w:r>
      <w:r w:rsidRPr="000D45CD">
        <w:rPr>
          <w:rFonts w:ascii="Palatino Linotype" w:eastAsia="Times New Roman" w:hAnsi="Palatino Linotype"/>
          <w:sz w:val="22"/>
          <w:szCs w:val="22"/>
          <w:lang w:val="en-US"/>
        </w:rPr>
        <w:t xml:space="preserve"> per cent)</w:t>
      </w:r>
      <w:r>
        <w:rPr>
          <w:rFonts w:ascii="Palatino Linotype" w:eastAsia="Times New Roman" w:hAnsi="Palatino Linotype"/>
          <w:sz w:val="22"/>
          <w:szCs w:val="22"/>
          <w:lang w:val="en-US"/>
        </w:rPr>
        <w:t>. I</w:t>
      </w:r>
      <w:r w:rsidRPr="008217C2">
        <w:rPr>
          <w:rFonts w:ascii="Palatino Linotype" w:eastAsia="Times New Roman" w:hAnsi="Palatino Linotype"/>
          <w:sz w:val="22"/>
          <w:szCs w:val="22"/>
          <w:lang w:val="en-US"/>
        </w:rPr>
        <w:t xml:space="preserve">ncrease in growth rates was observed in manufacturing and construction which grew by 1.6 per cent and 6.2 per cent </w:t>
      </w:r>
      <w:r>
        <w:rPr>
          <w:rFonts w:ascii="Palatino Linotype" w:eastAsia="Times New Roman" w:hAnsi="Palatino Linotype"/>
          <w:sz w:val="22"/>
          <w:szCs w:val="22"/>
          <w:lang w:val="en-US"/>
        </w:rPr>
        <w:t>respectively</w:t>
      </w:r>
      <w:r w:rsidRPr="008217C2">
        <w:rPr>
          <w:rFonts w:ascii="Palatino Linotype" w:eastAsia="Times New Roman" w:hAnsi="Palatino Linotype"/>
          <w:sz w:val="22"/>
          <w:szCs w:val="22"/>
          <w:lang w:val="en-US"/>
        </w:rPr>
        <w:t>.</w:t>
      </w:r>
      <w:r w:rsidRPr="000D45CD">
        <w:rPr>
          <w:rFonts w:ascii="Palatino Linotype" w:eastAsia="Times New Roman" w:hAnsi="Palatino Linotype"/>
          <w:sz w:val="22"/>
          <w:szCs w:val="22"/>
          <w:lang w:val="en-US"/>
        </w:rPr>
        <w:t> </w:t>
      </w:r>
    </w:p>
    <w:p w:rsidR="002C1136" w:rsidRPr="00E26AAF"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E26AAF"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E26AAF">
        <w:rPr>
          <w:rFonts w:ascii="Palatino Linotype" w:eastAsia="Times New Roman" w:hAnsi="Palatino Linotype"/>
          <w:sz w:val="22"/>
          <w:szCs w:val="22"/>
          <w:lang w:val="en-US"/>
        </w:rPr>
        <w:t xml:space="preserve">According to the </w:t>
      </w:r>
      <w:r>
        <w:rPr>
          <w:rFonts w:ascii="Palatino Linotype" w:eastAsia="Times New Roman" w:hAnsi="Palatino Linotype"/>
          <w:sz w:val="22"/>
          <w:szCs w:val="22"/>
          <w:lang w:val="en-US"/>
        </w:rPr>
        <w:t>Second</w:t>
      </w:r>
      <w:r w:rsidRPr="00E26AAF">
        <w:rPr>
          <w:rFonts w:ascii="Palatino Linotype" w:eastAsia="Times New Roman" w:hAnsi="Palatino Linotype"/>
          <w:sz w:val="22"/>
          <w:szCs w:val="22"/>
          <w:lang w:val="en-US"/>
        </w:rPr>
        <w:t xml:space="preserve"> Advance Estimate released by MOSPI</w:t>
      </w:r>
      <w:r>
        <w:rPr>
          <w:rFonts w:ascii="Palatino Linotype" w:eastAsia="Times New Roman" w:hAnsi="Palatino Linotype"/>
          <w:sz w:val="22"/>
          <w:szCs w:val="22"/>
          <w:lang w:val="en-US"/>
        </w:rPr>
        <w:t xml:space="preserve"> on 26 February 2021</w:t>
      </w:r>
      <w:r w:rsidRPr="00E26AAF">
        <w:rPr>
          <w:rFonts w:ascii="Palatino Linotype" w:eastAsia="Times New Roman" w:hAnsi="Palatino Linotype"/>
          <w:sz w:val="22"/>
          <w:szCs w:val="22"/>
          <w:lang w:val="en-US"/>
        </w:rPr>
        <w:t xml:space="preserve">, GDP of India is estimated to fall by </w:t>
      </w:r>
      <w:r>
        <w:rPr>
          <w:rFonts w:ascii="Palatino Linotype" w:eastAsia="Times New Roman" w:hAnsi="Palatino Linotype"/>
          <w:sz w:val="22"/>
          <w:szCs w:val="22"/>
          <w:lang w:val="en-US"/>
        </w:rPr>
        <w:t>8.0</w:t>
      </w:r>
      <w:r w:rsidRPr="00E26AAF">
        <w:rPr>
          <w:rFonts w:ascii="Palatino Linotype" w:eastAsia="Times New Roman" w:hAnsi="Palatino Linotype"/>
          <w:sz w:val="22"/>
          <w:szCs w:val="22"/>
          <w:lang w:val="en-US"/>
        </w:rPr>
        <w:t xml:space="preserve"> per cent during the Financial Year 2020-21, compared to </w:t>
      </w:r>
      <w:r>
        <w:rPr>
          <w:rFonts w:ascii="Palatino Linotype" w:eastAsia="Times New Roman" w:hAnsi="Palatino Linotype"/>
          <w:sz w:val="22"/>
          <w:szCs w:val="22"/>
          <w:lang w:val="en-US"/>
        </w:rPr>
        <w:t>4.0</w:t>
      </w:r>
      <w:r w:rsidRPr="00E26AAF">
        <w:rPr>
          <w:rFonts w:ascii="Palatino Linotype" w:eastAsia="Times New Roman" w:hAnsi="Palatino Linotype"/>
          <w:sz w:val="22"/>
          <w:szCs w:val="22"/>
          <w:lang w:val="en-US"/>
        </w:rPr>
        <w:t xml:space="preserve"> per cent expansion in 2019-20. World Bank estimate</w:t>
      </w:r>
      <w:r>
        <w:rPr>
          <w:rFonts w:ascii="Palatino Linotype" w:eastAsia="Times New Roman" w:hAnsi="Palatino Linotype"/>
          <w:sz w:val="22"/>
          <w:szCs w:val="22"/>
          <w:lang w:val="en-US"/>
        </w:rPr>
        <w:t>d</w:t>
      </w:r>
      <w:r w:rsidRPr="00E26AAF">
        <w:rPr>
          <w:rFonts w:ascii="Palatino Linotype" w:eastAsia="Times New Roman" w:hAnsi="Palatino Linotype"/>
          <w:sz w:val="22"/>
          <w:szCs w:val="22"/>
          <w:lang w:val="en-US"/>
        </w:rPr>
        <w:t xml:space="preserve"> India’s GDP to grow by -9.6 per cent in 2020. According to IMF projections, the Indian economy is expected to grow by 11.5 per cent in 2021. IMF also revised its India GDP growth estimate for 2020 to -8.0 per cent changing it by 2.7 per cent.</w:t>
      </w:r>
    </w:p>
    <w:p w:rsidR="002C1136" w:rsidRPr="009F2B94" w:rsidRDefault="002C1136" w:rsidP="002C1136">
      <w:pPr>
        <w:spacing w:before="100" w:beforeAutospacing="1" w:line="276" w:lineRule="auto"/>
        <w:ind w:left="360" w:right="107"/>
        <w:contextualSpacing/>
        <w:jc w:val="both"/>
        <w:rPr>
          <w:rFonts w:ascii="Palatino Linotype" w:eastAsia="Times New Roman" w:hAnsi="Palatino Linotype"/>
          <w:sz w:val="22"/>
          <w:szCs w:val="22"/>
          <w:lang w:val="en-US"/>
        </w:rPr>
      </w:pPr>
    </w:p>
    <w:p w:rsidR="002C1136" w:rsidRPr="009F2B94" w:rsidRDefault="002C1136" w:rsidP="003F384D">
      <w:pPr>
        <w:numPr>
          <w:ilvl w:val="0"/>
          <w:numId w:val="9"/>
        </w:numPr>
        <w:spacing w:before="100" w:beforeAutospacing="1" w:line="276" w:lineRule="auto"/>
        <w:ind w:right="107"/>
        <w:contextualSpacing/>
        <w:jc w:val="both"/>
        <w:rPr>
          <w:rFonts w:ascii="Palatino Linotype" w:eastAsia="Times New Roman" w:hAnsi="Palatino Linotype"/>
          <w:sz w:val="22"/>
          <w:szCs w:val="22"/>
          <w:lang w:val="en-US"/>
        </w:rPr>
      </w:pPr>
      <w:r w:rsidRPr="009F2B94">
        <w:rPr>
          <w:rFonts w:ascii="Palatino Linotype" w:eastAsia="Times New Roman" w:hAnsi="Palatino Linotype"/>
          <w:sz w:val="22"/>
          <w:szCs w:val="22"/>
          <w:lang w:val="en-US"/>
        </w:rPr>
        <w:t xml:space="preserve">Retail inflation (CPI Inflation) in India observed to be </w:t>
      </w:r>
      <w:r>
        <w:rPr>
          <w:rFonts w:ascii="Palatino Linotype" w:eastAsia="Times New Roman" w:hAnsi="Palatino Linotype"/>
          <w:sz w:val="22"/>
          <w:szCs w:val="22"/>
          <w:lang w:val="en-US"/>
        </w:rPr>
        <w:t>5.0</w:t>
      </w:r>
      <w:r w:rsidRPr="009F2B9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February</w:t>
      </w:r>
      <w:r w:rsidRPr="009F2B94">
        <w:rPr>
          <w:rFonts w:ascii="Palatino Linotype" w:eastAsia="Times New Roman" w:hAnsi="Palatino Linotype"/>
          <w:sz w:val="22"/>
          <w:szCs w:val="22"/>
          <w:lang w:val="en-US"/>
        </w:rPr>
        <w:t xml:space="preserve"> 2021, compared to </w:t>
      </w:r>
      <w:r>
        <w:rPr>
          <w:rFonts w:ascii="Palatino Linotype" w:eastAsia="Times New Roman" w:hAnsi="Palatino Linotype"/>
          <w:sz w:val="22"/>
          <w:szCs w:val="22"/>
          <w:lang w:val="en-US"/>
        </w:rPr>
        <w:t>4.1</w:t>
      </w:r>
      <w:r w:rsidRPr="009F2B94">
        <w:rPr>
          <w:rFonts w:ascii="Palatino Linotype" w:eastAsia="Times New Roman" w:hAnsi="Palatino Linotype"/>
          <w:sz w:val="22"/>
          <w:szCs w:val="22"/>
          <w:lang w:val="en-US"/>
        </w:rPr>
        <w:t xml:space="preserve"> per cent in a month earlier. Index of Industrial Production (IIP) </w:t>
      </w:r>
      <w:r>
        <w:rPr>
          <w:rFonts w:ascii="Palatino Linotype" w:eastAsia="Times New Roman" w:hAnsi="Palatino Linotype"/>
          <w:sz w:val="22"/>
          <w:szCs w:val="22"/>
          <w:lang w:val="en-US"/>
        </w:rPr>
        <w:t>fell</w:t>
      </w:r>
      <w:r w:rsidRPr="009F2B94">
        <w:rPr>
          <w:rFonts w:ascii="Palatino Linotype" w:eastAsia="Times New Roman" w:hAnsi="Palatino Linotype"/>
          <w:sz w:val="22"/>
          <w:szCs w:val="22"/>
          <w:lang w:val="en-US"/>
        </w:rPr>
        <w:t xml:space="preserve"> by 1.</w:t>
      </w:r>
      <w:r>
        <w:rPr>
          <w:rFonts w:ascii="Palatino Linotype" w:eastAsia="Times New Roman" w:hAnsi="Palatino Linotype"/>
          <w:sz w:val="22"/>
          <w:szCs w:val="22"/>
          <w:lang w:val="en-US"/>
        </w:rPr>
        <w:t>6</w:t>
      </w:r>
      <w:r w:rsidRPr="009F2B94">
        <w:rPr>
          <w:rFonts w:ascii="Palatino Linotype" w:eastAsia="Times New Roman" w:hAnsi="Palatino Linotype"/>
          <w:sz w:val="22"/>
          <w:szCs w:val="22"/>
          <w:lang w:val="en-US"/>
        </w:rPr>
        <w:t xml:space="preserve"> per cent in </w:t>
      </w:r>
      <w:r>
        <w:rPr>
          <w:rFonts w:ascii="Palatino Linotype" w:eastAsia="Times New Roman" w:hAnsi="Palatino Linotype"/>
          <w:sz w:val="22"/>
          <w:szCs w:val="22"/>
          <w:lang w:val="en-US"/>
        </w:rPr>
        <w:t>January</w:t>
      </w:r>
      <w:r w:rsidRPr="009F2B94">
        <w:rPr>
          <w:rFonts w:ascii="Palatino Linotype" w:eastAsia="Times New Roman" w:hAnsi="Palatino Linotype"/>
          <w:sz w:val="22"/>
          <w:szCs w:val="22"/>
          <w:lang w:val="en-US"/>
        </w:rPr>
        <w:t xml:space="preserve"> 202</w:t>
      </w:r>
      <w:r>
        <w:rPr>
          <w:rFonts w:ascii="Palatino Linotype" w:eastAsia="Times New Roman" w:hAnsi="Palatino Linotype"/>
          <w:sz w:val="22"/>
          <w:szCs w:val="22"/>
          <w:lang w:val="en-US"/>
        </w:rPr>
        <w:t>1</w:t>
      </w:r>
      <w:r w:rsidRPr="009F2B94">
        <w:rPr>
          <w:rFonts w:ascii="Palatino Linotype" w:eastAsia="Times New Roman" w:hAnsi="Palatino Linotype"/>
          <w:sz w:val="22"/>
          <w:szCs w:val="22"/>
          <w:lang w:val="en-US"/>
        </w:rPr>
        <w:t xml:space="preserve">, compared to </w:t>
      </w:r>
      <w:r>
        <w:rPr>
          <w:rFonts w:ascii="Palatino Linotype" w:eastAsia="Times New Roman" w:hAnsi="Palatino Linotype"/>
          <w:sz w:val="22"/>
          <w:szCs w:val="22"/>
          <w:lang w:val="en-US"/>
        </w:rPr>
        <w:t>2.2</w:t>
      </w:r>
      <w:r w:rsidRPr="009F2B94">
        <w:rPr>
          <w:rFonts w:ascii="Palatino Linotype" w:eastAsia="Times New Roman" w:hAnsi="Palatino Linotype"/>
          <w:sz w:val="22"/>
          <w:szCs w:val="22"/>
          <w:lang w:val="en-US"/>
        </w:rPr>
        <w:t xml:space="preserve"> per cent </w:t>
      </w:r>
      <w:r>
        <w:rPr>
          <w:rFonts w:ascii="Palatino Linotype" w:eastAsia="Times New Roman" w:hAnsi="Palatino Linotype"/>
          <w:sz w:val="22"/>
          <w:szCs w:val="22"/>
          <w:lang w:val="en-US"/>
        </w:rPr>
        <w:t>growth of the same month in previous year</w:t>
      </w:r>
      <w:r w:rsidRPr="009F2B94">
        <w:rPr>
          <w:rFonts w:ascii="Palatino Linotype" w:eastAsia="Times New Roman" w:hAnsi="Palatino Linotype"/>
          <w:sz w:val="22"/>
          <w:szCs w:val="22"/>
          <w:lang w:val="en-US"/>
        </w:rPr>
        <w:t xml:space="preserve">. The mining sector witnessed contraction of </w:t>
      </w:r>
      <w:r>
        <w:rPr>
          <w:rFonts w:ascii="Palatino Linotype" w:eastAsia="Times New Roman" w:hAnsi="Palatino Linotype"/>
          <w:sz w:val="22"/>
          <w:szCs w:val="22"/>
          <w:lang w:val="en-US"/>
        </w:rPr>
        <w:t>3.7</w:t>
      </w:r>
      <w:r w:rsidRPr="009F2B94">
        <w:rPr>
          <w:rFonts w:ascii="Palatino Linotype" w:eastAsia="Times New Roman" w:hAnsi="Palatino Linotype"/>
          <w:sz w:val="22"/>
          <w:szCs w:val="22"/>
          <w:lang w:val="en-US"/>
        </w:rPr>
        <w:t xml:space="preserve"> per cent as compared to growth of</w:t>
      </w:r>
      <w:r>
        <w:rPr>
          <w:rFonts w:ascii="Palatino Linotype" w:eastAsia="Times New Roman" w:hAnsi="Palatino Linotype"/>
          <w:sz w:val="22"/>
          <w:szCs w:val="22"/>
          <w:lang w:val="en-US"/>
        </w:rPr>
        <w:t xml:space="preserve"> 4.4</w:t>
      </w:r>
      <w:r w:rsidRPr="009F2B94">
        <w:rPr>
          <w:rFonts w:ascii="Palatino Linotype" w:eastAsia="Times New Roman" w:hAnsi="Palatino Linotype"/>
          <w:sz w:val="22"/>
          <w:szCs w:val="22"/>
          <w:lang w:val="en-US"/>
        </w:rPr>
        <w:t xml:space="preserve"> per cent a year ago, while the manufacturing sector </w:t>
      </w:r>
      <w:r>
        <w:rPr>
          <w:rFonts w:ascii="Palatino Linotype" w:eastAsia="Times New Roman" w:hAnsi="Palatino Linotype"/>
          <w:sz w:val="22"/>
          <w:szCs w:val="22"/>
          <w:lang w:val="en-US"/>
        </w:rPr>
        <w:t>contracted</w:t>
      </w:r>
      <w:r w:rsidRPr="009F2B94">
        <w:rPr>
          <w:rFonts w:ascii="Palatino Linotype" w:eastAsia="Times New Roman" w:hAnsi="Palatino Linotype"/>
          <w:sz w:val="22"/>
          <w:szCs w:val="22"/>
          <w:lang w:val="en-US"/>
        </w:rPr>
        <w:t xml:space="preserve"> by </w:t>
      </w:r>
      <w:r>
        <w:rPr>
          <w:rFonts w:ascii="Palatino Linotype" w:eastAsia="Times New Roman" w:hAnsi="Palatino Linotype"/>
          <w:sz w:val="22"/>
          <w:szCs w:val="22"/>
          <w:lang w:val="en-US"/>
        </w:rPr>
        <w:t>2.0</w:t>
      </w:r>
      <w:r w:rsidRPr="009F2B94">
        <w:rPr>
          <w:rFonts w:ascii="Palatino Linotype" w:eastAsia="Times New Roman" w:hAnsi="Palatino Linotype"/>
          <w:sz w:val="22"/>
          <w:szCs w:val="22"/>
          <w:lang w:val="en-US"/>
        </w:rPr>
        <w:t xml:space="preserve"> per cent in </w:t>
      </w:r>
      <w:r w:rsidRPr="00152E30">
        <w:rPr>
          <w:rFonts w:ascii="Palatino Linotype" w:eastAsia="Times New Roman" w:hAnsi="Palatino Linotype"/>
          <w:sz w:val="22"/>
          <w:szCs w:val="22"/>
          <w:lang w:val="en-US"/>
        </w:rPr>
        <w:t xml:space="preserve">January 2021 </w:t>
      </w:r>
      <w:r w:rsidRPr="009F2B94">
        <w:rPr>
          <w:rFonts w:ascii="Palatino Linotype" w:eastAsia="Times New Roman" w:hAnsi="Palatino Linotype"/>
          <w:sz w:val="22"/>
          <w:szCs w:val="22"/>
          <w:lang w:val="en-US"/>
        </w:rPr>
        <w:t xml:space="preserve">as against a </w:t>
      </w:r>
      <w:r>
        <w:rPr>
          <w:rFonts w:ascii="Palatino Linotype" w:eastAsia="Times New Roman" w:hAnsi="Palatino Linotype"/>
          <w:sz w:val="22"/>
          <w:szCs w:val="22"/>
          <w:lang w:val="en-US"/>
        </w:rPr>
        <w:t>growth</w:t>
      </w:r>
      <w:r w:rsidRPr="009F2B94">
        <w:rPr>
          <w:rFonts w:ascii="Palatino Linotype" w:eastAsia="Times New Roman" w:hAnsi="Palatino Linotype"/>
          <w:sz w:val="22"/>
          <w:szCs w:val="22"/>
          <w:lang w:val="en-US"/>
        </w:rPr>
        <w:t xml:space="preserve"> of </w:t>
      </w:r>
      <w:r>
        <w:rPr>
          <w:rFonts w:ascii="Palatino Linotype" w:eastAsia="Times New Roman" w:hAnsi="Palatino Linotype"/>
          <w:sz w:val="22"/>
          <w:szCs w:val="22"/>
          <w:lang w:val="en-US"/>
        </w:rPr>
        <w:t>1.8</w:t>
      </w:r>
      <w:r w:rsidRPr="009F2B94">
        <w:rPr>
          <w:rFonts w:ascii="Palatino Linotype" w:eastAsia="Times New Roman" w:hAnsi="Palatino Linotype"/>
          <w:sz w:val="22"/>
          <w:szCs w:val="22"/>
          <w:lang w:val="en-US"/>
        </w:rPr>
        <w:t xml:space="preserve"> per cent in </w:t>
      </w:r>
      <w:r w:rsidRPr="00152E30">
        <w:rPr>
          <w:rFonts w:ascii="Palatino Linotype" w:eastAsia="Times New Roman" w:hAnsi="Palatino Linotype"/>
          <w:sz w:val="22"/>
          <w:szCs w:val="22"/>
          <w:lang w:val="en-US"/>
        </w:rPr>
        <w:t>January 20</w:t>
      </w:r>
      <w:r>
        <w:rPr>
          <w:rFonts w:ascii="Palatino Linotype" w:eastAsia="Times New Roman" w:hAnsi="Palatino Linotype"/>
          <w:sz w:val="22"/>
          <w:szCs w:val="22"/>
          <w:lang w:val="en-US"/>
        </w:rPr>
        <w:t>20</w:t>
      </w:r>
      <w:r w:rsidRPr="009F2B94">
        <w:rPr>
          <w:rFonts w:ascii="Palatino Linotype" w:eastAsia="Times New Roman" w:hAnsi="Palatino Linotype"/>
          <w:sz w:val="22"/>
          <w:szCs w:val="22"/>
          <w:lang w:val="en-US"/>
        </w:rPr>
        <w:t>.</w:t>
      </w:r>
      <w:r w:rsidRPr="009F2B94">
        <w:rPr>
          <w:color w:val="212121"/>
          <w:sz w:val="27"/>
          <w:szCs w:val="27"/>
          <w:shd w:val="clear" w:color="auto" w:fill="FFFFFF"/>
        </w:rPr>
        <w:t> </w:t>
      </w:r>
      <w:r w:rsidRPr="009F2B94">
        <w:rPr>
          <w:rFonts w:ascii="Palatino Linotype" w:eastAsia="Times New Roman" w:hAnsi="Palatino Linotype"/>
          <w:sz w:val="22"/>
          <w:szCs w:val="22"/>
          <w:lang w:val="en-US"/>
        </w:rPr>
        <w:t xml:space="preserve"> India’s manufacturing PMI for </w:t>
      </w:r>
      <w:r>
        <w:rPr>
          <w:rFonts w:ascii="Palatino Linotype" w:eastAsia="Times New Roman" w:hAnsi="Palatino Linotype"/>
          <w:sz w:val="22"/>
          <w:szCs w:val="22"/>
          <w:lang w:val="en-US"/>
        </w:rPr>
        <w:t>February</w:t>
      </w:r>
      <w:r w:rsidRPr="009F2B94">
        <w:rPr>
          <w:rFonts w:ascii="Palatino Linotype" w:eastAsia="Times New Roman" w:hAnsi="Palatino Linotype"/>
          <w:sz w:val="22"/>
          <w:szCs w:val="22"/>
          <w:lang w:val="en-US"/>
        </w:rPr>
        <w:t xml:space="preserve"> was observed to be 57.</w:t>
      </w:r>
      <w:r>
        <w:rPr>
          <w:rFonts w:ascii="Palatino Linotype" w:eastAsia="Times New Roman" w:hAnsi="Palatino Linotype"/>
          <w:sz w:val="22"/>
          <w:szCs w:val="22"/>
          <w:lang w:val="en-US"/>
        </w:rPr>
        <w:t>5</w:t>
      </w:r>
      <w:r w:rsidRPr="009F2B94">
        <w:rPr>
          <w:rFonts w:ascii="Palatino Linotype" w:eastAsia="Times New Roman" w:hAnsi="Palatino Linotype"/>
          <w:sz w:val="22"/>
          <w:szCs w:val="22"/>
          <w:lang w:val="en-US"/>
        </w:rPr>
        <w:t xml:space="preserve"> against </w:t>
      </w:r>
      <w:r>
        <w:rPr>
          <w:rFonts w:ascii="Palatino Linotype" w:eastAsia="Times New Roman" w:hAnsi="Palatino Linotype"/>
          <w:sz w:val="22"/>
          <w:szCs w:val="22"/>
          <w:lang w:val="en-US"/>
        </w:rPr>
        <w:t>57.7</w:t>
      </w:r>
      <w:r w:rsidRPr="009F2B94">
        <w:rPr>
          <w:rFonts w:ascii="Palatino Linotype" w:eastAsia="Times New Roman" w:hAnsi="Palatino Linotype"/>
          <w:sz w:val="22"/>
          <w:szCs w:val="22"/>
          <w:lang w:val="en-US"/>
        </w:rPr>
        <w:t xml:space="preserve"> of the previous month. The services PMI was observed to be</w:t>
      </w:r>
      <w:r>
        <w:rPr>
          <w:rFonts w:ascii="Palatino Linotype" w:eastAsia="Times New Roman" w:hAnsi="Palatino Linotype"/>
          <w:sz w:val="22"/>
          <w:szCs w:val="22"/>
          <w:lang w:val="en-US"/>
        </w:rPr>
        <w:t xml:space="preserve"> 55.3</w:t>
      </w:r>
      <w:r w:rsidRPr="009F2B94">
        <w:rPr>
          <w:rFonts w:ascii="Palatino Linotype" w:eastAsia="Times New Roman" w:hAnsi="Palatino Linotype"/>
          <w:sz w:val="22"/>
          <w:szCs w:val="22"/>
          <w:lang w:val="en-US"/>
        </w:rPr>
        <w:t xml:space="preserve"> in </w:t>
      </w:r>
      <w:r>
        <w:rPr>
          <w:rFonts w:ascii="Palatino Linotype" w:eastAsia="Times New Roman" w:hAnsi="Palatino Linotype"/>
          <w:sz w:val="22"/>
          <w:szCs w:val="22"/>
          <w:lang w:val="en-US"/>
        </w:rPr>
        <w:t>February</w:t>
      </w:r>
      <w:r w:rsidRPr="009F2B94">
        <w:rPr>
          <w:rFonts w:ascii="Palatino Linotype" w:eastAsia="Times New Roman" w:hAnsi="Palatino Linotype"/>
          <w:sz w:val="22"/>
          <w:szCs w:val="22"/>
          <w:lang w:val="en-US"/>
        </w:rPr>
        <w:t xml:space="preserve"> 2021 against 52.8 of the previous month.</w:t>
      </w:r>
    </w:p>
    <w:p w:rsidR="002C1136" w:rsidRPr="009F2B94" w:rsidRDefault="002C1136" w:rsidP="002C1136">
      <w:pPr>
        <w:spacing w:line="23" w:lineRule="atLeast"/>
        <w:ind w:left="720"/>
        <w:contextualSpacing/>
        <w:rPr>
          <w:rFonts w:ascii="Garamond" w:eastAsia="Times New Roman" w:hAnsi="Garamond"/>
          <w:b/>
          <w:lang w:val="en-US" w:eastAsia="en-GB"/>
        </w:rPr>
      </w:pPr>
    </w:p>
    <w:p w:rsidR="002C1136" w:rsidRPr="00073FE2" w:rsidRDefault="002C1136" w:rsidP="002C1136">
      <w:pPr>
        <w:spacing w:line="23" w:lineRule="atLeast"/>
        <w:ind w:left="720"/>
        <w:contextualSpacing/>
        <w:rPr>
          <w:rFonts w:ascii="Garamond" w:eastAsia="Times New Roman" w:hAnsi="Garamond"/>
          <w:b/>
          <w:strike/>
          <w:sz w:val="22"/>
          <w:szCs w:val="22"/>
          <w:lang w:val="en-US" w:eastAsia="en-GB"/>
        </w:rPr>
      </w:pPr>
    </w:p>
    <w:p w:rsidR="002C1136" w:rsidRPr="00ED58C0" w:rsidRDefault="002C1136" w:rsidP="002C1136">
      <w:pPr>
        <w:spacing w:line="23" w:lineRule="atLeast"/>
        <w:ind w:left="180"/>
        <w:contextualSpacing/>
        <w:rPr>
          <w:rFonts w:ascii="Palatino Linotype" w:eastAsia="Times New Roman" w:hAnsi="Palatino Linotype"/>
          <w:b/>
          <w:sz w:val="22"/>
          <w:szCs w:val="22"/>
          <w:lang w:val="en-US" w:eastAsia="en-GB"/>
        </w:rPr>
      </w:pPr>
      <w:r>
        <w:rPr>
          <w:rFonts w:ascii="Palatino Linotype" w:eastAsia="Times New Roman" w:hAnsi="Palatino Linotype"/>
          <w:b/>
          <w:sz w:val="22"/>
          <w:szCs w:val="22"/>
          <w:lang w:val="en-US" w:eastAsia="en-GB"/>
        </w:rPr>
        <w:br w:type="page"/>
      </w:r>
      <w:r w:rsidRPr="00ED58C0">
        <w:rPr>
          <w:rFonts w:ascii="Palatino Linotype" w:eastAsia="Times New Roman" w:hAnsi="Palatino Linotype"/>
          <w:b/>
          <w:sz w:val="22"/>
          <w:szCs w:val="22"/>
          <w:lang w:val="en-US" w:eastAsia="en-GB"/>
        </w:rPr>
        <w:t>Market Trends</w:t>
      </w:r>
      <w:r w:rsidRPr="00ED58C0">
        <w:rPr>
          <w:rFonts w:ascii="Palatino Linotype" w:eastAsia="Times New Roman" w:hAnsi="Palatino Linotype"/>
          <w:b/>
          <w:sz w:val="22"/>
          <w:szCs w:val="22"/>
          <w:vertAlign w:val="superscript"/>
          <w:lang w:val="en-US" w:eastAsia="en-GB"/>
        </w:rPr>
        <w:footnoteReference w:id="2"/>
      </w:r>
      <w:r w:rsidRPr="00ED58C0">
        <w:rPr>
          <w:rFonts w:ascii="Palatino Linotype" w:eastAsia="Times New Roman" w:hAnsi="Palatino Linotype"/>
          <w:b/>
          <w:sz w:val="22"/>
          <w:szCs w:val="22"/>
          <w:lang w:val="en-US" w:eastAsia="en-GB"/>
        </w:rPr>
        <w:t xml:space="preserve"> – </w:t>
      </w:r>
    </w:p>
    <w:p w:rsidR="002C1136" w:rsidRPr="00ED58C0" w:rsidRDefault="002C1136" w:rsidP="002C1136">
      <w:pPr>
        <w:spacing w:line="23" w:lineRule="atLeast"/>
        <w:ind w:left="180"/>
        <w:contextualSpacing/>
        <w:rPr>
          <w:rFonts w:ascii="Palatino Linotype" w:eastAsia="Times New Roman" w:hAnsi="Palatino Linotype"/>
          <w:b/>
          <w:sz w:val="22"/>
          <w:szCs w:val="22"/>
          <w:lang w:val="en-US" w:eastAsia="en-GB"/>
        </w:rPr>
      </w:pPr>
    </w:p>
    <w:p w:rsidR="002C1136" w:rsidRPr="00ED58C0" w:rsidRDefault="002C1136" w:rsidP="002C1136">
      <w:pPr>
        <w:spacing w:line="360" w:lineRule="auto"/>
        <w:ind w:left="720"/>
        <w:contextualSpacing/>
        <w:rPr>
          <w:rFonts w:ascii="Palatino Linotype" w:eastAsia="Times New Roman" w:hAnsi="Palatino Linotype"/>
          <w:b/>
          <w:sz w:val="22"/>
          <w:szCs w:val="22"/>
          <w:lang w:val="en-US" w:eastAsia="en-GB"/>
        </w:rPr>
      </w:pPr>
      <w:r w:rsidRPr="00ED58C0">
        <w:rPr>
          <w:rFonts w:ascii="Palatino Linotype" w:eastAsia="Times New Roman" w:hAnsi="Palatino Linotype"/>
          <w:b/>
          <w:sz w:val="22"/>
          <w:szCs w:val="22"/>
          <w:u w:val="single"/>
          <w:lang w:val="en-US" w:eastAsia="en-GB"/>
        </w:rPr>
        <w:t>Equity Markets (Figures 1-2, Table A1)</w:t>
      </w:r>
      <w:r w:rsidRPr="00ED58C0">
        <w:rPr>
          <w:rFonts w:ascii="Palatino Linotype" w:eastAsia="Times New Roman" w:hAnsi="Palatino Linotype"/>
          <w:b/>
          <w:sz w:val="22"/>
          <w:szCs w:val="22"/>
          <w:lang w:val="en-US" w:eastAsia="en-GB"/>
        </w:rPr>
        <w:t>-</w:t>
      </w:r>
    </w:p>
    <w:p w:rsidR="002C1136" w:rsidRPr="00ED58C0" w:rsidRDefault="002C1136" w:rsidP="003F384D">
      <w:pPr>
        <w:numPr>
          <w:ilvl w:val="0"/>
          <w:numId w:val="8"/>
        </w:numPr>
        <w:spacing w:line="276" w:lineRule="auto"/>
        <w:jc w:val="both"/>
        <w:rPr>
          <w:rFonts w:ascii="Palatino Linotype" w:eastAsia="Times New Roman" w:hAnsi="Palatino Linotype"/>
          <w:bCs/>
          <w:color w:val="FF0000"/>
          <w:sz w:val="22"/>
          <w:szCs w:val="22"/>
          <w:lang w:val="en-US" w:eastAsia="en-GB"/>
        </w:rPr>
      </w:pPr>
      <w:r w:rsidRPr="00ED58C0">
        <w:rPr>
          <w:rFonts w:ascii="Palatino Linotype" w:eastAsia="Times New Roman" w:hAnsi="Palatino Linotype"/>
          <w:bCs/>
          <w:sz w:val="22"/>
          <w:szCs w:val="22"/>
          <w:lang w:val="en-US" w:eastAsia="en-GB"/>
        </w:rPr>
        <w:t xml:space="preserve">In the month of </w:t>
      </w:r>
      <w:r>
        <w:rPr>
          <w:rFonts w:ascii="Palatino Linotype" w:eastAsia="Times New Roman" w:hAnsi="Palatino Linotype"/>
          <w:bCs/>
          <w:sz w:val="22"/>
          <w:szCs w:val="22"/>
          <w:lang w:val="en-US" w:eastAsia="en-GB"/>
        </w:rPr>
        <w:t>February</w:t>
      </w:r>
      <w:r w:rsidRPr="00ED58C0">
        <w:rPr>
          <w:rFonts w:ascii="Palatino Linotype" w:eastAsia="Times New Roman" w:hAnsi="Palatino Linotype"/>
          <w:bCs/>
          <w:sz w:val="22"/>
          <w:szCs w:val="22"/>
          <w:lang w:val="en-US" w:eastAsia="en-GB"/>
        </w:rPr>
        <w:t xml:space="preserve"> 2021, highest annualized monthly volatility amongst the BRICS countries was observed in Russian Traded (</w:t>
      </w:r>
      <w:r w:rsidRPr="007023FA">
        <w:rPr>
          <w:rFonts w:ascii="Palatino Linotype" w:eastAsia="Times New Roman" w:hAnsi="Palatino Linotype"/>
          <w:bCs/>
          <w:sz w:val="22"/>
          <w:szCs w:val="22"/>
          <w:lang w:val="en-US" w:eastAsia="en-GB"/>
        </w:rPr>
        <w:t>27.5</w:t>
      </w:r>
      <w:r w:rsidRPr="00ED58C0">
        <w:rPr>
          <w:rFonts w:ascii="Palatino Linotype" w:eastAsia="Times New Roman" w:hAnsi="Palatino Linotype"/>
          <w:bCs/>
          <w:sz w:val="22"/>
          <w:szCs w:val="22"/>
          <w:lang w:val="en-US" w:eastAsia="en-GB"/>
        </w:rPr>
        <w:t xml:space="preserve"> per cent) followed by </w:t>
      </w:r>
      <w:r w:rsidRPr="007023FA">
        <w:rPr>
          <w:rFonts w:ascii="Palatino Linotype" w:eastAsia="Times New Roman" w:hAnsi="Palatino Linotype"/>
          <w:bCs/>
          <w:sz w:val="22"/>
          <w:szCs w:val="22"/>
          <w:lang w:val="en-US" w:eastAsia="en-GB"/>
        </w:rPr>
        <w:t>South Africa</w:t>
      </w:r>
      <w:r>
        <w:rPr>
          <w:rFonts w:ascii="Palatino Linotype" w:eastAsia="Times New Roman" w:hAnsi="Palatino Linotype"/>
          <w:bCs/>
          <w:sz w:val="22"/>
          <w:szCs w:val="22"/>
          <w:lang w:val="en-US" w:eastAsia="en-GB"/>
        </w:rPr>
        <w:t xml:space="preserve"> FTSE </w:t>
      </w:r>
      <w:r w:rsidRPr="00ED58C0">
        <w:rPr>
          <w:rFonts w:ascii="Palatino Linotype" w:eastAsia="Times New Roman" w:hAnsi="Palatino Linotype"/>
          <w:bCs/>
          <w:sz w:val="22"/>
          <w:szCs w:val="22"/>
          <w:lang w:val="en-US" w:eastAsia="en-GB"/>
        </w:rPr>
        <w:t>(</w:t>
      </w:r>
      <w:r w:rsidRPr="007023FA">
        <w:rPr>
          <w:rFonts w:ascii="Palatino Linotype" w:eastAsia="Times New Roman" w:hAnsi="Palatino Linotype"/>
          <w:sz w:val="22"/>
          <w:szCs w:val="22"/>
          <w:lang w:val="en-IN" w:eastAsia="en-IN"/>
        </w:rPr>
        <w:t>24.8</w:t>
      </w:r>
      <w:r w:rsidRPr="00ED58C0">
        <w:rPr>
          <w:rFonts w:ascii="Palatino Linotype" w:eastAsia="Times New Roman" w:hAnsi="Palatino Linotype"/>
          <w:sz w:val="22"/>
          <w:szCs w:val="22"/>
          <w:lang w:val="en-IN" w:eastAsia="en-IN"/>
        </w:rPr>
        <w:t xml:space="preserve"> per cent</w:t>
      </w:r>
      <w:r w:rsidRPr="00ED58C0">
        <w:rPr>
          <w:rFonts w:ascii="Palatino Linotype" w:eastAsia="Times New Roman" w:hAnsi="Palatino Linotype"/>
          <w:bCs/>
          <w:sz w:val="22"/>
          <w:szCs w:val="22"/>
          <w:lang w:val="en-US" w:eastAsia="en-GB"/>
        </w:rPr>
        <w:t xml:space="preserve">) and </w:t>
      </w:r>
      <w:r w:rsidRPr="007023FA">
        <w:rPr>
          <w:rFonts w:ascii="Palatino Linotype" w:eastAsia="Times New Roman" w:hAnsi="Palatino Linotype"/>
          <w:bCs/>
          <w:sz w:val="22"/>
          <w:szCs w:val="22"/>
          <w:lang w:val="en-US" w:eastAsia="en-GB"/>
        </w:rPr>
        <w:t xml:space="preserve">Brazil IBOVESPA </w:t>
      </w:r>
      <w:r w:rsidRPr="00ED58C0">
        <w:rPr>
          <w:rFonts w:ascii="Palatino Linotype" w:eastAsia="Times New Roman" w:hAnsi="Palatino Linotype"/>
          <w:bCs/>
          <w:sz w:val="22"/>
          <w:szCs w:val="22"/>
          <w:lang w:val="en-US" w:eastAsia="en-GB"/>
        </w:rPr>
        <w:t>(</w:t>
      </w:r>
      <w:r w:rsidRPr="007023FA">
        <w:rPr>
          <w:rFonts w:ascii="Palatino Linotype" w:eastAsia="Times New Roman" w:hAnsi="Palatino Linotype"/>
          <w:bCs/>
          <w:sz w:val="22"/>
          <w:szCs w:val="22"/>
          <w:lang w:val="en-US" w:eastAsia="en-GB"/>
        </w:rPr>
        <w:t>24.5</w:t>
      </w:r>
      <w:r w:rsidRPr="00ED58C0">
        <w:rPr>
          <w:rFonts w:ascii="Palatino Linotype" w:eastAsia="Times New Roman" w:hAnsi="Palatino Linotype"/>
          <w:bCs/>
          <w:sz w:val="22"/>
          <w:szCs w:val="22"/>
          <w:lang w:val="en-US" w:eastAsia="en-GB"/>
        </w:rPr>
        <w:t xml:space="preserve"> per cent). The lowest annualized volatility among BRICS was observed in Shanghai Composite (</w:t>
      </w:r>
      <w:r w:rsidRPr="004F34D1">
        <w:rPr>
          <w:rFonts w:ascii="Palatino Linotype" w:eastAsia="Times New Roman" w:hAnsi="Palatino Linotype"/>
          <w:bCs/>
          <w:sz w:val="22"/>
          <w:szCs w:val="22"/>
          <w:lang w:val="en-US" w:eastAsia="en-GB"/>
        </w:rPr>
        <w:t>16.1</w:t>
      </w:r>
      <w:r w:rsidRPr="00ED58C0">
        <w:rPr>
          <w:rFonts w:ascii="Palatino Linotype" w:eastAsia="Times New Roman" w:hAnsi="Palatino Linotype"/>
          <w:bCs/>
          <w:sz w:val="22"/>
          <w:szCs w:val="22"/>
          <w:lang w:val="en-US" w:eastAsia="en-GB"/>
        </w:rPr>
        <w:t xml:space="preserve"> per cent) and </w:t>
      </w:r>
      <w:r>
        <w:rPr>
          <w:rFonts w:ascii="Palatino Linotype" w:eastAsia="Times New Roman" w:hAnsi="Palatino Linotype"/>
          <w:bCs/>
          <w:sz w:val="22"/>
          <w:szCs w:val="22"/>
          <w:lang w:val="en-US" w:eastAsia="en-GB"/>
        </w:rPr>
        <w:t xml:space="preserve">India (Sensex </w:t>
      </w:r>
      <w:r w:rsidRPr="004F34D1">
        <w:rPr>
          <w:rFonts w:ascii="Palatino Linotype" w:eastAsia="Times New Roman" w:hAnsi="Palatino Linotype"/>
          <w:bCs/>
          <w:sz w:val="22"/>
          <w:szCs w:val="22"/>
          <w:lang w:val="en-US" w:eastAsia="en-GB"/>
        </w:rPr>
        <w:t>22.1</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and Nifty </w:t>
      </w:r>
      <w:r w:rsidRPr="004F34D1">
        <w:rPr>
          <w:rFonts w:ascii="Palatino Linotype" w:eastAsia="Times New Roman" w:hAnsi="Palatino Linotype"/>
          <w:bCs/>
          <w:sz w:val="22"/>
          <w:szCs w:val="22"/>
          <w:lang w:val="en-US" w:eastAsia="en-GB"/>
        </w:rPr>
        <w:t>21.9</w:t>
      </w:r>
      <w:r>
        <w:rPr>
          <w:rFonts w:ascii="Palatino Linotype" w:eastAsia="Times New Roman" w:hAnsi="Palatino Linotype"/>
          <w:bCs/>
          <w:sz w:val="22"/>
          <w:szCs w:val="22"/>
          <w:lang w:val="en-US" w:eastAsia="en-GB"/>
        </w:rPr>
        <w:t xml:space="preserve"> per cent</w:t>
      </w:r>
      <w:r w:rsidRPr="00ED58C0">
        <w:rPr>
          <w:rFonts w:ascii="Palatino Linotype" w:eastAsia="Times New Roman" w:hAnsi="Palatino Linotype"/>
          <w:bCs/>
          <w:sz w:val="22"/>
          <w:szCs w:val="22"/>
          <w:lang w:val="en-US" w:eastAsia="en-GB"/>
        </w:rPr>
        <w:t xml:space="preserve">). Among the developed markets, highest annualized volatility was observed in </w:t>
      </w:r>
      <w:r>
        <w:rPr>
          <w:rFonts w:ascii="Palatino Linotype" w:eastAsia="Times New Roman" w:hAnsi="Palatino Linotype"/>
          <w:bCs/>
          <w:sz w:val="22"/>
          <w:szCs w:val="22"/>
          <w:lang w:val="en-US" w:eastAsia="en-GB"/>
        </w:rPr>
        <w:t xml:space="preserve">South Korea </w:t>
      </w:r>
      <w:r w:rsidRPr="00F82B92">
        <w:rPr>
          <w:rFonts w:ascii="Palatino Linotype" w:eastAsia="Times New Roman" w:hAnsi="Palatino Linotype"/>
          <w:bCs/>
          <w:sz w:val="22"/>
          <w:szCs w:val="22"/>
          <w:lang w:val="en-US" w:eastAsia="en-GB"/>
        </w:rPr>
        <w:t xml:space="preserve">KOSPI </w:t>
      </w:r>
      <w:r w:rsidRPr="00ED58C0">
        <w:rPr>
          <w:rFonts w:ascii="Palatino Linotype" w:eastAsia="Times New Roman" w:hAnsi="Palatino Linotype"/>
          <w:bCs/>
          <w:sz w:val="22"/>
          <w:szCs w:val="22"/>
          <w:lang w:val="en-US" w:eastAsia="en-GB"/>
        </w:rPr>
        <w:t>(</w:t>
      </w:r>
      <w:r w:rsidRPr="00F82B92">
        <w:rPr>
          <w:rFonts w:ascii="Palatino Linotype" w:eastAsia="Times New Roman" w:hAnsi="Palatino Linotype"/>
          <w:bCs/>
          <w:sz w:val="22"/>
          <w:szCs w:val="22"/>
          <w:lang w:val="en-US" w:eastAsia="en-GB"/>
        </w:rPr>
        <w:t>31.2</w:t>
      </w:r>
      <w:r w:rsidRPr="00ED58C0">
        <w:rPr>
          <w:rFonts w:ascii="Palatino Linotype" w:eastAsia="Times New Roman" w:hAnsi="Palatino Linotype"/>
          <w:bCs/>
          <w:sz w:val="22"/>
          <w:szCs w:val="22"/>
          <w:lang w:val="en-US" w:eastAsia="en-GB"/>
        </w:rPr>
        <w:t xml:space="preserve"> per cent) and the lowest was observed at </w:t>
      </w:r>
      <w:r>
        <w:rPr>
          <w:rFonts w:ascii="Palatino Linotype" w:eastAsia="Times New Roman" w:hAnsi="Palatino Linotype"/>
          <w:bCs/>
          <w:sz w:val="22"/>
          <w:szCs w:val="22"/>
          <w:lang w:val="en-US" w:eastAsia="en-GB"/>
        </w:rPr>
        <w:t xml:space="preserve">Germany DAX </w:t>
      </w:r>
      <w:r w:rsidRPr="00ED58C0">
        <w:rPr>
          <w:rFonts w:ascii="Palatino Linotype" w:eastAsia="Times New Roman" w:hAnsi="Palatino Linotype"/>
          <w:bCs/>
          <w:sz w:val="22"/>
          <w:szCs w:val="22"/>
          <w:lang w:val="en-US" w:eastAsia="en-GB"/>
        </w:rPr>
        <w:t>(</w:t>
      </w:r>
      <w:r w:rsidRPr="00F82B92">
        <w:rPr>
          <w:rFonts w:ascii="Palatino Linotype" w:eastAsia="Times New Roman" w:hAnsi="Palatino Linotype"/>
          <w:bCs/>
          <w:sz w:val="22"/>
          <w:szCs w:val="22"/>
          <w:lang w:val="en-US" w:eastAsia="en-GB"/>
        </w:rPr>
        <w:t>10.9</w:t>
      </w:r>
      <w:r>
        <w:rPr>
          <w:rFonts w:ascii="Palatino Linotype" w:eastAsia="Times New Roman" w:hAnsi="Palatino Linotype"/>
          <w:bCs/>
          <w:sz w:val="22"/>
          <w:szCs w:val="22"/>
          <w:lang w:val="en-US" w:eastAsia="en-GB"/>
        </w:rPr>
        <w:t xml:space="preserve"> per cent</w:t>
      </w:r>
      <w:r w:rsidRPr="00ED58C0">
        <w:rPr>
          <w:rFonts w:ascii="Palatino Linotype" w:eastAsia="Times New Roman" w:hAnsi="Palatino Linotype"/>
          <w:bCs/>
          <w:sz w:val="22"/>
          <w:szCs w:val="22"/>
          <w:lang w:val="en-US" w:eastAsia="en-GB"/>
        </w:rPr>
        <w:t xml:space="preserve">). </w:t>
      </w:r>
    </w:p>
    <w:p w:rsidR="002C1136" w:rsidRPr="00ED58C0" w:rsidRDefault="002C1136" w:rsidP="002C1136">
      <w:pPr>
        <w:spacing w:line="276" w:lineRule="auto"/>
        <w:ind w:left="357"/>
        <w:jc w:val="both"/>
        <w:rPr>
          <w:rFonts w:ascii="Garamond" w:eastAsia="Times New Roman" w:hAnsi="Garamond"/>
          <w:bCs/>
          <w:color w:val="FF0000"/>
          <w:lang w:val="en-US" w:eastAsia="en-GB"/>
        </w:rPr>
      </w:pPr>
    </w:p>
    <w:p w:rsidR="002C1136" w:rsidRDefault="002C1136" w:rsidP="003F384D">
      <w:pPr>
        <w:numPr>
          <w:ilvl w:val="0"/>
          <w:numId w:val="8"/>
        </w:numPr>
        <w:spacing w:line="276" w:lineRule="auto"/>
        <w:contextualSpacing/>
        <w:jc w:val="both"/>
        <w:rPr>
          <w:rFonts w:ascii="Palatino Linotype" w:eastAsia="Times New Roman" w:hAnsi="Palatino Linotype"/>
          <w:bCs/>
          <w:sz w:val="22"/>
          <w:szCs w:val="22"/>
          <w:lang w:val="en-US" w:eastAsia="en-GB"/>
        </w:rPr>
      </w:pPr>
      <w:r w:rsidRPr="00ED58C0">
        <w:rPr>
          <w:rFonts w:ascii="Palatino Linotype" w:eastAsia="Times New Roman" w:hAnsi="Palatino Linotype"/>
          <w:bCs/>
          <w:sz w:val="22"/>
          <w:szCs w:val="22"/>
          <w:lang w:val="en-US" w:eastAsia="en-GB"/>
        </w:rPr>
        <w:t>In most of the analyzed markets</w:t>
      </w:r>
      <w:r w:rsidRPr="00ED58C0">
        <w:rPr>
          <w:rFonts w:ascii="Palatino Linotype" w:eastAsia="Times New Roman" w:hAnsi="Palatino Linotype"/>
          <w:bCs/>
          <w:sz w:val="22"/>
          <w:szCs w:val="22"/>
          <w:vertAlign w:val="superscript"/>
          <w:lang w:val="en-US" w:eastAsia="en-GB"/>
        </w:rPr>
        <w:footnoteReference w:id="3"/>
      </w:r>
      <w:r w:rsidRPr="00ED58C0">
        <w:rPr>
          <w:rFonts w:ascii="Palatino Linotype" w:eastAsia="Times New Roman" w:hAnsi="Palatino Linotype"/>
          <w:bCs/>
          <w:sz w:val="22"/>
          <w:szCs w:val="22"/>
          <w:lang w:val="en-US" w:eastAsia="en-GB"/>
        </w:rPr>
        <w:t xml:space="preserve">, an increase was observed in most of the indices during </w:t>
      </w:r>
      <w:r>
        <w:rPr>
          <w:rFonts w:ascii="Palatino Linotype" w:eastAsia="Times New Roman" w:hAnsi="Palatino Linotype"/>
          <w:bCs/>
          <w:sz w:val="22"/>
          <w:szCs w:val="22"/>
          <w:lang w:val="en-US" w:eastAsia="en-GB"/>
        </w:rPr>
        <w:t>February</w:t>
      </w:r>
      <w:r w:rsidRPr="00ED58C0">
        <w:rPr>
          <w:rFonts w:ascii="Palatino Linotype" w:eastAsia="Times New Roman" w:hAnsi="Palatino Linotype"/>
          <w:bCs/>
          <w:sz w:val="22"/>
          <w:szCs w:val="22"/>
          <w:lang w:val="en-US" w:eastAsia="en-GB"/>
        </w:rPr>
        <w:t xml:space="preserve"> 2021 over the previous month. Amongst BRICS nations, an increase was observed in </w:t>
      </w:r>
      <w:r>
        <w:rPr>
          <w:rFonts w:ascii="Palatino Linotype" w:eastAsia="Times New Roman" w:hAnsi="Palatino Linotype"/>
          <w:bCs/>
          <w:sz w:val="22"/>
          <w:szCs w:val="22"/>
          <w:lang w:val="en-US" w:eastAsia="en-GB"/>
        </w:rPr>
        <w:t xml:space="preserve">India’s </w:t>
      </w:r>
      <w:r w:rsidRPr="0097439B">
        <w:rPr>
          <w:rFonts w:ascii="Palatino Linotype" w:eastAsia="Times New Roman" w:hAnsi="Palatino Linotype"/>
          <w:bCs/>
          <w:sz w:val="22"/>
          <w:szCs w:val="22"/>
          <w:lang w:val="en-US" w:eastAsia="en-GB"/>
        </w:rPr>
        <w:t>Nifty 50</w:t>
      </w:r>
      <w:r w:rsidRPr="00ED58C0">
        <w:rPr>
          <w:rFonts w:ascii="Palatino Linotype" w:eastAsia="Times New Roman" w:hAnsi="Palatino Linotype"/>
          <w:bCs/>
          <w:sz w:val="22"/>
          <w:szCs w:val="22"/>
          <w:lang w:val="en-US" w:eastAsia="en-GB"/>
        </w:rPr>
        <w:t xml:space="preserve"> (</w:t>
      </w:r>
      <w:r w:rsidRPr="0097439B">
        <w:rPr>
          <w:rFonts w:ascii="Palatino Linotype" w:eastAsia="Times New Roman" w:hAnsi="Palatino Linotype"/>
          <w:bCs/>
          <w:sz w:val="22"/>
          <w:szCs w:val="22"/>
          <w:lang w:val="en-US" w:eastAsia="en-GB"/>
        </w:rPr>
        <w:t>6.6</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 xml:space="preserve"> and Sensex </w:t>
      </w:r>
      <w:r w:rsidRPr="00ED58C0">
        <w:rPr>
          <w:rFonts w:ascii="Palatino Linotype" w:eastAsia="Times New Roman" w:hAnsi="Palatino Linotype"/>
          <w:bCs/>
          <w:sz w:val="22"/>
          <w:szCs w:val="22"/>
          <w:lang w:val="en-US" w:eastAsia="en-GB"/>
        </w:rPr>
        <w:t>(</w:t>
      </w:r>
      <w:r w:rsidRPr="008722B7">
        <w:rPr>
          <w:rFonts w:ascii="Palatino Linotype" w:eastAsia="Times New Roman" w:hAnsi="Palatino Linotype"/>
          <w:bCs/>
          <w:sz w:val="22"/>
          <w:szCs w:val="22"/>
          <w:lang w:val="en-US" w:eastAsia="en-GB"/>
        </w:rPr>
        <w:t>6.1</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per cent) followed by </w:t>
      </w:r>
      <w:r w:rsidRPr="00853856">
        <w:rPr>
          <w:rFonts w:ascii="Palatino Linotype" w:eastAsia="Times New Roman" w:hAnsi="Palatino Linotype"/>
          <w:bCs/>
          <w:sz w:val="22"/>
          <w:szCs w:val="22"/>
          <w:lang w:val="en-US" w:eastAsia="en-GB"/>
        </w:rPr>
        <w:t>South Africa FTSE</w:t>
      </w:r>
      <w:r w:rsidRPr="00ED58C0">
        <w:rPr>
          <w:rFonts w:ascii="Palatino Linotype" w:eastAsia="Times New Roman" w:hAnsi="Palatino Linotype"/>
          <w:bCs/>
          <w:sz w:val="22"/>
          <w:szCs w:val="22"/>
          <w:lang w:val="en-US" w:eastAsia="en-GB"/>
        </w:rPr>
        <w:t xml:space="preserve"> (</w:t>
      </w:r>
      <w:r w:rsidRPr="00853856">
        <w:rPr>
          <w:rFonts w:ascii="Palatino Linotype" w:eastAsia="Times New Roman" w:hAnsi="Palatino Linotype"/>
          <w:bCs/>
          <w:sz w:val="22"/>
          <w:szCs w:val="22"/>
          <w:lang w:val="en-US" w:eastAsia="en-GB"/>
        </w:rPr>
        <w:t>5.9</w:t>
      </w:r>
      <w:r w:rsidRPr="00ED58C0">
        <w:rPr>
          <w:rFonts w:ascii="Palatino Linotype" w:eastAsia="Times New Roman" w:hAnsi="Palatino Linotype"/>
          <w:bCs/>
          <w:sz w:val="22"/>
          <w:szCs w:val="22"/>
          <w:lang w:val="en-US" w:eastAsia="en-GB"/>
        </w:rPr>
        <w:t xml:space="preserve"> per cent)</w:t>
      </w:r>
      <w:r>
        <w:rPr>
          <w:rFonts w:ascii="Palatino Linotype" w:eastAsia="Times New Roman" w:hAnsi="Palatino Linotype"/>
          <w:bCs/>
          <w:sz w:val="22"/>
          <w:szCs w:val="22"/>
          <w:lang w:val="en-US" w:eastAsia="en-GB"/>
        </w:rPr>
        <w:t xml:space="preserve">, </w:t>
      </w:r>
      <w:r w:rsidRPr="00467793">
        <w:rPr>
          <w:rFonts w:ascii="Palatino Linotype" w:eastAsia="Times New Roman" w:hAnsi="Palatino Linotype"/>
          <w:bCs/>
          <w:sz w:val="22"/>
          <w:szCs w:val="22"/>
          <w:lang w:val="en-US" w:eastAsia="en-GB"/>
        </w:rPr>
        <w:t>Russian Traded</w:t>
      </w:r>
      <w:r>
        <w:rPr>
          <w:rFonts w:ascii="Palatino Linotype" w:eastAsia="Times New Roman" w:hAnsi="Palatino Linotype"/>
          <w:bCs/>
          <w:sz w:val="22"/>
          <w:szCs w:val="22"/>
          <w:lang w:val="en-US" w:eastAsia="en-GB"/>
        </w:rPr>
        <w:t xml:space="preserve"> (</w:t>
      </w:r>
      <w:r w:rsidRPr="00467793">
        <w:rPr>
          <w:rFonts w:ascii="Palatino Linotype" w:eastAsia="Times New Roman" w:hAnsi="Palatino Linotype"/>
          <w:bCs/>
          <w:sz w:val="22"/>
          <w:szCs w:val="22"/>
          <w:lang w:val="en-US" w:eastAsia="en-GB"/>
        </w:rPr>
        <w:t>3.4</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 and</w:t>
      </w:r>
      <w:r w:rsidRPr="00467793">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Shanghai Composite</w:t>
      </w:r>
      <w:r>
        <w:rPr>
          <w:rFonts w:ascii="Palatino Linotype" w:eastAsia="Times New Roman" w:hAnsi="Palatino Linotype"/>
          <w:bCs/>
          <w:sz w:val="22"/>
          <w:szCs w:val="22"/>
          <w:lang w:val="en-US" w:eastAsia="en-GB"/>
        </w:rPr>
        <w:t xml:space="preserve"> (</w:t>
      </w:r>
      <w:r w:rsidRPr="00467793">
        <w:rPr>
          <w:rFonts w:ascii="Palatino Linotype" w:eastAsia="Times New Roman" w:hAnsi="Palatino Linotype"/>
          <w:bCs/>
          <w:sz w:val="22"/>
          <w:szCs w:val="22"/>
          <w:lang w:val="en-US" w:eastAsia="en-GB"/>
        </w:rPr>
        <w:t>0.7</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per cent</w:t>
      </w:r>
      <w:r>
        <w:rPr>
          <w:rFonts w:ascii="Palatino Linotype" w:eastAsia="Times New Roman" w:hAnsi="Palatino Linotype"/>
          <w:bCs/>
          <w:sz w:val="22"/>
          <w:szCs w:val="22"/>
          <w:lang w:val="en-US" w:eastAsia="en-GB"/>
        </w:rPr>
        <w:t>)</w:t>
      </w:r>
      <w:r w:rsidRPr="00467793">
        <w:rPr>
          <w:rFonts w:ascii="Palatino Linotype" w:eastAsia="Times New Roman" w:hAnsi="Palatino Linotype"/>
          <w:bCs/>
          <w:sz w:val="22"/>
          <w:szCs w:val="22"/>
          <w:lang w:val="en-US" w:eastAsia="en-GB"/>
        </w:rPr>
        <w:t>.</w:t>
      </w:r>
      <w:r w:rsidRPr="00ED58C0">
        <w:rPr>
          <w:rFonts w:ascii="Palatino Linotype" w:eastAsia="Times New Roman" w:hAnsi="Palatino Linotype"/>
          <w:bCs/>
          <w:sz w:val="22"/>
          <w:szCs w:val="22"/>
          <w:lang w:val="en-US" w:eastAsia="en-GB"/>
        </w:rPr>
        <w:t xml:space="preserve"> However, a decrease was observed for Brazil’s IBOVESPA (</w:t>
      </w:r>
      <w:r>
        <w:rPr>
          <w:rFonts w:ascii="Palatino Linotype" w:eastAsia="Times New Roman" w:hAnsi="Palatino Linotype"/>
          <w:bCs/>
          <w:sz w:val="22"/>
          <w:szCs w:val="22"/>
          <w:lang w:val="en-US" w:eastAsia="en-GB"/>
        </w:rPr>
        <w:t>4.4</w:t>
      </w:r>
      <w:r w:rsidRPr="00ED58C0">
        <w:rPr>
          <w:rFonts w:ascii="Palatino Linotype" w:eastAsia="Times New Roman" w:hAnsi="Palatino Linotype"/>
          <w:bCs/>
          <w:sz w:val="22"/>
          <w:szCs w:val="22"/>
          <w:lang w:val="en-US" w:eastAsia="en-GB"/>
        </w:rPr>
        <w:t xml:space="preserve"> per cent). </w:t>
      </w:r>
    </w:p>
    <w:p w:rsidR="002C1136" w:rsidRDefault="002C1136" w:rsidP="002C1136">
      <w:pPr>
        <w:pStyle w:val="ListParagraph"/>
        <w:rPr>
          <w:rFonts w:ascii="Palatino Linotype" w:eastAsia="Times New Roman" w:hAnsi="Palatino Linotype"/>
          <w:bCs/>
          <w:sz w:val="22"/>
          <w:szCs w:val="22"/>
          <w:lang w:eastAsia="en-GB"/>
        </w:rPr>
      </w:pPr>
    </w:p>
    <w:p w:rsidR="002C1136" w:rsidRPr="00460FD6" w:rsidRDefault="002C1136" w:rsidP="003F384D">
      <w:pPr>
        <w:numPr>
          <w:ilvl w:val="0"/>
          <w:numId w:val="8"/>
        </w:numPr>
        <w:spacing w:line="276" w:lineRule="auto"/>
        <w:contextualSpacing/>
        <w:jc w:val="both"/>
        <w:rPr>
          <w:rFonts w:ascii="Palatino Linotype" w:eastAsia="Times New Roman" w:hAnsi="Palatino Linotype"/>
          <w:bCs/>
          <w:sz w:val="22"/>
          <w:szCs w:val="22"/>
          <w:lang w:val="en-US" w:eastAsia="en-GB"/>
        </w:rPr>
      </w:pPr>
      <w:r w:rsidRPr="00ED58C0">
        <w:rPr>
          <w:rFonts w:ascii="Palatino Linotype" w:eastAsia="Times New Roman" w:hAnsi="Palatino Linotype"/>
          <w:bCs/>
          <w:sz w:val="22"/>
          <w:szCs w:val="22"/>
          <w:lang w:val="en-US" w:eastAsia="en-GB"/>
        </w:rPr>
        <w:t xml:space="preserve">Among the developed economies, in the month of </w:t>
      </w:r>
      <w:r>
        <w:rPr>
          <w:rFonts w:ascii="Palatino Linotype" w:eastAsia="Times New Roman" w:hAnsi="Palatino Linotype"/>
          <w:bCs/>
          <w:sz w:val="22"/>
          <w:szCs w:val="22"/>
          <w:lang w:val="en-US" w:eastAsia="en-GB"/>
        </w:rPr>
        <w:t>February</w:t>
      </w:r>
      <w:r w:rsidRPr="00ED58C0">
        <w:rPr>
          <w:rFonts w:ascii="Palatino Linotype" w:eastAsia="Times New Roman" w:hAnsi="Palatino Linotype"/>
          <w:bCs/>
          <w:sz w:val="22"/>
          <w:szCs w:val="22"/>
          <w:lang w:val="en-US" w:eastAsia="en-GB"/>
        </w:rPr>
        <w:t xml:space="preserve"> 2021, highest indices growth was observed for France CAC 40 (</w:t>
      </w:r>
      <w:r w:rsidRPr="00D51E18">
        <w:rPr>
          <w:rFonts w:ascii="Palatino Linotype" w:eastAsia="Times New Roman" w:hAnsi="Palatino Linotype"/>
          <w:bCs/>
          <w:sz w:val="22"/>
          <w:szCs w:val="22"/>
          <w:lang w:val="en-US" w:eastAsia="en-GB"/>
        </w:rPr>
        <w:t>5.6</w:t>
      </w:r>
      <w:r w:rsidRPr="00ED58C0">
        <w:rPr>
          <w:rFonts w:ascii="Palatino Linotype" w:eastAsia="Times New Roman" w:hAnsi="Palatino Linotype"/>
          <w:bCs/>
          <w:sz w:val="22"/>
          <w:szCs w:val="22"/>
          <w:lang w:val="en-US" w:eastAsia="en-GB"/>
        </w:rPr>
        <w:t xml:space="preserve"> per cent) followed by </w:t>
      </w:r>
      <w:r>
        <w:rPr>
          <w:rFonts w:ascii="Palatino Linotype" w:eastAsia="Times New Roman" w:hAnsi="Palatino Linotype"/>
          <w:bCs/>
          <w:sz w:val="22"/>
          <w:szCs w:val="22"/>
          <w:lang w:val="en-US" w:eastAsia="en-GB"/>
        </w:rPr>
        <w:t>Taiwan TAIEX</w:t>
      </w:r>
      <w:r w:rsidRPr="00ED58C0">
        <w:rPr>
          <w:rFonts w:ascii="Palatino Linotype" w:eastAsia="Times New Roman" w:hAnsi="Palatino Linotype"/>
          <w:bCs/>
          <w:sz w:val="22"/>
          <w:szCs w:val="22"/>
          <w:lang w:val="en-US" w:eastAsia="en-GB"/>
        </w:rPr>
        <w:t xml:space="preserve"> (</w:t>
      </w:r>
      <w:r w:rsidRPr="00D51E18">
        <w:rPr>
          <w:rFonts w:ascii="Palatino Linotype" w:eastAsia="Times New Roman" w:hAnsi="Palatino Linotype"/>
          <w:bCs/>
          <w:sz w:val="22"/>
          <w:szCs w:val="22"/>
          <w:lang w:val="en-US" w:eastAsia="en-GB"/>
        </w:rPr>
        <w:t>5.4</w:t>
      </w:r>
      <w:r w:rsidRPr="00ED58C0">
        <w:rPr>
          <w:rFonts w:ascii="Palatino Linotype" w:eastAsia="Times New Roman" w:hAnsi="Palatino Linotype"/>
          <w:bCs/>
          <w:sz w:val="22"/>
          <w:szCs w:val="22"/>
          <w:lang w:val="en-US" w:eastAsia="en-GB"/>
        </w:rPr>
        <w:t xml:space="preserve"> per cent). </w:t>
      </w:r>
      <w:r>
        <w:rPr>
          <w:rFonts w:ascii="Palatino Linotype" w:eastAsia="Times New Roman" w:hAnsi="Palatino Linotype"/>
          <w:bCs/>
          <w:sz w:val="22"/>
          <w:szCs w:val="22"/>
          <w:lang w:val="en-US" w:eastAsia="en-GB"/>
        </w:rPr>
        <w:t>Lowest</w:t>
      </w:r>
      <w:r w:rsidRPr="00ED58C0">
        <w:rPr>
          <w:rFonts w:ascii="Palatino Linotype" w:eastAsia="Times New Roman" w:hAnsi="Palatino Linotype"/>
          <w:bCs/>
          <w:sz w:val="22"/>
          <w:szCs w:val="22"/>
          <w:lang w:val="en-US" w:eastAsia="en-GB"/>
        </w:rPr>
        <w:t xml:space="preserve"> monthly growth was observed in</w:t>
      </w:r>
      <w:r w:rsidRPr="00B16BAD">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Nasdaq COMPOSITE (</w:t>
      </w:r>
      <w:r w:rsidRPr="00B16BAD">
        <w:rPr>
          <w:rFonts w:ascii="Palatino Linotype" w:eastAsia="Times New Roman" w:hAnsi="Palatino Linotype"/>
          <w:bCs/>
          <w:sz w:val="22"/>
          <w:szCs w:val="22"/>
          <w:lang w:val="en-US" w:eastAsia="en-GB"/>
        </w:rPr>
        <w:t>0.9</w:t>
      </w:r>
      <w:r w:rsidRPr="00ED58C0">
        <w:rPr>
          <w:rFonts w:ascii="Palatino Linotype" w:eastAsia="Times New Roman" w:hAnsi="Palatino Linotype"/>
          <w:bCs/>
          <w:sz w:val="22"/>
          <w:szCs w:val="22"/>
          <w:lang w:val="en-US" w:eastAsia="en-GB"/>
        </w:rPr>
        <w:t xml:space="preserve"> per cent) followed by UK FTSE 100 and </w:t>
      </w:r>
      <w:r>
        <w:rPr>
          <w:rFonts w:ascii="Palatino Linotype" w:eastAsia="Times New Roman" w:hAnsi="Palatino Linotype"/>
          <w:bCs/>
          <w:sz w:val="22"/>
          <w:szCs w:val="22"/>
          <w:lang w:val="en-US" w:eastAsia="en-GB"/>
        </w:rPr>
        <w:t>South Korea KOSPI</w:t>
      </w:r>
      <w:r w:rsidRPr="00ED58C0">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 xml:space="preserve">both </w:t>
      </w:r>
      <w:r w:rsidRPr="00B16BAD">
        <w:rPr>
          <w:rFonts w:ascii="Palatino Linotype" w:eastAsia="Times New Roman" w:hAnsi="Palatino Linotype"/>
          <w:bCs/>
          <w:sz w:val="22"/>
          <w:szCs w:val="22"/>
          <w:lang w:val="en-US" w:eastAsia="en-GB"/>
        </w:rPr>
        <w:t>1.2</w:t>
      </w:r>
      <w:r w:rsidRPr="00ED58C0">
        <w:rPr>
          <w:rFonts w:ascii="Palatino Linotype" w:eastAsia="Times New Roman" w:hAnsi="Palatino Linotype"/>
          <w:bCs/>
          <w:sz w:val="22"/>
          <w:szCs w:val="22"/>
          <w:lang w:val="en-US" w:eastAsia="en-GB"/>
        </w:rPr>
        <w:t xml:space="preserve"> per cent). Growth for</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Singapore STI</w:t>
      </w:r>
      <w:r>
        <w:rPr>
          <w:rFonts w:ascii="Palatino Linotype" w:eastAsia="Times New Roman" w:hAnsi="Palatino Linotype"/>
          <w:bCs/>
          <w:sz w:val="22"/>
          <w:szCs w:val="22"/>
          <w:lang w:val="en-US" w:eastAsia="en-GB"/>
        </w:rPr>
        <w:t>,</w:t>
      </w:r>
      <w:r w:rsidRPr="00ED58C0">
        <w:rPr>
          <w:rFonts w:ascii="Palatino Linotype" w:eastAsia="Times New Roman" w:hAnsi="Palatino Linotype"/>
          <w:bCs/>
          <w:sz w:val="22"/>
          <w:szCs w:val="22"/>
          <w:lang w:val="en-US" w:eastAsia="en-GB"/>
        </w:rPr>
        <w:t xml:space="preserve"> Hong Kong HANG SENG</w:t>
      </w:r>
      <w:r>
        <w:rPr>
          <w:rFonts w:ascii="Palatino Linotype" w:eastAsia="Times New Roman" w:hAnsi="Palatino Linotype"/>
          <w:bCs/>
          <w:sz w:val="22"/>
          <w:szCs w:val="22"/>
          <w:lang w:val="en-US" w:eastAsia="en-GB"/>
        </w:rPr>
        <w:t>,</w:t>
      </w:r>
      <w:r w:rsidRPr="00B16BAD">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German DAX</w:t>
      </w:r>
      <w:r>
        <w:rPr>
          <w:rFonts w:ascii="Palatino Linotype" w:eastAsia="Times New Roman" w:hAnsi="Palatino Linotype"/>
          <w:bCs/>
          <w:sz w:val="22"/>
          <w:szCs w:val="22"/>
          <w:lang w:val="en-US" w:eastAsia="en-GB"/>
        </w:rPr>
        <w:t xml:space="preserve"> </w:t>
      </w:r>
      <w:r w:rsidRPr="00ED58C0">
        <w:rPr>
          <w:rFonts w:ascii="Palatino Linotype" w:eastAsia="Times New Roman" w:hAnsi="Palatino Linotype"/>
          <w:bCs/>
          <w:sz w:val="22"/>
          <w:szCs w:val="22"/>
          <w:lang w:val="en-US" w:eastAsia="en-GB"/>
        </w:rPr>
        <w:t xml:space="preserve">and Japan Nikkei were </w:t>
      </w:r>
      <w:r w:rsidRPr="00C656E8">
        <w:rPr>
          <w:rFonts w:ascii="Palatino Linotype" w:eastAsia="Times New Roman" w:hAnsi="Palatino Linotype"/>
          <w:bCs/>
          <w:sz w:val="22"/>
          <w:szCs w:val="22"/>
          <w:lang w:val="en-US" w:eastAsia="en-GB"/>
        </w:rPr>
        <w:t>2.5</w:t>
      </w:r>
      <w:r w:rsidRPr="00ED58C0">
        <w:rPr>
          <w:rFonts w:ascii="Palatino Linotype" w:eastAsia="Times New Roman" w:hAnsi="Palatino Linotype"/>
          <w:bCs/>
          <w:sz w:val="22"/>
          <w:szCs w:val="22"/>
          <w:lang w:val="en-US" w:eastAsia="en-GB"/>
        </w:rPr>
        <w:t xml:space="preserve">, </w:t>
      </w:r>
      <w:r w:rsidRPr="00C656E8">
        <w:rPr>
          <w:rFonts w:ascii="Palatino Linotype" w:eastAsia="Times New Roman" w:hAnsi="Palatino Linotype"/>
          <w:bCs/>
          <w:sz w:val="22"/>
          <w:szCs w:val="22"/>
          <w:lang w:val="en-US" w:eastAsia="en-GB"/>
        </w:rPr>
        <w:t>2.6</w:t>
      </w:r>
      <w:r w:rsidRPr="00ED58C0">
        <w:rPr>
          <w:rFonts w:ascii="Palatino Linotype" w:eastAsia="Times New Roman" w:hAnsi="Palatino Linotype"/>
          <w:bCs/>
          <w:sz w:val="22"/>
          <w:szCs w:val="22"/>
          <w:lang w:val="en-US" w:eastAsia="en-GB"/>
        </w:rPr>
        <w:t xml:space="preserve">, </w:t>
      </w:r>
      <w:r w:rsidRPr="00C656E8">
        <w:rPr>
          <w:rFonts w:ascii="Palatino Linotype" w:eastAsia="Times New Roman" w:hAnsi="Palatino Linotype"/>
          <w:bCs/>
          <w:sz w:val="22"/>
          <w:szCs w:val="22"/>
          <w:lang w:val="en-US" w:eastAsia="en-GB"/>
        </w:rPr>
        <w:t>1.6</w:t>
      </w:r>
      <w:r w:rsidRPr="00ED58C0">
        <w:rPr>
          <w:rFonts w:ascii="Palatino Linotype" w:eastAsia="Times New Roman" w:hAnsi="Palatino Linotype"/>
          <w:bCs/>
          <w:sz w:val="22"/>
          <w:szCs w:val="22"/>
          <w:lang w:val="en-US" w:eastAsia="en-GB"/>
        </w:rPr>
        <w:t xml:space="preserve"> and </w:t>
      </w:r>
      <w:r w:rsidRPr="00C656E8">
        <w:rPr>
          <w:rFonts w:ascii="Palatino Linotype" w:eastAsia="Times New Roman" w:hAnsi="Palatino Linotype"/>
          <w:bCs/>
          <w:sz w:val="22"/>
          <w:szCs w:val="22"/>
          <w:lang w:val="en-US" w:eastAsia="en-GB"/>
        </w:rPr>
        <w:t>4.7</w:t>
      </w:r>
      <w:r w:rsidRPr="00ED58C0">
        <w:rPr>
          <w:rFonts w:ascii="Palatino Linotype" w:eastAsia="Times New Roman" w:hAnsi="Palatino Linotype"/>
          <w:bCs/>
          <w:sz w:val="22"/>
          <w:szCs w:val="22"/>
          <w:lang w:val="en-US" w:eastAsia="en-GB"/>
        </w:rPr>
        <w:t xml:space="preserve"> per cent respectively</w:t>
      </w:r>
      <w:r>
        <w:rPr>
          <w:rFonts w:ascii="Palatino Linotype" w:eastAsia="Times New Roman" w:hAnsi="Palatino Linotype"/>
          <w:bCs/>
          <w:sz w:val="22"/>
          <w:szCs w:val="22"/>
          <w:lang w:val="en-US" w:eastAsia="en-GB"/>
        </w:rPr>
        <w:t>.</w:t>
      </w:r>
    </w:p>
    <w:p w:rsidR="002C1136" w:rsidRDefault="002C1136" w:rsidP="002C1136">
      <w:pPr>
        <w:spacing w:line="23" w:lineRule="atLeast"/>
        <w:jc w:val="both"/>
        <w:outlineLvl w:val="0"/>
        <w:rPr>
          <w:rFonts w:ascii="Garamond" w:hAnsi="Garamond"/>
          <w:b/>
          <w:bCs/>
          <w:noProof/>
          <w:lang w:val="en-US"/>
        </w:rPr>
      </w:pPr>
    </w:p>
    <w:p w:rsidR="002C1136" w:rsidRPr="002622E2" w:rsidRDefault="002C1136" w:rsidP="002C1136">
      <w:pPr>
        <w:spacing w:line="23" w:lineRule="atLeast"/>
        <w:jc w:val="both"/>
        <w:outlineLvl w:val="0"/>
        <w:rPr>
          <w:rFonts w:ascii="Garamond" w:hAnsi="Garamond"/>
          <w:b/>
          <w:bCs/>
          <w:szCs w:val="22"/>
        </w:rPr>
      </w:pPr>
      <w:r w:rsidRPr="002622E2">
        <w:rPr>
          <w:rFonts w:ascii="Garamond" w:hAnsi="Garamond"/>
          <w:b/>
          <w:bCs/>
          <w:noProof/>
          <w:lang w:val="en-US"/>
        </w:rPr>
        <w:t>Figure</w:t>
      </w:r>
      <w:r w:rsidRPr="002622E2">
        <w:rPr>
          <w:rFonts w:ascii="Garamond" w:hAnsi="Garamond"/>
          <w:b/>
          <w:bCs/>
          <w:szCs w:val="22"/>
        </w:rPr>
        <w:t xml:space="preserve"> 1: Stock Market Trends in Selected Developed Markets</w:t>
      </w:r>
    </w:p>
    <w:p w:rsidR="002C1136" w:rsidRPr="002622E2" w:rsidRDefault="002C1136" w:rsidP="002C1136">
      <w:pPr>
        <w:spacing w:line="23" w:lineRule="atLeast"/>
        <w:jc w:val="both"/>
        <w:outlineLvl w:val="0"/>
        <w:rPr>
          <w:rFonts w:ascii="Garamond" w:hAnsi="Garamond"/>
          <w:bCs/>
          <w:sz w:val="22"/>
          <w:szCs w:val="22"/>
        </w:rPr>
      </w:pPr>
      <w:r>
        <w:rPr>
          <w:rFonts w:ascii="Garamond" w:hAnsi="Garamond"/>
          <w:bCs/>
          <w:noProof/>
          <w:sz w:val="18"/>
          <w:szCs w:val="18"/>
          <w:lang w:val="en-IN" w:eastAsia="en-IN" w:bidi="hi-IN"/>
        </w:rPr>
        <w:drawing>
          <wp:anchor distT="0" distB="0" distL="114300" distR="114300" simplePos="0" relativeHeight="251662336" behindDoc="0" locked="0" layoutInCell="1" allowOverlap="1">
            <wp:simplePos x="0" y="0"/>
            <wp:positionH relativeFrom="character">
              <wp:posOffset>0</wp:posOffset>
            </wp:positionH>
            <wp:positionV relativeFrom="line">
              <wp:posOffset>156845</wp:posOffset>
            </wp:positionV>
            <wp:extent cx="5464175" cy="2591435"/>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64175" cy="2591435"/>
                    </a:xfrm>
                    <a:prstGeom prst="rect">
                      <a:avLst/>
                    </a:prstGeom>
                    <a:noFill/>
                  </pic:spPr>
                </pic:pic>
              </a:graphicData>
            </a:graphic>
            <wp14:sizeRelH relativeFrom="page">
              <wp14:pctWidth>0</wp14:pctWidth>
            </wp14:sizeRelH>
            <wp14:sizeRelV relativeFrom="page">
              <wp14:pctHeight>0</wp14:pctHeight>
            </wp14:sizeRelV>
          </wp:anchor>
        </w:drawing>
      </w:r>
    </w:p>
    <w:p w:rsidR="002C1136" w:rsidRPr="00073FE2" w:rsidRDefault="002C1136" w:rsidP="002C1136">
      <w:pPr>
        <w:spacing w:line="23" w:lineRule="atLeast"/>
        <w:jc w:val="both"/>
        <w:outlineLvl w:val="0"/>
        <w:rPr>
          <w:rFonts w:ascii="Garamond" w:hAnsi="Garamond"/>
          <w:bCs/>
          <w:strike/>
          <w:sz w:val="18"/>
          <w:szCs w:val="18"/>
        </w:rPr>
      </w:pPr>
      <w:r>
        <w:rPr>
          <w:rFonts w:ascii="Garamond" w:hAnsi="Garamond"/>
          <w:bCs/>
          <w:noProof/>
          <w:sz w:val="18"/>
          <w:szCs w:val="18"/>
          <w:lang w:val="en-IN" w:eastAsia="en-IN" w:bidi="hi-IN"/>
        </w:rPr>
        <mc:AlternateContent>
          <mc:Choice Requires="wps">
            <w:drawing>
              <wp:inline distT="0" distB="0" distL="0" distR="0">
                <wp:extent cx="5019675" cy="26670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19675"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D62B0" id="Rectangle 8" o:spid="_x0000_s1026" style="width:395.25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" filled="f" stroked="f">
                <o:lock v:ext="edit" aspectratio="t"/>
                <w10:anchorlock/>
              </v:rect>
            </w:pict>
          </mc:Fallback>
        </mc:AlternateContent>
      </w:r>
    </w:p>
    <w:p w:rsidR="002C1136" w:rsidRPr="002622E2" w:rsidRDefault="002C1136" w:rsidP="002C1136">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28 February 2020</w:t>
      </w:r>
      <w:r w:rsidRPr="002622E2">
        <w:rPr>
          <w:rFonts w:ascii="Garamond" w:hAnsi="Garamond"/>
          <w:bCs/>
          <w:sz w:val="18"/>
          <w:szCs w:val="18"/>
        </w:rPr>
        <w:t>.</w:t>
      </w:r>
    </w:p>
    <w:p w:rsidR="002C1136" w:rsidRPr="002622E2" w:rsidRDefault="002C1136" w:rsidP="002C1136">
      <w:pPr>
        <w:spacing w:line="23" w:lineRule="atLeast"/>
        <w:jc w:val="both"/>
        <w:outlineLvl w:val="0"/>
        <w:rPr>
          <w:rFonts w:ascii="Garamond" w:hAnsi="Garamond"/>
          <w:bCs/>
          <w:sz w:val="18"/>
          <w:szCs w:val="18"/>
        </w:rPr>
      </w:pPr>
      <w:r w:rsidRPr="002622E2">
        <w:rPr>
          <w:rFonts w:ascii="Garamond" w:hAnsi="Garamond"/>
          <w:bCs/>
          <w:sz w:val="18"/>
          <w:szCs w:val="18"/>
        </w:rPr>
        <w:t>Source: Refinitiv</w:t>
      </w:r>
    </w:p>
    <w:p w:rsidR="002C1136" w:rsidRPr="00073FE2" w:rsidRDefault="002C1136" w:rsidP="002C1136">
      <w:pPr>
        <w:spacing w:line="23" w:lineRule="atLeast"/>
        <w:rPr>
          <w:rFonts w:ascii="Garamond" w:hAnsi="Garamond"/>
          <w:bCs/>
          <w:strike/>
          <w:sz w:val="22"/>
          <w:szCs w:val="22"/>
        </w:rPr>
      </w:pPr>
    </w:p>
    <w:p w:rsidR="002C1136" w:rsidRPr="002622E2" w:rsidRDefault="002C1136" w:rsidP="002C1136">
      <w:pPr>
        <w:spacing w:line="23" w:lineRule="atLeast"/>
        <w:rPr>
          <w:rFonts w:ascii="Garamond" w:hAnsi="Garamond"/>
          <w:b/>
          <w:bCs/>
          <w:szCs w:val="22"/>
        </w:rPr>
      </w:pPr>
    </w:p>
    <w:p w:rsidR="002C1136" w:rsidRPr="002622E2" w:rsidRDefault="002C1136" w:rsidP="002C1136">
      <w:pPr>
        <w:spacing w:line="23" w:lineRule="atLeast"/>
        <w:rPr>
          <w:rFonts w:ascii="Garamond" w:hAnsi="Garamond"/>
          <w:b/>
          <w:bCs/>
          <w:szCs w:val="22"/>
        </w:rPr>
      </w:pPr>
      <w:r>
        <w:rPr>
          <w:rFonts w:ascii="Garamond" w:hAnsi="Garamond"/>
          <w:bCs/>
          <w:noProof/>
          <w:sz w:val="22"/>
          <w:szCs w:val="22"/>
          <w:lang w:val="en-IN" w:eastAsia="en-IN" w:bidi="hi-IN"/>
        </w:rPr>
        <w:drawing>
          <wp:anchor distT="0" distB="0" distL="114300" distR="114300" simplePos="0" relativeHeight="251661312" behindDoc="0" locked="0" layoutInCell="1" allowOverlap="1">
            <wp:simplePos x="0" y="0"/>
            <wp:positionH relativeFrom="character">
              <wp:posOffset>0</wp:posOffset>
            </wp:positionH>
            <wp:positionV relativeFrom="line">
              <wp:posOffset>171450</wp:posOffset>
            </wp:positionV>
            <wp:extent cx="5405755" cy="2075815"/>
            <wp:effectExtent l="0" t="0" r="4445"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5755" cy="2075815"/>
                    </a:xfrm>
                    <a:prstGeom prst="rect">
                      <a:avLst/>
                    </a:prstGeom>
                    <a:noFill/>
                  </pic:spPr>
                </pic:pic>
              </a:graphicData>
            </a:graphic>
            <wp14:sizeRelH relativeFrom="page">
              <wp14:pctWidth>0</wp14:pctWidth>
            </wp14:sizeRelH>
            <wp14:sizeRelV relativeFrom="page">
              <wp14:pctHeight>0</wp14:pctHeight>
            </wp14:sizeRelV>
          </wp:anchor>
        </w:drawing>
      </w:r>
      <w:r w:rsidRPr="002622E2">
        <w:rPr>
          <w:rFonts w:ascii="Garamond" w:hAnsi="Garamond"/>
          <w:b/>
          <w:bCs/>
          <w:szCs w:val="22"/>
        </w:rPr>
        <w:t>Figure 2: Stock Market Trends in Selected Emerging Markets</w:t>
      </w:r>
    </w:p>
    <w:p w:rsidR="002C1136" w:rsidRPr="002622E2" w:rsidRDefault="002C1136" w:rsidP="002C1136">
      <w:pPr>
        <w:spacing w:line="23" w:lineRule="atLeast"/>
        <w:rPr>
          <w:rFonts w:ascii="Garamond" w:hAnsi="Garamond"/>
          <w:bCs/>
          <w:sz w:val="22"/>
          <w:szCs w:val="22"/>
        </w:rPr>
      </w:pPr>
      <w:r>
        <w:rPr>
          <w:rFonts w:ascii="Garamond" w:hAnsi="Garamond"/>
          <w:bCs/>
          <w:noProof/>
          <w:sz w:val="22"/>
          <w:szCs w:val="22"/>
          <w:lang w:val="en-IN" w:eastAsia="en-IN" w:bidi="hi-IN"/>
        </w:rPr>
        <mc:AlternateContent>
          <mc:Choice Requires="wps">
            <w:drawing>
              <wp:inline distT="0" distB="0" distL="0" distR="0">
                <wp:extent cx="4981575" cy="219075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81575" cy="219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CBE87" id="Rectangle 7" o:spid="_x0000_s1026" style="width:392.25pt;height: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" filled="f" stroked="f">
                <o:lock v:ext="edit" aspectratio="t"/>
                <w10:anchorlock/>
              </v:rect>
            </w:pict>
          </mc:Fallback>
        </mc:AlternateContent>
      </w:r>
    </w:p>
    <w:p w:rsidR="002C1136" w:rsidRPr="002622E2" w:rsidRDefault="002C1136" w:rsidP="002C1136">
      <w:pPr>
        <w:spacing w:line="23" w:lineRule="atLeast"/>
        <w:jc w:val="both"/>
        <w:outlineLvl w:val="0"/>
        <w:rPr>
          <w:rFonts w:ascii="Garamond" w:hAnsi="Garamond"/>
          <w:bCs/>
          <w:sz w:val="18"/>
          <w:szCs w:val="18"/>
        </w:rPr>
      </w:pPr>
      <w:r w:rsidRPr="002622E2">
        <w:rPr>
          <w:rFonts w:ascii="Garamond" w:hAnsi="Garamond"/>
          <w:bCs/>
          <w:sz w:val="18"/>
          <w:szCs w:val="18"/>
        </w:rPr>
        <w:t xml:space="preserve">Note: All indices have been </w:t>
      </w:r>
      <w:r>
        <w:rPr>
          <w:rFonts w:ascii="Garamond" w:hAnsi="Garamond"/>
          <w:bCs/>
          <w:sz w:val="18"/>
          <w:szCs w:val="18"/>
        </w:rPr>
        <w:t>normalised to 100 on 28 February 2020</w:t>
      </w:r>
      <w:r w:rsidRPr="002622E2">
        <w:rPr>
          <w:rFonts w:ascii="Garamond" w:hAnsi="Garamond"/>
          <w:bCs/>
          <w:sz w:val="18"/>
          <w:szCs w:val="18"/>
        </w:rPr>
        <w:t>.</w:t>
      </w:r>
    </w:p>
    <w:p w:rsidR="002C1136" w:rsidRPr="0066149F" w:rsidRDefault="002C1136" w:rsidP="002C1136">
      <w:pPr>
        <w:spacing w:line="23" w:lineRule="atLeast"/>
        <w:jc w:val="both"/>
        <w:outlineLvl w:val="0"/>
        <w:rPr>
          <w:rFonts w:ascii="Garamond" w:eastAsia="Times New Roman" w:hAnsi="Garamond"/>
          <w:b/>
          <w:szCs w:val="22"/>
          <w:u w:val="single"/>
          <w:lang w:val="en-US" w:eastAsia="en-GB"/>
        </w:rPr>
      </w:pPr>
      <w:r w:rsidRPr="002622E2">
        <w:rPr>
          <w:rFonts w:ascii="Garamond" w:hAnsi="Garamond"/>
          <w:bCs/>
          <w:sz w:val="18"/>
          <w:szCs w:val="18"/>
        </w:rPr>
        <w:t>Source: Refinitiv</w:t>
      </w:r>
    </w:p>
    <w:p w:rsidR="002C1136" w:rsidRPr="0066149F" w:rsidRDefault="002C1136" w:rsidP="002C1136">
      <w:pPr>
        <w:spacing w:line="360" w:lineRule="auto"/>
        <w:ind w:left="720"/>
        <w:contextualSpacing/>
        <w:rPr>
          <w:rFonts w:ascii="Garamond" w:eastAsia="Times New Roman" w:hAnsi="Garamond"/>
          <w:b/>
          <w:szCs w:val="22"/>
          <w:u w:val="single"/>
          <w:lang w:val="en-US" w:eastAsia="en-GB"/>
        </w:rPr>
      </w:pPr>
    </w:p>
    <w:p w:rsidR="002C1136" w:rsidRPr="0066149F" w:rsidRDefault="002C1136" w:rsidP="002C1136">
      <w:pPr>
        <w:spacing w:line="276" w:lineRule="auto"/>
        <w:ind w:left="720"/>
        <w:contextualSpacing/>
        <w:rPr>
          <w:rFonts w:ascii="Garamond" w:hAnsi="Garamond"/>
          <w:bCs/>
          <w:sz w:val="22"/>
          <w:szCs w:val="22"/>
          <w:lang w:val="en-US"/>
        </w:rPr>
      </w:pPr>
      <w:r w:rsidRPr="0066149F">
        <w:rPr>
          <w:rFonts w:ascii="Garamond" w:eastAsia="Times New Roman" w:hAnsi="Garamond"/>
          <w:b/>
          <w:sz w:val="22"/>
          <w:szCs w:val="22"/>
          <w:u w:val="single"/>
          <w:lang w:val="en-US" w:eastAsia="en-GB"/>
        </w:rPr>
        <w:t>BOND Market (Figures 3-4)</w:t>
      </w:r>
    </w:p>
    <w:p w:rsidR="002C1136" w:rsidRPr="0066149F" w:rsidRDefault="002C1136" w:rsidP="003F384D">
      <w:pPr>
        <w:numPr>
          <w:ilvl w:val="0"/>
          <w:numId w:val="8"/>
        </w:numPr>
        <w:spacing w:line="276" w:lineRule="auto"/>
        <w:contextualSpacing/>
        <w:jc w:val="both"/>
        <w:rPr>
          <w:rFonts w:ascii="Palatino Linotype" w:hAnsi="Palatino Linotype"/>
          <w:bCs/>
          <w:color w:val="FF0000"/>
          <w:sz w:val="22"/>
          <w:szCs w:val="22"/>
          <w:lang w:val="en-US"/>
        </w:rPr>
      </w:pPr>
      <w:r w:rsidRPr="0066149F">
        <w:rPr>
          <w:rFonts w:ascii="Palatino Linotype" w:eastAsia="Times New Roman" w:hAnsi="Palatino Linotype"/>
          <w:bCs/>
          <w:color w:val="000000"/>
          <w:sz w:val="22"/>
          <w:szCs w:val="22"/>
          <w:lang w:val="en-US" w:eastAsia="en-GB"/>
        </w:rPr>
        <w:t>Among the countries analysed</w:t>
      </w:r>
      <w:r w:rsidRPr="0066149F">
        <w:rPr>
          <w:rFonts w:ascii="Palatino Linotype" w:eastAsia="Times New Roman" w:hAnsi="Palatino Linotype"/>
          <w:bCs/>
          <w:color w:val="000000"/>
          <w:sz w:val="22"/>
          <w:szCs w:val="22"/>
          <w:vertAlign w:val="superscript"/>
          <w:lang w:val="en-US" w:eastAsia="en-GB"/>
        </w:rPr>
        <w:footnoteReference w:id="4"/>
      </w:r>
      <w:r w:rsidRPr="0066149F">
        <w:rPr>
          <w:rFonts w:ascii="Palatino Linotype" w:eastAsia="Times New Roman" w:hAnsi="Palatino Linotype"/>
          <w:bCs/>
          <w:color w:val="000000"/>
          <w:sz w:val="22"/>
          <w:szCs w:val="22"/>
          <w:lang w:val="en-US" w:eastAsia="en-GB"/>
        </w:rPr>
        <w:t xml:space="preserve">, for bond yield, 10-year bond yield in </w:t>
      </w:r>
      <w:r>
        <w:rPr>
          <w:rFonts w:ascii="Palatino Linotype" w:eastAsia="Times New Roman" w:hAnsi="Palatino Linotype"/>
          <w:bCs/>
          <w:color w:val="000000"/>
          <w:sz w:val="22"/>
          <w:szCs w:val="22"/>
          <w:lang w:val="en-US" w:eastAsia="en-GB"/>
        </w:rPr>
        <w:t>February</w:t>
      </w:r>
      <w:r w:rsidRPr="0066149F">
        <w:rPr>
          <w:rFonts w:ascii="Palatino Linotype" w:eastAsia="Times New Roman" w:hAnsi="Palatino Linotype"/>
          <w:bCs/>
          <w:color w:val="000000"/>
          <w:sz w:val="22"/>
          <w:szCs w:val="22"/>
          <w:lang w:val="en-US" w:eastAsia="en-GB"/>
        </w:rPr>
        <w:t xml:space="preserve"> 2021</w:t>
      </w:r>
      <w:r>
        <w:rPr>
          <w:rFonts w:ascii="Palatino Linotype" w:eastAsia="Times New Roman" w:hAnsi="Palatino Linotype"/>
          <w:bCs/>
          <w:color w:val="000000"/>
          <w:sz w:val="22"/>
          <w:szCs w:val="22"/>
          <w:lang w:val="en-US" w:eastAsia="en-GB"/>
        </w:rPr>
        <w:t xml:space="preserve">, </w:t>
      </w:r>
      <w:r w:rsidRPr="0066149F">
        <w:rPr>
          <w:rFonts w:ascii="Palatino Linotype" w:eastAsia="Times New Roman" w:hAnsi="Palatino Linotype"/>
          <w:bCs/>
          <w:color w:val="000000"/>
          <w:sz w:val="22"/>
          <w:szCs w:val="22"/>
          <w:lang w:val="en-US" w:eastAsia="en-GB"/>
        </w:rPr>
        <w:t>showed a positive change for most developed and developing economies (Chart 3 &amp; 4) except for Germany, where it was negative.</w:t>
      </w:r>
    </w:p>
    <w:p w:rsidR="002C1136" w:rsidRPr="0066149F" w:rsidRDefault="002C1136" w:rsidP="002C1136">
      <w:pPr>
        <w:spacing w:line="23" w:lineRule="atLeast"/>
        <w:rPr>
          <w:rFonts w:ascii="Garamond" w:hAnsi="Garamond"/>
          <w:bCs/>
          <w:sz w:val="22"/>
          <w:szCs w:val="22"/>
        </w:rPr>
      </w:pPr>
    </w:p>
    <w:p w:rsidR="002C1136" w:rsidRPr="004C4151" w:rsidRDefault="002C1136" w:rsidP="002C1136">
      <w:pPr>
        <w:rPr>
          <w:rFonts w:ascii="Garamond" w:hAnsi="Garamond"/>
          <w:b/>
          <w:bCs/>
          <w:szCs w:val="22"/>
        </w:rPr>
      </w:pPr>
      <w:r w:rsidRPr="004C4151">
        <w:rPr>
          <w:rFonts w:ascii="Garamond" w:hAnsi="Garamond"/>
          <w:b/>
          <w:bCs/>
          <w:szCs w:val="22"/>
        </w:rPr>
        <w:t>Figure 3: Movement of 10-year Government Bond Yields in Developed Nations</w:t>
      </w:r>
    </w:p>
    <w:p w:rsidR="002C1136" w:rsidRPr="004C4151" w:rsidRDefault="002C1136" w:rsidP="002C1136">
      <w:pPr>
        <w:rPr>
          <w:rFonts w:ascii="Garamond" w:hAnsi="Garamond"/>
          <w:bCs/>
          <w:sz w:val="22"/>
          <w:szCs w:val="22"/>
        </w:rPr>
      </w:pPr>
      <w:r w:rsidRPr="004C4151">
        <w:rPr>
          <w:rFonts w:ascii="Garamond" w:hAnsi="Garamond"/>
          <w:bCs/>
          <w:noProof/>
          <w:sz w:val="22"/>
          <w:szCs w:val="22"/>
          <w:lang w:val="en-IN" w:eastAsia="en-IN" w:bidi="hi-IN"/>
        </w:rPr>
        <w:drawing>
          <wp:anchor distT="0" distB="0" distL="114300" distR="114300" simplePos="0" relativeHeight="251664384" behindDoc="0" locked="0" layoutInCell="1" allowOverlap="1">
            <wp:simplePos x="0" y="0"/>
            <wp:positionH relativeFrom="character">
              <wp:posOffset>0</wp:posOffset>
            </wp:positionH>
            <wp:positionV relativeFrom="line">
              <wp:posOffset>156845</wp:posOffset>
            </wp:positionV>
            <wp:extent cx="5577205" cy="1809115"/>
            <wp:effectExtent l="0" t="0" r="444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77205" cy="1809115"/>
                    </a:xfrm>
                    <a:prstGeom prst="rect">
                      <a:avLst/>
                    </a:prstGeom>
                    <a:noFill/>
                  </pic:spPr>
                </pic:pic>
              </a:graphicData>
            </a:graphic>
            <wp14:sizeRelH relativeFrom="page">
              <wp14:pctWidth>0</wp14:pctWidth>
            </wp14:sizeRelH>
            <wp14:sizeRelV relativeFrom="page">
              <wp14:pctHeight>0</wp14:pctHeight>
            </wp14:sizeRelV>
          </wp:anchor>
        </w:drawing>
      </w:r>
    </w:p>
    <w:p w:rsidR="002C1136" w:rsidRPr="004C4151" w:rsidRDefault="002C1136" w:rsidP="002C1136">
      <w:pPr>
        <w:spacing w:line="23" w:lineRule="atLeast"/>
        <w:jc w:val="both"/>
        <w:outlineLvl w:val="0"/>
        <w:rPr>
          <w:rFonts w:ascii="Garamond" w:hAnsi="Garamond"/>
          <w:bCs/>
          <w:sz w:val="22"/>
          <w:szCs w:val="22"/>
        </w:rPr>
      </w:pPr>
      <w:r w:rsidRPr="004C4151">
        <w:rPr>
          <w:rFonts w:ascii="Garamond" w:hAnsi="Garamond"/>
          <w:bCs/>
          <w:noProof/>
          <w:sz w:val="22"/>
          <w:szCs w:val="22"/>
          <w:lang w:val="en-IN" w:eastAsia="en-IN" w:bidi="hi-IN"/>
        </w:rPr>
        <mc:AlternateContent>
          <mc:Choice Requires="wps">
            <w:drawing>
              <wp:inline distT="0" distB="0" distL="0" distR="0">
                <wp:extent cx="5895975" cy="19050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95975"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21650" id="Rectangle 6" o:spid="_x0000_s1026" style="width:464.2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" filled="f" stroked="f">
                <o:lock v:ext="edit" aspectratio="t"/>
                <w10:anchorlock/>
              </v:rect>
            </w:pict>
          </mc:Fallback>
        </mc:AlternateContent>
      </w:r>
    </w:p>
    <w:p w:rsidR="002C1136" w:rsidRPr="004C4151" w:rsidRDefault="002C1136" w:rsidP="002C1136">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2C1136" w:rsidRPr="004C4151" w:rsidRDefault="002C1136" w:rsidP="002C1136">
      <w:pPr>
        <w:spacing w:line="23" w:lineRule="atLeast"/>
        <w:jc w:val="both"/>
        <w:outlineLvl w:val="0"/>
        <w:rPr>
          <w:rFonts w:ascii="Garamond" w:hAnsi="Garamond"/>
          <w:bCs/>
          <w:sz w:val="22"/>
          <w:szCs w:val="22"/>
        </w:rPr>
      </w:pPr>
    </w:p>
    <w:p w:rsidR="002C1136" w:rsidRPr="004C4151" w:rsidRDefault="002C1136" w:rsidP="002C1136">
      <w:pPr>
        <w:rPr>
          <w:rFonts w:ascii="Garamond" w:hAnsi="Garamond"/>
          <w:bCs/>
          <w:sz w:val="22"/>
          <w:szCs w:val="22"/>
        </w:rPr>
      </w:pPr>
    </w:p>
    <w:p w:rsidR="002C1136" w:rsidRPr="004C4151" w:rsidRDefault="002C1136" w:rsidP="002C1136">
      <w:pPr>
        <w:spacing w:line="23" w:lineRule="atLeast"/>
        <w:jc w:val="both"/>
        <w:outlineLvl w:val="0"/>
        <w:rPr>
          <w:rFonts w:ascii="Garamond" w:hAnsi="Garamond"/>
          <w:b/>
          <w:bCs/>
          <w:szCs w:val="22"/>
        </w:rPr>
      </w:pPr>
      <w:r w:rsidRPr="004C4151">
        <w:rPr>
          <w:rFonts w:ascii="Garamond" w:hAnsi="Garamond"/>
          <w:b/>
          <w:bCs/>
          <w:szCs w:val="22"/>
        </w:rPr>
        <w:t>Figure 4: Movement of 10-year Government Bond Yields in BRIC Nations</w:t>
      </w:r>
    </w:p>
    <w:p w:rsidR="002C1136" w:rsidRPr="004C4151" w:rsidRDefault="002C1136" w:rsidP="002C1136">
      <w:pPr>
        <w:spacing w:line="23" w:lineRule="atLeast"/>
        <w:jc w:val="both"/>
        <w:outlineLvl w:val="0"/>
        <w:rPr>
          <w:rFonts w:ascii="Garamond" w:hAnsi="Garamond"/>
          <w:bCs/>
          <w:sz w:val="22"/>
          <w:szCs w:val="22"/>
        </w:rPr>
      </w:pPr>
      <w:r w:rsidRPr="004C4151">
        <w:rPr>
          <w:rFonts w:ascii="Garamond" w:hAnsi="Garamond"/>
          <w:bCs/>
          <w:noProof/>
          <w:sz w:val="22"/>
          <w:szCs w:val="22"/>
          <w:lang w:val="en-IN" w:eastAsia="en-IN" w:bidi="hi-IN"/>
        </w:rPr>
        <w:drawing>
          <wp:anchor distT="0" distB="0" distL="114300" distR="114300" simplePos="0" relativeHeight="251663360" behindDoc="0" locked="0" layoutInCell="1" allowOverlap="1">
            <wp:simplePos x="0" y="0"/>
            <wp:positionH relativeFrom="character">
              <wp:posOffset>0</wp:posOffset>
            </wp:positionH>
            <wp:positionV relativeFrom="line">
              <wp:posOffset>0</wp:posOffset>
            </wp:positionV>
            <wp:extent cx="4781550" cy="17068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81550" cy="1706880"/>
                    </a:xfrm>
                    <a:prstGeom prst="rect">
                      <a:avLst/>
                    </a:prstGeom>
                    <a:noFill/>
                  </pic:spPr>
                </pic:pic>
              </a:graphicData>
            </a:graphic>
            <wp14:sizeRelH relativeFrom="page">
              <wp14:pctWidth>0</wp14:pctWidth>
            </wp14:sizeRelH>
            <wp14:sizeRelV relativeFrom="page">
              <wp14:pctHeight>0</wp14:pctHeight>
            </wp14:sizeRelV>
          </wp:anchor>
        </w:drawing>
      </w:r>
      <w:r w:rsidRPr="004C4151">
        <w:rPr>
          <w:rFonts w:ascii="Garamond" w:hAnsi="Garamond"/>
          <w:bCs/>
          <w:noProof/>
          <w:sz w:val="22"/>
          <w:szCs w:val="22"/>
          <w:lang w:val="en-IN" w:eastAsia="en-IN" w:bidi="hi-IN"/>
        </w:rPr>
        <mc:AlternateContent>
          <mc:Choice Requires="wps">
            <w:drawing>
              <wp:inline distT="0" distB="0" distL="0" distR="0">
                <wp:extent cx="5934075" cy="180975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34075" cy="180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E4E7A" id="Rectangle 5" o:spid="_x0000_s1026" style="width:467.2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" filled="f" stroked="f">
                <o:lock v:ext="edit" aspectratio="t"/>
                <w10:anchorlock/>
              </v:rect>
            </w:pict>
          </mc:Fallback>
        </mc:AlternateContent>
      </w:r>
    </w:p>
    <w:p w:rsidR="002C1136" w:rsidRPr="004C4151" w:rsidRDefault="002C1136" w:rsidP="002C1136">
      <w:pPr>
        <w:spacing w:line="23" w:lineRule="atLeast"/>
        <w:jc w:val="both"/>
        <w:outlineLvl w:val="0"/>
        <w:rPr>
          <w:rFonts w:ascii="Garamond" w:hAnsi="Garamond"/>
          <w:bCs/>
          <w:sz w:val="18"/>
          <w:szCs w:val="18"/>
        </w:rPr>
      </w:pPr>
      <w:r w:rsidRPr="004C4151">
        <w:rPr>
          <w:rFonts w:ascii="Garamond" w:hAnsi="Garamond"/>
          <w:bCs/>
          <w:sz w:val="18"/>
          <w:szCs w:val="18"/>
        </w:rPr>
        <w:t>Source: Refinitiv</w:t>
      </w:r>
    </w:p>
    <w:p w:rsidR="002C1136" w:rsidRPr="004C4151" w:rsidRDefault="002C1136" w:rsidP="002C1136">
      <w:pPr>
        <w:spacing w:line="23" w:lineRule="atLeast"/>
        <w:jc w:val="both"/>
        <w:rPr>
          <w:rFonts w:ascii="Garamond" w:eastAsia="Times New Roman" w:hAnsi="Garamond"/>
          <w:bCs/>
          <w:sz w:val="22"/>
          <w:szCs w:val="22"/>
          <w:lang w:val="en-US"/>
        </w:rPr>
      </w:pPr>
    </w:p>
    <w:p w:rsidR="002C1136" w:rsidRPr="006D42D9" w:rsidRDefault="002C1136" w:rsidP="002C1136">
      <w:pPr>
        <w:spacing w:line="360" w:lineRule="auto"/>
        <w:jc w:val="both"/>
        <w:rPr>
          <w:rFonts w:ascii="Palatino Linotype" w:eastAsia="Times New Roman" w:hAnsi="Palatino Linotype"/>
          <w:b/>
          <w:sz w:val="22"/>
          <w:szCs w:val="22"/>
          <w:lang w:val="en-US"/>
        </w:rPr>
      </w:pPr>
      <w:r w:rsidRPr="004C4151">
        <w:rPr>
          <w:rFonts w:ascii="Palatino Linotype" w:eastAsia="Times New Roman" w:hAnsi="Palatino Linotype"/>
          <w:b/>
          <w:sz w:val="22"/>
          <w:szCs w:val="22"/>
          <w:u w:val="single"/>
          <w:lang w:val="en-US"/>
        </w:rPr>
        <w:br w:type="page"/>
      </w:r>
      <w:r w:rsidRPr="006D42D9">
        <w:rPr>
          <w:rFonts w:ascii="Palatino Linotype" w:eastAsia="Times New Roman" w:hAnsi="Palatino Linotype"/>
          <w:b/>
          <w:sz w:val="22"/>
          <w:szCs w:val="22"/>
          <w:u w:val="single"/>
          <w:lang w:val="en-US"/>
        </w:rPr>
        <w:t>Fund Mobilisation by Issuance of Equity and Bonds (Table A2)</w:t>
      </w:r>
      <w:r w:rsidRPr="006D42D9">
        <w:rPr>
          <w:rFonts w:ascii="Palatino Linotype" w:eastAsia="Times New Roman" w:hAnsi="Palatino Linotype"/>
          <w:b/>
          <w:sz w:val="22"/>
          <w:szCs w:val="22"/>
          <w:lang w:val="en-US"/>
        </w:rPr>
        <w:t xml:space="preserve"> – </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There was a </w:t>
      </w:r>
      <w:r w:rsidRPr="00F82432">
        <w:rPr>
          <w:rFonts w:ascii="Palatino Linotype" w:eastAsia="Times New Roman" w:hAnsi="Palatino Linotype"/>
          <w:bCs/>
          <w:sz w:val="22"/>
          <w:szCs w:val="22"/>
          <w:lang w:val="en-US" w:eastAsia="en-GB"/>
        </w:rPr>
        <w:t>7.4</w:t>
      </w:r>
      <w:r w:rsidRPr="006D42D9">
        <w:rPr>
          <w:rFonts w:ascii="Palatino Linotype" w:eastAsia="Times New Roman" w:hAnsi="Palatino Linotype"/>
          <w:bCs/>
          <w:sz w:val="22"/>
          <w:szCs w:val="22"/>
          <w:lang w:val="en-US" w:eastAsia="en-GB"/>
        </w:rPr>
        <w:t xml:space="preserve"> per cent increase in the fund mobilization at the selected analyzed exchanges world-wide during </w:t>
      </w:r>
      <w:r>
        <w:rPr>
          <w:rFonts w:ascii="Palatino Linotype" w:eastAsia="Times New Roman" w:hAnsi="Palatino Linotype"/>
          <w:bCs/>
          <w:sz w:val="22"/>
          <w:szCs w:val="22"/>
          <w:lang w:val="en-US" w:eastAsia="en-GB"/>
        </w:rPr>
        <w:t>January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(at </w:t>
      </w:r>
      <w:r w:rsidRPr="00F82432">
        <w:rPr>
          <w:rFonts w:ascii="Palatino Linotype" w:eastAsia="Times New Roman" w:hAnsi="Palatino Linotype"/>
          <w:bCs/>
          <w:sz w:val="22"/>
          <w:szCs w:val="22"/>
          <w:lang w:val="en-US" w:eastAsia="en-GB"/>
        </w:rPr>
        <w:t xml:space="preserve">378,923 </w:t>
      </w:r>
      <w:r w:rsidRPr="006D42D9">
        <w:rPr>
          <w:rFonts w:ascii="Palatino Linotype" w:eastAsia="Times New Roman" w:hAnsi="Palatino Linotype"/>
          <w:bCs/>
          <w:sz w:val="22"/>
          <w:szCs w:val="22"/>
          <w:lang w:val="en-US" w:eastAsia="en-GB"/>
        </w:rPr>
        <w:t xml:space="preserve">million USD) against previous month (at </w:t>
      </w:r>
      <w:r w:rsidRPr="00F82432">
        <w:rPr>
          <w:rFonts w:ascii="Palatino Linotype" w:eastAsia="Times New Roman" w:hAnsi="Palatino Linotype"/>
          <w:bCs/>
          <w:sz w:val="22"/>
          <w:szCs w:val="22"/>
          <w:lang w:val="en-US" w:eastAsia="en-GB"/>
        </w:rPr>
        <w:t>352,659</w:t>
      </w:r>
      <w:r w:rsidRPr="006D42D9">
        <w:rPr>
          <w:rFonts w:ascii="Palatino Linotype" w:eastAsia="Times New Roman" w:hAnsi="Palatino Linotype"/>
          <w:bCs/>
          <w:sz w:val="22"/>
          <w:szCs w:val="22"/>
          <w:lang w:val="en-US" w:eastAsia="en-GB"/>
        </w:rPr>
        <w:t xml:space="preserve">million USD). Only </w:t>
      </w:r>
      <w:r w:rsidRPr="00D05BCE">
        <w:rPr>
          <w:rFonts w:ascii="Palatino Linotype" w:eastAsia="Times New Roman" w:hAnsi="Palatino Linotype"/>
          <w:bCs/>
          <w:sz w:val="22"/>
          <w:szCs w:val="22"/>
          <w:lang w:val="en-US" w:eastAsia="en-GB"/>
        </w:rPr>
        <w:t>12.9 p</w:t>
      </w:r>
      <w:r w:rsidRPr="006D42D9">
        <w:rPr>
          <w:rFonts w:ascii="Palatino Linotype" w:eastAsia="Times New Roman" w:hAnsi="Palatino Linotype"/>
          <w:bCs/>
          <w:sz w:val="22"/>
          <w:szCs w:val="22"/>
          <w:lang w:val="en-US" w:eastAsia="en-GB"/>
        </w:rPr>
        <w:t xml:space="preserve">er cent of the total fund mobilization in </w:t>
      </w:r>
      <w:r>
        <w:rPr>
          <w:rFonts w:ascii="Palatino Linotype" w:eastAsia="Times New Roman" w:hAnsi="Palatino Linotype"/>
          <w:bCs/>
          <w:color w:val="000000"/>
          <w:sz w:val="22"/>
          <w:szCs w:val="22"/>
          <w:lang w:val="en-US" w:eastAsia="en-GB"/>
        </w:rPr>
        <w:t>January</w:t>
      </w:r>
      <w:r w:rsidRPr="006D42D9">
        <w:rPr>
          <w:rFonts w:ascii="Palatino Linotype" w:eastAsia="Times New Roman" w:hAnsi="Palatino Linotype"/>
          <w:bCs/>
          <w:color w:val="000000"/>
          <w:sz w:val="22"/>
          <w:szCs w:val="22"/>
          <w:lang w:val="en-US" w:eastAsia="en-GB"/>
        </w:rPr>
        <w:t xml:space="preserve"> 202</w:t>
      </w:r>
      <w:r>
        <w:rPr>
          <w:rFonts w:ascii="Palatino Linotype" w:eastAsia="Times New Roman" w:hAnsi="Palatino Linotype"/>
          <w:bCs/>
          <w:color w:val="000000"/>
          <w:sz w:val="22"/>
          <w:szCs w:val="22"/>
          <w:lang w:val="en-US" w:eastAsia="en-GB"/>
        </w:rPr>
        <w:t>1</w:t>
      </w:r>
      <w:r w:rsidRPr="006D42D9">
        <w:rPr>
          <w:rFonts w:ascii="Palatino Linotype" w:eastAsia="Times New Roman" w:hAnsi="Palatino Linotype"/>
          <w:bCs/>
          <w:color w:val="000000"/>
          <w:sz w:val="22"/>
          <w:szCs w:val="22"/>
          <w:lang w:val="en-US" w:eastAsia="en-GB"/>
        </w:rPr>
        <w:t xml:space="preserve"> </w:t>
      </w:r>
      <w:r w:rsidRPr="006D42D9">
        <w:rPr>
          <w:rFonts w:ascii="Palatino Linotype" w:eastAsia="Times New Roman" w:hAnsi="Palatino Linotype"/>
          <w:bCs/>
          <w:sz w:val="22"/>
          <w:szCs w:val="22"/>
          <w:lang w:val="en-US" w:eastAsia="en-GB"/>
        </w:rPr>
        <w:t>was in equity and remaining was in debt.</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As per the data available on World Federation of Exchanges (WFE)</w:t>
      </w:r>
      <w:r w:rsidRPr="006D42D9">
        <w:rPr>
          <w:rFonts w:ascii="Palatino Linotype" w:eastAsia="Times New Roman" w:hAnsi="Palatino Linotype"/>
          <w:bCs/>
          <w:sz w:val="22"/>
          <w:szCs w:val="22"/>
          <w:vertAlign w:val="superscript"/>
          <w:lang w:val="en-US" w:eastAsia="en-GB"/>
        </w:rPr>
        <w:footnoteReference w:id="5"/>
      </w:r>
      <w:r w:rsidRPr="006D42D9">
        <w:rPr>
          <w:rFonts w:ascii="Palatino Linotype" w:eastAsia="Times New Roman" w:hAnsi="Palatino Linotype"/>
          <w:bCs/>
          <w:sz w:val="22"/>
          <w:szCs w:val="22"/>
          <w:lang w:val="en-US" w:eastAsia="en-GB"/>
        </w:rPr>
        <w:t xml:space="preserve">, highest amount mobilized through equities and bonds in December 2020 was at </w:t>
      </w:r>
      <w:r w:rsidRPr="00912E51">
        <w:rPr>
          <w:rFonts w:ascii="Palatino Linotype" w:eastAsia="Times New Roman" w:hAnsi="Palatino Linotype"/>
          <w:bCs/>
          <w:sz w:val="22"/>
          <w:szCs w:val="22"/>
          <w:lang w:val="en-US" w:eastAsia="en-GB"/>
        </w:rPr>
        <w:t>BME Spanish Exchanges</w:t>
      </w:r>
      <w:r w:rsidRPr="006D42D9">
        <w:rPr>
          <w:rFonts w:ascii="Palatino Linotype" w:eastAsia="Times New Roman" w:hAnsi="Palatino Linotype"/>
          <w:bCs/>
          <w:sz w:val="22"/>
          <w:szCs w:val="22"/>
          <w:lang w:val="en-US" w:eastAsia="en-GB"/>
        </w:rPr>
        <w:t xml:space="preserve"> (</w:t>
      </w:r>
      <w:r w:rsidRPr="00912E51">
        <w:rPr>
          <w:rFonts w:ascii="Palatino Linotype" w:eastAsia="Times New Roman" w:hAnsi="Palatino Linotype"/>
          <w:bCs/>
          <w:sz w:val="22"/>
          <w:szCs w:val="22"/>
          <w:lang w:val="en-US" w:eastAsia="en-GB"/>
        </w:rPr>
        <w:t xml:space="preserve">67,101 </w:t>
      </w:r>
      <w:r w:rsidRPr="006D42D9">
        <w:rPr>
          <w:rFonts w:ascii="Palatino Linotype" w:eastAsia="Times New Roman" w:hAnsi="Palatino Linotype"/>
          <w:bCs/>
          <w:sz w:val="22"/>
          <w:szCs w:val="22"/>
          <w:lang w:val="en-US" w:eastAsia="en-GB"/>
        </w:rPr>
        <w:t>million USD) followed by</w:t>
      </w:r>
      <w:r w:rsidRPr="006D42D9">
        <w:rPr>
          <w:rFonts w:ascii="Palatino Linotype" w:hAnsi="Palatino Linotype"/>
          <w:sz w:val="22"/>
          <w:szCs w:val="22"/>
        </w:rPr>
        <w:t xml:space="preserve"> LSE Group </w:t>
      </w:r>
      <w:r w:rsidRPr="006D42D9">
        <w:rPr>
          <w:rFonts w:ascii="Palatino Linotype" w:eastAsia="Times New Roman" w:hAnsi="Palatino Linotype"/>
          <w:bCs/>
          <w:sz w:val="22"/>
          <w:szCs w:val="22"/>
          <w:lang w:val="en-US" w:eastAsia="en-GB"/>
        </w:rPr>
        <w:t>(</w:t>
      </w:r>
      <w:r w:rsidRPr="00912E51">
        <w:rPr>
          <w:rFonts w:ascii="Palatino Linotype" w:eastAsia="Times New Roman" w:hAnsi="Palatino Linotype"/>
          <w:bCs/>
          <w:sz w:val="22"/>
          <w:szCs w:val="22"/>
          <w:lang w:val="en-US" w:eastAsia="en-GB"/>
        </w:rPr>
        <w:t xml:space="preserve">58,795 </w:t>
      </w:r>
      <w:r w:rsidRPr="006D42D9">
        <w:rPr>
          <w:rFonts w:ascii="Palatino Linotype" w:eastAsia="Times New Roman" w:hAnsi="Palatino Linotype"/>
          <w:bCs/>
          <w:sz w:val="22"/>
          <w:szCs w:val="22"/>
          <w:lang w:val="en-US" w:eastAsia="en-GB"/>
        </w:rPr>
        <w:t>million USD) and Korea Exchange (</w:t>
      </w:r>
      <w:r w:rsidRPr="00912E51">
        <w:rPr>
          <w:rFonts w:ascii="Palatino Linotype" w:eastAsia="Times New Roman" w:hAnsi="Palatino Linotype"/>
          <w:bCs/>
          <w:sz w:val="22"/>
          <w:szCs w:val="22"/>
          <w:lang w:val="en-US" w:eastAsia="en-GB"/>
        </w:rPr>
        <w:t xml:space="preserve">44,334 </w:t>
      </w:r>
      <w:r w:rsidRPr="006D42D9">
        <w:rPr>
          <w:rFonts w:ascii="Palatino Linotype" w:eastAsia="Times New Roman" w:hAnsi="Palatino Linotype"/>
          <w:bCs/>
          <w:sz w:val="22"/>
          <w:szCs w:val="22"/>
          <w:lang w:val="en-US" w:eastAsia="en-GB"/>
        </w:rPr>
        <w:t xml:space="preserve">million USD). </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In </w:t>
      </w:r>
      <w:r>
        <w:rPr>
          <w:rFonts w:ascii="Palatino Linotype" w:eastAsia="Times New Roman" w:hAnsi="Palatino Linotype"/>
          <w:bCs/>
          <w:sz w:val="22"/>
          <w:szCs w:val="22"/>
          <w:lang w:val="en-US" w:eastAsia="en-GB"/>
        </w:rPr>
        <w:t>January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w:t>
      </w:r>
      <w:r>
        <w:rPr>
          <w:rFonts w:ascii="Palatino Linotype" w:eastAsia="Times New Roman" w:hAnsi="Palatino Linotype"/>
          <w:bCs/>
          <w:sz w:val="22"/>
          <w:szCs w:val="22"/>
          <w:lang w:val="en-US" w:eastAsia="en-GB"/>
        </w:rPr>
        <w:t>a</w:t>
      </w:r>
      <w:r w:rsidRPr="006D42D9">
        <w:rPr>
          <w:rFonts w:ascii="Palatino Linotype" w:eastAsia="Times New Roman" w:hAnsi="Palatino Linotype"/>
          <w:bCs/>
          <w:sz w:val="22"/>
          <w:szCs w:val="22"/>
          <w:lang w:val="en-US" w:eastAsia="en-GB"/>
        </w:rPr>
        <w:t xml:space="preserve">t </w:t>
      </w:r>
      <w:r w:rsidRPr="00912E51">
        <w:rPr>
          <w:rFonts w:ascii="Palatino Linotype" w:eastAsia="Times New Roman" w:hAnsi="Palatino Linotype"/>
          <w:bCs/>
          <w:sz w:val="22"/>
          <w:szCs w:val="22"/>
          <w:lang w:val="en-US" w:eastAsia="en-GB"/>
        </w:rPr>
        <w:t>BME Spanish Exchanges</w:t>
      </w:r>
      <w:r w:rsidRPr="006D42D9">
        <w:rPr>
          <w:rFonts w:ascii="Palatino Linotype" w:eastAsia="Times New Roman" w:hAnsi="Palatino Linotype"/>
          <w:bCs/>
          <w:sz w:val="22"/>
          <w:szCs w:val="22"/>
          <w:lang w:val="en-US" w:eastAsia="en-GB"/>
        </w:rPr>
        <w:t xml:space="preserve">, </w:t>
      </w:r>
      <w:r w:rsidRPr="00912E51">
        <w:rPr>
          <w:rFonts w:ascii="Palatino Linotype" w:eastAsia="Times New Roman" w:hAnsi="Palatino Linotype"/>
          <w:bCs/>
          <w:sz w:val="22"/>
          <w:szCs w:val="22"/>
          <w:lang w:val="en-US" w:eastAsia="en-GB"/>
        </w:rPr>
        <w:t xml:space="preserve">1,275 </w:t>
      </w:r>
      <w:r w:rsidRPr="006D42D9">
        <w:rPr>
          <w:rFonts w:ascii="Palatino Linotype" w:eastAsia="Times New Roman" w:hAnsi="Palatino Linotype"/>
          <w:bCs/>
          <w:sz w:val="22"/>
          <w:szCs w:val="22"/>
          <w:lang w:val="en-US" w:eastAsia="en-GB"/>
        </w:rPr>
        <w:t>million USD were raised through equity and the remaining amount was</w:t>
      </w:r>
      <w:r>
        <w:rPr>
          <w:rFonts w:ascii="Palatino Linotype" w:eastAsia="Times New Roman" w:hAnsi="Palatino Linotype"/>
          <w:bCs/>
          <w:sz w:val="22"/>
          <w:szCs w:val="22"/>
          <w:lang w:val="en-US" w:eastAsia="en-GB"/>
        </w:rPr>
        <w:t xml:space="preserve"> raised through bonds whereas </w:t>
      </w:r>
      <w:r w:rsidRPr="006D42D9">
        <w:rPr>
          <w:rFonts w:ascii="Palatino Linotype" w:eastAsia="Times New Roman" w:hAnsi="Palatino Linotype"/>
          <w:bCs/>
          <w:sz w:val="22"/>
          <w:szCs w:val="22"/>
          <w:lang w:val="en-US" w:eastAsia="en-GB"/>
        </w:rPr>
        <w:t xml:space="preserve">fund mobilization at LSE Group in equity was, </w:t>
      </w:r>
      <w:r w:rsidRPr="00912E51">
        <w:rPr>
          <w:rFonts w:ascii="Palatino Linotype" w:eastAsia="Times New Roman" w:hAnsi="Palatino Linotype"/>
          <w:bCs/>
          <w:sz w:val="22"/>
          <w:szCs w:val="22"/>
          <w:lang w:val="en-US" w:eastAsia="en-GB"/>
        </w:rPr>
        <w:t xml:space="preserve">1,034 </w:t>
      </w:r>
      <w:r w:rsidRPr="006D42D9">
        <w:rPr>
          <w:rFonts w:ascii="Palatino Linotype" w:eastAsia="Times New Roman" w:hAnsi="Palatino Linotype"/>
          <w:bCs/>
          <w:sz w:val="22"/>
          <w:szCs w:val="22"/>
          <w:lang w:val="en-US" w:eastAsia="en-GB"/>
        </w:rPr>
        <w:t xml:space="preserve">million USD and the remaining amount was raised through bonds </w:t>
      </w:r>
      <w:r>
        <w:rPr>
          <w:rFonts w:ascii="Palatino Linotype" w:eastAsia="Times New Roman" w:hAnsi="Palatino Linotype"/>
          <w:bCs/>
          <w:sz w:val="22"/>
          <w:szCs w:val="22"/>
          <w:lang w:val="en-US" w:eastAsia="en-GB"/>
        </w:rPr>
        <w:t xml:space="preserve">and </w:t>
      </w:r>
      <w:r w:rsidRPr="006D42D9">
        <w:rPr>
          <w:rFonts w:ascii="Palatino Linotype" w:eastAsia="Times New Roman" w:hAnsi="Palatino Linotype"/>
          <w:bCs/>
          <w:sz w:val="22"/>
          <w:szCs w:val="22"/>
          <w:lang w:val="en-US" w:eastAsia="en-GB"/>
        </w:rPr>
        <w:t xml:space="preserve"> at </w:t>
      </w:r>
      <w:r w:rsidRPr="006D42D9">
        <w:rPr>
          <w:rFonts w:ascii="Palatino Linotype" w:hAnsi="Palatino Linotype"/>
          <w:sz w:val="22"/>
          <w:szCs w:val="22"/>
        </w:rPr>
        <w:t xml:space="preserve">Korea Exchange </w:t>
      </w:r>
      <w:r w:rsidRPr="006D42D9">
        <w:rPr>
          <w:rFonts w:ascii="Palatino Linotype" w:eastAsia="Times New Roman" w:hAnsi="Palatino Linotype"/>
          <w:bCs/>
          <w:sz w:val="22"/>
          <w:szCs w:val="22"/>
          <w:lang w:val="en-US" w:eastAsia="en-GB"/>
        </w:rPr>
        <w:t xml:space="preserve">entire amount was raised through bonds only. </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Maximum fund mobilization through equities in December 2020 was at </w:t>
      </w:r>
      <w:r w:rsidRPr="00685B58">
        <w:rPr>
          <w:rFonts w:ascii="Palatino Linotype" w:eastAsia="Times New Roman" w:hAnsi="Palatino Linotype"/>
          <w:bCs/>
          <w:sz w:val="22"/>
          <w:szCs w:val="22"/>
          <w:lang w:val="en-US" w:eastAsia="en-GB"/>
        </w:rPr>
        <w:t>Japan Exchange Group</w:t>
      </w:r>
      <w:r w:rsidRPr="006D42D9">
        <w:rPr>
          <w:rFonts w:ascii="Palatino Linotype" w:eastAsia="Times New Roman" w:hAnsi="Palatino Linotype"/>
          <w:bCs/>
          <w:sz w:val="22"/>
          <w:szCs w:val="22"/>
          <w:lang w:val="en-US" w:eastAsia="en-GB"/>
        </w:rPr>
        <w:t xml:space="preserve"> (</w:t>
      </w:r>
      <w:r w:rsidRPr="00685B58">
        <w:rPr>
          <w:rFonts w:ascii="Palatino Linotype" w:eastAsia="Times New Roman" w:hAnsi="Palatino Linotype"/>
          <w:bCs/>
          <w:sz w:val="22"/>
          <w:szCs w:val="22"/>
          <w:lang w:val="en-US" w:eastAsia="en-GB"/>
        </w:rPr>
        <w:t xml:space="preserve">11,557 </w:t>
      </w:r>
      <w:r w:rsidRPr="006D42D9">
        <w:rPr>
          <w:rFonts w:ascii="Palatino Linotype" w:eastAsia="Times New Roman" w:hAnsi="Palatino Linotype"/>
          <w:bCs/>
          <w:sz w:val="22"/>
          <w:szCs w:val="22"/>
          <w:lang w:val="en-US" w:eastAsia="en-GB"/>
        </w:rPr>
        <w:t>million USD) followed by</w:t>
      </w:r>
      <w:r w:rsidRPr="006D42D9">
        <w:t xml:space="preserve"> </w:t>
      </w:r>
      <w:r w:rsidRPr="00685B58">
        <w:rPr>
          <w:rFonts w:ascii="Palatino Linotype" w:eastAsia="Times New Roman" w:hAnsi="Palatino Linotype"/>
          <w:bCs/>
          <w:sz w:val="22"/>
          <w:szCs w:val="22"/>
          <w:lang w:val="en-US" w:eastAsia="en-GB"/>
        </w:rPr>
        <w:t>Shanghai Stock Exchange</w:t>
      </w:r>
      <w:r w:rsidRPr="006D42D9">
        <w:rPr>
          <w:rFonts w:ascii="Palatino Linotype" w:eastAsia="Times New Roman" w:hAnsi="Palatino Linotype"/>
          <w:bCs/>
          <w:sz w:val="22"/>
          <w:szCs w:val="22"/>
          <w:lang w:val="en-US" w:eastAsia="en-GB"/>
        </w:rPr>
        <w:t xml:space="preserve"> (</w:t>
      </w:r>
      <w:r w:rsidRPr="00685B58">
        <w:rPr>
          <w:rFonts w:ascii="Palatino Linotype" w:eastAsia="Times New Roman" w:hAnsi="Palatino Linotype"/>
          <w:bCs/>
          <w:sz w:val="22"/>
          <w:szCs w:val="22"/>
          <w:lang w:val="en-US" w:eastAsia="en-GB"/>
        </w:rPr>
        <w:t xml:space="preserve">10,279 </w:t>
      </w:r>
      <w:r w:rsidRPr="006D42D9">
        <w:rPr>
          <w:rFonts w:ascii="Palatino Linotype" w:eastAsia="Times New Roman" w:hAnsi="Palatino Linotype"/>
          <w:bCs/>
          <w:sz w:val="22"/>
          <w:szCs w:val="22"/>
          <w:lang w:val="en-US" w:eastAsia="en-GB"/>
        </w:rPr>
        <w:t xml:space="preserve">million USD).   </w:t>
      </w:r>
    </w:p>
    <w:p w:rsidR="002C1136" w:rsidRPr="006D42D9" w:rsidRDefault="002C1136" w:rsidP="002C1136">
      <w:pPr>
        <w:spacing w:line="276" w:lineRule="auto"/>
        <w:jc w:val="both"/>
        <w:rPr>
          <w:rFonts w:ascii="Palatino Linotype" w:eastAsia="Times New Roman" w:hAnsi="Palatino Linotype"/>
          <w:bCs/>
          <w:sz w:val="22"/>
          <w:szCs w:val="22"/>
          <w:lang w:val="en-US"/>
        </w:rPr>
      </w:pPr>
    </w:p>
    <w:p w:rsidR="002C1136" w:rsidRPr="006D42D9" w:rsidRDefault="002C1136" w:rsidP="002C1136">
      <w:pPr>
        <w:spacing w:line="276" w:lineRule="auto"/>
        <w:ind w:left="284"/>
        <w:jc w:val="both"/>
        <w:rPr>
          <w:rFonts w:ascii="Palatino Linotype" w:eastAsia="Times New Roman" w:hAnsi="Palatino Linotype"/>
          <w:b/>
          <w:sz w:val="22"/>
          <w:szCs w:val="22"/>
          <w:lang w:val="en-US"/>
        </w:rPr>
      </w:pPr>
      <w:r w:rsidRPr="006D42D9">
        <w:rPr>
          <w:rFonts w:ascii="Palatino Linotype" w:eastAsia="Times New Roman" w:hAnsi="Palatino Linotype"/>
          <w:b/>
          <w:sz w:val="22"/>
          <w:szCs w:val="22"/>
          <w:u w:val="single"/>
          <w:lang w:val="en-US"/>
        </w:rPr>
        <w:t>Market Capitalisation of Major</w:t>
      </w:r>
      <w:r w:rsidRPr="006D42D9">
        <w:rPr>
          <w:rFonts w:ascii="Palatino Linotype" w:eastAsia="Times New Roman" w:hAnsi="Palatino Linotype"/>
          <w:b/>
          <w:sz w:val="22"/>
          <w:szCs w:val="22"/>
          <w:lang w:val="en-US"/>
        </w:rPr>
        <w:t xml:space="preserve"> Exchanges (Table A3) –</w:t>
      </w:r>
    </w:p>
    <w:p w:rsidR="002C1136" w:rsidRPr="006D42D9" w:rsidRDefault="002C1136" w:rsidP="002C1136">
      <w:pPr>
        <w:spacing w:line="276" w:lineRule="auto"/>
        <w:ind w:left="360"/>
        <w:contextualSpacing/>
        <w:jc w:val="both"/>
        <w:rPr>
          <w:rFonts w:ascii="Palatino Linotype" w:eastAsia="Times New Roman" w:hAnsi="Palatino Linotype"/>
          <w:b/>
          <w:sz w:val="22"/>
          <w:szCs w:val="22"/>
          <w:lang w:val="en-US" w:eastAsia="en-GB"/>
        </w:rPr>
      </w:pPr>
    </w:p>
    <w:p w:rsidR="002C1136" w:rsidRPr="006D42D9" w:rsidRDefault="002C1136" w:rsidP="003F384D">
      <w:pPr>
        <w:numPr>
          <w:ilvl w:val="0"/>
          <w:numId w:val="8"/>
        </w:numPr>
        <w:spacing w:line="276" w:lineRule="auto"/>
        <w:ind w:left="357" w:hanging="357"/>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Most of the analysed exchanges of selected markets</w:t>
      </w:r>
      <w:r w:rsidRPr="006D42D9">
        <w:rPr>
          <w:rFonts w:ascii="Palatino Linotype" w:eastAsia="Times New Roman" w:hAnsi="Palatino Linotype"/>
          <w:bCs/>
          <w:sz w:val="22"/>
          <w:szCs w:val="22"/>
          <w:vertAlign w:val="superscript"/>
          <w:lang w:val="en-US" w:eastAsia="en-GB"/>
        </w:rPr>
        <w:footnoteReference w:id="6"/>
      </w:r>
      <w:r w:rsidRPr="006D42D9">
        <w:rPr>
          <w:rFonts w:ascii="Palatino Linotype" w:eastAsia="Times New Roman" w:hAnsi="Palatino Linotype"/>
          <w:bCs/>
          <w:sz w:val="22"/>
          <w:szCs w:val="22"/>
          <w:lang w:val="en-US" w:eastAsia="en-GB"/>
        </w:rPr>
        <w:t>, reflected a</w:t>
      </w:r>
      <w:r>
        <w:rPr>
          <w:rFonts w:ascii="Palatino Linotype" w:eastAsia="Times New Roman" w:hAnsi="Palatino Linotype"/>
          <w:bCs/>
          <w:sz w:val="22"/>
          <w:szCs w:val="22"/>
          <w:lang w:val="en-US" w:eastAsia="en-GB"/>
        </w:rPr>
        <w:t xml:space="preserve"> rise </w:t>
      </w:r>
      <w:r w:rsidRPr="006D42D9">
        <w:rPr>
          <w:rFonts w:ascii="Palatino Linotype" w:eastAsia="Times New Roman" w:hAnsi="Palatino Linotype"/>
          <w:bCs/>
          <w:sz w:val="22"/>
          <w:szCs w:val="22"/>
          <w:lang w:val="en-US" w:eastAsia="en-GB"/>
        </w:rPr>
        <w:t xml:space="preserve">in market capitalization in the month of </w:t>
      </w:r>
      <w:r>
        <w:rPr>
          <w:rFonts w:ascii="Palatino Linotype" w:eastAsia="Times New Roman" w:hAnsi="Palatino Linotype"/>
          <w:bCs/>
          <w:sz w:val="22"/>
          <w:szCs w:val="22"/>
          <w:lang w:val="en-US" w:eastAsia="en-GB"/>
        </w:rPr>
        <w:t>January</w:t>
      </w:r>
      <w:r w:rsidRPr="006D42D9">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6D42D9">
        <w:rPr>
          <w:rFonts w:ascii="Palatino Linotype" w:eastAsia="Times New Roman" w:hAnsi="Palatino Linotype"/>
          <w:bCs/>
          <w:sz w:val="22"/>
          <w:szCs w:val="22"/>
          <w:lang w:val="en-US" w:eastAsia="en-GB"/>
        </w:rPr>
        <w:t xml:space="preserve"> as compared to previous month.</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Among the exchanges which registered highest increase in market capitalization were B3 - Brasil Bolsa Balcão, </w:t>
      </w:r>
      <w:r w:rsidRPr="00EB2B6B">
        <w:rPr>
          <w:rFonts w:ascii="Palatino Linotype" w:eastAsia="Times New Roman" w:hAnsi="Palatino Linotype"/>
          <w:bCs/>
          <w:sz w:val="22"/>
          <w:szCs w:val="22"/>
          <w:lang w:val="en-US" w:eastAsia="en-GB"/>
        </w:rPr>
        <w:t>Moscow Exchange</w:t>
      </w:r>
      <w:r w:rsidRPr="006D42D9">
        <w:rPr>
          <w:rFonts w:ascii="Palatino Linotype" w:eastAsia="Times New Roman" w:hAnsi="Palatino Linotype"/>
          <w:bCs/>
          <w:sz w:val="22"/>
          <w:szCs w:val="22"/>
          <w:lang w:val="en-US" w:eastAsia="en-GB"/>
        </w:rPr>
        <w:t xml:space="preserve">, and </w:t>
      </w:r>
      <w:r w:rsidRPr="00EB2B6B">
        <w:rPr>
          <w:rFonts w:ascii="Palatino Linotype" w:eastAsia="Times New Roman" w:hAnsi="Palatino Linotype"/>
          <w:bCs/>
          <w:sz w:val="22"/>
          <w:szCs w:val="22"/>
          <w:lang w:val="en-US" w:eastAsia="en-GB"/>
        </w:rPr>
        <w:t>Hong Kong Exchanges and Clearing</w:t>
      </w:r>
      <w:r w:rsidRPr="006D42D9">
        <w:rPr>
          <w:rFonts w:ascii="Palatino Linotype" w:eastAsia="Times New Roman" w:hAnsi="Palatino Linotype"/>
          <w:bCs/>
          <w:sz w:val="22"/>
          <w:szCs w:val="22"/>
          <w:lang w:val="en-US" w:eastAsia="en-GB"/>
        </w:rPr>
        <w:t xml:space="preserve"> (</w:t>
      </w:r>
      <w:r w:rsidRPr="00EB2B6B">
        <w:rPr>
          <w:rFonts w:ascii="Palatino Linotype" w:eastAsia="Times New Roman" w:hAnsi="Palatino Linotype"/>
          <w:bCs/>
          <w:sz w:val="22"/>
          <w:szCs w:val="22"/>
          <w:lang w:val="en-US" w:eastAsia="en-GB"/>
        </w:rPr>
        <w:t>21.2</w:t>
      </w:r>
      <w:r w:rsidRPr="006D42D9">
        <w:rPr>
          <w:rFonts w:ascii="Palatino Linotype" w:eastAsia="Times New Roman" w:hAnsi="Palatino Linotype"/>
          <w:bCs/>
          <w:sz w:val="22"/>
          <w:szCs w:val="22"/>
          <w:lang w:val="en-US" w:eastAsia="en-GB"/>
        </w:rPr>
        <w:t xml:space="preserve">, </w:t>
      </w:r>
      <w:r w:rsidRPr="00EB2B6B">
        <w:rPr>
          <w:rFonts w:ascii="Palatino Linotype" w:eastAsia="Times New Roman" w:hAnsi="Palatino Linotype"/>
          <w:bCs/>
          <w:sz w:val="22"/>
          <w:szCs w:val="22"/>
          <w:lang w:val="en-US" w:eastAsia="en-GB"/>
        </w:rPr>
        <w:t>15.9</w:t>
      </w:r>
      <w:r w:rsidRPr="006D42D9">
        <w:rPr>
          <w:rFonts w:ascii="Palatino Linotype" w:eastAsia="Times New Roman" w:hAnsi="Palatino Linotype"/>
          <w:bCs/>
          <w:sz w:val="22"/>
          <w:szCs w:val="22"/>
          <w:lang w:val="en-US" w:eastAsia="en-GB"/>
        </w:rPr>
        <w:t xml:space="preserve"> and </w:t>
      </w:r>
      <w:r w:rsidRPr="00EB2B6B">
        <w:rPr>
          <w:rFonts w:ascii="Palatino Linotype" w:eastAsia="Times New Roman" w:hAnsi="Palatino Linotype"/>
          <w:bCs/>
          <w:sz w:val="22"/>
          <w:szCs w:val="22"/>
          <w:lang w:val="en-US" w:eastAsia="en-GB"/>
        </w:rPr>
        <w:t>5.6</w:t>
      </w:r>
      <w:r w:rsidRPr="006D42D9">
        <w:rPr>
          <w:rFonts w:ascii="Palatino Linotype" w:eastAsia="Times New Roman" w:hAnsi="Palatino Linotype"/>
          <w:bCs/>
          <w:sz w:val="22"/>
          <w:szCs w:val="22"/>
          <w:lang w:val="en-US" w:eastAsia="en-GB"/>
        </w:rPr>
        <w:t xml:space="preserve"> per cent respectively).</w:t>
      </w:r>
    </w:p>
    <w:p w:rsidR="002C1136" w:rsidRPr="006D42D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6D42D9">
        <w:rPr>
          <w:rFonts w:ascii="Palatino Linotype" w:eastAsia="Times New Roman" w:hAnsi="Palatino Linotype"/>
          <w:bCs/>
          <w:sz w:val="22"/>
          <w:szCs w:val="22"/>
          <w:lang w:val="en-US" w:eastAsia="en-GB"/>
        </w:rPr>
        <w:t xml:space="preserve">Among the exchanges which </w:t>
      </w:r>
      <w:r>
        <w:rPr>
          <w:rFonts w:ascii="Palatino Linotype" w:eastAsia="Times New Roman" w:hAnsi="Palatino Linotype"/>
          <w:bCs/>
          <w:sz w:val="22"/>
          <w:szCs w:val="22"/>
          <w:lang w:val="en-US" w:eastAsia="en-GB"/>
        </w:rPr>
        <w:t xml:space="preserve">registered a decrease in </w:t>
      </w:r>
      <w:r w:rsidRPr="006D42D9">
        <w:rPr>
          <w:rFonts w:ascii="Palatino Linotype" w:eastAsia="Times New Roman" w:hAnsi="Palatino Linotype"/>
          <w:bCs/>
          <w:sz w:val="22"/>
          <w:szCs w:val="22"/>
          <w:lang w:val="en-US" w:eastAsia="en-GB"/>
        </w:rPr>
        <w:t>the market capitalization among the analysed ones were</w:t>
      </w:r>
      <w:r w:rsidRPr="002E432C">
        <w:t xml:space="preserve"> </w:t>
      </w:r>
      <w:r w:rsidRPr="002E432C">
        <w:rPr>
          <w:rFonts w:ascii="Palatino Linotype" w:eastAsia="Times New Roman" w:hAnsi="Palatino Linotype"/>
          <w:bCs/>
          <w:sz w:val="22"/>
          <w:szCs w:val="22"/>
          <w:lang w:val="en-US" w:eastAsia="en-GB"/>
        </w:rPr>
        <w:t xml:space="preserve">BME Spanish Exchanges </w:t>
      </w:r>
      <w:r w:rsidRPr="006D42D9">
        <w:rPr>
          <w:rFonts w:ascii="Palatino Linotype" w:eastAsia="Times New Roman" w:hAnsi="Palatino Linotype"/>
          <w:bCs/>
          <w:sz w:val="22"/>
          <w:szCs w:val="22"/>
          <w:lang w:val="en-US" w:eastAsia="en-GB"/>
        </w:rPr>
        <w:t>(</w:t>
      </w:r>
      <w:r w:rsidRPr="002E432C">
        <w:rPr>
          <w:rFonts w:ascii="Palatino Linotype" w:eastAsia="Times New Roman" w:hAnsi="Palatino Linotype"/>
          <w:bCs/>
          <w:sz w:val="22"/>
          <w:szCs w:val="22"/>
          <w:lang w:val="en-US" w:eastAsia="en-GB"/>
        </w:rPr>
        <w:t>-12.6</w:t>
      </w:r>
      <w:r w:rsidRPr="006D42D9">
        <w:rPr>
          <w:rFonts w:ascii="Palatino Linotype" w:eastAsia="Times New Roman" w:hAnsi="Palatino Linotype"/>
          <w:bCs/>
          <w:sz w:val="22"/>
          <w:szCs w:val="22"/>
          <w:lang w:val="en-US" w:eastAsia="en-GB"/>
        </w:rPr>
        <w:t xml:space="preserve"> per cent),</w:t>
      </w:r>
      <w:r w:rsidRPr="002E432C">
        <w:t xml:space="preserve"> </w:t>
      </w:r>
      <w:r w:rsidRPr="002E432C">
        <w:rPr>
          <w:rFonts w:ascii="Palatino Linotype" w:eastAsia="Times New Roman" w:hAnsi="Palatino Linotype"/>
          <w:bCs/>
          <w:sz w:val="22"/>
          <w:szCs w:val="22"/>
          <w:lang w:val="en-US" w:eastAsia="en-GB"/>
        </w:rPr>
        <w:t>ASX Australian Securities Exchange</w:t>
      </w:r>
      <w:r w:rsidRPr="006D42D9">
        <w:rPr>
          <w:rFonts w:ascii="Palatino Linotype" w:eastAsia="Times New Roman" w:hAnsi="Palatino Linotype"/>
          <w:bCs/>
          <w:sz w:val="22"/>
          <w:szCs w:val="22"/>
          <w:lang w:val="en-US" w:eastAsia="en-GB"/>
        </w:rPr>
        <w:t xml:space="preserve"> (</w:t>
      </w:r>
      <w:r w:rsidRPr="002E432C">
        <w:rPr>
          <w:rFonts w:ascii="Palatino Linotype" w:eastAsia="Times New Roman" w:hAnsi="Palatino Linotype"/>
          <w:bCs/>
          <w:sz w:val="22"/>
          <w:szCs w:val="22"/>
          <w:lang w:val="en-US" w:eastAsia="en-GB"/>
        </w:rPr>
        <w:t>-11.3</w:t>
      </w:r>
      <w:r w:rsidRPr="006D42D9">
        <w:rPr>
          <w:rFonts w:ascii="Palatino Linotype" w:eastAsia="Times New Roman" w:hAnsi="Palatino Linotype"/>
          <w:bCs/>
          <w:sz w:val="22"/>
          <w:szCs w:val="22"/>
          <w:lang w:val="en-US" w:eastAsia="en-GB"/>
        </w:rPr>
        <w:t xml:space="preserve"> per cent) and </w:t>
      </w:r>
      <w:r w:rsidRPr="002E432C">
        <w:rPr>
          <w:rFonts w:ascii="Palatino Linotype" w:eastAsia="Times New Roman" w:hAnsi="Palatino Linotype"/>
          <w:bCs/>
          <w:sz w:val="22"/>
          <w:szCs w:val="22"/>
          <w:lang w:val="en-US" w:eastAsia="en-GB"/>
        </w:rPr>
        <w:t xml:space="preserve">Deutsche Boerse AG </w:t>
      </w:r>
      <w:r w:rsidRPr="006D42D9">
        <w:rPr>
          <w:rFonts w:ascii="Palatino Linotype" w:eastAsia="Times New Roman" w:hAnsi="Palatino Linotype"/>
          <w:bCs/>
          <w:sz w:val="22"/>
          <w:szCs w:val="22"/>
          <w:lang w:val="en-US" w:eastAsia="en-GB"/>
        </w:rPr>
        <w:t>(</w:t>
      </w:r>
      <w:r w:rsidRPr="002E432C">
        <w:rPr>
          <w:rFonts w:ascii="Palatino Linotype" w:eastAsia="Times New Roman" w:hAnsi="Palatino Linotype"/>
          <w:bCs/>
          <w:sz w:val="22"/>
          <w:szCs w:val="22"/>
          <w:lang w:val="en-US" w:eastAsia="en-GB"/>
        </w:rPr>
        <w:t>-9.8</w:t>
      </w:r>
      <w:r w:rsidRPr="006D42D9">
        <w:rPr>
          <w:rFonts w:ascii="Palatino Linotype" w:eastAsia="Times New Roman" w:hAnsi="Palatino Linotype"/>
          <w:bCs/>
          <w:sz w:val="22"/>
          <w:szCs w:val="22"/>
          <w:lang w:val="en-US" w:eastAsia="en-GB"/>
        </w:rPr>
        <w:t xml:space="preserve"> per cent).</w:t>
      </w:r>
    </w:p>
    <w:p w:rsidR="002C1136" w:rsidRPr="00497662" w:rsidRDefault="002C1136" w:rsidP="002C1136">
      <w:pPr>
        <w:spacing w:line="276" w:lineRule="auto"/>
        <w:ind w:left="360"/>
        <w:contextualSpacing/>
        <w:jc w:val="both"/>
        <w:rPr>
          <w:rFonts w:ascii="Palatino Linotype" w:eastAsia="Times New Roman" w:hAnsi="Palatino Linotype"/>
          <w:b/>
          <w:sz w:val="22"/>
          <w:szCs w:val="22"/>
          <w:u w:val="single"/>
          <w:lang w:val="en-US"/>
        </w:rPr>
      </w:pPr>
    </w:p>
    <w:p w:rsidR="002C1136" w:rsidRPr="00497662" w:rsidRDefault="002C1136" w:rsidP="002C1136">
      <w:pPr>
        <w:spacing w:line="276" w:lineRule="auto"/>
        <w:ind w:left="360"/>
        <w:contextualSpacing/>
        <w:jc w:val="both"/>
        <w:rPr>
          <w:rFonts w:ascii="Palatino Linotype" w:eastAsia="Times New Roman" w:hAnsi="Palatino Linotype"/>
          <w:b/>
          <w:sz w:val="22"/>
          <w:szCs w:val="22"/>
          <w:lang w:val="en-US" w:eastAsia="en-GB"/>
        </w:rPr>
      </w:pPr>
      <w:r w:rsidRPr="00497662">
        <w:rPr>
          <w:rFonts w:ascii="Palatino Linotype" w:eastAsia="Times New Roman" w:hAnsi="Palatino Linotype"/>
          <w:b/>
          <w:sz w:val="22"/>
          <w:szCs w:val="22"/>
          <w:u w:val="single"/>
          <w:lang w:val="en-US"/>
        </w:rPr>
        <w:t xml:space="preserve">Derivatives </w:t>
      </w:r>
      <w:r w:rsidRPr="00497662">
        <w:rPr>
          <w:rFonts w:ascii="Palatino Linotype" w:eastAsia="Times New Roman" w:hAnsi="Palatino Linotype"/>
          <w:b/>
          <w:sz w:val="22"/>
          <w:szCs w:val="22"/>
          <w:lang w:val="en-US" w:eastAsia="en-GB"/>
        </w:rPr>
        <w:t xml:space="preserve">(Figures 5-6, Table A4–A8) – </w:t>
      </w:r>
    </w:p>
    <w:p w:rsidR="002C1136" w:rsidRPr="00497662" w:rsidRDefault="002C1136" w:rsidP="002C1136">
      <w:pPr>
        <w:spacing w:line="276" w:lineRule="auto"/>
        <w:ind w:left="360"/>
        <w:contextualSpacing/>
        <w:jc w:val="both"/>
        <w:rPr>
          <w:rFonts w:ascii="Palatino Linotype" w:eastAsia="Times New Roman" w:hAnsi="Palatino Linotype"/>
          <w:b/>
          <w:sz w:val="22"/>
          <w:szCs w:val="22"/>
          <w:lang w:val="en-US" w:eastAsia="en-GB"/>
        </w:rPr>
      </w:pPr>
    </w:p>
    <w:p w:rsidR="002C1136" w:rsidRPr="00497662"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January</w:t>
      </w:r>
      <w:r w:rsidRPr="00497662">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497662">
        <w:rPr>
          <w:rFonts w:ascii="Palatino Linotype" w:eastAsia="Times New Roman" w:hAnsi="Palatino Linotype"/>
          <w:bCs/>
          <w:sz w:val="22"/>
          <w:szCs w:val="22"/>
          <w:lang w:val="en-US" w:eastAsia="en-GB"/>
        </w:rPr>
        <w:t>, the highest number of single stock futures contracts traded was at</w:t>
      </w:r>
      <w:r w:rsidRPr="008D6B22">
        <w:t xml:space="preserve"> </w:t>
      </w:r>
      <w:r w:rsidRPr="008D6B22">
        <w:rPr>
          <w:rFonts w:ascii="Palatino Linotype" w:eastAsia="Times New Roman" w:hAnsi="Palatino Linotype"/>
          <w:bCs/>
          <w:sz w:val="22"/>
          <w:szCs w:val="22"/>
          <w:lang w:val="en-US" w:eastAsia="en-GB"/>
        </w:rPr>
        <w:t>Borsa Istanbul</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183,377,871)</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Korea Exchange</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161,714,862)</w:t>
      </w:r>
      <w:r w:rsidRPr="00497662">
        <w:rPr>
          <w:rFonts w:ascii="Palatino Linotype" w:eastAsia="Times New Roman" w:hAnsi="Palatino Linotype"/>
          <w:bCs/>
          <w:sz w:val="22"/>
          <w:szCs w:val="22"/>
          <w:lang w:val="en-US" w:eastAsia="en-GB"/>
        </w:rPr>
        <w:t xml:space="preserve">. The highest number of single stock options were traded at </w:t>
      </w:r>
      <w:r w:rsidRPr="008D6B22">
        <w:rPr>
          <w:rFonts w:ascii="Palatino Linotype" w:eastAsia="Times New Roman" w:hAnsi="Palatino Linotype"/>
          <w:bCs/>
          <w:sz w:val="22"/>
          <w:szCs w:val="22"/>
          <w:lang w:val="en-US" w:eastAsia="en-GB"/>
        </w:rPr>
        <w:t>Nasdaq - US</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222,311,089)</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 xml:space="preserve">B3 - Brasil Bolsa Balcão </w:t>
      </w:r>
      <w:r w:rsidRPr="00497662">
        <w:rPr>
          <w:rFonts w:ascii="Palatino Linotype" w:eastAsia="Times New Roman" w:hAnsi="Palatino Linotype"/>
          <w:bCs/>
          <w:sz w:val="22"/>
          <w:szCs w:val="22"/>
          <w:lang w:val="en-US" w:eastAsia="en-GB"/>
        </w:rPr>
        <w:t>(</w:t>
      </w:r>
      <w:r w:rsidRPr="008D6B22">
        <w:rPr>
          <w:rFonts w:ascii="Palatino Linotype" w:eastAsia="Times New Roman" w:hAnsi="Palatino Linotype"/>
          <w:bCs/>
          <w:sz w:val="22"/>
          <w:szCs w:val="22"/>
          <w:lang w:val="en-US" w:eastAsia="en-GB"/>
        </w:rPr>
        <w:t>164,186,368)</w:t>
      </w:r>
      <w:r w:rsidRPr="00497662">
        <w:rPr>
          <w:rFonts w:ascii="Palatino Linotype" w:eastAsia="Times New Roman" w:hAnsi="Palatino Linotype"/>
          <w:bCs/>
          <w:sz w:val="22"/>
          <w:szCs w:val="22"/>
          <w:lang w:val="en-US" w:eastAsia="en-GB"/>
        </w:rPr>
        <w:t>.</w:t>
      </w:r>
    </w:p>
    <w:p w:rsidR="002C1136"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 xml:space="preserve">During </w:t>
      </w:r>
      <w:r>
        <w:rPr>
          <w:rFonts w:ascii="Palatino Linotype" w:eastAsia="Times New Roman" w:hAnsi="Palatino Linotype"/>
          <w:bCs/>
          <w:sz w:val="22"/>
          <w:szCs w:val="22"/>
          <w:lang w:val="en-US" w:eastAsia="en-GB"/>
        </w:rPr>
        <w:t>January</w:t>
      </w:r>
      <w:r w:rsidRPr="00497662">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497662">
        <w:rPr>
          <w:rFonts w:ascii="Palatino Linotype" w:eastAsia="Times New Roman" w:hAnsi="Palatino Linotype"/>
          <w:bCs/>
          <w:sz w:val="22"/>
          <w:szCs w:val="22"/>
          <w:lang w:val="en-US" w:eastAsia="en-GB"/>
        </w:rPr>
        <w:t>, the highest number of stock</w:t>
      </w:r>
      <w:r>
        <w:rPr>
          <w:rFonts w:ascii="Palatino Linotype" w:eastAsia="Times New Roman" w:hAnsi="Palatino Linotype"/>
          <w:bCs/>
          <w:sz w:val="22"/>
          <w:szCs w:val="22"/>
          <w:lang w:val="en-US" w:eastAsia="en-GB"/>
        </w:rPr>
        <w:t xml:space="preserve"> index</w:t>
      </w:r>
      <w:r w:rsidRPr="00497662">
        <w:rPr>
          <w:rFonts w:ascii="Palatino Linotype" w:eastAsia="Times New Roman" w:hAnsi="Palatino Linotype"/>
          <w:bCs/>
          <w:sz w:val="22"/>
          <w:szCs w:val="22"/>
          <w:lang w:val="en-US" w:eastAsia="en-GB"/>
        </w:rPr>
        <w:t xml:space="preserve"> futures contracts traded was at </w:t>
      </w:r>
      <w:r w:rsidRPr="008D6B22">
        <w:rPr>
          <w:rFonts w:ascii="Palatino Linotype" w:eastAsia="Times New Roman" w:hAnsi="Palatino Linotype"/>
          <w:bCs/>
          <w:sz w:val="22"/>
          <w:szCs w:val="22"/>
          <w:lang w:val="en-US" w:eastAsia="en-GB"/>
        </w:rPr>
        <w:t>B3 - Brasil Bolsa Balcão</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308,488,036)</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CME Group</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93,289,202)</w:t>
      </w:r>
      <w:r w:rsidRPr="00497662">
        <w:rPr>
          <w:rFonts w:ascii="Palatino Linotype" w:eastAsia="Times New Roman" w:hAnsi="Palatino Linotype"/>
          <w:bCs/>
          <w:sz w:val="22"/>
          <w:szCs w:val="22"/>
          <w:lang w:val="en-US" w:eastAsia="en-GB"/>
        </w:rPr>
        <w:t xml:space="preserve">. The highest number of stock </w:t>
      </w:r>
      <w:r>
        <w:rPr>
          <w:rFonts w:ascii="Palatino Linotype" w:eastAsia="Times New Roman" w:hAnsi="Palatino Linotype"/>
          <w:bCs/>
          <w:sz w:val="22"/>
          <w:szCs w:val="22"/>
          <w:lang w:val="en-US" w:eastAsia="en-GB"/>
        </w:rPr>
        <w:t xml:space="preserve">index </w:t>
      </w:r>
      <w:r w:rsidRPr="00497662">
        <w:rPr>
          <w:rFonts w:ascii="Palatino Linotype" w:eastAsia="Times New Roman" w:hAnsi="Palatino Linotype"/>
          <w:bCs/>
          <w:sz w:val="22"/>
          <w:szCs w:val="22"/>
          <w:lang w:val="en-US" w:eastAsia="en-GB"/>
        </w:rPr>
        <w:t xml:space="preserve">options were traded at </w:t>
      </w:r>
      <w:r w:rsidRPr="008D6B22">
        <w:rPr>
          <w:rFonts w:ascii="Palatino Linotype" w:eastAsia="Times New Roman" w:hAnsi="Palatino Linotype"/>
          <w:bCs/>
          <w:sz w:val="22"/>
          <w:szCs w:val="22"/>
          <w:lang w:val="en-US" w:eastAsia="en-GB"/>
        </w:rPr>
        <w:t>National Stock Exchange of India</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738,591,241)</w:t>
      </w:r>
      <w:r w:rsidRPr="00497662">
        <w:rPr>
          <w:rFonts w:ascii="Palatino Linotype" w:eastAsia="Times New Roman" w:hAnsi="Palatino Linotype"/>
          <w:bCs/>
          <w:sz w:val="22"/>
          <w:szCs w:val="22"/>
          <w:lang w:val="en-US" w:eastAsia="en-GB"/>
        </w:rPr>
        <w:t xml:space="preserve"> followed by </w:t>
      </w:r>
      <w:r w:rsidRPr="008D6B22">
        <w:rPr>
          <w:rFonts w:ascii="Palatino Linotype" w:eastAsia="Times New Roman" w:hAnsi="Palatino Linotype"/>
          <w:bCs/>
          <w:sz w:val="22"/>
          <w:szCs w:val="22"/>
          <w:lang w:val="en-US" w:eastAsia="en-GB"/>
        </w:rPr>
        <w:t>Korea Exchange</w:t>
      </w:r>
      <w:r w:rsidRPr="00497662">
        <w:rPr>
          <w:rFonts w:ascii="Palatino Linotype" w:eastAsia="Times New Roman" w:hAnsi="Palatino Linotype"/>
          <w:bCs/>
          <w:sz w:val="22"/>
          <w:szCs w:val="22"/>
          <w:lang w:val="en-US" w:eastAsia="en-GB"/>
        </w:rPr>
        <w:t xml:space="preserve"> (</w:t>
      </w:r>
      <w:r w:rsidRPr="008D6B22">
        <w:rPr>
          <w:rFonts w:ascii="Palatino Linotype" w:eastAsia="Times New Roman" w:hAnsi="Palatino Linotype"/>
          <w:bCs/>
          <w:sz w:val="22"/>
          <w:szCs w:val="22"/>
          <w:lang w:val="en-US" w:eastAsia="en-GB"/>
        </w:rPr>
        <w:t>83,219,397)</w:t>
      </w:r>
      <w:r w:rsidRPr="00497662">
        <w:rPr>
          <w:rFonts w:ascii="Palatino Linotype" w:eastAsia="Times New Roman" w:hAnsi="Palatino Linotype"/>
          <w:bCs/>
          <w:sz w:val="22"/>
          <w:szCs w:val="22"/>
          <w:lang w:val="en-US" w:eastAsia="en-GB"/>
        </w:rPr>
        <w:t>.</w:t>
      </w:r>
    </w:p>
    <w:p w:rsidR="002C1136" w:rsidRPr="00497662"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Highest number of currency futures contracts were traded at Moscow Exchange (</w:t>
      </w:r>
      <w:r w:rsidRPr="00717DF6">
        <w:rPr>
          <w:rFonts w:ascii="Palatino Linotype" w:eastAsia="Times New Roman" w:hAnsi="Palatino Linotype"/>
          <w:bCs/>
          <w:sz w:val="22"/>
          <w:szCs w:val="22"/>
          <w:lang w:val="en-US" w:eastAsia="en-GB"/>
        </w:rPr>
        <w:t>80,474,037)</w:t>
      </w:r>
      <w:r w:rsidRPr="00497662">
        <w:rPr>
          <w:rFonts w:ascii="Palatino Linotype" w:eastAsia="Times New Roman" w:hAnsi="Palatino Linotype"/>
          <w:bCs/>
          <w:sz w:val="22"/>
          <w:szCs w:val="22"/>
          <w:lang w:val="en-US" w:eastAsia="en-GB"/>
        </w:rPr>
        <w:t xml:space="preserve"> followed by </w:t>
      </w:r>
      <w:r>
        <w:rPr>
          <w:rFonts w:ascii="Palatino Linotype" w:eastAsia="Times New Roman" w:hAnsi="Palatino Linotype"/>
          <w:bCs/>
          <w:sz w:val="22"/>
          <w:szCs w:val="22"/>
          <w:lang w:val="en-US" w:eastAsia="en-GB"/>
        </w:rPr>
        <w:t>B3 - Brasil Bolsa Balcao</w:t>
      </w:r>
      <w:r w:rsidRPr="00497662">
        <w:rPr>
          <w:rFonts w:ascii="Palatino Linotype" w:eastAsia="Times New Roman" w:hAnsi="Palatino Linotype"/>
          <w:bCs/>
          <w:sz w:val="22"/>
          <w:szCs w:val="22"/>
          <w:lang w:val="en-US" w:eastAsia="en-GB"/>
        </w:rPr>
        <w:t xml:space="preserve"> (</w:t>
      </w:r>
      <w:r w:rsidRPr="00717DF6">
        <w:rPr>
          <w:rFonts w:ascii="Palatino Linotype" w:eastAsia="Times New Roman" w:hAnsi="Palatino Linotype"/>
          <w:bCs/>
          <w:sz w:val="22"/>
          <w:szCs w:val="22"/>
          <w:lang w:val="en-US" w:eastAsia="en-GB"/>
        </w:rPr>
        <w:t>73,872,696)</w:t>
      </w:r>
      <w:r w:rsidRPr="00497662">
        <w:rPr>
          <w:rFonts w:ascii="Palatino Linotype" w:eastAsia="Times New Roman" w:hAnsi="Palatino Linotype"/>
          <w:bCs/>
          <w:sz w:val="22"/>
          <w:szCs w:val="22"/>
          <w:lang w:val="en-US" w:eastAsia="en-GB"/>
        </w:rPr>
        <w:t>. The highest number of currency options were traded at NSE (</w:t>
      </w:r>
      <w:r w:rsidRPr="00717DF6">
        <w:rPr>
          <w:rFonts w:ascii="Palatino Linotype" w:eastAsia="Times New Roman" w:hAnsi="Palatino Linotype"/>
          <w:bCs/>
          <w:sz w:val="22"/>
          <w:szCs w:val="22"/>
          <w:lang w:val="en-US" w:eastAsia="en-GB"/>
        </w:rPr>
        <w:t>73,769,248)</w:t>
      </w:r>
      <w:r w:rsidRPr="00497662">
        <w:rPr>
          <w:rFonts w:ascii="Palatino Linotype" w:eastAsia="Times New Roman" w:hAnsi="Palatino Linotype"/>
          <w:bCs/>
          <w:sz w:val="22"/>
          <w:szCs w:val="22"/>
          <w:lang w:val="en-US" w:eastAsia="en-GB"/>
        </w:rPr>
        <w:t xml:space="preserve"> followed by Moscow Exchange (</w:t>
      </w:r>
      <w:r w:rsidRPr="00717DF6">
        <w:rPr>
          <w:rFonts w:ascii="Palatino Linotype" w:eastAsia="Times New Roman" w:hAnsi="Palatino Linotype"/>
          <w:bCs/>
          <w:sz w:val="22"/>
          <w:szCs w:val="22"/>
          <w:lang w:val="en-US" w:eastAsia="en-GB"/>
        </w:rPr>
        <w:t>1,752,328)</w:t>
      </w:r>
      <w:r w:rsidRPr="00497662">
        <w:rPr>
          <w:rFonts w:ascii="Palatino Linotype" w:eastAsia="Times New Roman" w:hAnsi="Palatino Linotype"/>
          <w:bCs/>
          <w:sz w:val="22"/>
          <w:szCs w:val="22"/>
          <w:lang w:val="en-US" w:eastAsia="en-GB"/>
        </w:rPr>
        <w:t>.</w:t>
      </w:r>
    </w:p>
    <w:p w:rsidR="002C1136" w:rsidRPr="003121B9"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3121B9">
        <w:rPr>
          <w:rFonts w:ascii="Palatino Linotype" w:eastAsia="Times New Roman" w:hAnsi="Palatino Linotype"/>
          <w:bCs/>
          <w:sz w:val="22"/>
          <w:szCs w:val="22"/>
          <w:lang w:val="en-US" w:eastAsia="en-GB"/>
        </w:rPr>
        <w:t xml:space="preserve">In January 2021, the highest number of interest rate futures were traded at CME Group (119,297,422) followed by B3 - Brasil Bolsa Balcao (47,893,855). Highest number of interest rate options were traded at B3 - Brasil Bolsa Balcao (39,499,090) followed by CME Group (35,955,237). </w:t>
      </w:r>
    </w:p>
    <w:p w:rsidR="002C1136" w:rsidRPr="00497662" w:rsidRDefault="002C1136" w:rsidP="003F384D">
      <w:pPr>
        <w:numPr>
          <w:ilvl w:val="0"/>
          <w:numId w:val="8"/>
        </w:numPr>
        <w:spacing w:line="276" w:lineRule="auto"/>
        <w:jc w:val="both"/>
        <w:rPr>
          <w:rFonts w:ascii="Palatino Linotype" w:eastAsia="Times New Roman" w:hAnsi="Palatino Linotype"/>
          <w:bCs/>
          <w:sz w:val="22"/>
          <w:szCs w:val="22"/>
          <w:lang w:val="en-US" w:eastAsia="en-GB"/>
        </w:rPr>
      </w:pPr>
      <w:r w:rsidRPr="00497662">
        <w:rPr>
          <w:rFonts w:ascii="Palatino Linotype" w:eastAsia="Times New Roman" w:hAnsi="Palatino Linotype"/>
          <w:bCs/>
          <w:sz w:val="22"/>
          <w:szCs w:val="22"/>
          <w:lang w:val="en-US" w:eastAsia="en-GB"/>
        </w:rPr>
        <w:t>The highest number of commodity futures contracts were traded at Shanghai Futures Exchange (</w:t>
      </w:r>
      <w:r w:rsidRPr="006522E0">
        <w:rPr>
          <w:rFonts w:ascii="Palatino Linotype" w:eastAsia="Times New Roman" w:hAnsi="Palatino Linotype"/>
          <w:bCs/>
          <w:sz w:val="22"/>
          <w:szCs w:val="22"/>
          <w:lang w:val="en-US" w:eastAsia="en-GB"/>
        </w:rPr>
        <w:t>210,120,401)</w:t>
      </w:r>
      <w:r w:rsidRPr="00497662">
        <w:rPr>
          <w:rFonts w:ascii="Palatino Linotype" w:eastAsia="Times New Roman" w:hAnsi="Palatino Linotype"/>
          <w:bCs/>
          <w:sz w:val="22"/>
          <w:szCs w:val="22"/>
          <w:lang w:val="en-US" w:eastAsia="en-GB"/>
        </w:rPr>
        <w:t xml:space="preserve"> followed by Dalian Commodity Exchange (</w:t>
      </w:r>
      <w:r w:rsidRPr="006522E0">
        <w:rPr>
          <w:rFonts w:ascii="Palatino Linotype" w:eastAsia="Times New Roman" w:hAnsi="Palatino Linotype"/>
          <w:bCs/>
          <w:sz w:val="22"/>
          <w:szCs w:val="22"/>
          <w:lang w:val="en-US" w:eastAsia="en-GB"/>
        </w:rPr>
        <w:t>176,192,292)</w:t>
      </w:r>
      <w:r w:rsidRPr="00497662">
        <w:rPr>
          <w:rFonts w:ascii="Palatino Linotype" w:eastAsia="Times New Roman" w:hAnsi="Palatino Linotype"/>
          <w:bCs/>
          <w:sz w:val="22"/>
          <w:szCs w:val="22"/>
          <w:lang w:val="en-US" w:eastAsia="en-GB"/>
        </w:rPr>
        <w:t xml:space="preserve"> in </w:t>
      </w:r>
      <w:r>
        <w:rPr>
          <w:rFonts w:ascii="Palatino Linotype" w:eastAsia="Times New Roman" w:hAnsi="Palatino Linotype"/>
          <w:bCs/>
          <w:sz w:val="22"/>
          <w:szCs w:val="22"/>
          <w:lang w:val="en-US" w:eastAsia="en-GB"/>
        </w:rPr>
        <w:t>January</w:t>
      </w:r>
      <w:r w:rsidRPr="00497662">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497662">
        <w:rPr>
          <w:rFonts w:ascii="Palatino Linotype" w:eastAsia="Times New Roman" w:hAnsi="Palatino Linotype"/>
          <w:bCs/>
          <w:sz w:val="22"/>
          <w:szCs w:val="22"/>
          <w:lang w:val="en-US" w:eastAsia="en-GB"/>
        </w:rPr>
        <w:t>. Among the commodity options the highest number of contracts were traded at CME Group (</w:t>
      </w:r>
      <w:r w:rsidRPr="006522E0">
        <w:rPr>
          <w:rFonts w:ascii="Palatino Linotype" w:eastAsia="Times New Roman" w:hAnsi="Palatino Linotype"/>
          <w:bCs/>
          <w:sz w:val="22"/>
          <w:szCs w:val="22"/>
          <w:lang w:val="en-US" w:eastAsia="en-GB"/>
        </w:rPr>
        <w:t>14,027,726)</w:t>
      </w:r>
      <w:r w:rsidRPr="00497662">
        <w:rPr>
          <w:rFonts w:ascii="Palatino Linotype" w:eastAsia="Times New Roman" w:hAnsi="Palatino Linotype"/>
          <w:bCs/>
          <w:sz w:val="22"/>
          <w:szCs w:val="22"/>
          <w:lang w:val="en-US" w:eastAsia="en-GB"/>
        </w:rPr>
        <w:t xml:space="preserve"> followed by Dalian Commodity Exchange (</w:t>
      </w:r>
      <w:r w:rsidRPr="006522E0">
        <w:rPr>
          <w:rFonts w:ascii="Palatino Linotype" w:eastAsia="Times New Roman" w:hAnsi="Palatino Linotype"/>
          <w:bCs/>
          <w:sz w:val="22"/>
          <w:szCs w:val="22"/>
          <w:lang w:val="en-US" w:eastAsia="en-GB"/>
        </w:rPr>
        <w:t>5,651,329)</w:t>
      </w:r>
      <w:r w:rsidRPr="00497662">
        <w:rPr>
          <w:rFonts w:ascii="Palatino Linotype" w:eastAsia="Times New Roman" w:hAnsi="Palatino Linotype"/>
          <w:bCs/>
          <w:sz w:val="22"/>
          <w:szCs w:val="22"/>
          <w:lang w:val="en-US" w:eastAsia="en-GB"/>
        </w:rPr>
        <w:t xml:space="preserve"> during the same period.</w:t>
      </w:r>
    </w:p>
    <w:p w:rsidR="002C1136" w:rsidRPr="00497662" w:rsidRDefault="002C1136" w:rsidP="003F384D">
      <w:pPr>
        <w:numPr>
          <w:ilvl w:val="0"/>
          <w:numId w:val="8"/>
        </w:numPr>
        <w:spacing w:line="276" w:lineRule="auto"/>
        <w:ind w:hanging="357"/>
        <w:contextualSpacing/>
        <w:jc w:val="both"/>
        <w:rPr>
          <w:rFonts w:ascii="Palatino Linotype" w:hAnsi="Palatino Linotype"/>
          <w:bCs/>
          <w:sz w:val="22"/>
          <w:szCs w:val="22"/>
          <w:lang w:val="en-US"/>
        </w:rPr>
      </w:pPr>
      <w:r w:rsidRPr="00497662">
        <w:rPr>
          <w:rFonts w:ascii="Palatino Linotype" w:eastAsia="Times New Roman" w:hAnsi="Palatino Linotype"/>
          <w:bCs/>
          <w:sz w:val="22"/>
          <w:szCs w:val="22"/>
          <w:lang w:val="en-US" w:eastAsia="en-GB"/>
        </w:rPr>
        <w:t>In January 202</w:t>
      </w:r>
      <w:r>
        <w:rPr>
          <w:rFonts w:ascii="Palatino Linotype" w:eastAsia="Times New Roman" w:hAnsi="Palatino Linotype"/>
          <w:bCs/>
          <w:sz w:val="22"/>
          <w:szCs w:val="22"/>
          <w:lang w:val="en-US" w:eastAsia="en-GB"/>
        </w:rPr>
        <w:t>1</w:t>
      </w:r>
      <w:r w:rsidRPr="00497662">
        <w:rPr>
          <w:rFonts w:ascii="Palatino Linotype" w:eastAsia="Times New Roman" w:hAnsi="Palatino Linotype"/>
          <w:bCs/>
          <w:sz w:val="22"/>
          <w:szCs w:val="22"/>
          <w:lang w:val="en-US" w:eastAsia="en-GB"/>
        </w:rPr>
        <w:t>, most of the analysed</w:t>
      </w:r>
      <w:r w:rsidRPr="00497662">
        <w:rPr>
          <w:rFonts w:ascii="Palatino Linotype" w:eastAsia="Times New Roman" w:hAnsi="Palatino Linotype"/>
          <w:bCs/>
          <w:sz w:val="22"/>
          <w:szCs w:val="22"/>
          <w:vertAlign w:val="superscript"/>
          <w:lang w:val="en-US" w:eastAsia="en-GB"/>
        </w:rPr>
        <w:footnoteReference w:id="7"/>
      </w:r>
      <w:r w:rsidRPr="00497662">
        <w:rPr>
          <w:rFonts w:ascii="Palatino Linotype" w:eastAsia="Times New Roman" w:hAnsi="Palatino Linotype"/>
          <w:bCs/>
          <w:sz w:val="22"/>
          <w:szCs w:val="22"/>
          <w:lang w:val="en-US" w:eastAsia="en-GB"/>
        </w:rPr>
        <w:t xml:space="preserve"> currencies </w:t>
      </w:r>
      <w:r>
        <w:rPr>
          <w:rFonts w:ascii="Palatino Linotype" w:eastAsia="Times New Roman" w:hAnsi="Palatino Linotype"/>
          <w:bCs/>
          <w:sz w:val="22"/>
          <w:szCs w:val="22"/>
          <w:lang w:val="en-US" w:eastAsia="en-GB"/>
        </w:rPr>
        <w:t>depreciated</w:t>
      </w:r>
      <w:r w:rsidRPr="00497662">
        <w:rPr>
          <w:rFonts w:ascii="Palatino Linotype" w:eastAsia="Times New Roman" w:hAnsi="Palatino Linotype"/>
          <w:bCs/>
          <w:sz w:val="22"/>
          <w:szCs w:val="22"/>
          <w:lang w:val="en-US" w:eastAsia="en-GB"/>
        </w:rPr>
        <w:t xml:space="preserve"> against dollar. Real and </w:t>
      </w:r>
      <w:r>
        <w:rPr>
          <w:rFonts w:ascii="Palatino Linotype" w:eastAsia="Times New Roman" w:hAnsi="Palatino Linotype"/>
          <w:bCs/>
          <w:sz w:val="22"/>
          <w:szCs w:val="22"/>
          <w:lang w:val="en-US" w:eastAsia="en-GB"/>
        </w:rPr>
        <w:t>Swiss Franc</w:t>
      </w:r>
      <w:r w:rsidRPr="00497662">
        <w:rPr>
          <w:rFonts w:ascii="Palatino Linotype" w:eastAsia="Times New Roman" w:hAnsi="Palatino Linotype"/>
          <w:bCs/>
          <w:sz w:val="22"/>
          <w:szCs w:val="22"/>
          <w:lang w:val="en-US" w:eastAsia="en-GB"/>
        </w:rPr>
        <w:t xml:space="preserve"> were most </w:t>
      </w:r>
      <w:r>
        <w:rPr>
          <w:rFonts w:ascii="Palatino Linotype" w:eastAsia="Times New Roman" w:hAnsi="Palatino Linotype"/>
          <w:bCs/>
          <w:sz w:val="22"/>
          <w:szCs w:val="22"/>
          <w:lang w:val="en-US" w:eastAsia="en-GB"/>
        </w:rPr>
        <w:t>depreciating</w:t>
      </w:r>
      <w:r w:rsidRPr="00497662">
        <w:rPr>
          <w:rFonts w:ascii="Palatino Linotype" w:eastAsia="Times New Roman" w:hAnsi="Palatino Linotype"/>
          <w:bCs/>
          <w:sz w:val="22"/>
          <w:szCs w:val="22"/>
          <w:lang w:val="en-US" w:eastAsia="en-GB"/>
        </w:rPr>
        <w:t xml:space="preserve"> currencies against dollar among the analysed currencies.</w:t>
      </w:r>
    </w:p>
    <w:p w:rsidR="002C1136" w:rsidRPr="0024165F" w:rsidRDefault="002C1136" w:rsidP="002C1136">
      <w:pPr>
        <w:spacing w:line="276" w:lineRule="auto"/>
        <w:outlineLvl w:val="0"/>
        <w:rPr>
          <w:rFonts w:ascii="Palatino Linotype" w:eastAsia="Times New Roman" w:hAnsi="Palatino Linotype"/>
          <w:b/>
          <w:sz w:val="22"/>
          <w:szCs w:val="22"/>
          <w:u w:val="single"/>
        </w:rPr>
      </w:pPr>
    </w:p>
    <w:p w:rsidR="002C1136" w:rsidRPr="0024165F" w:rsidRDefault="002C1136" w:rsidP="002C1136">
      <w:pPr>
        <w:spacing w:line="276" w:lineRule="auto"/>
        <w:outlineLvl w:val="0"/>
        <w:rPr>
          <w:rFonts w:ascii="Palatino Linotype" w:eastAsia="Times New Roman" w:hAnsi="Palatino Linotype"/>
          <w:b/>
          <w:sz w:val="22"/>
          <w:szCs w:val="22"/>
          <w:lang w:eastAsia="en-GB"/>
        </w:rPr>
      </w:pPr>
      <w:r w:rsidRPr="0024165F">
        <w:rPr>
          <w:rFonts w:ascii="Palatino Linotype" w:eastAsia="Times New Roman" w:hAnsi="Palatino Linotype"/>
          <w:b/>
          <w:sz w:val="22"/>
          <w:szCs w:val="22"/>
          <w:u w:val="single"/>
        </w:rPr>
        <w:t xml:space="preserve">US Treasury Securities </w:t>
      </w:r>
      <w:r w:rsidRPr="0024165F">
        <w:rPr>
          <w:rFonts w:ascii="Palatino Linotype" w:eastAsia="Times New Roman" w:hAnsi="Palatino Linotype"/>
          <w:b/>
          <w:sz w:val="22"/>
          <w:szCs w:val="22"/>
          <w:lang w:eastAsia="en-GB"/>
        </w:rPr>
        <w:t>(Table A9)</w:t>
      </w:r>
    </w:p>
    <w:p w:rsidR="002C1136" w:rsidRPr="0024165F" w:rsidRDefault="002C1136" w:rsidP="002C1136">
      <w:pPr>
        <w:spacing w:line="276" w:lineRule="auto"/>
        <w:outlineLvl w:val="0"/>
        <w:rPr>
          <w:rFonts w:ascii="Palatino Linotype" w:hAnsi="Palatino Linotype"/>
          <w:bCs/>
          <w:sz w:val="22"/>
          <w:szCs w:val="22"/>
        </w:rPr>
      </w:pPr>
    </w:p>
    <w:p w:rsidR="002C1136" w:rsidRPr="0024165F" w:rsidRDefault="002C1136" w:rsidP="003F384D">
      <w:pPr>
        <w:numPr>
          <w:ilvl w:val="0"/>
          <w:numId w:val="8"/>
        </w:numPr>
        <w:spacing w:line="276" w:lineRule="auto"/>
        <w:contextualSpacing/>
        <w:jc w:val="both"/>
        <w:rPr>
          <w:rFonts w:ascii="Palatino Linotype" w:hAnsi="Palatino Linotype"/>
          <w:bCs/>
          <w:sz w:val="22"/>
          <w:szCs w:val="22"/>
          <w:lang w:val="en-US"/>
        </w:rPr>
      </w:pPr>
      <w:r w:rsidRPr="0024165F">
        <w:rPr>
          <w:rFonts w:ascii="Palatino Linotype" w:eastAsia="Times New Roman" w:hAnsi="Palatino Linotype"/>
          <w:bCs/>
          <w:sz w:val="22"/>
          <w:szCs w:val="22"/>
          <w:lang w:val="en-US" w:eastAsia="en-GB"/>
        </w:rPr>
        <w:t xml:space="preserve">At the end of </w:t>
      </w:r>
      <w:r>
        <w:rPr>
          <w:rFonts w:ascii="Palatino Linotype" w:eastAsia="Times New Roman" w:hAnsi="Palatino Linotype"/>
          <w:bCs/>
          <w:sz w:val="22"/>
          <w:szCs w:val="22"/>
          <w:lang w:val="en-US" w:eastAsia="en-GB"/>
        </w:rPr>
        <w:t>January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Japan was the biggest foreign holder of US Treasury Securities </w:t>
      </w:r>
      <w:r>
        <w:rPr>
          <w:rFonts w:ascii="Palatino Linotype" w:eastAsia="Times New Roman" w:hAnsi="Palatino Linotype"/>
          <w:bCs/>
          <w:sz w:val="22"/>
          <w:szCs w:val="22"/>
          <w:lang w:val="en-US" w:eastAsia="en-GB"/>
        </w:rPr>
        <w:t>holding</w:t>
      </w:r>
      <w:r w:rsidRPr="0024165F">
        <w:rPr>
          <w:rFonts w:ascii="Palatino Linotype" w:eastAsia="Times New Roman" w:hAnsi="Palatino Linotype"/>
          <w:bCs/>
          <w:sz w:val="22"/>
          <w:szCs w:val="22"/>
          <w:lang w:val="en-US" w:eastAsia="en-GB"/>
        </w:rPr>
        <w:t xml:space="preserve"> 17.9 per cent </w:t>
      </w:r>
      <w:r>
        <w:rPr>
          <w:rFonts w:ascii="Palatino Linotype" w:eastAsia="Times New Roman" w:hAnsi="Palatino Linotype"/>
          <w:bCs/>
          <w:sz w:val="22"/>
          <w:szCs w:val="22"/>
          <w:lang w:val="en-US" w:eastAsia="en-GB"/>
        </w:rPr>
        <w:t xml:space="preserve">of the total US treasury Securities </w:t>
      </w:r>
      <w:r w:rsidRPr="0024165F">
        <w:rPr>
          <w:rFonts w:ascii="Palatino Linotype" w:eastAsia="Times New Roman" w:hAnsi="Palatino Linotype"/>
          <w:bCs/>
          <w:sz w:val="22"/>
          <w:szCs w:val="22"/>
          <w:lang w:val="en-US" w:eastAsia="en-GB"/>
        </w:rPr>
        <w:t>followed by China with 15.</w:t>
      </w:r>
      <w:r>
        <w:rPr>
          <w:rFonts w:ascii="Palatino Linotype" w:eastAsia="Times New Roman" w:hAnsi="Palatino Linotype"/>
          <w:bCs/>
          <w:sz w:val="22"/>
          <w:szCs w:val="22"/>
          <w:lang w:val="en-US" w:eastAsia="en-GB"/>
        </w:rPr>
        <w:t>4</w:t>
      </w:r>
      <w:r w:rsidRPr="0024165F">
        <w:rPr>
          <w:rFonts w:ascii="Palatino Linotype" w:eastAsia="Times New Roman" w:hAnsi="Palatino Linotype"/>
          <w:bCs/>
          <w:sz w:val="22"/>
          <w:szCs w:val="22"/>
          <w:lang w:val="en-US" w:eastAsia="en-GB"/>
        </w:rPr>
        <w:t xml:space="preserve"> per cent. The total foreign holding of US Treasury Securities at the end of </w:t>
      </w:r>
      <w:r>
        <w:rPr>
          <w:rFonts w:ascii="Palatino Linotype" w:eastAsia="Times New Roman" w:hAnsi="Palatino Linotype"/>
          <w:bCs/>
          <w:sz w:val="22"/>
          <w:szCs w:val="22"/>
          <w:lang w:val="en-US" w:eastAsia="en-GB"/>
        </w:rPr>
        <w:t>January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was USD </w:t>
      </w:r>
      <w:r>
        <w:rPr>
          <w:rFonts w:ascii="Palatino Linotype" w:eastAsia="Times New Roman" w:hAnsi="Palatino Linotype"/>
          <w:bCs/>
          <w:sz w:val="22"/>
          <w:szCs w:val="22"/>
          <w:lang w:val="en-US" w:eastAsia="en-GB"/>
        </w:rPr>
        <w:t>7,120</w:t>
      </w:r>
      <w:r w:rsidRPr="0024165F">
        <w:rPr>
          <w:rFonts w:ascii="Palatino Linotype" w:eastAsia="Times New Roman" w:hAnsi="Palatino Linotype"/>
          <w:bCs/>
          <w:sz w:val="22"/>
          <w:szCs w:val="22"/>
          <w:lang w:val="en-US" w:eastAsia="en-GB"/>
        </w:rPr>
        <w:t xml:space="preserve"> billion. The holdings of US Treasury Securities by India reduced to 3.0 from 3.1 per cent at the end of </w:t>
      </w:r>
      <w:r>
        <w:rPr>
          <w:rFonts w:ascii="Palatino Linotype" w:eastAsia="Times New Roman" w:hAnsi="Palatino Linotype"/>
          <w:bCs/>
          <w:sz w:val="22"/>
          <w:szCs w:val="22"/>
          <w:lang w:val="en-US" w:eastAsia="en-GB"/>
        </w:rPr>
        <w:t>January</w:t>
      </w:r>
      <w:r w:rsidRPr="0024165F">
        <w:rPr>
          <w:rFonts w:ascii="Palatino Linotype" w:eastAsia="Times New Roman" w:hAnsi="Palatino Linotype"/>
          <w:bCs/>
          <w:sz w:val="22"/>
          <w:szCs w:val="22"/>
          <w:lang w:val="en-US" w:eastAsia="en-GB"/>
        </w:rPr>
        <w:t xml:space="preserve"> 202</w:t>
      </w:r>
      <w:r>
        <w:rPr>
          <w:rFonts w:ascii="Palatino Linotype" w:eastAsia="Times New Roman" w:hAnsi="Palatino Linotype"/>
          <w:bCs/>
          <w:sz w:val="22"/>
          <w:szCs w:val="22"/>
          <w:lang w:val="en-US" w:eastAsia="en-GB"/>
        </w:rPr>
        <w:t>1</w:t>
      </w:r>
      <w:r w:rsidRPr="0024165F">
        <w:rPr>
          <w:rFonts w:ascii="Palatino Linotype" w:eastAsia="Times New Roman" w:hAnsi="Palatino Linotype"/>
          <w:bCs/>
          <w:sz w:val="22"/>
          <w:szCs w:val="22"/>
          <w:lang w:val="en-US" w:eastAsia="en-GB"/>
        </w:rPr>
        <w:t xml:space="preserve"> against a month earlier.</w:t>
      </w:r>
    </w:p>
    <w:p w:rsidR="002C1136" w:rsidRPr="0024165F" w:rsidRDefault="002C1136" w:rsidP="002C1136">
      <w:pPr>
        <w:rPr>
          <w:rFonts w:ascii="Garamond" w:hAnsi="Garamond"/>
          <w:b/>
          <w:bCs/>
          <w:szCs w:val="22"/>
        </w:rPr>
      </w:pPr>
    </w:p>
    <w:p w:rsidR="002C1136" w:rsidRPr="0024165F" w:rsidRDefault="002C1136" w:rsidP="002C1136">
      <w:pPr>
        <w:rPr>
          <w:rFonts w:ascii="Garamond" w:hAnsi="Garamond"/>
          <w:b/>
          <w:bCs/>
          <w:szCs w:val="22"/>
        </w:rPr>
      </w:pPr>
    </w:p>
    <w:p w:rsidR="002C1136" w:rsidRPr="002A058E" w:rsidRDefault="002C1136" w:rsidP="002C1136">
      <w:pPr>
        <w:rPr>
          <w:rFonts w:ascii="Garamond" w:hAnsi="Garamond"/>
          <w:bCs/>
          <w:szCs w:val="22"/>
        </w:rPr>
      </w:pPr>
      <w:r>
        <w:rPr>
          <w:rFonts w:ascii="Garamond" w:hAnsi="Garamond"/>
          <w:bCs/>
          <w:noProof/>
          <w:sz w:val="18"/>
          <w:szCs w:val="18"/>
          <w:lang w:val="en-IN" w:eastAsia="en-IN" w:bidi="hi-IN"/>
        </w:rPr>
        <w:drawing>
          <wp:anchor distT="0" distB="0" distL="114300" distR="114300" simplePos="0" relativeHeight="251660288" behindDoc="0" locked="0" layoutInCell="1" allowOverlap="1">
            <wp:simplePos x="0" y="0"/>
            <wp:positionH relativeFrom="character">
              <wp:posOffset>0</wp:posOffset>
            </wp:positionH>
            <wp:positionV relativeFrom="line">
              <wp:posOffset>171450</wp:posOffset>
            </wp:positionV>
            <wp:extent cx="6315710" cy="2820670"/>
            <wp:effectExtent l="0" t="0" r="889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15710" cy="2820670"/>
                    </a:xfrm>
                    <a:prstGeom prst="rect">
                      <a:avLst/>
                    </a:prstGeom>
                    <a:noFill/>
                  </pic:spPr>
                </pic:pic>
              </a:graphicData>
            </a:graphic>
            <wp14:sizeRelH relativeFrom="page">
              <wp14:pctWidth>0</wp14:pctWidth>
            </wp14:sizeRelH>
            <wp14:sizeRelV relativeFrom="page">
              <wp14:pctHeight>0</wp14:pctHeight>
            </wp14:sizeRelV>
          </wp:anchor>
        </w:drawing>
      </w:r>
      <w:r w:rsidRPr="002A058E">
        <w:rPr>
          <w:rFonts w:ascii="Garamond" w:hAnsi="Garamond"/>
          <w:b/>
          <w:bCs/>
          <w:szCs w:val="22"/>
        </w:rPr>
        <w:t>Figure 5: Movement of the Major Currencies against USD</w:t>
      </w:r>
    </w:p>
    <w:p w:rsidR="002C1136" w:rsidRPr="002A058E" w:rsidRDefault="002C1136" w:rsidP="002C1136">
      <w:pPr>
        <w:spacing w:line="23" w:lineRule="atLeast"/>
        <w:jc w:val="both"/>
        <w:rPr>
          <w:rFonts w:ascii="Garamond" w:hAnsi="Garamond"/>
          <w:bCs/>
          <w:sz w:val="18"/>
          <w:szCs w:val="18"/>
        </w:rPr>
      </w:pPr>
      <w:r>
        <w:rPr>
          <w:rFonts w:ascii="Garamond" w:hAnsi="Garamond"/>
          <w:bCs/>
          <w:noProof/>
          <w:sz w:val="18"/>
          <w:szCs w:val="18"/>
          <w:lang w:val="en-IN" w:eastAsia="en-IN" w:bidi="hi-IN"/>
        </w:rPr>
        <mc:AlternateContent>
          <mc:Choice Requires="wps">
            <w:drawing>
              <wp:inline distT="0" distB="0" distL="0" distR="0">
                <wp:extent cx="4991100" cy="2828925"/>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91100" cy="282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F651D" id="Rectangle 4" o:spid="_x0000_s1026" style="width:393pt;height:2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" filled="f" stroked="f">
                <o:lock v:ext="edit" aspectratio="t"/>
                <w10:anchorlock/>
              </v:rect>
            </w:pict>
          </mc:Fallback>
        </mc:AlternateContent>
      </w:r>
    </w:p>
    <w:p w:rsidR="002C1136" w:rsidRPr="002A058E" w:rsidRDefault="002C1136" w:rsidP="002C1136">
      <w:pPr>
        <w:spacing w:line="23" w:lineRule="atLeast"/>
        <w:jc w:val="both"/>
        <w:rPr>
          <w:rFonts w:ascii="Garamond" w:hAnsi="Garamond"/>
          <w:bCs/>
          <w:sz w:val="18"/>
          <w:szCs w:val="18"/>
        </w:rPr>
      </w:pPr>
      <w:r w:rsidRPr="002A058E">
        <w:rPr>
          <w:rFonts w:ascii="Garamond" w:hAnsi="Garamond"/>
          <w:bCs/>
          <w:sz w:val="18"/>
          <w:szCs w:val="18"/>
        </w:rPr>
        <w:t xml:space="preserve">Note: All indices have been </w:t>
      </w:r>
      <w:r>
        <w:rPr>
          <w:rFonts w:ascii="Garamond" w:hAnsi="Garamond"/>
          <w:bCs/>
          <w:sz w:val="18"/>
          <w:szCs w:val="18"/>
        </w:rPr>
        <w:t>normalised to 100 on 28 February 2020</w:t>
      </w:r>
      <w:r w:rsidRPr="002A058E">
        <w:rPr>
          <w:rFonts w:ascii="Garamond" w:hAnsi="Garamond"/>
          <w:bCs/>
          <w:sz w:val="18"/>
          <w:szCs w:val="18"/>
        </w:rPr>
        <w:t>.</w:t>
      </w:r>
    </w:p>
    <w:p w:rsidR="002C1136" w:rsidRPr="002A058E" w:rsidRDefault="002C1136" w:rsidP="002C1136">
      <w:pPr>
        <w:spacing w:line="23" w:lineRule="atLeast"/>
        <w:outlineLvl w:val="0"/>
        <w:rPr>
          <w:rFonts w:ascii="Garamond" w:hAnsi="Garamond"/>
          <w:bCs/>
          <w:sz w:val="18"/>
          <w:szCs w:val="18"/>
        </w:rPr>
      </w:pPr>
      <w:r w:rsidRPr="002A058E">
        <w:rPr>
          <w:rFonts w:ascii="Garamond" w:hAnsi="Garamond"/>
          <w:bCs/>
          <w:sz w:val="18"/>
          <w:szCs w:val="18"/>
        </w:rPr>
        <w:t>Source: Refinitiv</w:t>
      </w:r>
    </w:p>
    <w:p w:rsidR="002C1136" w:rsidRPr="002A058E" w:rsidRDefault="002C1136" w:rsidP="002C1136">
      <w:pPr>
        <w:rPr>
          <w:rFonts w:ascii="Garamond" w:hAnsi="Garamond"/>
          <w:b/>
          <w:bCs/>
          <w:szCs w:val="22"/>
        </w:rPr>
      </w:pPr>
    </w:p>
    <w:p w:rsidR="002C1136" w:rsidRPr="002A058E" w:rsidRDefault="002C1136" w:rsidP="002C1136">
      <w:pPr>
        <w:rPr>
          <w:rFonts w:ascii="Garamond" w:hAnsi="Garamond"/>
          <w:b/>
          <w:bCs/>
          <w:szCs w:val="22"/>
        </w:rPr>
      </w:pPr>
    </w:p>
    <w:p w:rsidR="002C1136" w:rsidRPr="002A058E" w:rsidRDefault="002C1136" w:rsidP="002C1136">
      <w:pPr>
        <w:rPr>
          <w:rFonts w:ascii="Garamond" w:hAnsi="Garamond"/>
          <w:b/>
          <w:bCs/>
          <w:szCs w:val="22"/>
        </w:rPr>
      </w:pPr>
    </w:p>
    <w:p w:rsidR="002C1136" w:rsidRPr="002A058E" w:rsidRDefault="002C1136" w:rsidP="002C1136">
      <w:pPr>
        <w:rPr>
          <w:rFonts w:ascii="Garamond" w:hAnsi="Garamond"/>
          <w:b/>
          <w:bCs/>
          <w:szCs w:val="22"/>
        </w:rPr>
      </w:pPr>
    </w:p>
    <w:p w:rsidR="002C1136" w:rsidRPr="002A058E" w:rsidRDefault="002C1136" w:rsidP="002C1136">
      <w:pPr>
        <w:rPr>
          <w:rFonts w:ascii="Garamond" w:hAnsi="Garamond"/>
          <w:b/>
          <w:bCs/>
          <w:szCs w:val="22"/>
        </w:rPr>
      </w:pPr>
      <w:r>
        <w:rPr>
          <w:rFonts w:ascii="Garamond" w:hAnsi="Garamond"/>
          <w:b/>
          <w:bCs/>
          <w:szCs w:val="22"/>
        </w:rPr>
        <w:br w:type="page"/>
      </w:r>
      <w:r w:rsidRPr="002A058E">
        <w:rPr>
          <w:rFonts w:ascii="Garamond" w:hAnsi="Garamond"/>
          <w:b/>
          <w:bCs/>
          <w:szCs w:val="22"/>
        </w:rPr>
        <w:t>Figure 6: Movement of the US Dollar Index and MSCI EM Currency Index</w:t>
      </w:r>
    </w:p>
    <w:p w:rsidR="002C1136" w:rsidRPr="002A058E" w:rsidRDefault="002C1136" w:rsidP="002C1136">
      <w:pPr>
        <w:spacing w:line="23" w:lineRule="atLeast"/>
        <w:outlineLvl w:val="0"/>
        <w:rPr>
          <w:rFonts w:ascii="Garamond" w:hAnsi="Garamond"/>
          <w:bCs/>
          <w:sz w:val="22"/>
          <w:szCs w:val="22"/>
        </w:rPr>
      </w:pPr>
      <w:r>
        <w:rPr>
          <w:rFonts w:ascii="Garamond" w:hAnsi="Garamond"/>
          <w:bCs/>
          <w:noProof/>
          <w:sz w:val="22"/>
          <w:szCs w:val="22"/>
          <w:lang w:val="en-IN" w:eastAsia="en-IN" w:bidi="hi-IN"/>
        </w:rPr>
        <w:drawing>
          <wp:anchor distT="0" distB="0" distL="114300" distR="114300" simplePos="0" relativeHeight="251659264" behindDoc="0" locked="0" layoutInCell="1" allowOverlap="1">
            <wp:simplePos x="0" y="0"/>
            <wp:positionH relativeFrom="character">
              <wp:posOffset>0</wp:posOffset>
            </wp:positionH>
            <wp:positionV relativeFrom="line">
              <wp:posOffset>156845</wp:posOffset>
            </wp:positionV>
            <wp:extent cx="5855970" cy="2323465"/>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55970" cy="2323465"/>
                    </a:xfrm>
                    <a:prstGeom prst="rect">
                      <a:avLst/>
                    </a:prstGeom>
                    <a:noFill/>
                  </pic:spPr>
                </pic:pic>
              </a:graphicData>
            </a:graphic>
            <wp14:sizeRelH relativeFrom="page">
              <wp14:pctWidth>0</wp14:pctWidth>
            </wp14:sizeRelH>
            <wp14:sizeRelV relativeFrom="page">
              <wp14:pctHeight>0</wp14:pctHeight>
            </wp14:sizeRelV>
          </wp:anchor>
        </w:drawing>
      </w:r>
    </w:p>
    <w:p w:rsidR="002C1136" w:rsidRPr="002A058E" w:rsidRDefault="002C1136" w:rsidP="002C1136">
      <w:pPr>
        <w:spacing w:line="23" w:lineRule="atLeast"/>
        <w:outlineLvl w:val="0"/>
        <w:rPr>
          <w:rFonts w:ascii="Garamond" w:hAnsi="Garamond"/>
          <w:bCs/>
          <w:sz w:val="22"/>
          <w:szCs w:val="22"/>
        </w:rPr>
      </w:pPr>
      <w:r>
        <w:rPr>
          <w:rFonts w:ascii="Garamond" w:hAnsi="Garamond"/>
          <w:bCs/>
          <w:noProof/>
          <w:sz w:val="22"/>
          <w:szCs w:val="22"/>
          <w:lang w:val="en-IN" w:eastAsia="en-IN" w:bidi="hi-IN"/>
        </w:rPr>
        <mc:AlternateContent>
          <mc:Choice Requires="wps">
            <w:drawing>
              <wp:inline distT="0" distB="0" distL="0" distR="0">
                <wp:extent cx="4981575" cy="2447925"/>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81575" cy="244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420D56" id="Rectangle 3" o:spid="_x0000_s1026" style="width:392.25pt;height:1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" filled="f" stroked="f">
                <o:lock v:ext="edit" aspectratio="t"/>
                <w10:anchorlock/>
              </v:rect>
            </w:pict>
          </mc:Fallback>
        </mc:AlternateContent>
      </w:r>
    </w:p>
    <w:p w:rsidR="002C1136" w:rsidRPr="002A058E" w:rsidRDefault="002C1136" w:rsidP="002C1136">
      <w:pPr>
        <w:tabs>
          <w:tab w:val="left" w:pos="3760"/>
        </w:tabs>
        <w:spacing w:line="23" w:lineRule="atLeast"/>
        <w:rPr>
          <w:rFonts w:ascii="Garamond" w:hAnsi="Garamond"/>
          <w:bCs/>
          <w:sz w:val="18"/>
          <w:szCs w:val="18"/>
        </w:rPr>
      </w:pPr>
      <w:r w:rsidRPr="002A058E">
        <w:rPr>
          <w:rFonts w:ascii="Garamond" w:hAnsi="Garamond"/>
          <w:bCs/>
          <w:sz w:val="18"/>
          <w:szCs w:val="18"/>
        </w:rPr>
        <w:t>Note:</w:t>
      </w:r>
    </w:p>
    <w:p w:rsidR="002C1136" w:rsidRPr="002A058E" w:rsidRDefault="002C1136" w:rsidP="003F384D">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 xml:space="preserve">All indices have been </w:t>
      </w:r>
      <w:r>
        <w:rPr>
          <w:rFonts w:ascii="Garamond" w:eastAsia="Times New Roman" w:hAnsi="Garamond"/>
          <w:bCs/>
          <w:sz w:val="18"/>
          <w:szCs w:val="18"/>
        </w:rPr>
        <w:t>normalised to 100 on 28 February 2020</w:t>
      </w:r>
      <w:r w:rsidRPr="002A058E">
        <w:rPr>
          <w:rFonts w:ascii="Garamond" w:eastAsia="Times New Roman" w:hAnsi="Garamond"/>
          <w:bCs/>
          <w:sz w:val="18"/>
          <w:szCs w:val="18"/>
        </w:rPr>
        <w:t>.</w:t>
      </w:r>
    </w:p>
    <w:p w:rsidR="002C1136" w:rsidRPr="002A058E" w:rsidRDefault="002C1136" w:rsidP="003F384D">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2C1136" w:rsidRPr="002A058E" w:rsidRDefault="002C1136" w:rsidP="003F384D">
      <w:pPr>
        <w:widowControl w:val="0"/>
        <w:numPr>
          <w:ilvl w:val="0"/>
          <w:numId w:val="7"/>
        </w:numPr>
        <w:autoSpaceDE w:val="0"/>
        <w:autoSpaceDN w:val="0"/>
        <w:adjustRightInd w:val="0"/>
        <w:spacing w:line="23" w:lineRule="atLeast"/>
        <w:ind w:right="1788"/>
        <w:jc w:val="both"/>
        <w:rPr>
          <w:rFonts w:ascii="Garamond" w:eastAsia="Times New Roman" w:hAnsi="Garamond"/>
          <w:bCs/>
          <w:sz w:val="18"/>
          <w:szCs w:val="18"/>
        </w:rPr>
      </w:pPr>
      <w:r w:rsidRPr="002A058E">
        <w:rPr>
          <w:rFonts w:ascii="Garamond" w:eastAsia="Times New Roman" w:hAnsi="Garamond"/>
          <w:bCs/>
          <w:sz w:val="18"/>
          <w:szCs w:val="18"/>
        </w:rPr>
        <w:t>The MSCI Emerging Markets (EM) Currency Index tracks the performance of twenty-five emerging-market currencies relative to the US Dollar.</w:t>
      </w:r>
    </w:p>
    <w:p w:rsidR="002C1136" w:rsidRPr="002A058E" w:rsidRDefault="002C1136" w:rsidP="002C1136">
      <w:pPr>
        <w:spacing w:line="23" w:lineRule="atLeast"/>
        <w:outlineLvl w:val="0"/>
        <w:rPr>
          <w:rFonts w:ascii="Garamond" w:hAnsi="Garamond"/>
          <w:bCs/>
          <w:sz w:val="18"/>
          <w:szCs w:val="18"/>
        </w:rPr>
      </w:pPr>
      <w:r w:rsidRPr="002A058E">
        <w:rPr>
          <w:rFonts w:ascii="Garamond" w:hAnsi="Garamond"/>
          <w:bCs/>
          <w:sz w:val="18"/>
          <w:szCs w:val="18"/>
        </w:rPr>
        <w:t>Source: Refinitiv</w:t>
      </w:r>
    </w:p>
    <w:p w:rsidR="002C1136" w:rsidRPr="002A058E" w:rsidRDefault="002C1136" w:rsidP="002C1136">
      <w:pPr>
        <w:spacing w:after="240" w:line="23" w:lineRule="atLeast"/>
        <w:jc w:val="both"/>
        <w:rPr>
          <w:rFonts w:ascii="Garamond" w:eastAsia="Times New Roman" w:hAnsi="Garamond"/>
          <w:bCs/>
          <w:sz w:val="18"/>
          <w:szCs w:val="18"/>
          <w:lang w:eastAsia="en-GB"/>
        </w:rPr>
      </w:pPr>
    </w:p>
    <w:p w:rsidR="002C1136" w:rsidRPr="002A058E" w:rsidRDefault="002C1136" w:rsidP="002C1136">
      <w:pPr>
        <w:spacing w:after="240" w:line="23" w:lineRule="atLeast"/>
        <w:jc w:val="both"/>
        <w:rPr>
          <w:rFonts w:ascii="Garamond" w:eastAsia="Times New Roman" w:hAnsi="Garamond"/>
          <w:bCs/>
          <w:sz w:val="18"/>
          <w:szCs w:val="18"/>
          <w:lang w:eastAsia="en-GB"/>
        </w:rPr>
      </w:pPr>
    </w:p>
    <w:p w:rsidR="002C1136" w:rsidRPr="002A058E" w:rsidRDefault="002C1136" w:rsidP="002C1136">
      <w:pPr>
        <w:rPr>
          <w:rFonts w:ascii="Garamond" w:hAnsi="Garamond"/>
          <w:b/>
          <w:bCs/>
          <w:szCs w:val="22"/>
        </w:rPr>
      </w:pPr>
    </w:p>
    <w:p w:rsidR="002C1136" w:rsidRPr="00073FE2" w:rsidRDefault="002C1136" w:rsidP="002C1136">
      <w:pPr>
        <w:rPr>
          <w:rFonts w:ascii="Garamond" w:hAnsi="Garamond"/>
          <w:b/>
          <w:bCs/>
          <w:strike/>
          <w:szCs w:val="22"/>
        </w:rPr>
        <w:sectPr w:rsidR="002C1136" w:rsidRPr="00073FE2" w:rsidSect="00332F86">
          <w:headerReference w:type="even" r:id="rId42"/>
          <w:headerReference w:type="default" r:id="rId43"/>
          <w:footerReference w:type="even" r:id="rId44"/>
          <w:footerReference w:type="default" r:id="rId45"/>
          <w:pgSz w:w="11906" w:h="16838" w:code="9"/>
          <w:pgMar w:top="578" w:right="1009" w:bottom="578" w:left="1009" w:header="431" w:footer="431" w:gutter="0"/>
          <w:cols w:space="720"/>
          <w:docGrid w:linePitch="360"/>
        </w:sectPr>
      </w:pPr>
    </w:p>
    <w:p w:rsidR="002C1136" w:rsidRPr="001972CA" w:rsidRDefault="002C1136" w:rsidP="002C1136">
      <w:pPr>
        <w:rPr>
          <w:rFonts w:ascii="Garamond" w:hAnsi="Garamond"/>
          <w:b/>
          <w:bCs/>
          <w:szCs w:val="22"/>
        </w:rPr>
      </w:pPr>
      <w:r w:rsidRPr="001972CA">
        <w:rPr>
          <w:rFonts w:ascii="Garamond" w:hAnsi="Garamond"/>
          <w:b/>
          <w:bCs/>
          <w:szCs w:val="22"/>
        </w:rPr>
        <w:t>Table A1: Performance of Stock Indices</w:t>
      </w:r>
    </w:p>
    <w:tbl>
      <w:tblPr>
        <w:tblW w:w="15406" w:type="dxa"/>
        <w:tblInd w:w="118" w:type="dxa"/>
        <w:tblLook w:val="04A0" w:firstRow="1" w:lastRow="0" w:firstColumn="1" w:lastColumn="0" w:noHBand="0" w:noVBand="1"/>
      </w:tblPr>
      <w:tblGrid>
        <w:gridCol w:w="1353"/>
        <w:gridCol w:w="3449"/>
        <w:gridCol w:w="2457"/>
        <w:gridCol w:w="1330"/>
        <w:gridCol w:w="1330"/>
        <w:gridCol w:w="1212"/>
        <w:gridCol w:w="1331"/>
        <w:gridCol w:w="1937"/>
        <w:gridCol w:w="1007"/>
      </w:tblGrid>
      <w:tr w:rsidR="002C1136" w:rsidRPr="001972CA" w:rsidTr="0019451C">
        <w:trPr>
          <w:trHeight w:val="213"/>
        </w:trPr>
        <w:tc>
          <w:tcPr>
            <w:tcW w:w="1353"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Country</w:t>
            </w:r>
          </w:p>
        </w:tc>
        <w:tc>
          <w:tcPr>
            <w:tcW w:w="3449"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Name of the Index</w:t>
            </w:r>
          </w:p>
        </w:tc>
        <w:tc>
          <w:tcPr>
            <w:tcW w:w="2457" w:type="dxa"/>
            <w:tcBorders>
              <w:top w:val="single" w:sz="8" w:space="0" w:color="auto"/>
              <w:left w:val="nil"/>
              <w:bottom w:val="nil"/>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Closing Value as on</w:t>
            </w:r>
          </w:p>
        </w:tc>
        <w:tc>
          <w:tcPr>
            <w:tcW w:w="5203" w:type="dxa"/>
            <w:gridSpan w:val="4"/>
            <w:tcBorders>
              <w:top w:val="single" w:sz="8" w:space="0" w:color="auto"/>
              <w:left w:val="nil"/>
              <w:bottom w:val="single" w:sz="8" w:space="0" w:color="auto"/>
              <w:right w:val="single" w:sz="8" w:space="0" w:color="000000"/>
            </w:tcBorders>
            <w:shd w:val="clear" w:color="000000" w:fill="B4C6E7"/>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Closing Value before</w:t>
            </w:r>
          </w:p>
        </w:tc>
        <w:tc>
          <w:tcPr>
            <w:tcW w:w="1937"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Monthly Volatility (Annualised)</w:t>
            </w:r>
          </w:p>
        </w:tc>
        <w:tc>
          <w:tcPr>
            <w:tcW w:w="1004" w:type="dxa"/>
            <w:vMerge w:val="restart"/>
            <w:tcBorders>
              <w:top w:val="single" w:sz="8" w:space="0" w:color="auto"/>
              <w:left w:val="single" w:sz="8" w:space="0" w:color="auto"/>
              <w:bottom w:val="single" w:sz="8" w:space="0" w:color="000000"/>
              <w:right w:val="single" w:sz="8" w:space="0" w:color="auto"/>
            </w:tcBorders>
            <w:shd w:val="clear" w:color="000000" w:fill="B4C6E7"/>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P/E Ratio</w:t>
            </w:r>
          </w:p>
        </w:tc>
      </w:tr>
      <w:tr w:rsidR="002C1136" w:rsidRPr="001972CA" w:rsidTr="0019451C">
        <w:trPr>
          <w:trHeight w:val="213"/>
        </w:trPr>
        <w:tc>
          <w:tcPr>
            <w:tcW w:w="1353" w:type="dxa"/>
            <w:vMerge/>
            <w:tcBorders>
              <w:top w:val="single" w:sz="8" w:space="0" w:color="auto"/>
              <w:left w:val="single" w:sz="8" w:space="0" w:color="auto"/>
              <w:bottom w:val="single" w:sz="8" w:space="0" w:color="000000"/>
              <w:right w:val="single" w:sz="8" w:space="0" w:color="auto"/>
            </w:tcBorders>
            <w:vAlign w:val="center"/>
            <w:hideMark/>
          </w:tcPr>
          <w:p w:rsidR="002C1136" w:rsidRPr="001972CA" w:rsidRDefault="002C1136" w:rsidP="0019451C">
            <w:pPr>
              <w:rPr>
                <w:rFonts w:ascii="Garamond" w:eastAsia="Times New Roman" w:hAnsi="Garamond" w:cs="Calibri"/>
                <w:b/>
                <w:bCs/>
                <w:color w:val="000000"/>
                <w:sz w:val="20"/>
                <w:szCs w:val="20"/>
                <w:lang w:val="en-IN" w:eastAsia="en-IN" w:bidi="hi-IN"/>
              </w:rPr>
            </w:pPr>
          </w:p>
        </w:tc>
        <w:tc>
          <w:tcPr>
            <w:tcW w:w="3449" w:type="dxa"/>
            <w:vMerge/>
            <w:tcBorders>
              <w:top w:val="single" w:sz="8" w:space="0" w:color="auto"/>
              <w:left w:val="single" w:sz="8" w:space="0" w:color="auto"/>
              <w:bottom w:val="single" w:sz="8" w:space="0" w:color="000000"/>
              <w:right w:val="single" w:sz="8" w:space="0" w:color="auto"/>
            </w:tcBorders>
            <w:vAlign w:val="center"/>
            <w:hideMark/>
          </w:tcPr>
          <w:p w:rsidR="002C1136" w:rsidRPr="001972CA" w:rsidRDefault="002C1136" w:rsidP="0019451C">
            <w:pPr>
              <w:rPr>
                <w:rFonts w:ascii="Garamond" w:eastAsia="Times New Roman" w:hAnsi="Garamond" w:cs="Calibri"/>
                <w:b/>
                <w:bCs/>
                <w:color w:val="000000"/>
                <w:sz w:val="20"/>
                <w:szCs w:val="20"/>
                <w:lang w:val="en-IN" w:eastAsia="en-IN" w:bidi="hi-IN"/>
              </w:rPr>
            </w:pPr>
          </w:p>
        </w:tc>
        <w:tc>
          <w:tcPr>
            <w:tcW w:w="2457" w:type="dxa"/>
            <w:tcBorders>
              <w:top w:val="nil"/>
              <w:left w:val="nil"/>
              <w:bottom w:val="single" w:sz="8" w:space="0" w:color="auto"/>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Pr>
                <w:rFonts w:ascii="Garamond" w:eastAsia="Times New Roman" w:hAnsi="Garamond" w:cs="Calibri"/>
                <w:b/>
                <w:bCs/>
                <w:color w:val="000000"/>
                <w:sz w:val="20"/>
                <w:szCs w:val="20"/>
                <w:lang w:val="en-IN" w:eastAsia="en-IN" w:bidi="hi-IN"/>
              </w:rPr>
              <w:t>28-Feb</w:t>
            </w:r>
            <w:r w:rsidRPr="001972CA">
              <w:rPr>
                <w:rFonts w:ascii="Garamond" w:eastAsia="Times New Roman" w:hAnsi="Garamond" w:cs="Calibri"/>
                <w:b/>
                <w:bCs/>
                <w:color w:val="000000"/>
                <w:sz w:val="20"/>
                <w:szCs w:val="20"/>
                <w:lang w:val="en-IN" w:eastAsia="en-IN" w:bidi="hi-IN"/>
              </w:rPr>
              <w:t>-21</w:t>
            </w:r>
          </w:p>
        </w:tc>
        <w:tc>
          <w:tcPr>
            <w:tcW w:w="1330" w:type="dxa"/>
            <w:tcBorders>
              <w:top w:val="nil"/>
              <w:left w:val="nil"/>
              <w:bottom w:val="single" w:sz="8" w:space="0" w:color="auto"/>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1-Month</w:t>
            </w:r>
          </w:p>
        </w:tc>
        <w:tc>
          <w:tcPr>
            <w:tcW w:w="1330" w:type="dxa"/>
            <w:tcBorders>
              <w:top w:val="nil"/>
              <w:left w:val="nil"/>
              <w:bottom w:val="single" w:sz="8" w:space="0" w:color="auto"/>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3-Month</w:t>
            </w:r>
          </w:p>
        </w:tc>
        <w:tc>
          <w:tcPr>
            <w:tcW w:w="1212" w:type="dxa"/>
            <w:tcBorders>
              <w:top w:val="nil"/>
              <w:left w:val="nil"/>
              <w:bottom w:val="single" w:sz="8" w:space="0" w:color="auto"/>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6-Month</w:t>
            </w:r>
          </w:p>
        </w:tc>
        <w:tc>
          <w:tcPr>
            <w:tcW w:w="1330" w:type="dxa"/>
            <w:tcBorders>
              <w:top w:val="nil"/>
              <w:left w:val="nil"/>
              <w:bottom w:val="single" w:sz="8" w:space="0" w:color="auto"/>
              <w:right w:val="single" w:sz="8" w:space="0" w:color="auto"/>
            </w:tcBorders>
            <w:shd w:val="clear" w:color="000000" w:fill="B4C6E7"/>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1-Year</w:t>
            </w:r>
          </w:p>
        </w:tc>
        <w:tc>
          <w:tcPr>
            <w:tcW w:w="1937" w:type="dxa"/>
            <w:vMerge/>
            <w:tcBorders>
              <w:top w:val="single" w:sz="8" w:space="0" w:color="auto"/>
              <w:left w:val="single" w:sz="8" w:space="0" w:color="auto"/>
              <w:bottom w:val="single" w:sz="8" w:space="0" w:color="000000"/>
              <w:right w:val="single" w:sz="8" w:space="0" w:color="auto"/>
            </w:tcBorders>
            <w:vAlign w:val="center"/>
            <w:hideMark/>
          </w:tcPr>
          <w:p w:rsidR="002C1136" w:rsidRPr="001972CA" w:rsidRDefault="002C1136" w:rsidP="0019451C">
            <w:pPr>
              <w:rPr>
                <w:rFonts w:ascii="Garamond" w:eastAsia="Times New Roman" w:hAnsi="Garamond" w:cs="Calibri"/>
                <w:b/>
                <w:bCs/>
                <w:color w:val="000000"/>
                <w:sz w:val="20"/>
                <w:szCs w:val="20"/>
                <w:lang w:val="en-IN" w:eastAsia="en-IN" w:bidi="hi-IN"/>
              </w:rPr>
            </w:pPr>
          </w:p>
        </w:tc>
        <w:tc>
          <w:tcPr>
            <w:tcW w:w="1004" w:type="dxa"/>
            <w:vMerge/>
            <w:tcBorders>
              <w:top w:val="single" w:sz="8" w:space="0" w:color="auto"/>
              <w:left w:val="single" w:sz="8" w:space="0" w:color="auto"/>
              <w:bottom w:val="single" w:sz="8" w:space="0" w:color="000000"/>
              <w:right w:val="single" w:sz="8" w:space="0" w:color="auto"/>
            </w:tcBorders>
            <w:vAlign w:val="center"/>
            <w:hideMark/>
          </w:tcPr>
          <w:p w:rsidR="002C1136" w:rsidRPr="001972CA" w:rsidRDefault="002C1136" w:rsidP="0019451C">
            <w:pPr>
              <w:rPr>
                <w:rFonts w:ascii="Garamond" w:eastAsia="Times New Roman" w:hAnsi="Garamond" w:cs="Calibri"/>
                <w:b/>
                <w:bCs/>
                <w:color w:val="000000"/>
                <w:sz w:val="20"/>
                <w:szCs w:val="20"/>
                <w:lang w:val="en-IN" w:eastAsia="en-IN" w:bidi="hi-IN"/>
              </w:rPr>
            </w:pPr>
          </w:p>
        </w:tc>
      </w:tr>
      <w:tr w:rsidR="002C1136" w:rsidRPr="001972CA" w:rsidTr="0019451C">
        <w:trPr>
          <w:trHeight w:val="213"/>
        </w:trPr>
        <w:tc>
          <w:tcPr>
            <w:tcW w:w="15406" w:type="dxa"/>
            <w:gridSpan w:val="9"/>
            <w:tcBorders>
              <w:top w:val="single" w:sz="8" w:space="0" w:color="auto"/>
              <w:left w:val="single" w:sz="8" w:space="0" w:color="auto"/>
              <w:bottom w:val="single" w:sz="8" w:space="0" w:color="auto"/>
              <w:right w:val="single" w:sz="8" w:space="0" w:color="000000"/>
            </w:tcBorders>
            <w:shd w:val="clear" w:color="000000" w:fill="D9E1F2"/>
            <w:noWrap/>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BRICS Nations</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Brazil</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BRAZIL IBOVESPA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110035.2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115067.6</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108893.3</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99369.2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104171.6</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24.5</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17.8</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Russia</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RUSSIAN TRADED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1837.2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1776.2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1632.6</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1617.5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1856.2</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27.5</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12.8</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India</w:t>
            </w:r>
            <w:r>
              <w:rPr>
                <w:rFonts w:ascii="Garamond" w:eastAsia="Times New Roman" w:hAnsi="Garamond" w:cs="Calibri"/>
                <w:color w:val="000000"/>
                <w:sz w:val="20"/>
                <w:szCs w:val="20"/>
                <w:lang w:val="en-IN" w:eastAsia="en-IN" w:bidi="hi-IN"/>
              </w:rPr>
              <w:t>*</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Nifty 50</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14529.2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13634.6</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12969.0</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11387.5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11201.8</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21.9</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39.7</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India</w:t>
            </w:r>
            <w:r>
              <w:rPr>
                <w:rFonts w:ascii="Garamond" w:eastAsia="Times New Roman" w:hAnsi="Garamond" w:cs="Calibri"/>
                <w:color w:val="000000"/>
                <w:sz w:val="20"/>
                <w:szCs w:val="20"/>
                <w:lang w:val="en-IN" w:eastAsia="en-IN" w:bidi="hi-IN"/>
              </w:rPr>
              <w:t>*</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S&amp;P BSE SENSEX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49100.0</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46285.8</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44149.7</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38628.3</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38297.3</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22.1</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33.9</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China</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SHANGHAI SE COMPOSITE</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3509.1</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3483.1</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3391.8</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3395.7</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2880.3</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16.1</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14.6</w:t>
            </w:r>
          </w:p>
        </w:tc>
      </w:tr>
      <w:tr w:rsidR="002C1136" w:rsidRPr="001972CA" w:rsidTr="0019451C">
        <w:trPr>
          <w:trHeight w:val="213"/>
        </w:trPr>
        <w:tc>
          <w:tcPr>
            <w:tcW w:w="1353" w:type="dxa"/>
            <w:tcBorders>
              <w:top w:val="nil"/>
              <w:left w:val="single" w:sz="8" w:space="0" w:color="auto"/>
              <w:bottom w:val="single" w:sz="8" w:space="0" w:color="auto"/>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South Africa</w:t>
            </w:r>
          </w:p>
        </w:tc>
        <w:tc>
          <w:tcPr>
            <w:tcW w:w="3449" w:type="dxa"/>
            <w:tcBorders>
              <w:top w:val="nil"/>
              <w:left w:val="nil"/>
              <w:bottom w:val="single" w:sz="8" w:space="0" w:color="auto"/>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FTSE/JSE AFRICA ALL SHR</w:t>
            </w:r>
          </w:p>
        </w:tc>
        <w:tc>
          <w:tcPr>
            <w:tcW w:w="2457"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66138.1</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62472.1</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57091.9</w:t>
            </w:r>
          </w:p>
        </w:tc>
        <w:tc>
          <w:tcPr>
            <w:tcW w:w="1212"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55476.1</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51038.2</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24.8</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16.9</w:t>
            </w:r>
          </w:p>
        </w:tc>
      </w:tr>
      <w:tr w:rsidR="002C1136" w:rsidRPr="001972CA" w:rsidTr="0019451C">
        <w:trPr>
          <w:trHeight w:val="213"/>
        </w:trPr>
        <w:tc>
          <w:tcPr>
            <w:tcW w:w="15406" w:type="dxa"/>
            <w:gridSpan w:val="9"/>
            <w:tcBorders>
              <w:top w:val="single" w:sz="8" w:space="0" w:color="auto"/>
              <w:left w:val="single" w:sz="8" w:space="0" w:color="auto"/>
              <w:bottom w:val="single" w:sz="8" w:space="0" w:color="auto"/>
              <w:right w:val="single" w:sz="8" w:space="0" w:color="000000"/>
            </w:tcBorders>
            <w:shd w:val="clear" w:color="000000" w:fill="D9E1F2"/>
            <w:hideMark/>
          </w:tcPr>
          <w:p w:rsidR="002C1136" w:rsidRPr="001972CA" w:rsidRDefault="002C1136" w:rsidP="0019451C">
            <w:pPr>
              <w:jc w:val="center"/>
              <w:rPr>
                <w:rFonts w:ascii="Garamond" w:eastAsia="Times New Roman" w:hAnsi="Garamond" w:cs="Calibri"/>
                <w:b/>
                <w:bCs/>
                <w:color w:val="000000"/>
                <w:sz w:val="20"/>
                <w:szCs w:val="20"/>
                <w:lang w:val="en-IN" w:eastAsia="en-IN" w:bidi="hi-IN"/>
              </w:rPr>
            </w:pPr>
            <w:r w:rsidRPr="001972CA">
              <w:rPr>
                <w:rFonts w:ascii="Garamond" w:eastAsia="Times New Roman" w:hAnsi="Garamond" w:cs="Calibri"/>
                <w:b/>
                <w:bCs/>
                <w:color w:val="000000"/>
                <w:sz w:val="20"/>
                <w:szCs w:val="20"/>
                <w:lang w:val="en-IN" w:eastAsia="en-IN" w:bidi="hi-IN"/>
              </w:rPr>
              <w:t>Developed Markets</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USA</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NASDAQ COMPOSITE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13192.3</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13070.7</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12198.7</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11775.5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8567.4</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23.1</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NA</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USA</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DOW JONES INDUS. AVG</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30932.4</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29982.6</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29638.6</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28430.1</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25409.4</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NA</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23.6</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France</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CAC 40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5703.2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5399.2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5518.6</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4947.2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5309.9</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12.9</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22.3</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Germany</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DAX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13786.3</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13432.9</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13291.2</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12945.4</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11890.4</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10.9</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22.2</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UK</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FTSE 100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6483.4</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6407.5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6266.2</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5963.6</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6580.6</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14.8</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18.5</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Hong Kong</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HANG SENG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28980.2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28283.7</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26341.5</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25177.1</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26129.9</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30.4</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15.8</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South Korea</w:t>
            </w:r>
            <w:r>
              <w:rPr>
                <w:rFonts w:ascii="Garamond" w:eastAsia="Times New Roman" w:hAnsi="Garamond" w:cs="Calibri"/>
                <w:color w:val="000000"/>
                <w:sz w:val="20"/>
                <w:szCs w:val="20"/>
                <w:lang w:val="en-IN" w:eastAsia="en-IN" w:bidi="hi-IN"/>
              </w:rPr>
              <w:t>*</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KOSPI </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3013.0</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2976.2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2591.3</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2326.2</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1987.0</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31.2</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NA</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Japan</w:t>
            </w:r>
            <w:r>
              <w:rPr>
                <w:rFonts w:ascii="Garamond" w:eastAsia="Times New Roman" w:hAnsi="Garamond" w:cs="Calibri"/>
                <w:color w:val="000000"/>
                <w:sz w:val="20"/>
                <w:szCs w:val="20"/>
                <w:lang w:val="en-IN" w:eastAsia="en-IN" w:bidi="hi-IN"/>
              </w:rPr>
              <w:t>*</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NIKKEI 225</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28966.0</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27663.4</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26433.6</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23139.8</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21143.0</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NA</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24.5</w:t>
            </w:r>
          </w:p>
        </w:tc>
      </w:tr>
      <w:tr w:rsidR="002C1136" w:rsidRPr="001972CA" w:rsidTr="0019451C">
        <w:trPr>
          <w:trHeight w:val="203"/>
        </w:trPr>
        <w:tc>
          <w:tcPr>
            <w:tcW w:w="1353" w:type="dxa"/>
            <w:tcBorders>
              <w:top w:val="nil"/>
              <w:left w:val="single" w:sz="8" w:space="0" w:color="auto"/>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Singapore</w:t>
            </w:r>
          </w:p>
        </w:tc>
        <w:tc>
          <w:tcPr>
            <w:tcW w:w="3449" w:type="dxa"/>
            <w:tcBorders>
              <w:top w:val="nil"/>
              <w:left w:val="nil"/>
              <w:bottom w:val="nil"/>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STRAITS TIMES  STI</w:t>
            </w:r>
          </w:p>
        </w:tc>
        <w:tc>
          <w:tcPr>
            <w:tcW w:w="245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2949.0</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2902.5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2806.0</w:t>
            </w:r>
          </w:p>
        </w:tc>
        <w:tc>
          <w:tcPr>
            <w:tcW w:w="1212"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2532.5</w:t>
            </w:r>
          </w:p>
        </w:tc>
        <w:tc>
          <w:tcPr>
            <w:tcW w:w="1330"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3011.1</w:t>
            </w:r>
          </w:p>
        </w:tc>
        <w:tc>
          <w:tcPr>
            <w:tcW w:w="1937"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11.8</w:t>
            </w:r>
          </w:p>
        </w:tc>
        <w:tc>
          <w:tcPr>
            <w:tcW w:w="1004" w:type="dxa"/>
            <w:tcBorders>
              <w:top w:val="nil"/>
              <w:left w:val="nil"/>
              <w:bottom w:val="nil"/>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7.3</w:t>
            </w:r>
          </w:p>
        </w:tc>
      </w:tr>
      <w:tr w:rsidR="002C1136" w:rsidRPr="001972CA" w:rsidTr="0019451C">
        <w:trPr>
          <w:trHeight w:val="213"/>
        </w:trPr>
        <w:tc>
          <w:tcPr>
            <w:tcW w:w="1353" w:type="dxa"/>
            <w:tcBorders>
              <w:top w:val="nil"/>
              <w:left w:val="single" w:sz="8" w:space="0" w:color="auto"/>
              <w:bottom w:val="single" w:sz="8" w:space="0" w:color="auto"/>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20"/>
                <w:szCs w:val="20"/>
                <w:lang w:val="en-IN" w:eastAsia="en-IN" w:bidi="hi-IN"/>
              </w:rPr>
            </w:pPr>
            <w:r w:rsidRPr="001972CA">
              <w:rPr>
                <w:rFonts w:ascii="Garamond" w:eastAsia="Times New Roman" w:hAnsi="Garamond" w:cs="Calibri"/>
                <w:color w:val="000000"/>
                <w:sz w:val="20"/>
                <w:szCs w:val="20"/>
                <w:lang w:val="en-IN" w:eastAsia="en-IN" w:bidi="hi-IN"/>
              </w:rPr>
              <w:t>Taiwan</w:t>
            </w:r>
            <w:r>
              <w:rPr>
                <w:rFonts w:ascii="Garamond" w:eastAsia="Times New Roman" w:hAnsi="Garamond" w:cs="Calibri"/>
                <w:color w:val="000000"/>
                <w:sz w:val="20"/>
                <w:szCs w:val="20"/>
                <w:lang w:val="en-IN" w:eastAsia="en-IN" w:bidi="hi-IN"/>
              </w:rPr>
              <w:t>*</w:t>
            </w:r>
          </w:p>
        </w:tc>
        <w:tc>
          <w:tcPr>
            <w:tcW w:w="3449" w:type="dxa"/>
            <w:tcBorders>
              <w:top w:val="nil"/>
              <w:left w:val="nil"/>
              <w:bottom w:val="single" w:sz="8" w:space="0" w:color="auto"/>
              <w:right w:val="single" w:sz="8" w:space="0" w:color="auto"/>
            </w:tcBorders>
            <w:shd w:val="clear" w:color="000000" w:fill="D9E1F2"/>
            <w:noWrap/>
            <w:hideMark/>
          </w:tcPr>
          <w:p w:rsidR="002C1136" w:rsidRPr="001972CA" w:rsidRDefault="002C1136" w:rsidP="0019451C">
            <w:pPr>
              <w:rPr>
                <w:rFonts w:ascii="Garamond" w:eastAsia="Times New Roman" w:hAnsi="Garamond" w:cs="Calibri"/>
                <w:color w:val="000000"/>
                <w:sz w:val="18"/>
                <w:szCs w:val="18"/>
                <w:lang w:val="en-IN" w:eastAsia="en-IN" w:bidi="hi-IN"/>
              </w:rPr>
            </w:pPr>
            <w:r w:rsidRPr="001972CA">
              <w:rPr>
                <w:rFonts w:ascii="Garamond" w:eastAsia="Times New Roman" w:hAnsi="Garamond" w:cs="Calibri"/>
                <w:color w:val="000000"/>
                <w:sz w:val="18"/>
                <w:szCs w:val="18"/>
                <w:lang w:val="en-IN" w:eastAsia="en-IN" w:bidi="hi-IN"/>
              </w:rPr>
              <w:t xml:space="preserve">TAIWAN TAIEX </w:t>
            </w:r>
          </w:p>
        </w:tc>
        <w:tc>
          <w:tcPr>
            <w:tcW w:w="2457"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15953.8</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15138.3</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13722.9</w:t>
            </w:r>
          </w:p>
        </w:tc>
        <w:tc>
          <w:tcPr>
            <w:tcW w:w="1212"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12591.5</w:t>
            </w:r>
          </w:p>
        </w:tc>
        <w:tc>
          <w:tcPr>
            <w:tcW w:w="1330"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11292.2</w:t>
            </w:r>
          </w:p>
        </w:tc>
        <w:tc>
          <w:tcPr>
            <w:tcW w:w="1937"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24.8</w:t>
            </w:r>
          </w:p>
        </w:tc>
        <w:tc>
          <w:tcPr>
            <w:tcW w:w="1004" w:type="dxa"/>
            <w:tcBorders>
              <w:top w:val="nil"/>
              <w:left w:val="nil"/>
              <w:bottom w:val="single" w:sz="8" w:space="0" w:color="auto"/>
              <w:right w:val="single" w:sz="8" w:space="0" w:color="auto"/>
            </w:tcBorders>
            <w:shd w:val="clear" w:color="auto" w:fill="auto"/>
            <w:noWrap/>
            <w:hideMark/>
          </w:tcPr>
          <w:p w:rsidR="002C1136" w:rsidRPr="001972CA" w:rsidRDefault="002C1136" w:rsidP="0019451C">
            <w:pPr>
              <w:ind w:firstLineChars="100" w:firstLine="200"/>
              <w:jc w:val="right"/>
              <w:rPr>
                <w:rFonts w:ascii="Garamond" w:eastAsia="Times New Roman" w:hAnsi="Garamond" w:cs="Calibri"/>
                <w:sz w:val="20"/>
                <w:szCs w:val="20"/>
                <w:lang w:val="en-IN" w:eastAsia="en-IN" w:bidi="hi-IN"/>
              </w:rPr>
            </w:pPr>
            <w:r w:rsidRPr="001972CA">
              <w:rPr>
                <w:rFonts w:ascii="Garamond" w:eastAsia="Times New Roman" w:hAnsi="Garamond" w:cs="Calibri"/>
                <w:sz w:val="20"/>
                <w:szCs w:val="20"/>
                <w:lang w:val="en-IN" w:eastAsia="en-IN" w:bidi="hi-IN"/>
              </w:rPr>
              <w:t>21.4</w:t>
            </w:r>
          </w:p>
        </w:tc>
      </w:tr>
    </w:tbl>
    <w:p w:rsidR="002C1136" w:rsidRPr="001972CA" w:rsidRDefault="002C1136" w:rsidP="002C1136">
      <w:pPr>
        <w:spacing w:line="23" w:lineRule="atLeast"/>
        <w:jc w:val="both"/>
        <w:rPr>
          <w:rFonts w:ascii="Garamond" w:hAnsi="Garamond"/>
          <w:bCs/>
          <w:sz w:val="18"/>
          <w:szCs w:val="18"/>
        </w:rPr>
      </w:pPr>
      <w:r w:rsidRPr="001972CA">
        <w:rPr>
          <w:rFonts w:ascii="Garamond" w:hAnsi="Garamond"/>
          <w:bCs/>
          <w:sz w:val="18"/>
          <w:szCs w:val="18"/>
        </w:rPr>
        <w:t xml:space="preserve"> Note: </w:t>
      </w:r>
      <w:r>
        <w:rPr>
          <w:rFonts w:ascii="Garamond" w:hAnsi="Garamond"/>
          <w:bCs/>
          <w:sz w:val="18"/>
          <w:szCs w:val="18"/>
        </w:rPr>
        <w:t xml:space="preserve">* </w:t>
      </w:r>
      <w:r w:rsidRPr="001972CA">
        <w:rPr>
          <w:rFonts w:ascii="Garamond" w:hAnsi="Garamond"/>
          <w:bCs/>
          <w:sz w:val="18"/>
          <w:szCs w:val="18"/>
        </w:rPr>
        <w:t xml:space="preserve">P/E Ratios as on the last trading day of month. Trailing PE ratio has been used from Refinitiv for all Indices apart from Sensex, Nifty 50, Kospi, Nikkei and Taiwan Taiex. Forward PE from Refinitiv was used for Kospi, Nikkei and Taiwan Taiex. Data for Sensex and Nifty was taken from respective exchange website. Data is as on </w:t>
      </w:r>
      <w:r>
        <w:rPr>
          <w:rFonts w:ascii="Garamond" w:hAnsi="Garamond"/>
          <w:bCs/>
          <w:sz w:val="18"/>
          <w:szCs w:val="18"/>
          <w:lang w:val="en-US"/>
        </w:rPr>
        <w:t xml:space="preserve">12 March </w:t>
      </w:r>
      <w:r w:rsidRPr="001972CA">
        <w:rPr>
          <w:rFonts w:ascii="Garamond" w:hAnsi="Garamond"/>
          <w:bCs/>
          <w:sz w:val="18"/>
          <w:szCs w:val="18"/>
          <w:lang w:val="en-US"/>
        </w:rPr>
        <w:t>2021</w:t>
      </w:r>
    </w:p>
    <w:p w:rsidR="002C1136" w:rsidRDefault="002C1136" w:rsidP="002C1136">
      <w:pPr>
        <w:spacing w:line="23" w:lineRule="atLeast"/>
        <w:jc w:val="both"/>
        <w:rPr>
          <w:rFonts w:ascii="Garamond" w:hAnsi="Garamond"/>
          <w:bCs/>
          <w:sz w:val="18"/>
          <w:szCs w:val="18"/>
        </w:rPr>
      </w:pPr>
      <w:r w:rsidRPr="001972CA">
        <w:rPr>
          <w:rFonts w:ascii="Garamond" w:hAnsi="Garamond"/>
          <w:bCs/>
          <w:sz w:val="18"/>
          <w:szCs w:val="18"/>
        </w:rPr>
        <w:t xml:space="preserve">Source: Refinitiv, BSE and National Stock Exchange </w:t>
      </w:r>
    </w:p>
    <w:p w:rsidR="002C1136" w:rsidRPr="00073FE2" w:rsidRDefault="002C1136" w:rsidP="002C1136">
      <w:pPr>
        <w:spacing w:line="23" w:lineRule="atLeast"/>
        <w:rPr>
          <w:rFonts w:ascii="Garamond" w:hAnsi="Garamond"/>
          <w:b/>
          <w:bCs/>
          <w:strike/>
          <w:szCs w:val="22"/>
        </w:rPr>
        <w:sectPr w:rsidR="002C1136" w:rsidRPr="00073FE2" w:rsidSect="0019451C">
          <w:pgSz w:w="16838" w:h="11906" w:orient="landscape" w:code="9"/>
          <w:pgMar w:top="1009" w:right="578" w:bottom="1009" w:left="578" w:header="431" w:footer="431" w:gutter="0"/>
          <w:cols w:space="720"/>
          <w:docGrid w:linePitch="360"/>
        </w:sectPr>
      </w:pPr>
    </w:p>
    <w:p w:rsidR="002C1136" w:rsidRPr="00E25198" w:rsidRDefault="002C1136" w:rsidP="002C1136">
      <w:pPr>
        <w:spacing w:line="23" w:lineRule="atLeast"/>
        <w:jc w:val="both"/>
        <w:rPr>
          <w:rFonts w:ascii="Garamond" w:hAnsi="Garamond"/>
          <w:b/>
          <w:bCs/>
          <w:szCs w:val="22"/>
        </w:rPr>
      </w:pPr>
    </w:p>
    <w:p w:rsidR="002C1136" w:rsidRPr="00E25198" w:rsidRDefault="002C1136" w:rsidP="002C1136">
      <w:pPr>
        <w:spacing w:line="23" w:lineRule="atLeast"/>
        <w:jc w:val="both"/>
        <w:rPr>
          <w:rFonts w:ascii="Garamond" w:hAnsi="Garamond"/>
          <w:b/>
          <w:bCs/>
          <w:szCs w:val="22"/>
        </w:rPr>
      </w:pPr>
      <w:r w:rsidRPr="00E25198">
        <w:rPr>
          <w:rFonts w:ascii="Garamond" w:hAnsi="Garamond"/>
          <w:b/>
          <w:bCs/>
          <w:szCs w:val="22"/>
        </w:rPr>
        <w:t>Table A2: Fund Mobilisation by Issuance of Equity and Bond in Major Exchanges (USD million)</w:t>
      </w:r>
    </w:p>
    <w:tbl>
      <w:tblPr>
        <w:tblW w:w="10084" w:type="dxa"/>
        <w:tblInd w:w="118" w:type="dxa"/>
        <w:tblLook w:val="04A0" w:firstRow="1" w:lastRow="0" w:firstColumn="1" w:lastColumn="0" w:noHBand="0" w:noVBand="1"/>
      </w:tblPr>
      <w:tblGrid>
        <w:gridCol w:w="3534"/>
        <w:gridCol w:w="1091"/>
        <w:gridCol w:w="1091"/>
        <w:gridCol w:w="1093"/>
        <w:gridCol w:w="1091"/>
        <w:gridCol w:w="1091"/>
        <w:gridCol w:w="1093"/>
      </w:tblGrid>
      <w:tr w:rsidR="002C1136" w:rsidRPr="00E25198" w:rsidTr="0019451C">
        <w:trPr>
          <w:trHeight w:val="269"/>
        </w:trPr>
        <w:tc>
          <w:tcPr>
            <w:tcW w:w="3534" w:type="dxa"/>
            <w:tcBorders>
              <w:top w:val="single" w:sz="8" w:space="0" w:color="auto"/>
              <w:left w:val="single" w:sz="8" w:space="0" w:color="auto"/>
              <w:bottom w:val="nil"/>
              <w:right w:val="single" w:sz="8"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Month</w:t>
            </w:r>
          </w:p>
        </w:tc>
        <w:tc>
          <w:tcPr>
            <w:tcW w:w="3275" w:type="dxa"/>
            <w:gridSpan w:val="3"/>
            <w:tcBorders>
              <w:top w:val="single" w:sz="8" w:space="0" w:color="auto"/>
              <w:left w:val="nil"/>
              <w:bottom w:val="nil"/>
              <w:right w:val="single" w:sz="8" w:space="0" w:color="000000"/>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Dec-20</w:t>
            </w:r>
          </w:p>
        </w:tc>
        <w:tc>
          <w:tcPr>
            <w:tcW w:w="3275" w:type="dxa"/>
            <w:gridSpan w:val="3"/>
            <w:tcBorders>
              <w:top w:val="single" w:sz="8" w:space="0" w:color="auto"/>
              <w:left w:val="nil"/>
              <w:bottom w:val="nil"/>
              <w:right w:val="single" w:sz="8" w:space="0" w:color="000000"/>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Jan-21</w:t>
            </w:r>
          </w:p>
        </w:tc>
      </w:tr>
      <w:tr w:rsidR="002C1136" w:rsidRPr="00E25198" w:rsidTr="0019451C">
        <w:trPr>
          <w:trHeight w:val="256"/>
        </w:trPr>
        <w:tc>
          <w:tcPr>
            <w:tcW w:w="3534" w:type="dxa"/>
            <w:tcBorders>
              <w:top w:val="single" w:sz="4" w:space="0" w:color="auto"/>
              <w:left w:val="single" w:sz="4" w:space="0" w:color="auto"/>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Exchange Name</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Bond</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Equity</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Total</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Bond</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Equity</w:t>
            </w:r>
          </w:p>
        </w:tc>
        <w:tc>
          <w:tcPr>
            <w:tcW w:w="1091" w:type="dxa"/>
            <w:tcBorders>
              <w:top w:val="single" w:sz="4" w:space="0" w:color="auto"/>
              <w:left w:val="nil"/>
              <w:bottom w:val="single" w:sz="4" w:space="0" w:color="auto"/>
              <w:right w:val="single" w:sz="4" w:space="0" w:color="auto"/>
            </w:tcBorders>
            <w:shd w:val="clear" w:color="000000" w:fill="2F5496"/>
            <w:vAlign w:val="center"/>
            <w:hideMark/>
          </w:tcPr>
          <w:p w:rsidR="002C1136" w:rsidRPr="00E25198" w:rsidRDefault="002C1136" w:rsidP="0019451C">
            <w:pPr>
              <w:jc w:val="center"/>
              <w:rPr>
                <w:rFonts w:ascii="Garamond" w:eastAsia="Times New Roman" w:hAnsi="Garamond" w:cs="Calibri"/>
                <w:b/>
                <w:bCs/>
                <w:color w:val="FFFFFF"/>
                <w:sz w:val="20"/>
                <w:szCs w:val="20"/>
                <w:lang w:val="en-IN" w:eastAsia="en-IN" w:bidi="hi-IN"/>
              </w:rPr>
            </w:pPr>
            <w:r w:rsidRPr="00E25198">
              <w:rPr>
                <w:rFonts w:ascii="Garamond" w:eastAsia="Times New Roman" w:hAnsi="Garamond" w:cs="Calibri"/>
                <w:b/>
                <w:bCs/>
                <w:color w:val="FFFFFF"/>
                <w:sz w:val="20"/>
                <w:szCs w:val="20"/>
                <w:lang w:val="en-IN" w:eastAsia="en-IN" w:bidi="hi-IN"/>
              </w:rPr>
              <w:t>Total</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B3 - Brasil Bolsa Balcão</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Nasdaq - US</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NYSE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7,196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7,196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ASX Australian Securities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10,820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10,820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595</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595</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Hong Kong Exchanges and Clearing</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8,620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17,920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26,539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22,437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8,837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31,274</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Japan Exchange Group</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16,969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7,412</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24,381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5,397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11,557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16,954</w:t>
            </w:r>
          </w:p>
        </w:tc>
      </w:tr>
      <w:tr w:rsidR="002C1136" w:rsidRPr="00E25198" w:rsidTr="0019451C">
        <w:trPr>
          <w:trHeight w:val="256"/>
        </w:trPr>
        <w:tc>
          <w:tcPr>
            <w:tcW w:w="3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b/>
                <w:bCs/>
                <w:sz w:val="20"/>
                <w:szCs w:val="20"/>
                <w:lang w:val="en-IN" w:eastAsia="en-IN" w:bidi="hi-IN"/>
              </w:rPr>
            </w:pPr>
            <w:r w:rsidRPr="00E25198">
              <w:rPr>
                <w:rFonts w:ascii="Garamond" w:eastAsia="Times New Roman" w:hAnsi="Garamond" w:cs="Calibri"/>
                <w:b/>
                <w:bCs/>
                <w:sz w:val="20"/>
                <w:szCs w:val="20"/>
                <w:lang w:val="en-IN" w:eastAsia="en-IN" w:bidi="hi-IN"/>
              </w:rPr>
              <w:t>Korea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38,489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38,489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44,334</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44,334</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National Stock Exchange of India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50,546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1,472</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52,018</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40,179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40,179</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Shanghai Stock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13,513</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13,513</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10,279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10,279</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Shenzhen Stock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15,272</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9,588</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24,861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12,240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9,085</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21,324</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Singapore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19,035</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498</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19,532</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28,966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294</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29,261</w:t>
            </w:r>
          </w:p>
        </w:tc>
      </w:tr>
      <w:tr w:rsidR="002C1136" w:rsidRPr="00E25198" w:rsidTr="0019451C">
        <w:trPr>
          <w:trHeight w:val="256"/>
        </w:trPr>
        <w:tc>
          <w:tcPr>
            <w:tcW w:w="3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b/>
                <w:bCs/>
                <w:sz w:val="20"/>
                <w:szCs w:val="20"/>
                <w:lang w:val="en-IN" w:eastAsia="en-IN" w:bidi="hi-IN"/>
              </w:rPr>
            </w:pPr>
            <w:r w:rsidRPr="00E25198">
              <w:rPr>
                <w:rFonts w:ascii="Garamond" w:eastAsia="Times New Roman" w:hAnsi="Garamond" w:cs="Calibri"/>
                <w:b/>
                <w:bCs/>
                <w:sz w:val="20"/>
                <w:szCs w:val="20"/>
                <w:lang w:val="en-IN" w:eastAsia="en-IN" w:bidi="hi-IN"/>
              </w:rPr>
              <w:t>BME Spanish Exchanges</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32,278</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3,001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35,279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65,826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1,275</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67,101</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Deutsche Boerse AG</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10,796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10,796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39,863</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39,863</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Euronext</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11,801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11,801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5,956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5,956</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Johannesburg Stock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3,796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117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3,913</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2,408</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2,457</w:t>
            </w:r>
          </w:p>
        </w:tc>
      </w:tr>
      <w:tr w:rsidR="002C1136" w:rsidRPr="00E25198" w:rsidTr="0019451C">
        <w:trPr>
          <w:trHeight w:val="256"/>
        </w:trPr>
        <w:tc>
          <w:tcPr>
            <w:tcW w:w="3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b/>
                <w:bCs/>
                <w:sz w:val="20"/>
                <w:szCs w:val="20"/>
                <w:lang w:val="en-IN" w:eastAsia="en-IN" w:bidi="hi-IN"/>
              </w:rPr>
            </w:pPr>
            <w:r w:rsidRPr="00E25198">
              <w:rPr>
                <w:rFonts w:ascii="Garamond" w:eastAsia="Times New Roman" w:hAnsi="Garamond" w:cs="Calibri"/>
                <w:b/>
                <w:bCs/>
                <w:sz w:val="20"/>
                <w:szCs w:val="20"/>
                <w:lang w:val="en-IN" w:eastAsia="en-IN" w:bidi="hi-IN"/>
              </w:rPr>
              <w:t>LSE Group</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46,987</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3,535</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50,522</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57,761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1,034</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58,795</w:t>
            </w:r>
          </w:p>
        </w:tc>
      </w:tr>
      <w:tr w:rsidR="002C1136" w:rsidRPr="00E25198" w:rsidTr="0019451C">
        <w:trPr>
          <w:trHeight w:val="269"/>
        </w:trPr>
        <w:tc>
          <w:tcPr>
            <w:tcW w:w="3534" w:type="dxa"/>
            <w:tcBorders>
              <w:top w:val="nil"/>
              <w:left w:val="single" w:sz="4" w:space="0" w:color="auto"/>
              <w:bottom w:val="single" w:sz="4" w:space="0" w:color="auto"/>
              <w:right w:val="single" w:sz="4" w:space="0" w:color="auto"/>
            </w:tcBorders>
            <w:shd w:val="clear" w:color="auto" w:fill="auto"/>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Moscow Exchange</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22,616</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383</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22,999</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10,551</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1091" w:type="dxa"/>
            <w:tcBorders>
              <w:top w:val="nil"/>
              <w:left w:val="nil"/>
              <w:bottom w:val="single" w:sz="4" w:space="0" w:color="auto"/>
              <w:right w:val="single" w:sz="4"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10,551</w:t>
            </w:r>
          </w:p>
        </w:tc>
      </w:tr>
      <w:tr w:rsidR="002C1136" w:rsidRPr="00E25198" w:rsidTr="0019451C">
        <w:trPr>
          <w:trHeight w:val="256"/>
        </w:trPr>
        <w:tc>
          <w:tcPr>
            <w:tcW w:w="3534" w:type="dxa"/>
            <w:tcBorders>
              <w:top w:val="nil"/>
              <w:left w:val="single" w:sz="4" w:space="0" w:color="auto"/>
              <w:bottom w:val="single" w:sz="4" w:space="0" w:color="auto"/>
              <w:right w:val="single" w:sz="4" w:space="0" w:color="auto"/>
            </w:tcBorders>
            <w:shd w:val="clear" w:color="000000" w:fill="BDD6EE"/>
            <w:vAlign w:val="center"/>
            <w:hideMark/>
          </w:tcPr>
          <w:p w:rsidR="002C1136" w:rsidRPr="00E25198" w:rsidRDefault="002C1136" w:rsidP="0019451C">
            <w:pP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Grand Total</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265,405</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87,254</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352,659</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329,962</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48,961</w:t>
            </w:r>
          </w:p>
        </w:tc>
        <w:tc>
          <w:tcPr>
            <w:tcW w:w="1091" w:type="dxa"/>
            <w:tcBorders>
              <w:top w:val="nil"/>
              <w:left w:val="nil"/>
              <w:bottom w:val="single" w:sz="4" w:space="0" w:color="auto"/>
              <w:right w:val="single" w:sz="4" w:space="0" w:color="auto"/>
            </w:tcBorders>
            <w:shd w:val="clear" w:color="000000" w:fill="BDD6EE"/>
            <w:vAlign w:val="center"/>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378,923</w:t>
            </w:r>
          </w:p>
        </w:tc>
      </w:tr>
    </w:tbl>
    <w:p w:rsidR="002C1136" w:rsidRPr="00E25198" w:rsidRDefault="002C1136" w:rsidP="002C1136">
      <w:pPr>
        <w:jc w:val="both"/>
        <w:rPr>
          <w:rFonts w:ascii="Garamond" w:hAnsi="Garamond"/>
          <w:bCs/>
          <w:sz w:val="18"/>
          <w:szCs w:val="18"/>
        </w:rPr>
      </w:pPr>
      <w:r w:rsidRPr="00E25198">
        <w:rPr>
          <w:rFonts w:ascii="Garamond" w:hAnsi="Garamond"/>
          <w:bCs/>
          <w:sz w:val="18"/>
          <w:szCs w:val="18"/>
        </w:rPr>
        <w:t>Note: For Funds mobilised through issuance of bonds, data may differ due to different reporting rules &amp; calculation methods. Fund mobilisation data for equities are (i) excluding investment funds and (ii) including Alternative and SME Markets except the following exceptions:</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Australian Securities Exchange: including investment funds</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 xml:space="preserve">BME: Including investment companies listed (open-end investment companies). </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Euronext: includes Belgium, England, France, Netherlands and Portugal</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Korea Exchange: including Kosdaq market data</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LSE Group: includes London Stock Exchange and BorsaItaliana</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Nasdaq Nordic Exchanges include Copenhagen, Helsinki, Iceland, Stockholm, Tallinn, Riga and Vilnius Stock Exchanges</w:t>
      </w:r>
    </w:p>
    <w:p w:rsidR="002C1136" w:rsidRPr="00E25198" w:rsidRDefault="002C1136" w:rsidP="003F384D">
      <w:pPr>
        <w:widowControl w:val="0"/>
        <w:numPr>
          <w:ilvl w:val="0"/>
          <w:numId w:val="5"/>
        </w:numPr>
        <w:autoSpaceDE w:val="0"/>
        <w:autoSpaceDN w:val="0"/>
        <w:adjustRightInd w:val="0"/>
        <w:rPr>
          <w:rFonts w:ascii="Garamond" w:eastAsia="Times New Roman" w:hAnsi="Garamond"/>
          <w:bCs/>
          <w:sz w:val="18"/>
          <w:szCs w:val="18"/>
        </w:rPr>
      </w:pPr>
      <w:r w:rsidRPr="00E25198">
        <w:rPr>
          <w:rFonts w:ascii="Garamond" w:eastAsia="Times New Roman" w:hAnsi="Garamond"/>
          <w:bCs/>
          <w:sz w:val="18"/>
          <w:szCs w:val="18"/>
        </w:rPr>
        <w:t>NSE India: including “Emerge” market data</w:t>
      </w:r>
    </w:p>
    <w:p w:rsidR="002C1136" w:rsidRPr="00E25198" w:rsidRDefault="002C1136" w:rsidP="002C1136">
      <w:pPr>
        <w:outlineLvl w:val="0"/>
        <w:rPr>
          <w:rFonts w:ascii="Garamond" w:hAnsi="Garamond"/>
          <w:bCs/>
          <w:sz w:val="18"/>
          <w:szCs w:val="18"/>
        </w:rPr>
      </w:pPr>
      <w:r w:rsidRPr="00E25198">
        <w:rPr>
          <w:rFonts w:ascii="Garamond" w:hAnsi="Garamond"/>
          <w:bCs/>
          <w:sz w:val="18"/>
          <w:szCs w:val="18"/>
        </w:rPr>
        <w:t>NA = Not Available</w:t>
      </w:r>
    </w:p>
    <w:p w:rsidR="002C1136" w:rsidRPr="00E25198" w:rsidRDefault="002C1136" w:rsidP="002C1136">
      <w:pPr>
        <w:spacing w:line="23" w:lineRule="atLeast"/>
        <w:rPr>
          <w:rFonts w:ascii="Garamond" w:hAnsi="Garamond"/>
          <w:bCs/>
          <w:sz w:val="18"/>
          <w:szCs w:val="18"/>
        </w:rPr>
      </w:pPr>
      <w:r w:rsidRPr="00E25198">
        <w:rPr>
          <w:rFonts w:ascii="Garamond" w:hAnsi="Garamond"/>
          <w:bCs/>
          <w:sz w:val="18"/>
          <w:szCs w:val="18"/>
        </w:rPr>
        <w:t>Source: World Federation of Exchanges</w:t>
      </w:r>
    </w:p>
    <w:p w:rsidR="002C1136" w:rsidRPr="00E25198" w:rsidRDefault="002C1136" w:rsidP="002C1136">
      <w:pPr>
        <w:rPr>
          <w:rFonts w:ascii="Garamond" w:hAnsi="Garamond"/>
          <w:bCs/>
          <w:sz w:val="22"/>
          <w:szCs w:val="22"/>
        </w:rPr>
      </w:pPr>
    </w:p>
    <w:p w:rsidR="002C1136" w:rsidRPr="00E25198" w:rsidRDefault="002C1136" w:rsidP="002C1136">
      <w:pPr>
        <w:spacing w:line="23" w:lineRule="atLeast"/>
        <w:jc w:val="both"/>
        <w:outlineLvl w:val="0"/>
        <w:rPr>
          <w:rFonts w:ascii="Garamond" w:hAnsi="Garamond"/>
          <w:b/>
          <w:bCs/>
          <w:szCs w:val="22"/>
        </w:rPr>
      </w:pPr>
      <w:r w:rsidRPr="00E25198">
        <w:rPr>
          <w:rFonts w:ascii="Garamond" w:hAnsi="Garamond"/>
          <w:b/>
          <w:bCs/>
          <w:szCs w:val="22"/>
        </w:rPr>
        <w:t>Table A3: Domestic Market Capitalisation of Major Exchanges (USD billion)</w:t>
      </w:r>
    </w:p>
    <w:tbl>
      <w:tblPr>
        <w:tblW w:w="8211" w:type="dxa"/>
        <w:jc w:val="center"/>
        <w:tblLook w:val="04A0" w:firstRow="1" w:lastRow="0" w:firstColumn="1" w:lastColumn="0" w:noHBand="0" w:noVBand="1"/>
      </w:tblPr>
      <w:tblGrid>
        <w:gridCol w:w="4263"/>
        <w:gridCol w:w="1316"/>
        <w:gridCol w:w="1316"/>
        <w:gridCol w:w="1316"/>
      </w:tblGrid>
      <w:tr w:rsidR="002C1136" w:rsidRPr="002B6593" w:rsidTr="0019451C">
        <w:trPr>
          <w:trHeight w:val="254"/>
          <w:jc w:val="center"/>
        </w:trPr>
        <w:tc>
          <w:tcPr>
            <w:tcW w:w="426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2C1136" w:rsidRPr="002B6593" w:rsidRDefault="002C1136" w:rsidP="0019451C">
            <w:pPr>
              <w:rPr>
                <w:rFonts w:ascii="Garamond" w:eastAsia="Times New Roman" w:hAnsi="Garamond" w:cs="Calibri"/>
                <w:b/>
                <w:bCs/>
                <w:color w:val="000000"/>
                <w:sz w:val="18"/>
                <w:szCs w:val="18"/>
                <w:lang w:val="en-IN" w:eastAsia="en-IN" w:bidi="hi-IN"/>
              </w:rPr>
            </w:pPr>
            <w:r w:rsidRPr="002B6593">
              <w:rPr>
                <w:rFonts w:ascii="Garamond" w:eastAsia="Times New Roman" w:hAnsi="Garamond" w:cs="Calibri"/>
                <w:b/>
                <w:bCs/>
                <w:color w:val="000000"/>
                <w:sz w:val="18"/>
                <w:szCs w:val="18"/>
                <w:lang w:val="en-IN" w:eastAsia="en-IN" w:bidi="hi-IN"/>
              </w:rPr>
              <w:t>Exchange</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C1136" w:rsidRPr="00232123" w:rsidRDefault="002C1136" w:rsidP="0019451C">
            <w:pPr>
              <w:jc w:val="center"/>
              <w:rPr>
                <w:rFonts w:ascii="Calibri" w:hAnsi="Calibri" w:cs="Calibri"/>
                <w:b/>
                <w:bCs/>
                <w:color w:val="000000"/>
                <w:sz w:val="18"/>
                <w:szCs w:val="18"/>
                <w:lang w:val="en-IN" w:eastAsia="en-IN" w:bidi="hi-IN"/>
              </w:rPr>
            </w:pPr>
            <w:r w:rsidRPr="00232123">
              <w:rPr>
                <w:rFonts w:ascii="Calibri" w:hAnsi="Calibri" w:cs="Calibri"/>
                <w:b/>
                <w:bCs/>
                <w:color w:val="000000"/>
                <w:sz w:val="18"/>
                <w:szCs w:val="18"/>
              </w:rPr>
              <w:t>Dec-20</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C1136" w:rsidRPr="00232123" w:rsidRDefault="002C1136" w:rsidP="0019451C">
            <w:pPr>
              <w:jc w:val="center"/>
              <w:rPr>
                <w:rFonts w:ascii="Calibri" w:hAnsi="Calibri" w:cs="Calibri"/>
                <w:b/>
                <w:bCs/>
                <w:color w:val="000000"/>
                <w:sz w:val="18"/>
                <w:szCs w:val="18"/>
              </w:rPr>
            </w:pPr>
            <w:r w:rsidRPr="00232123">
              <w:rPr>
                <w:rFonts w:ascii="Calibri" w:hAnsi="Calibri" w:cs="Calibri"/>
                <w:b/>
                <w:bCs/>
                <w:color w:val="000000"/>
                <w:sz w:val="18"/>
                <w:szCs w:val="18"/>
              </w:rPr>
              <w:t>Jan-21</w:t>
            </w:r>
          </w:p>
        </w:tc>
        <w:tc>
          <w:tcPr>
            <w:tcW w:w="1316" w:type="dxa"/>
            <w:tcBorders>
              <w:top w:val="single" w:sz="4" w:space="0" w:color="auto"/>
              <w:left w:val="nil"/>
              <w:bottom w:val="single" w:sz="4" w:space="0" w:color="auto"/>
              <w:right w:val="single" w:sz="4" w:space="0" w:color="auto"/>
            </w:tcBorders>
            <w:shd w:val="clear" w:color="000000" w:fill="B4C6E7"/>
            <w:noWrap/>
            <w:vAlign w:val="center"/>
            <w:hideMark/>
          </w:tcPr>
          <w:p w:rsidR="002C1136" w:rsidRPr="00C01E3E" w:rsidRDefault="002C1136" w:rsidP="0019451C">
            <w:pPr>
              <w:rPr>
                <w:rFonts w:ascii="Calibri" w:hAnsi="Calibri" w:cs="Calibri"/>
                <w:b/>
                <w:bCs/>
                <w:color w:val="000000"/>
                <w:sz w:val="18"/>
                <w:szCs w:val="18"/>
              </w:rPr>
            </w:pPr>
            <w:r w:rsidRPr="00C01E3E">
              <w:rPr>
                <w:rFonts w:ascii="Calibri" w:hAnsi="Calibri" w:cs="Calibri"/>
                <w:b/>
                <w:bCs/>
                <w:color w:val="000000"/>
                <w:sz w:val="18"/>
                <w:szCs w:val="18"/>
              </w:rPr>
              <w:t>% Change MoM</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Nasdaq - US</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19,060</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19,335</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1.4%</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NYSE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26,233</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NA</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NA</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LSE Group</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4,046</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3,670</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-9.3%</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Deutsche Boerse AG</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2,284</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2,059</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-9.8%</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BME Spanish Exchanges</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759</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664</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-12.6%</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Japan Exchange Group</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6,718</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6,347</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-5.5%</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Singapore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653</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647</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-0.8%</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Hong Kong Exchanges and Clearing</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6,130</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6,475</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5.6%</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Korea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2,176</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2,049</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-5.8%</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ASX Australian Securities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1,721</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1,526</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-11.3%</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B3 - Brasil Bolsa Balcão</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988</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1,198</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21.2%</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Moscow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695</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805</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15.9%</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National Stock Exchange of India</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2,552</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2,575</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0.9%</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Shanghai Stock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6,976</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6,499</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-6.8%</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Shenzhen Stock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5,238</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4,901</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-6.4%</w:t>
            </w:r>
          </w:p>
        </w:tc>
      </w:tr>
      <w:tr w:rsidR="002C1136" w:rsidRPr="002B6593" w:rsidTr="0019451C">
        <w:trPr>
          <w:trHeight w:val="254"/>
          <w:jc w:val="center"/>
        </w:trPr>
        <w:tc>
          <w:tcPr>
            <w:tcW w:w="4263" w:type="dxa"/>
            <w:tcBorders>
              <w:top w:val="nil"/>
              <w:left w:val="single" w:sz="4" w:space="0" w:color="auto"/>
              <w:bottom w:val="single" w:sz="4" w:space="0" w:color="auto"/>
              <w:right w:val="single" w:sz="4" w:space="0" w:color="auto"/>
            </w:tcBorders>
            <w:shd w:val="clear" w:color="000000" w:fill="D9E1F2"/>
            <w:noWrap/>
            <w:vAlign w:val="center"/>
            <w:hideMark/>
          </w:tcPr>
          <w:p w:rsidR="002C1136" w:rsidRPr="002B6593" w:rsidRDefault="002C1136" w:rsidP="0019451C">
            <w:pPr>
              <w:rPr>
                <w:rFonts w:ascii="Garamond" w:eastAsia="Times New Roman" w:hAnsi="Garamond" w:cs="Calibri"/>
                <w:color w:val="000000"/>
                <w:sz w:val="18"/>
                <w:szCs w:val="18"/>
                <w:lang w:val="en-IN" w:eastAsia="en-IN" w:bidi="hi-IN"/>
              </w:rPr>
            </w:pPr>
            <w:r w:rsidRPr="002B6593">
              <w:rPr>
                <w:rFonts w:ascii="Garamond" w:eastAsia="Times New Roman" w:hAnsi="Garamond" w:cs="Calibri"/>
                <w:color w:val="000000"/>
                <w:sz w:val="18"/>
                <w:szCs w:val="18"/>
                <w:lang w:val="en-IN" w:eastAsia="en-IN" w:bidi="hi-IN"/>
              </w:rPr>
              <w:t>Johannesburg Stock Exchange</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1,052</w:t>
            </w:r>
          </w:p>
        </w:tc>
        <w:tc>
          <w:tcPr>
            <w:tcW w:w="1316" w:type="dxa"/>
            <w:tcBorders>
              <w:top w:val="nil"/>
              <w:left w:val="nil"/>
              <w:bottom w:val="single" w:sz="4" w:space="0" w:color="auto"/>
              <w:right w:val="single" w:sz="4" w:space="0" w:color="auto"/>
            </w:tcBorders>
            <w:shd w:val="clear" w:color="auto" w:fill="auto"/>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 xml:space="preserve"> 1,095</w:t>
            </w:r>
          </w:p>
        </w:tc>
        <w:tc>
          <w:tcPr>
            <w:tcW w:w="1316" w:type="dxa"/>
            <w:tcBorders>
              <w:top w:val="nil"/>
              <w:left w:val="nil"/>
              <w:bottom w:val="single" w:sz="4" w:space="0" w:color="auto"/>
              <w:right w:val="single" w:sz="4" w:space="0" w:color="auto"/>
            </w:tcBorders>
            <w:shd w:val="clear" w:color="auto" w:fill="auto"/>
            <w:noWrap/>
            <w:vAlign w:val="center"/>
            <w:hideMark/>
          </w:tcPr>
          <w:p w:rsidR="002C1136" w:rsidRPr="002B6593" w:rsidRDefault="002C1136" w:rsidP="0019451C">
            <w:pPr>
              <w:jc w:val="right"/>
              <w:rPr>
                <w:rFonts w:ascii="Garamond" w:hAnsi="Garamond" w:cs="Calibri"/>
                <w:color w:val="000000"/>
                <w:sz w:val="18"/>
                <w:szCs w:val="18"/>
              </w:rPr>
            </w:pPr>
            <w:r w:rsidRPr="002B6593">
              <w:rPr>
                <w:rFonts w:ascii="Garamond" w:hAnsi="Garamond" w:cs="Calibri"/>
                <w:color w:val="000000"/>
                <w:sz w:val="18"/>
                <w:szCs w:val="18"/>
              </w:rPr>
              <w:t>4.1%</w:t>
            </w:r>
          </w:p>
        </w:tc>
      </w:tr>
    </w:tbl>
    <w:p w:rsidR="002C1136" w:rsidRPr="00E25198" w:rsidRDefault="002C1136" w:rsidP="002C1136">
      <w:pPr>
        <w:spacing w:line="23" w:lineRule="atLeast"/>
        <w:ind w:left="1276"/>
        <w:jc w:val="both"/>
        <w:outlineLvl w:val="0"/>
        <w:rPr>
          <w:rFonts w:ascii="Garamond" w:hAnsi="Garamond"/>
          <w:bCs/>
          <w:sz w:val="18"/>
          <w:szCs w:val="18"/>
        </w:rPr>
      </w:pPr>
      <w:r w:rsidRPr="00E25198">
        <w:rPr>
          <w:rFonts w:ascii="Garamond" w:hAnsi="Garamond"/>
          <w:bCs/>
          <w:sz w:val="18"/>
          <w:szCs w:val="18"/>
        </w:rPr>
        <w:t>NA: Not Available</w:t>
      </w:r>
    </w:p>
    <w:p w:rsidR="002C1136" w:rsidRPr="00E25198" w:rsidRDefault="002C1136" w:rsidP="002C1136">
      <w:pPr>
        <w:spacing w:line="23" w:lineRule="atLeast"/>
        <w:ind w:left="1276"/>
        <w:jc w:val="both"/>
        <w:outlineLvl w:val="0"/>
        <w:rPr>
          <w:rFonts w:ascii="Garamond" w:hAnsi="Garamond"/>
          <w:bCs/>
          <w:sz w:val="18"/>
          <w:szCs w:val="18"/>
        </w:rPr>
      </w:pPr>
      <w:r w:rsidRPr="00E25198">
        <w:rPr>
          <w:rFonts w:ascii="Garamond" w:hAnsi="Garamond"/>
          <w:bCs/>
          <w:sz w:val="18"/>
          <w:szCs w:val="18"/>
        </w:rPr>
        <w:t>Source: World Federation of Exchanges</w:t>
      </w:r>
    </w:p>
    <w:p w:rsidR="002C1136" w:rsidRPr="00E25198" w:rsidRDefault="002C1136" w:rsidP="002C1136">
      <w:pPr>
        <w:spacing w:line="23" w:lineRule="atLeast"/>
        <w:ind w:left="1276"/>
        <w:jc w:val="both"/>
        <w:outlineLvl w:val="0"/>
        <w:rPr>
          <w:rFonts w:ascii="Garamond" w:hAnsi="Garamond"/>
          <w:bCs/>
          <w:sz w:val="18"/>
          <w:szCs w:val="18"/>
        </w:rPr>
      </w:pPr>
      <w:r w:rsidRPr="00E25198">
        <w:rPr>
          <w:rFonts w:ascii="Garamond" w:hAnsi="Garamond"/>
          <w:bCs/>
          <w:sz w:val="18"/>
          <w:szCs w:val="18"/>
        </w:rPr>
        <w:t xml:space="preserve">Note: </w:t>
      </w:r>
    </w:p>
    <w:p w:rsidR="002C1136" w:rsidRPr="00E25198" w:rsidRDefault="002C1136" w:rsidP="003F384D">
      <w:pPr>
        <w:numPr>
          <w:ilvl w:val="0"/>
          <w:numId w:val="10"/>
        </w:numPr>
        <w:spacing w:after="200" w:line="23" w:lineRule="atLeast"/>
        <w:ind w:left="170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in some versions of SEBI Bulletin are sourced from Refinitiv which provides country wise market capitalization data (estimated internally by Refinitiv).</w:t>
      </w:r>
    </w:p>
    <w:p w:rsidR="002C1136" w:rsidRPr="00E25198" w:rsidRDefault="002C1136" w:rsidP="003F384D">
      <w:pPr>
        <w:numPr>
          <w:ilvl w:val="0"/>
          <w:numId w:val="10"/>
        </w:numPr>
        <w:spacing w:after="200" w:line="23" w:lineRule="atLeast"/>
        <w:ind w:left="1701" w:hanging="283"/>
        <w:contextualSpacing/>
        <w:jc w:val="both"/>
        <w:outlineLvl w:val="0"/>
        <w:rPr>
          <w:rFonts w:ascii="Garamond" w:hAnsi="Garamond"/>
          <w:bCs/>
          <w:sz w:val="18"/>
          <w:szCs w:val="18"/>
          <w:lang w:val="en-US"/>
        </w:rPr>
      </w:pPr>
      <w:r w:rsidRPr="00E25198">
        <w:rPr>
          <w:rFonts w:ascii="Garamond" w:hAnsi="Garamond"/>
          <w:bCs/>
          <w:sz w:val="18"/>
          <w:szCs w:val="18"/>
          <w:lang w:val="en-US"/>
        </w:rPr>
        <w:t>The figures provided World Federation of Exchanges are more detailed and are provided by respective member exchanges.</w:t>
      </w:r>
    </w:p>
    <w:p w:rsidR="002C1136" w:rsidRDefault="002C1136" w:rsidP="003F384D">
      <w:pPr>
        <w:numPr>
          <w:ilvl w:val="0"/>
          <w:numId w:val="10"/>
        </w:numPr>
        <w:spacing w:after="200" w:line="23" w:lineRule="atLeast"/>
        <w:ind w:left="1701" w:hanging="283"/>
        <w:contextualSpacing/>
        <w:jc w:val="both"/>
        <w:outlineLvl w:val="0"/>
        <w:rPr>
          <w:rFonts w:ascii="Garamond" w:hAnsi="Garamond"/>
          <w:bCs/>
          <w:sz w:val="18"/>
          <w:szCs w:val="18"/>
          <w:lang w:val="en-US"/>
        </w:rPr>
      </w:pPr>
      <w:r w:rsidRPr="00E25198">
        <w:rPr>
          <w:rFonts w:ascii="Garamond" w:hAnsi="Garamond"/>
          <w:bCs/>
          <w:sz w:val="18"/>
          <w:szCs w:val="18"/>
          <w:lang w:val="en-US"/>
        </w:rPr>
        <w:t xml:space="preserve">As per the data available as on </w:t>
      </w:r>
      <w:r>
        <w:rPr>
          <w:rFonts w:ascii="Garamond" w:hAnsi="Garamond"/>
          <w:bCs/>
          <w:sz w:val="18"/>
          <w:szCs w:val="18"/>
          <w:lang w:val="en-US"/>
        </w:rPr>
        <w:t xml:space="preserve">15 March </w:t>
      </w:r>
      <w:r w:rsidRPr="00E25198">
        <w:rPr>
          <w:rFonts w:ascii="Garamond" w:hAnsi="Garamond"/>
          <w:bCs/>
          <w:sz w:val="18"/>
          <w:szCs w:val="18"/>
          <w:lang w:val="en-US"/>
        </w:rPr>
        <w:t>2021.</w:t>
      </w:r>
    </w:p>
    <w:p w:rsidR="002C1136" w:rsidRDefault="002C1136" w:rsidP="002C1136">
      <w:pPr>
        <w:spacing w:line="23" w:lineRule="atLeast"/>
        <w:jc w:val="both"/>
        <w:outlineLvl w:val="0"/>
        <w:rPr>
          <w:rFonts w:ascii="Garamond" w:hAnsi="Garamond"/>
          <w:b/>
          <w:bCs/>
          <w:szCs w:val="22"/>
        </w:rPr>
      </w:pPr>
    </w:p>
    <w:p w:rsidR="002C1136" w:rsidRDefault="002C1136" w:rsidP="002C1136">
      <w:pPr>
        <w:spacing w:line="23" w:lineRule="atLeast"/>
        <w:jc w:val="both"/>
        <w:outlineLvl w:val="0"/>
        <w:rPr>
          <w:rFonts w:ascii="Garamond" w:hAnsi="Garamond"/>
          <w:b/>
          <w:bCs/>
          <w:szCs w:val="22"/>
        </w:rPr>
      </w:pPr>
    </w:p>
    <w:p w:rsidR="002C1136" w:rsidRPr="00E25198" w:rsidRDefault="002C1136" w:rsidP="002C1136">
      <w:pPr>
        <w:spacing w:line="23" w:lineRule="atLeast"/>
        <w:jc w:val="both"/>
        <w:outlineLvl w:val="0"/>
        <w:rPr>
          <w:rFonts w:ascii="Garamond" w:hAnsi="Garamond"/>
          <w:b/>
          <w:bCs/>
          <w:szCs w:val="22"/>
        </w:rPr>
      </w:pPr>
      <w:r w:rsidRPr="00E25198">
        <w:rPr>
          <w:rFonts w:ascii="Garamond" w:hAnsi="Garamond"/>
          <w:b/>
          <w:bCs/>
          <w:szCs w:val="22"/>
        </w:rPr>
        <w:t>Table A4: Stock Futures and Stock Options Traded in Major Exchanges</w:t>
      </w:r>
    </w:p>
    <w:p w:rsidR="002C1136" w:rsidRPr="00E25198" w:rsidRDefault="002C1136" w:rsidP="002C1136">
      <w:pPr>
        <w:spacing w:line="23" w:lineRule="atLeast"/>
        <w:ind w:right="674"/>
        <w:jc w:val="right"/>
        <w:outlineLvl w:val="0"/>
        <w:rPr>
          <w:rFonts w:ascii="Garamond" w:hAnsi="Garamond"/>
          <w:bCs/>
          <w:sz w:val="22"/>
          <w:szCs w:val="22"/>
        </w:rPr>
      </w:pPr>
      <w:r w:rsidRPr="00E25198">
        <w:rPr>
          <w:rFonts w:ascii="Garamond" w:hAnsi="Garamond"/>
          <w:bCs/>
          <w:sz w:val="22"/>
          <w:szCs w:val="22"/>
        </w:rPr>
        <w:t>Notional Turnover in (USD million)</w:t>
      </w:r>
    </w:p>
    <w:tbl>
      <w:tblPr>
        <w:tblW w:w="5000" w:type="pct"/>
        <w:tblLook w:val="04A0" w:firstRow="1" w:lastRow="0" w:firstColumn="1" w:lastColumn="0" w:noHBand="0" w:noVBand="1"/>
      </w:tblPr>
      <w:tblGrid>
        <w:gridCol w:w="3348"/>
        <w:gridCol w:w="1148"/>
        <w:gridCol w:w="1002"/>
        <w:gridCol w:w="1056"/>
        <w:gridCol w:w="1148"/>
        <w:gridCol w:w="1002"/>
        <w:gridCol w:w="1164"/>
      </w:tblGrid>
      <w:tr w:rsidR="002C1136" w:rsidRPr="00E25198" w:rsidTr="0019451C">
        <w:trPr>
          <w:trHeight w:val="315"/>
        </w:trPr>
        <w:tc>
          <w:tcPr>
            <w:tcW w:w="1752" w:type="pct"/>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Exchange</w:t>
            </w:r>
          </w:p>
        </w:tc>
        <w:tc>
          <w:tcPr>
            <w:tcW w:w="3248" w:type="pct"/>
            <w:gridSpan w:val="6"/>
            <w:tcBorders>
              <w:top w:val="single" w:sz="8" w:space="0" w:color="auto"/>
              <w:left w:val="nil"/>
              <w:bottom w:val="single" w:sz="8" w:space="0" w:color="auto"/>
              <w:right w:val="single" w:sz="8" w:space="0" w:color="000000"/>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Jan-21</w:t>
            </w:r>
          </w:p>
        </w:tc>
      </w:tr>
      <w:tr w:rsidR="002C1136" w:rsidRPr="00E25198" w:rsidTr="0019451C">
        <w:trPr>
          <w:trHeight w:val="315"/>
        </w:trPr>
        <w:tc>
          <w:tcPr>
            <w:tcW w:w="1752" w:type="pct"/>
            <w:vMerge/>
            <w:tcBorders>
              <w:top w:val="single" w:sz="8" w:space="0" w:color="auto"/>
              <w:left w:val="single" w:sz="8" w:space="0" w:color="auto"/>
              <w:bottom w:val="single" w:sz="8" w:space="0" w:color="000000"/>
              <w:right w:val="single" w:sz="8" w:space="0" w:color="auto"/>
            </w:tcBorders>
            <w:vAlign w:val="center"/>
            <w:hideMark/>
          </w:tcPr>
          <w:p w:rsidR="002C1136" w:rsidRPr="00E25198" w:rsidRDefault="002C1136" w:rsidP="0019451C">
            <w:pPr>
              <w:rPr>
                <w:rFonts w:ascii="Garamond" w:eastAsia="Times New Roman" w:hAnsi="Garamond" w:cs="Calibri"/>
                <w:b/>
                <w:bCs/>
                <w:color w:val="000000"/>
                <w:sz w:val="20"/>
                <w:szCs w:val="20"/>
                <w:lang w:val="en-IN" w:eastAsia="en-IN" w:bidi="hi-IN"/>
              </w:rPr>
            </w:pPr>
          </w:p>
        </w:tc>
        <w:tc>
          <w:tcPr>
            <w:tcW w:w="1624" w:type="pct"/>
            <w:gridSpan w:val="3"/>
            <w:tcBorders>
              <w:top w:val="single" w:sz="8" w:space="0" w:color="auto"/>
              <w:left w:val="nil"/>
              <w:bottom w:val="single" w:sz="8" w:space="0" w:color="auto"/>
              <w:right w:val="single" w:sz="8" w:space="0" w:color="000000"/>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Single Stock Futures</w:t>
            </w:r>
          </w:p>
        </w:tc>
        <w:tc>
          <w:tcPr>
            <w:tcW w:w="1624" w:type="pct"/>
            <w:gridSpan w:val="3"/>
            <w:tcBorders>
              <w:top w:val="single" w:sz="8" w:space="0" w:color="auto"/>
              <w:left w:val="nil"/>
              <w:bottom w:val="single" w:sz="8" w:space="0" w:color="auto"/>
              <w:right w:val="single" w:sz="8" w:space="0" w:color="000000"/>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Single Stock Options</w:t>
            </w:r>
          </w:p>
        </w:tc>
      </w:tr>
      <w:tr w:rsidR="002C1136" w:rsidRPr="00E25198" w:rsidTr="0019451C">
        <w:trPr>
          <w:trHeight w:val="300"/>
        </w:trPr>
        <w:tc>
          <w:tcPr>
            <w:tcW w:w="1752" w:type="pct"/>
            <w:vMerge/>
            <w:tcBorders>
              <w:top w:val="single" w:sz="8" w:space="0" w:color="auto"/>
              <w:left w:val="single" w:sz="8" w:space="0" w:color="auto"/>
              <w:bottom w:val="single" w:sz="8" w:space="0" w:color="000000"/>
              <w:right w:val="single" w:sz="8" w:space="0" w:color="auto"/>
            </w:tcBorders>
            <w:vAlign w:val="center"/>
            <w:hideMark/>
          </w:tcPr>
          <w:p w:rsidR="002C1136" w:rsidRPr="00E25198" w:rsidRDefault="002C1136" w:rsidP="0019451C">
            <w:pPr>
              <w:rPr>
                <w:rFonts w:ascii="Garamond" w:eastAsia="Times New Roman" w:hAnsi="Garamond" w:cs="Calibri"/>
                <w:b/>
                <w:bCs/>
                <w:color w:val="000000"/>
                <w:sz w:val="20"/>
                <w:szCs w:val="20"/>
                <w:lang w:val="en-IN" w:eastAsia="en-IN" w:bidi="hi-IN"/>
              </w:rPr>
            </w:pP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Number of</w:t>
            </w: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Notional</w:t>
            </w: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Open</w:t>
            </w: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Number of</w:t>
            </w: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Notional</w:t>
            </w:r>
          </w:p>
        </w:tc>
        <w:tc>
          <w:tcPr>
            <w:tcW w:w="541" w:type="pct"/>
            <w:tcBorders>
              <w:top w:val="nil"/>
              <w:left w:val="nil"/>
              <w:bottom w:val="nil"/>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Open</w:t>
            </w:r>
          </w:p>
        </w:tc>
      </w:tr>
      <w:tr w:rsidR="002C1136" w:rsidRPr="00E25198" w:rsidTr="0019451C">
        <w:trPr>
          <w:trHeight w:val="525"/>
        </w:trPr>
        <w:tc>
          <w:tcPr>
            <w:tcW w:w="1752" w:type="pct"/>
            <w:vMerge/>
            <w:tcBorders>
              <w:top w:val="single" w:sz="8" w:space="0" w:color="auto"/>
              <w:left w:val="single" w:sz="8" w:space="0" w:color="auto"/>
              <w:bottom w:val="single" w:sz="8" w:space="0" w:color="000000"/>
              <w:right w:val="single" w:sz="8" w:space="0" w:color="auto"/>
            </w:tcBorders>
            <w:vAlign w:val="center"/>
            <w:hideMark/>
          </w:tcPr>
          <w:p w:rsidR="002C1136" w:rsidRPr="00E25198" w:rsidRDefault="002C1136" w:rsidP="0019451C">
            <w:pPr>
              <w:rPr>
                <w:rFonts w:ascii="Garamond" w:eastAsia="Times New Roman" w:hAnsi="Garamond" w:cs="Calibri"/>
                <w:b/>
                <w:bCs/>
                <w:color w:val="000000"/>
                <w:sz w:val="20"/>
                <w:szCs w:val="20"/>
                <w:lang w:val="en-IN" w:eastAsia="en-IN" w:bidi="hi-IN"/>
              </w:rPr>
            </w:pP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Contracts Traded</w:t>
            </w: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Turnover</w:t>
            </w: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Interest</w:t>
            </w: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Contracts Traded</w:t>
            </w: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Turnover</w:t>
            </w:r>
          </w:p>
        </w:tc>
        <w:tc>
          <w:tcPr>
            <w:tcW w:w="541" w:type="pct"/>
            <w:tcBorders>
              <w:top w:val="nil"/>
              <w:left w:val="nil"/>
              <w:bottom w:val="single" w:sz="8" w:space="0" w:color="auto"/>
              <w:right w:val="single" w:sz="8" w:space="0" w:color="auto"/>
            </w:tcBorders>
            <w:shd w:val="clear" w:color="000000" w:fill="B4C6E7"/>
            <w:vAlign w:val="center"/>
            <w:hideMark/>
          </w:tcPr>
          <w:p w:rsidR="002C1136" w:rsidRPr="00E25198" w:rsidRDefault="002C1136" w:rsidP="0019451C">
            <w:pPr>
              <w:jc w:val="cente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Interest</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B3 - Brasil Bolsa Balcão</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50,989,100</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424</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14,544,800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164,186,368</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78,042</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48,330,823</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Bolsa de Valores de Colombia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9,577</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10,768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Bolsa Mexicana de Valores</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1,210</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2,474</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92,700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95,120</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Cboe Global Markets</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145,864,799</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241,127,431</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Nasdaq - US</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222,311,089</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MIAX Exchange Group</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77,411,009</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1,407,597</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ASX Australian Securities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38,269</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75</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345,898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4,174,018</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8,702</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5,761,128</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Hong Kong Exchanges and Clearing</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255,779</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1,260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38,287</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17,874,882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96,738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10,643,655</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Japan Exchange Group</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1,132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15,328</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Korea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161,714,862</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146,980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7,718,043</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124,309</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31,506</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National Stock Exchange of India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20,769,652</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246,131</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1,512,278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36,818,222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458,002</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615,367</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Singapore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224,630</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34,449</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Taiwan Futures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4,722,223</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40,045</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325,191</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12,110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157</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4,173</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Thailand Futures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5,406,469</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1,917,957</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Athens Stock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729,451</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146</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333,550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825</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883</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BME Spanish Exchanges</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12,463</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1,333,820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1,459,869</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1,580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6,727,977</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Borsa Istanbul</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183,377,871</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25,312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8,961,007</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812,225</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124</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928,909</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Budapest Stock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7,277</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55</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4,775</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Deutsche Boerse AG</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3,884,592</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18,184</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5,244,308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19,328,382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82,775</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58,493,110</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Euronext</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1,019,594</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5,230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1,043,585</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6,638,654</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23,832</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14,581,352</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Moscow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17,778,710</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6,464</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1,492,648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152,870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59</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253,276</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Nasdaq Nordic and Baltics</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14,458</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27</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2,017,466</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3,622</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Tehran Stock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2,828,827</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31</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Tel-Aviv Stock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101,402</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0</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62,327</w:t>
            </w:r>
          </w:p>
        </w:tc>
      </w:tr>
      <w:tr w:rsidR="002C1136" w:rsidRPr="00E25198" w:rsidTr="0019451C">
        <w:trPr>
          <w:trHeight w:val="300"/>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Warsaw Stock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232,574</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664</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40,325</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15"/>
        </w:trPr>
        <w:tc>
          <w:tcPr>
            <w:tcW w:w="1752" w:type="pct"/>
            <w:tcBorders>
              <w:top w:val="nil"/>
              <w:left w:val="single" w:sz="8" w:space="0" w:color="auto"/>
              <w:bottom w:val="nil"/>
              <w:right w:val="single" w:sz="8" w:space="0" w:color="auto"/>
            </w:tcBorders>
            <w:shd w:val="clear" w:color="000000" w:fill="B4C6E7"/>
            <w:vAlign w:val="center"/>
            <w:hideMark/>
          </w:tcPr>
          <w:p w:rsidR="002C1136" w:rsidRPr="00E25198" w:rsidRDefault="002C1136" w:rsidP="0019451C">
            <w:pPr>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Dubai Gold and Commodities Exchange</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3,059</w:t>
            </w:r>
          </w:p>
        </w:tc>
        <w:tc>
          <w:tcPr>
            <w:tcW w:w="541" w:type="pct"/>
            <w:tcBorders>
              <w:top w:val="nil"/>
              <w:left w:val="nil"/>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10</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 xml:space="preserve"> 228</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nil"/>
              <w:bottom w:val="nil"/>
              <w:right w:val="nil"/>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c>
          <w:tcPr>
            <w:tcW w:w="541" w:type="pct"/>
            <w:tcBorders>
              <w:top w:val="nil"/>
              <w:left w:val="single" w:sz="8" w:space="0" w:color="auto"/>
              <w:bottom w:val="nil"/>
              <w:right w:val="single" w:sz="8" w:space="0" w:color="auto"/>
            </w:tcBorders>
            <w:shd w:val="clear" w:color="auto" w:fill="auto"/>
            <w:vAlign w:val="center"/>
            <w:hideMark/>
          </w:tcPr>
          <w:p w:rsidR="002C1136" w:rsidRPr="00E25198" w:rsidRDefault="002C1136" w:rsidP="0019451C">
            <w:pPr>
              <w:jc w:val="right"/>
              <w:rPr>
                <w:rFonts w:ascii="Garamond" w:eastAsia="Times New Roman" w:hAnsi="Garamond" w:cs="Calibri"/>
                <w:color w:val="000000"/>
                <w:sz w:val="20"/>
                <w:szCs w:val="20"/>
                <w:lang w:val="en-IN" w:eastAsia="en-IN" w:bidi="hi-IN"/>
              </w:rPr>
            </w:pPr>
            <w:r w:rsidRPr="00E25198">
              <w:rPr>
                <w:rFonts w:ascii="Garamond" w:eastAsia="Times New Roman" w:hAnsi="Garamond" w:cs="Calibri"/>
                <w:color w:val="000000"/>
                <w:sz w:val="20"/>
                <w:szCs w:val="20"/>
                <w:lang w:val="en-IN" w:eastAsia="en-IN" w:bidi="hi-IN"/>
              </w:rPr>
              <w:t>NA</w:t>
            </w:r>
          </w:p>
        </w:tc>
      </w:tr>
      <w:tr w:rsidR="002C1136" w:rsidRPr="00E25198" w:rsidTr="0019451C">
        <w:trPr>
          <w:trHeight w:val="315"/>
        </w:trPr>
        <w:tc>
          <w:tcPr>
            <w:tcW w:w="1752" w:type="pct"/>
            <w:tcBorders>
              <w:top w:val="single" w:sz="8" w:space="0" w:color="auto"/>
              <w:left w:val="single" w:sz="8" w:space="0" w:color="auto"/>
              <w:bottom w:val="single" w:sz="8" w:space="0" w:color="auto"/>
              <w:right w:val="nil"/>
            </w:tcBorders>
            <w:shd w:val="clear" w:color="000000" w:fill="D9E1F2"/>
            <w:vAlign w:val="center"/>
            <w:hideMark/>
          </w:tcPr>
          <w:p w:rsidR="002C1136" w:rsidRPr="00E25198" w:rsidRDefault="002C1136" w:rsidP="0019451C">
            <w:pPr>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Grand Total</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451,191,820</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491,029</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44,904,391</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702,211,158</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2,161,277</w:t>
            </w:r>
          </w:p>
        </w:tc>
        <w:tc>
          <w:tcPr>
            <w:tcW w:w="541" w:type="pct"/>
            <w:tcBorders>
              <w:top w:val="single" w:sz="8" w:space="0" w:color="auto"/>
              <w:left w:val="nil"/>
              <w:bottom w:val="single" w:sz="8" w:space="0" w:color="auto"/>
              <w:right w:val="single" w:sz="8" w:space="0" w:color="auto"/>
            </w:tcBorders>
            <w:shd w:val="clear" w:color="000000" w:fill="D9E1F2"/>
            <w:vAlign w:val="bottom"/>
            <w:hideMark/>
          </w:tcPr>
          <w:p w:rsidR="002C1136" w:rsidRPr="00E25198" w:rsidRDefault="002C1136" w:rsidP="0019451C">
            <w:pPr>
              <w:jc w:val="right"/>
              <w:rPr>
                <w:rFonts w:ascii="Garamond" w:eastAsia="Times New Roman" w:hAnsi="Garamond" w:cs="Calibri"/>
                <w:b/>
                <w:bCs/>
                <w:color w:val="000000"/>
                <w:sz w:val="20"/>
                <w:szCs w:val="20"/>
                <w:lang w:val="en-IN" w:eastAsia="en-IN" w:bidi="hi-IN"/>
              </w:rPr>
            </w:pPr>
            <w:r w:rsidRPr="00E25198">
              <w:rPr>
                <w:rFonts w:ascii="Garamond" w:eastAsia="Times New Roman" w:hAnsi="Garamond" w:cs="Calibri"/>
                <w:b/>
                <w:bCs/>
                <w:color w:val="000000"/>
                <w:sz w:val="20"/>
                <w:szCs w:val="20"/>
                <w:lang w:val="en-IN" w:eastAsia="en-IN" w:bidi="hi-IN"/>
              </w:rPr>
              <w:t xml:space="preserve"> 387,672,365</w:t>
            </w:r>
          </w:p>
        </w:tc>
      </w:tr>
    </w:tbl>
    <w:p w:rsidR="002C1136" w:rsidRPr="00E25198" w:rsidRDefault="002C1136" w:rsidP="002C1136">
      <w:pPr>
        <w:tabs>
          <w:tab w:val="left" w:pos="3306"/>
          <w:tab w:val="left" w:pos="4629"/>
          <w:tab w:val="left" w:pos="5685"/>
          <w:tab w:val="left" w:pos="6835"/>
          <w:tab w:val="left" w:pos="7999"/>
          <w:tab w:val="left" w:pos="9070"/>
        </w:tabs>
        <w:spacing w:line="23" w:lineRule="atLeast"/>
        <w:rPr>
          <w:rFonts w:ascii="Garamond" w:eastAsia="Times New Roman" w:hAnsi="Garamond" w:cs="Calibri"/>
          <w:color w:val="000000"/>
          <w:sz w:val="20"/>
          <w:szCs w:val="20"/>
          <w:lang w:val="en-IN" w:eastAsia="en-IN"/>
        </w:rPr>
      </w:pPr>
      <w:r w:rsidRPr="00E25198">
        <w:rPr>
          <w:rFonts w:ascii="Garamond" w:hAnsi="Garamond"/>
          <w:bCs/>
          <w:sz w:val="18"/>
          <w:szCs w:val="18"/>
        </w:rPr>
        <w:t xml:space="preserve"> NA: Not Available</w:t>
      </w:r>
    </w:p>
    <w:p w:rsidR="002C1136" w:rsidRPr="00E25198" w:rsidRDefault="002C1136" w:rsidP="002C1136">
      <w:pPr>
        <w:tabs>
          <w:tab w:val="left" w:pos="3306"/>
          <w:tab w:val="left" w:pos="4629"/>
          <w:tab w:val="left" w:pos="5685"/>
          <w:tab w:val="left" w:pos="6835"/>
          <w:tab w:val="left" w:pos="7999"/>
          <w:tab w:val="left" w:pos="9070"/>
        </w:tabs>
        <w:spacing w:line="23" w:lineRule="atLeast"/>
        <w:rPr>
          <w:rFonts w:ascii="Garamond" w:hAnsi="Garamond"/>
          <w:bCs/>
          <w:sz w:val="18"/>
          <w:szCs w:val="18"/>
        </w:rPr>
      </w:pPr>
      <w:r w:rsidRPr="00E25198">
        <w:rPr>
          <w:rFonts w:ascii="Garamond" w:hAnsi="Garamond"/>
          <w:bCs/>
          <w:sz w:val="18"/>
          <w:szCs w:val="18"/>
        </w:rPr>
        <w:t>Source: World Federation of Exchanges</w:t>
      </w:r>
    </w:p>
    <w:p w:rsidR="002C1136" w:rsidRPr="00E25198" w:rsidRDefault="002C1136" w:rsidP="002C1136">
      <w:pPr>
        <w:rPr>
          <w:rFonts w:ascii="Garamond" w:eastAsia="Times New Roman" w:hAnsi="Garamond"/>
          <w:bCs/>
          <w:sz w:val="22"/>
          <w:szCs w:val="22"/>
          <w:lang w:val="en-US"/>
        </w:rPr>
      </w:pPr>
    </w:p>
    <w:p w:rsidR="002C1136" w:rsidRPr="00E25198" w:rsidRDefault="002C1136" w:rsidP="002C1136">
      <w:pPr>
        <w:rPr>
          <w:rFonts w:ascii="Garamond" w:eastAsia="Times New Roman" w:hAnsi="Garamond"/>
          <w:bCs/>
          <w:sz w:val="22"/>
          <w:szCs w:val="22"/>
          <w:lang w:val="en-US"/>
        </w:rPr>
      </w:pPr>
      <w:r w:rsidRPr="00E25198">
        <w:rPr>
          <w:rFonts w:ascii="Garamond" w:eastAsia="Times New Roman" w:hAnsi="Garamond"/>
          <w:bCs/>
          <w:sz w:val="22"/>
          <w:szCs w:val="22"/>
          <w:lang w:val="en-US"/>
        </w:rPr>
        <w:br w:type="page"/>
      </w:r>
    </w:p>
    <w:p w:rsidR="002C1136" w:rsidRPr="00E25198" w:rsidRDefault="002C1136" w:rsidP="002C1136">
      <w:pPr>
        <w:spacing w:line="23" w:lineRule="atLeast"/>
        <w:rPr>
          <w:rFonts w:ascii="Garamond" w:eastAsia="Times New Roman" w:hAnsi="Garamond"/>
          <w:b/>
          <w:bCs/>
          <w:szCs w:val="22"/>
          <w:lang w:val="en-US"/>
        </w:rPr>
      </w:pPr>
      <w:r w:rsidRPr="00E25198">
        <w:rPr>
          <w:rFonts w:ascii="Garamond" w:eastAsia="Times New Roman" w:hAnsi="Garamond"/>
          <w:b/>
          <w:bCs/>
          <w:szCs w:val="22"/>
          <w:lang w:val="en-US"/>
        </w:rPr>
        <w:t xml:space="preserve">Table A5: Index Futures and Index Options Traded in Major Exchanges </w:t>
      </w:r>
    </w:p>
    <w:p w:rsidR="002C1136" w:rsidRPr="00E25198" w:rsidRDefault="002C1136" w:rsidP="002C1136">
      <w:pPr>
        <w:spacing w:line="23" w:lineRule="atLeast"/>
        <w:ind w:right="249"/>
        <w:jc w:val="right"/>
        <w:rPr>
          <w:rFonts w:ascii="Garamond" w:eastAsia="Times New Roman" w:hAnsi="Garamond"/>
          <w:bCs/>
          <w:sz w:val="22"/>
          <w:szCs w:val="22"/>
          <w:lang w:val="en-US"/>
        </w:rPr>
      </w:pPr>
      <w:r w:rsidRPr="00E25198">
        <w:rPr>
          <w:rFonts w:ascii="Garamond" w:hAnsi="Garamond"/>
          <w:bCs/>
          <w:sz w:val="22"/>
          <w:szCs w:val="22"/>
        </w:rPr>
        <w:t>Notional Turnover in (USD million)</w:t>
      </w:r>
    </w:p>
    <w:tbl>
      <w:tblPr>
        <w:tblW w:w="5000" w:type="pct"/>
        <w:tblLook w:val="04A0" w:firstRow="1" w:lastRow="0" w:firstColumn="1" w:lastColumn="0" w:noHBand="0" w:noVBand="1"/>
      </w:tblPr>
      <w:tblGrid>
        <w:gridCol w:w="3344"/>
        <w:gridCol w:w="1164"/>
        <w:gridCol w:w="1054"/>
        <w:gridCol w:w="1054"/>
        <w:gridCol w:w="1150"/>
        <w:gridCol w:w="1041"/>
        <w:gridCol w:w="1071"/>
      </w:tblGrid>
      <w:tr w:rsidR="002C1136" w:rsidRPr="002061D1" w:rsidTr="0019451C">
        <w:trPr>
          <w:trHeight w:val="300"/>
        </w:trPr>
        <w:tc>
          <w:tcPr>
            <w:tcW w:w="1752"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Exchange</w:t>
            </w:r>
          </w:p>
        </w:tc>
        <w:tc>
          <w:tcPr>
            <w:tcW w:w="3248" w:type="pct"/>
            <w:gridSpan w:val="6"/>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Jan-21</w:t>
            </w:r>
          </w:p>
        </w:tc>
      </w:tr>
      <w:tr w:rsidR="002C1136" w:rsidRPr="002061D1" w:rsidTr="0019451C">
        <w:trPr>
          <w:trHeight w:val="300"/>
        </w:trPr>
        <w:tc>
          <w:tcPr>
            <w:tcW w:w="1752"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1624" w:type="pct"/>
            <w:gridSpan w:val="3"/>
            <w:tcBorders>
              <w:top w:val="single" w:sz="4" w:space="0" w:color="auto"/>
              <w:left w:val="nil"/>
              <w:bottom w:val="single" w:sz="4" w:space="0" w:color="auto"/>
              <w:right w:val="single" w:sz="4" w:space="0" w:color="000000"/>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Stock Index Futures</w:t>
            </w:r>
          </w:p>
        </w:tc>
        <w:tc>
          <w:tcPr>
            <w:tcW w:w="1624" w:type="pct"/>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Stock Index Options</w:t>
            </w:r>
          </w:p>
        </w:tc>
      </w:tr>
      <w:tr w:rsidR="002C1136" w:rsidRPr="002061D1" w:rsidTr="0019451C">
        <w:trPr>
          <w:trHeight w:val="780"/>
        </w:trPr>
        <w:tc>
          <w:tcPr>
            <w:tcW w:w="1752"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41" w:type="pct"/>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B3 - Brasil Bolsa Balcão</w:t>
            </w:r>
          </w:p>
        </w:tc>
        <w:tc>
          <w:tcPr>
            <w:tcW w:w="541" w:type="pct"/>
            <w:tcBorders>
              <w:top w:val="single" w:sz="8" w:space="0" w:color="auto"/>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308,488,036</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1,823,129</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1,504,765</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4,659,452</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30,795</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568,066</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de Valores de Colombia</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4,783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3,884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Mexicana de Valores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21,676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499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14,150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348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275</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Cboe Global Markets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37,792,213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21,781,226</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Nasdaq - US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297,025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MIAX Exchange Group</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3,000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Matba Rofex</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62,173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7,245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521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191</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CME Group</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93,289,202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10,613,434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4,530,716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12,868,684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2,687,425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3,061,753</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Cboe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5,169,232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344,369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ASX Australian Securities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759,787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84,616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280,086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351,506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15,468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387,446</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Hong Kong Exchanges and Clearing</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8,905,410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898,480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552,002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2,966,426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306,198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2,171,773</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Japan Exchange Group</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21,439,404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1,027,799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1,516,302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2,050,303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1,480,266</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Korea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16,618,236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859,624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657,169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83,219,397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7,153,157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2,371,735</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National Stock Exchange of India</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8,016,190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102,121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202,739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738,591,241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9,216,623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2,070,600</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Singapore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14,813,592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1,364,882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512,949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1,482,989</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Taiwan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12,029,070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682,742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177,907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21,884,114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556,869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578,573</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Thailand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4,832,552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358,363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159,486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71,188</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Bursa Malaysia Derivatives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255,297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4,423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29,422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516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257</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China Financial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6,235,120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1,259,291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520,020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2,817,340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4,506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170,589</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Athens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30,736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4,358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2,616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1,525</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BME Spanish Exchanges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494,771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37,697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112,154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144,525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1,275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450,692</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Borsa Istanbul</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8,314,126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24,052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527,842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15,445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16,162</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Budapest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43,299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7,889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Deutsche Boerse AG</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29,815,148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1,391,121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10,174,354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30,053,533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1,102,573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47,531,071</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Euronext</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2,690,106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202,307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603,703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1,657,468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111,260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590,641</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Moscow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13,342,688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43,644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562,984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1,266,753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4,180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319,398</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Nasdaq Nordic and Baltics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2,280,126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48,005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360,369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7,639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Tel-Aviv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2,475,941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112,687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157,556</w:t>
            </w:r>
          </w:p>
        </w:tc>
      </w:tr>
      <w:tr w:rsidR="002C1136" w:rsidRPr="002061D1" w:rsidTr="0019451C">
        <w:trPr>
          <w:trHeight w:val="315"/>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Warsaw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444,878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4,527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42,812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26,192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23,370</w:t>
            </w:r>
          </w:p>
        </w:tc>
      </w:tr>
      <w:tr w:rsidR="002C1136" w:rsidRPr="002061D1" w:rsidTr="0019451C">
        <w:trPr>
          <w:trHeight w:val="315"/>
        </w:trPr>
        <w:tc>
          <w:tcPr>
            <w:tcW w:w="1752" w:type="pct"/>
            <w:tcBorders>
              <w:top w:val="single" w:sz="8" w:space="0" w:color="auto"/>
              <w:left w:val="single" w:sz="8" w:space="0" w:color="auto"/>
              <w:bottom w:val="single" w:sz="8" w:space="0" w:color="auto"/>
              <w:right w:val="nil"/>
            </w:tcBorders>
            <w:shd w:val="clear" w:color="000000" w:fill="D9E1F2"/>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Grand Total</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558,395,638</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19,107,783</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24,100,117</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944,177,363</w:t>
            </w:r>
          </w:p>
        </w:tc>
        <w:tc>
          <w:tcPr>
            <w:tcW w:w="541" w:type="pct"/>
            <w:tcBorders>
              <w:top w:val="single" w:sz="8" w:space="0" w:color="auto"/>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21,310,860</w:t>
            </w:r>
          </w:p>
        </w:tc>
        <w:tc>
          <w:tcPr>
            <w:tcW w:w="541" w:type="pct"/>
            <w:tcBorders>
              <w:top w:val="single" w:sz="8" w:space="0" w:color="auto"/>
              <w:left w:val="nil"/>
              <w:bottom w:val="single" w:sz="8" w:space="0" w:color="auto"/>
              <w:right w:val="single" w:sz="8" w:space="0" w:color="auto"/>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85,287,342</w:t>
            </w:r>
          </w:p>
        </w:tc>
      </w:tr>
    </w:tbl>
    <w:p w:rsidR="002C1136" w:rsidRPr="00E25198" w:rsidRDefault="002C1136" w:rsidP="002C1136">
      <w:pPr>
        <w:spacing w:line="23" w:lineRule="atLeast"/>
        <w:rPr>
          <w:rFonts w:ascii="Garamond" w:hAnsi="Garamond"/>
          <w:bCs/>
          <w:sz w:val="18"/>
          <w:szCs w:val="18"/>
        </w:rPr>
      </w:pPr>
    </w:p>
    <w:p w:rsidR="002C1136" w:rsidRPr="00E25198" w:rsidRDefault="002C1136" w:rsidP="002C1136">
      <w:pPr>
        <w:spacing w:line="23" w:lineRule="atLeast"/>
        <w:jc w:val="both"/>
        <w:outlineLvl w:val="0"/>
        <w:rPr>
          <w:rFonts w:ascii="Garamond" w:eastAsia="Times New Roman" w:hAnsi="Garamond" w:cs="Calibri"/>
          <w:color w:val="000000"/>
          <w:sz w:val="20"/>
          <w:szCs w:val="20"/>
          <w:lang w:val="en-IN" w:eastAsia="en-IN"/>
        </w:rPr>
      </w:pPr>
      <w:r w:rsidRPr="00E25198">
        <w:rPr>
          <w:rFonts w:ascii="Garamond" w:hAnsi="Garamond"/>
          <w:bCs/>
          <w:sz w:val="18"/>
          <w:szCs w:val="18"/>
        </w:rPr>
        <w:t>NA: Not Available</w:t>
      </w:r>
      <w:r w:rsidRPr="00E25198">
        <w:rPr>
          <w:rFonts w:ascii="Garamond" w:eastAsia="Times New Roman" w:hAnsi="Garamond" w:cs="Calibri"/>
          <w:color w:val="000000"/>
          <w:sz w:val="20"/>
          <w:szCs w:val="20"/>
          <w:lang w:val="en-IN" w:eastAsia="en-IN"/>
        </w:rPr>
        <w:t>.</w:t>
      </w:r>
    </w:p>
    <w:p w:rsidR="002C1136" w:rsidRPr="00E25198" w:rsidRDefault="002C1136" w:rsidP="002C1136">
      <w:pPr>
        <w:spacing w:line="23" w:lineRule="atLeast"/>
        <w:jc w:val="both"/>
        <w:outlineLvl w:val="0"/>
        <w:rPr>
          <w:rFonts w:ascii="Garamond" w:eastAsia="Times New Roman" w:hAnsi="Garamond"/>
          <w:bCs/>
          <w:sz w:val="18"/>
          <w:szCs w:val="18"/>
          <w:lang w:val="en-US"/>
        </w:rPr>
      </w:pPr>
      <w:r w:rsidRPr="00E25198">
        <w:rPr>
          <w:rFonts w:ascii="Garamond" w:hAnsi="Garamond"/>
          <w:bCs/>
          <w:sz w:val="18"/>
          <w:szCs w:val="18"/>
        </w:rPr>
        <w:t>Source: World Federation of Exchanges</w:t>
      </w:r>
      <w:r w:rsidRPr="00E25198">
        <w:rPr>
          <w:rFonts w:ascii="Garamond" w:eastAsia="Times New Roman" w:hAnsi="Garamond"/>
          <w:bCs/>
          <w:sz w:val="18"/>
          <w:szCs w:val="18"/>
          <w:lang w:val="en-US"/>
        </w:rPr>
        <w:tab/>
      </w:r>
    </w:p>
    <w:p w:rsidR="002C1136" w:rsidRPr="00E25198" w:rsidRDefault="002C1136" w:rsidP="002C1136">
      <w:pPr>
        <w:spacing w:line="23" w:lineRule="atLeast"/>
        <w:jc w:val="both"/>
        <w:outlineLvl w:val="0"/>
        <w:rPr>
          <w:rFonts w:ascii="Garamond" w:eastAsia="Times New Roman" w:hAnsi="Garamond"/>
          <w:bCs/>
          <w:sz w:val="18"/>
          <w:szCs w:val="18"/>
          <w:lang w:val="en-US"/>
        </w:rPr>
      </w:pPr>
    </w:p>
    <w:p w:rsidR="002C1136" w:rsidRPr="002061D1" w:rsidRDefault="002C1136" w:rsidP="002C1136">
      <w:pPr>
        <w:rPr>
          <w:rFonts w:ascii="Garamond" w:hAnsi="Garamond"/>
          <w:bCs/>
          <w:sz w:val="22"/>
          <w:szCs w:val="22"/>
        </w:rPr>
      </w:pPr>
      <w:r w:rsidRPr="00E25198">
        <w:rPr>
          <w:rFonts w:ascii="Garamond" w:hAnsi="Garamond"/>
          <w:bCs/>
          <w:sz w:val="22"/>
          <w:szCs w:val="22"/>
        </w:rPr>
        <w:br w:type="page"/>
      </w:r>
    </w:p>
    <w:p w:rsidR="002C1136" w:rsidRPr="002061D1" w:rsidRDefault="002C1136" w:rsidP="002C1136">
      <w:pPr>
        <w:spacing w:line="23" w:lineRule="atLeast"/>
        <w:jc w:val="both"/>
        <w:rPr>
          <w:rFonts w:ascii="Garamond" w:hAnsi="Garamond"/>
          <w:b/>
          <w:sz w:val="28"/>
          <w:lang w:val="en-US"/>
        </w:rPr>
      </w:pPr>
      <w:r w:rsidRPr="002061D1">
        <w:rPr>
          <w:rFonts w:ascii="Garamond" w:hAnsi="Garamond"/>
          <w:b/>
          <w:bCs/>
          <w:szCs w:val="22"/>
        </w:rPr>
        <w:t>Table A6: Currency Futures and Options Traded in Major Exchanges</w:t>
      </w:r>
    </w:p>
    <w:p w:rsidR="002C1136" w:rsidRPr="002061D1" w:rsidRDefault="002C1136" w:rsidP="002C1136">
      <w:pPr>
        <w:ind w:right="957"/>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5000" w:type="pct"/>
        <w:tblLook w:val="04A0" w:firstRow="1" w:lastRow="0" w:firstColumn="1" w:lastColumn="0" w:noHBand="0" w:noVBand="1"/>
      </w:tblPr>
      <w:tblGrid>
        <w:gridCol w:w="3441"/>
        <w:gridCol w:w="1164"/>
        <w:gridCol w:w="1050"/>
        <w:gridCol w:w="1071"/>
        <w:gridCol w:w="1054"/>
        <w:gridCol w:w="1046"/>
        <w:gridCol w:w="1052"/>
      </w:tblGrid>
      <w:tr w:rsidR="002C1136" w:rsidRPr="002061D1" w:rsidTr="0019451C">
        <w:trPr>
          <w:trHeight w:val="300"/>
        </w:trPr>
        <w:tc>
          <w:tcPr>
            <w:tcW w:w="1752"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Exchange</w:t>
            </w:r>
          </w:p>
        </w:tc>
        <w:tc>
          <w:tcPr>
            <w:tcW w:w="3248" w:type="pct"/>
            <w:gridSpan w:val="6"/>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Jan-21</w:t>
            </w:r>
          </w:p>
        </w:tc>
      </w:tr>
      <w:tr w:rsidR="002C1136" w:rsidRPr="002061D1" w:rsidTr="0019451C">
        <w:trPr>
          <w:trHeight w:val="300"/>
        </w:trPr>
        <w:tc>
          <w:tcPr>
            <w:tcW w:w="1752"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1624"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Currency Futures</w:t>
            </w:r>
          </w:p>
        </w:tc>
        <w:tc>
          <w:tcPr>
            <w:tcW w:w="1624"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Currency Options</w:t>
            </w:r>
          </w:p>
        </w:tc>
      </w:tr>
      <w:tr w:rsidR="002C1136" w:rsidRPr="002061D1" w:rsidTr="0019451C">
        <w:trPr>
          <w:trHeight w:val="780"/>
        </w:trPr>
        <w:tc>
          <w:tcPr>
            <w:tcW w:w="1752"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41"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B3 - Brasil Bolsa Balcão</w:t>
            </w:r>
          </w:p>
        </w:tc>
        <w:tc>
          <w:tcPr>
            <w:tcW w:w="541" w:type="pct"/>
            <w:tcBorders>
              <w:top w:val="single" w:sz="8" w:space="0" w:color="auto"/>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73,872,696</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1,240,835</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6,063,264</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661,050</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742</w:t>
            </w:r>
          </w:p>
        </w:tc>
        <w:tc>
          <w:tcPr>
            <w:tcW w:w="541"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915,438</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de Valores de Colombia</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21,406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932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11,352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Mexicana de Valores</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198,506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2,042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563,755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2,061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2,141</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Matba Rofex</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10,037,867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15,549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3,208,467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1,553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520</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CME Group</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14,183,607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1,321,727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1,782,280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649,194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77,562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532,237</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Hong Kong Exchanges and Clearing</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154,050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14,565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27,348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635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2,726</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Korea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8,906,144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82,898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924,133</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National Stock Exchange of India</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58,634,264</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64,032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5,075,545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73,769,248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75,511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3,885,775</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Singapore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2,134,890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128,829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239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320</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Taiwan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15,258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405</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2,709</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662</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Thailand Futures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217,360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60,650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Borsa Istanbul</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5,110,996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6,848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2,415,970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52,422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43,828</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Budapest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423,888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471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467,427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1,500</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1,700</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Moscow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80,474,037</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95,228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3,818,836</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1,752,328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2,098</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1,213,914</w:t>
            </w:r>
          </w:p>
        </w:tc>
      </w:tr>
      <w:tr w:rsidR="002C1136" w:rsidRPr="002061D1" w:rsidTr="0019451C">
        <w:trPr>
          <w:trHeight w:val="300"/>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Tel-Aviv Stock Exchange</w:t>
            </w:r>
          </w:p>
        </w:tc>
        <w:tc>
          <w:tcPr>
            <w:tcW w:w="541"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1,349,481</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12,552</w:t>
            </w:r>
          </w:p>
        </w:tc>
        <w:tc>
          <w:tcPr>
            <w:tcW w:w="541"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547,040</w:t>
            </w:r>
          </w:p>
        </w:tc>
      </w:tr>
      <w:tr w:rsidR="002C1136" w:rsidRPr="002061D1" w:rsidTr="0019451C">
        <w:trPr>
          <w:trHeight w:val="315"/>
        </w:trPr>
        <w:tc>
          <w:tcPr>
            <w:tcW w:w="1752"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Dubai Gold and Commodities Exchange</w:t>
            </w:r>
          </w:p>
        </w:tc>
        <w:tc>
          <w:tcPr>
            <w:tcW w:w="541" w:type="pct"/>
            <w:tcBorders>
              <w:top w:val="nil"/>
              <w:left w:val="single" w:sz="8" w:space="0" w:color="auto"/>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551,797</w:t>
            </w:r>
          </w:p>
        </w:tc>
        <w:tc>
          <w:tcPr>
            <w:tcW w:w="541"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3,343</w:t>
            </w:r>
          </w:p>
        </w:tc>
        <w:tc>
          <w:tcPr>
            <w:tcW w:w="541"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24,190</w:t>
            </w:r>
          </w:p>
        </w:tc>
        <w:tc>
          <w:tcPr>
            <w:tcW w:w="541"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41"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15"/>
        </w:trPr>
        <w:tc>
          <w:tcPr>
            <w:tcW w:w="1752" w:type="pct"/>
            <w:tcBorders>
              <w:top w:val="single" w:sz="8" w:space="0" w:color="auto"/>
              <w:left w:val="single" w:sz="8" w:space="0" w:color="auto"/>
              <w:bottom w:val="single" w:sz="8" w:space="0" w:color="auto"/>
              <w:right w:val="nil"/>
            </w:tcBorders>
            <w:shd w:val="clear" w:color="000000" w:fill="D9E1F2"/>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Grand Total</w:t>
            </w:r>
          </w:p>
        </w:tc>
        <w:tc>
          <w:tcPr>
            <w:tcW w:w="541"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254,936,766</w:t>
            </w:r>
          </w:p>
        </w:tc>
        <w:tc>
          <w:tcPr>
            <w:tcW w:w="541"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2,848,875</w:t>
            </w:r>
          </w:p>
        </w:tc>
        <w:tc>
          <w:tcPr>
            <w:tcW w:w="541"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24,574,755</w:t>
            </w:r>
          </w:p>
        </w:tc>
        <w:tc>
          <w:tcPr>
            <w:tcW w:w="541"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78,239,711</w:t>
            </w:r>
          </w:p>
        </w:tc>
        <w:tc>
          <w:tcPr>
            <w:tcW w:w="541"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168,620</w:t>
            </w:r>
          </w:p>
        </w:tc>
        <w:tc>
          <w:tcPr>
            <w:tcW w:w="541" w:type="pct"/>
            <w:tcBorders>
              <w:top w:val="nil"/>
              <w:left w:val="nil"/>
              <w:bottom w:val="single" w:sz="8" w:space="0" w:color="auto"/>
              <w:right w:val="single" w:sz="8" w:space="0" w:color="auto"/>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7,146,302</w:t>
            </w:r>
          </w:p>
        </w:tc>
      </w:tr>
    </w:tbl>
    <w:p w:rsidR="002C1136" w:rsidRPr="002061D1" w:rsidRDefault="002C1136" w:rsidP="002C1136">
      <w:pPr>
        <w:tabs>
          <w:tab w:val="left" w:pos="3306"/>
          <w:tab w:val="left" w:pos="4629"/>
          <w:tab w:val="left" w:pos="5685"/>
          <w:tab w:val="left" w:pos="6759"/>
          <w:tab w:val="left" w:pos="7923"/>
          <w:tab w:val="left" w:pos="8994"/>
        </w:tabs>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r w:rsidRPr="002061D1">
        <w:rPr>
          <w:rFonts w:ascii="Garamond" w:eastAsia="Times New Roman" w:hAnsi="Garamond"/>
          <w:bCs/>
          <w:sz w:val="18"/>
          <w:szCs w:val="18"/>
          <w:lang w:val="en-US"/>
        </w:rPr>
        <w:tab/>
      </w:r>
    </w:p>
    <w:p w:rsidR="002C1136" w:rsidRPr="002061D1" w:rsidRDefault="002C1136" w:rsidP="002C1136">
      <w:pPr>
        <w:spacing w:line="23" w:lineRule="atLeast"/>
        <w:jc w:val="both"/>
        <w:rPr>
          <w:rFonts w:ascii="Garamond" w:hAnsi="Garamond"/>
          <w:bCs/>
          <w:sz w:val="18"/>
          <w:szCs w:val="18"/>
        </w:rPr>
      </w:pPr>
      <w:r w:rsidRPr="002061D1">
        <w:rPr>
          <w:rFonts w:ascii="Garamond" w:hAnsi="Garamond"/>
          <w:bCs/>
          <w:sz w:val="18"/>
          <w:szCs w:val="18"/>
        </w:rPr>
        <w:t>NA: Not Available</w:t>
      </w:r>
    </w:p>
    <w:p w:rsidR="002C1136" w:rsidRPr="002061D1" w:rsidRDefault="002C1136" w:rsidP="002C1136">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2C1136" w:rsidRPr="002061D1" w:rsidRDefault="002C1136" w:rsidP="002C1136">
      <w:pPr>
        <w:spacing w:line="23" w:lineRule="atLeast"/>
        <w:rPr>
          <w:rFonts w:ascii="Garamond" w:hAnsi="Garamond"/>
          <w:bCs/>
          <w:sz w:val="22"/>
          <w:szCs w:val="22"/>
        </w:rPr>
      </w:pPr>
    </w:p>
    <w:p w:rsidR="002C1136" w:rsidRPr="002061D1" w:rsidRDefault="002C1136" w:rsidP="002C1136">
      <w:pPr>
        <w:rPr>
          <w:rFonts w:ascii="Garamond" w:eastAsia="Times New Roman" w:hAnsi="Garamond"/>
          <w:bCs/>
          <w:sz w:val="22"/>
          <w:szCs w:val="22"/>
          <w:lang w:val="en-US"/>
        </w:rPr>
      </w:pPr>
      <w:r>
        <w:rPr>
          <w:rFonts w:ascii="Garamond" w:eastAsia="Times New Roman" w:hAnsi="Garamond"/>
          <w:b/>
          <w:bCs/>
          <w:szCs w:val="22"/>
          <w:lang w:val="en-US"/>
        </w:rPr>
        <w:br w:type="page"/>
      </w:r>
      <w:r w:rsidRPr="002061D1">
        <w:rPr>
          <w:rFonts w:ascii="Garamond" w:eastAsia="Times New Roman" w:hAnsi="Garamond"/>
          <w:b/>
          <w:bCs/>
          <w:szCs w:val="22"/>
          <w:lang w:val="en-US"/>
        </w:rPr>
        <w:t>Table A7: Interest Rate Futures and Options Traded in Major Exchanges</w:t>
      </w:r>
    </w:p>
    <w:p w:rsidR="002C1136" w:rsidRPr="002061D1" w:rsidRDefault="002C1136" w:rsidP="002C1136">
      <w:pPr>
        <w:spacing w:line="23" w:lineRule="atLeast"/>
        <w:jc w:val="right"/>
        <w:rPr>
          <w:rFonts w:ascii="Garamond" w:eastAsia="Times New Roman" w:hAnsi="Garamond"/>
          <w:bCs/>
          <w:sz w:val="22"/>
          <w:szCs w:val="22"/>
          <w:lang w:val="en-US"/>
        </w:rPr>
      </w:pPr>
      <w:r w:rsidRPr="002061D1">
        <w:rPr>
          <w:rFonts w:ascii="Garamond" w:hAnsi="Garamond"/>
          <w:bCs/>
          <w:sz w:val="22"/>
          <w:szCs w:val="22"/>
        </w:rPr>
        <w:t>Notional Turnover in (USD million)</w:t>
      </w:r>
    </w:p>
    <w:tbl>
      <w:tblPr>
        <w:tblW w:w="5268" w:type="pct"/>
        <w:tblLook w:val="04A0" w:firstRow="1" w:lastRow="0" w:firstColumn="1" w:lastColumn="0" w:noHBand="0" w:noVBand="1"/>
      </w:tblPr>
      <w:tblGrid>
        <w:gridCol w:w="3635"/>
        <w:gridCol w:w="1184"/>
        <w:gridCol w:w="1116"/>
        <w:gridCol w:w="1120"/>
        <w:gridCol w:w="1116"/>
        <w:gridCol w:w="1116"/>
        <w:gridCol w:w="1120"/>
      </w:tblGrid>
      <w:tr w:rsidR="002C1136" w:rsidRPr="002061D1" w:rsidTr="0019451C">
        <w:trPr>
          <w:trHeight w:val="333"/>
        </w:trPr>
        <w:tc>
          <w:tcPr>
            <w:tcW w:w="1747"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Exchange</w:t>
            </w:r>
          </w:p>
        </w:tc>
        <w:tc>
          <w:tcPr>
            <w:tcW w:w="3253" w:type="pct"/>
            <w:gridSpan w:val="6"/>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Jan-21</w:t>
            </w:r>
          </w:p>
        </w:tc>
      </w:tr>
      <w:tr w:rsidR="002C1136" w:rsidRPr="002061D1" w:rsidTr="0019451C">
        <w:trPr>
          <w:trHeight w:val="333"/>
        </w:trPr>
        <w:tc>
          <w:tcPr>
            <w:tcW w:w="1747"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1643"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Interest Rate Futures</w:t>
            </w:r>
          </w:p>
        </w:tc>
        <w:tc>
          <w:tcPr>
            <w:tcW w:w="1610"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Interest Rate Options</w:t>
            </w:r>
          </w:p>
        </w:tc>
      </w:tr>
      <w:tr w:rsidR="002C1136" w:rsidRPr="002061D1" w:rsidTr="0019451C">
        <w:trPr>
          <w:trHeight w:val="866"/>
        </w:trPr>
        <w:tc>
          <w:tcPr>
            <w:tcW w:w="1747" w:type="pct"/>
            <w:vMerge/>
            <w:tcBorders>
              <w:top w:val="single" w:sz="4" w:space="0" w:color="auto"/>
              <w:left w:val="single" w:sz="4" w:space="0" w:color="auto"/>
              <w:bottom w:val="single" w:sz="4" w:space="0" w:color="auto"/>
              <w:right w:val="single" w:sz="4" w:space="0" w:color="auto"/>
            </w:tcBorders>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p>
        </w:tc>
        <w:tc>
          <w:tcPr>
            <w:tcW w:w="569"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37"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Number of</w:t>
            </w:r>
            <w:r w:rsidRPr="002061D1">
              <w:rPr>
                <w:rFonts w:ascii="Garamond" w:eastAsia="Times New Roman" w:hAnsi="Garamond" w:cs="Calibri"/>
                <w:b/>
                <w:bCs/>
                <w:color w:val="000000"/>
                <w:sz w:val="20"/>
                <w:szCs w:val="20"/>
                <w:lang w:val="en-IN" w:eastAsia="en-IN" w:bidi="hi-IN"/>
              </w:rPr>
              <w:br/>
              <w:t>Contracts Traded</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Notional</w:t>
            </w:r>
            <w:r w:rsidRPr="002061D1">
              <w:rPr>
                <w:rFonts w:ascii="Garamond" w:eastAsia="Times New Roman" w:hAnsi="Garamond" w:cs="Calibri"/>
                <w:b/>
                <w:bCs/>
                <w:color w:val="000000"/>
                <w:sz w:val="20"/>
                <w:szCs w:val="20"/>
                <w:lang w:val="en-IN" w:eastAsia="en-IN" w:bidi="hi-IN"/>
              </w:rPr>
              <w:br/>
              <w:t>Turnover</w:t>
            </w:r>
          </w:p>
        </w:tc>
        <w:tc>
          <w:tcPr>
            <w:tcW w:w="537" w:type="pct"/>
            <w:tcBorders>
              <w:top w:val="nil"/>
              <w:left w:val="nil"/>
              <w:bottom w:val="single" w:sz="4" w:space="0" w:color="auto"/>
              <w:right w:val="single" w:sz="4" w:space="0" w:color="auto"/>
            </w:tcBorders>
            <w:shd w:val="clear" w:color="000000" w:fill="B4C6E7"/>
            <w:vAlign w:val="center"/>
            <w:hideMark/>
          </w:tcPr>
          <w:p w:rsidR="002C1136" w:rsidRPr="002061D1" w:rsidRDefault="002C1136" w:rsidP="0019451C">
            <w:pPr>
              <w:jc w:val="cente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Open</w:t>
            </w:r>
            <w:r w:rsidRPr="002061D1">
              <w:rPr>
                <w:rFonts w:ascii="Garamond" w:eastAsia="Times New Roman" w:hAnsi="Garamond" w:cs="Calibri"/>
                <w:b/>
                <w:bCs/>
                <w:color w:val="000000"/>
                <w:sz w:val="20"/>
                <w:szCs w:val="20"/>
                <w:lang w:val="en-IN" w:eastAsia="en-IN" w:bidi="hi-IN"/>
              </w:rPr>
              <w:br/>
              <w:t>Interest</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B3 - Brasil Bolsa Balcão</w:t>
            </w:r>
          </w:p>
        </w:tc>
        <w:tc>
          <w:tcPr>
            <w:tcW w:w="569" w:type="pct"/>
            <w:tcBorders>
              <w:top w:val="single" w:sz="8" w:space="0" w:color="auto"/>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47,893,855</w:t>
            </w:r>
          </w:p>
        </w:tc>
        <w:tc>
          <w:tcPr>
            <w:tcW w:w="536"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1,296,211</w:t>
            </w:r>
          </w:p>
        </w:tc>
        <w:tc>
          <w:tcPr>
            <w:tcW w:w="537"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30,949,306</w:t>
            </w:r>
          </w:p>
        </w:tc>
        <w:tc>
          <w:tcPr>
            <w:tcW w:w="536"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39,499,090</w:t>
            </w:r>
          </w:p>
        </w:tc>
        <w:tc>
          <w:tcPr>
            <w:tcW w:w="536"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319</w:t>
            </w:r>
          </w:p>
        </w:tc>
        <w:tc>
          <w:tcPr>
            <w:tcW w:w="537" w:type="pct"/>
            <w:tcBorders>
              <w:top w:val="single" w:sz="8" w:space="0" w:color="auto"/>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31,623,842</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de Valores de Colombia</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12,421</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1,024</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12,006</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Bolsa Mexicana de Valores</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1,000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5,000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CME Group</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119,297,422</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63,793,814</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25,807,750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35,955,237</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18,601,752</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34,092,405</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ASX Australian Securities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6,464,382</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707,087</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3,419,901</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9,550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646</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4,000</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Japan Exchange Group</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579,175</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73,775</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20,563</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5,619</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Korea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2,928,048</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293,600</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478,229</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National Stock Exchange of India</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207,331</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571</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38,703</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Singapore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20,046</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14,569</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China Financial Futures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1,989,415</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305,624</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214,794</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Deutsche Boerse AG</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39,376,261</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6,681,028</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5,098,038</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4,218,246</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724,557</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1,444,923</w:t>
            </w:r>
          </w:p>
        </w:tc>
      </w:tr>
      <w:tr w:rsidR="002C1136" w:rsidRPr="002061D1" w:rsidTr="0019451C">
        <w:trPr>
          <w:trHeight w:val="333"/>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Moscow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8,959</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25,970</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w:t>
            </w:r>
          </w:p>
        </w:tc>
      </w:tr>
      <w:tr w:rsidR="002C1136" w:rsidRPr="002061D1" w:rsidTr="0019451C">
        <w:trPr>
          <w:trHeight w:val="350"/>
        </w:trPr>
        <w:tc>
          <w:tcPr>
            <w:tcW w:w="1747" w:type="pct"/>
            <w:tcBorders>
              <w:top w:val="nil"/>
              <w:left w:val="single" w:sz="4" w:space="0" w:color="auto"/>
              <w:bottom w:val="nil"/>
              <w:right w:val="nil"/>
            </w:tcBorders>
            <w:shd w:val="clear" w:color="000000" w:fill="B4C6E7"/>
            <w:vAlign w:val="center"/>
            <w:hideMark/>
          </w:tcPr>
          <w:p w:rsidR="002C1136" w:rsidRPr="002061D1" w:rsidRDefault="002C1136" w:rsidP="0019451C">
            <w:pPr>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Nasdaq Nordic and Baltics</w:t>
            </w:r>
          </w:p>
        </w:tc>
        <w:tc>
          <w:tcPr>
            <w:tcW w:w="569" w:type="pct"/>
            <w:tcBorders>
              <w:top w:val="nil"/>
              <w:left w:val="single" w:sz="8" w:space="0" w:color="auto"/>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888,724</w:t>
            </w:r>
          </w:p>
        </w:tc>
        <w:tc>
          <w:tcPr>
            <w:tcW w:w="536"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96,709</w:t>
            </w:r>
          </w:p>
        </w:tc>
        <w:tc>
          <w:tcPr>
            <w:tcW w:w="537"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c>
          <w:tcPr>
            <w:tcW w:w="536"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390,644</w:t>
            </w:r>
          </w:p>
        </w:tc>
        <w:tc>
          <w:tcPr>
            <w:tcW w:w="536"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42,509</w:t>
            </w:r>
          </w:p>
        </w:tc>
        <w:tc>
          <w:tcPr>
            <w:tcW w:w="537" w:type="pct"/>
            <w:tcBorders>
              <w:top w:val="nil"/>
              <w:left w:val="nil"/>
              <w:bottom w:val="single" w:sz="8" w:space="0" w:color="auto"/>
              <w:right w:val="single" w:sz="8" w:space="0" w:color="auto"/>
            </w:tcBorders>
            <w:shd w:val="clear" w:color="auto" w:fill="auto"/>
            <w:vAlign w:val="center"/>
            <w:hideMark/>
          </w:tcPr>
          <w:p w:rsidR="002C1136" w:rsidRPr="002061D1" w:rsidRDefault="002C1136" w:rsidP="0019451C">
            <w:pPr>
              <w:jc w:val="right"/>
              <w:rPr>
                <w:rFonts w:ascii="Garamond" w:eastAsia="Times New Roman" w:hAnsi="Garamond" w:cs="Calibri"/>
                <w:color w:val="000000"/>
                <w:sz w:val="20"/>
                <w:szCs w:val="20"/>
                <w:lang w:val="en-IN" w:eastAsia="en-IN" w:bidi="hi-IN"/>
              </w:rPr>
            </w:pPr>
            <w:r w:rsidRPr="002061D1">
              <w:rPr>
                <w:rFonts w:ascii="Garamond" w:eastAsia="Times New Roman" w:hAnsi="Garamond" w:cs="Calibri"/>
                <w:color w:val="000000"/>
                <w:sz w:val="20"/>
                <w:szCs w:val="20"/>
                <w:lang w:val="en-IN" w:eastAsia="en-IN" w:bidi="hi-IN"/>
              </w:rPr>
              <w:t xml:space="preserve"> 0</w:t>
            </w:r>
          </w:p>
        </w:tc>
      </w:tr>
      <w:tr w:rsidR="002C1136" w:rsidRPr="002061D1" w:rsidTr="0019451C">
        <w:trPr>
          <w:trHeight w:val="350"/>
        </w:trPr>
        <w:tc>
          <w:tcPr>
            <w:tcW w:w="1747" w:type="pct"/>
            <w:tcBorders>
              <w:top w:val="single" w:sz="8" w:space="0" w:color="auto"/>
              <w:left w:val="single" w:sz="8" w:space="0" w:color="auto"/>
              <w:bottom w:val="single" w:sz="8" w:space="0" w:color="auto"/>
              <w:right w:val="nil"/>
            </w:tcBorders>
            <w:shd w:val="clear" w:color="000000" w:fill="D9E1F2"/>
            <w:vAlign w:val="center"/>
            <w:hideMark/>
          </w:tcPr>
          <w:p w:rsidR="002C1136" w:rsidRPr="002061D1" w:rsidRDefault="002C1136" w:rsidP="0019451C">
            <w:pPr>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Grand Total</w:t>
            </w:r>
          </w:p>
        </w:tc>
        <w:tc>
          <w:tcPr>
            <w:tcW w:w="569"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219,667,039</w:t>
            </w:r>
          </w:p>
        </w:tc>
        <w:tc>
          <w:tcPr>
            <w:tcW w:w="536"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73,175,678</w:t>
            </w:r>
          </w:p>
        </w:tc>
        <w:tc>
          <w:tcPr>
            <w:tcW w:w="537"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66,138,041</w:t>
            </w:r>
          </w:p>
        </w:tc>
        <w:tc>
          <w:tcPr>
            <w:tcW w:w="536"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80,093,330</w:t>
            </w:r>
          </w:p>
        </w:tc>
        <w:tc>
          <w:tcPr>
            <w:tcW w:w="536" w:type="pct"/>
            <w:tcBorders>
              <w:top w:val="nil"/>
              <w:left w:val="nil"/>
              <w:bottom w:val="single" w:sz="8" w:space="0" w:color="auto"/>
              <w:right w:val="nil"/>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19,369,783</w:t>
            </w:r>
          </w:p>
        </w:tc>
        <w:tc>
          <w:tcPr>
            <w:tcW w:w="537" w:type="pct"/>
            <w:tcBorders>
              <w:top w:val="nil"/>
              <w:left w:val="nil"/>
              <w:bottom w:val="single" w:sz="8" w:space="0" w:color="auto"/>
              <w:right w:val="single" w:sz="8" w:space="0" w:color="auto"/>
            </w:tcBorders>
            <w:shd w:val="clear" w:color="000000" w:fill="D9E1F2"/>
            <w:vAlign w:val="bottom"/>
            <w:hideMark/>
          </w:tcPr>
          <w:p w:rsidR="002C1136" w:rsidRPr="002061D1" w:rsidRDefault="002C1136" w:rsidP="0019451C">
            <w:pPr>
              <w:jc w:val="right"/>
              <w:rPr>
                <w:rFonts w:ascii="Garamond" w:eastAsia="Times New Roman" w:hAnsi="Garamond" w:cs="Calibri"/>
                <w:b/>
                <w:bCs/>
                <w:color w:val="000000"/>
                <w:sz w:val="20"/>
                <w:szCs w:val="20"/>
                <w:lang w:val="en-IN" w:eastAsia="en-IN" w:bidi="hi-IN"/>
              </w:rPr>
            </w:pPr>
            <w:r w:rsidRPr="002061D1">
              <w:rPr>
                <w:rFonts w:ascii="Garamond" w:eastAsia="Times New Roman" w:hAnsi="Garamond" w:cs="Calibri"/>
                <w:b/>
                <w:bCs/>
                <w:color w:val="000000"/>
                <w:sz w:val="20"/>
                <w:szCs w:val="20"/>
                <w:lang w:val="en-IN" w:eastAsia="en-IN" w:bidi="hi-IN"/>
              </w:rPr>
              <w:t xml:space="preserve"> 67,170,789</w:t>
            </w:r>
          </w:p>
        </w:tc>
      </w:tr>
    </w:tbl>
    <w:p w:rsidR="002C1136" w:rsidRPr="002061D1" w:rsidRDefault="002C1136" w:rsidP="002C1136">
      <w:pPr>
        <w:spacing w:line="23" w:lineRule="atLeast"/>
        <w:rPr>
          <w:rFonts w:ascii="Garamond" w:eastAsia="Times New Roman" w:hAnsi="Garamond"/>
          <w:bCs/>
          <w:sz w:val="18"/>
          <w:szCs w:val="18"/>
          <w:lang w:val="en-US"/>
        </w:rPr>
      </w:pPr>
      <w:r w:rsidRPr="002061D1">
        <w:rPr>
          <w:rFonts w:ascii="Garamond" w:eastAsia="Times New Roman" w:hAnsi="Garamond"/>
          <w:bCs/>
          <w:sz w:val="18"/>
          <w:szCs w:val="18"/>
          <w:lang w:val="en-US"/>
        </w:rPr>
        <w:tab/>
      </w:r>
    </w:p>
    <w:p w:rsidR="002C1136" w:rsidRPr="002061D1" w:rsidRDefault="002C1136" w:rsidP="002C1136">
      <w:pPr>
        <w:spacing w:line="23" w:lineRule="atLeast"/>
        <w:jc w:val="both"/>
        <w:rPr>
          <w:rFonts w:ascii="Garamond" w:hAnsi="Garamond"/>
          <w:bCs/>
          <w:sz w:val="18"/>
          <w:szCs w:val="18"/>
        </w:rPr>
      </w:pPr>
      <w:r w:rsidRPr="002061D1">
        <w:rPr>
          <w:rFonts w:ascii="Garamond" w:hAnsi="Garamond"/>
          <w:bCs/>
          <w:sz w:val="18"/>
          <w:szCs w:val="18"/>
        </w:rPr>
        <w:t>NA: Not Available</w:t>
      </w:r>
    </w:p>
    <w:p w:rsidR="002C1136" w:rsidRPr="002061D1" w:rsidRDefault="002C1136" w:rsidP="002C1136">
      <w:pPr>
        <w:spacing w:line="23" w:lineRule="atLeast"/>
        <w:jc w:val="both"/>
        <w:outlineLvl w:val="0"/>
        <w:rPr>
          <w:rFonts w:ascii="Garamond" w:hAnsi="Garamond"/>
          <w:bCs/>
          <w:sz w:val="18"/>
          <w:szCs w:val="18"/>
        </w:rPr>
      </w:pPr>
      <w:r w:rsidRPr="002061D1">
        <w:rPr>
          <w:rFonts w:ascii="Garamond" w:hAnsi="Garamond"/>
          <w:bCs/>
          <w:sz w:val="18"/>
          <w:szCs w:val="18"/>
        </w:rPr>
        <w:t>Source: World Federation of Exchanges</w:t>
      </w:r>
    </w:p>
    <w:p w:rsidR="002C1136" w:rsidRPr="002061D1" w:rsidRDefault="002C1136" w:rsidP="002C1136">
      <w:pPr>
        <w:rPr>
          <w:rFonts w:ascii="Garamond" w:eastAsia="Times New Roman" w:hAnsi="Garamond"/>
          <w:bCs/>
          <w:sz w:val="22"/>
          <w:szCs w:val="22"/>
          <w:lang w:val="en-US"/>
        </w:rPr>
      </w:pPr>
    </w:p>
    <w:p w:rsidR="002C1136" w:rsidRPr="001D2656" w:rsidRDefault="002C1136" w:rsidP="002C1136">
      <w:pPr>
        <w:rPr>
          <w:rFonts w:ascii="Garamond" w:eastAsia="Times New Roman" w:hAnsi="Garamond"/>
          <w:bCs/>
          <w:sz w:val="22"/>
          <w:szCs w:val="22"/>
          <w:lang w:val="en-US"/>
        </w:rPr>
      </w:pPr>
      <w:r w:rsidRPr="001D2656">
        <w:rPr>
          <w:rFonts w:ascii="Garamond" w:eastAsia="Times New Roman" w:hAnsi="Garamond"/>
          <w:bCs/>
          <w:sz w:val="22"/>
          <w:szCs w:val="22"/>
          <w:lang w:val="en-US"/>
        </w:rPr>
        <w:br w:type="page"/>
      </w:r>
    </w:p>
    <w:p w:rsidR="002C1136" w:rsidRPr="001D2656" w:rsidRDefault="002C1136" w:rsidP="002C1136">
      <w:pPr>
        <w:spacing w:line="23" w:lineRule="atLeast"/>
        <w:rPr>
          <w:rFonts w:ascii="Garamond" w:hAnsi="Garamond"/>
          <w:b/>
          <w:bCs/>
          <w:szCs w:val="22"/>
        </w:rPr>
      </w:pPr>
      <w:r w:rsidRPr="001D2656">
        <w:rPr>
          <w:rFonts w:ascii="Garamond" w:eastAsia="Times New Roman" w:hAnsi="Garamond"/>
          <w:b/>
          <w:bCs/>
          <w:szCs w:val="22"/>
          <w:lang w:val="en-US"/>
        </w:rPr>
        <w:t>Table A8: Commodity Futures and Options Traded in Major Exchanges</w:t>
      </w:r>
    </w:p>
    <w:p w:rsidR="002C1136" w:rsidRPr="001D2656" w:rsidRDefault="002C1136" w:rsidP="002C1136">
      <w:pPr>
        <w:spacing w:line="23" w:lineRule="atLeast"/>
        <w:ind w:right="348"/>
        <w:jc w:val="right"/>
        <w:rPr>
          <w:rFonts w:ascii="Garamond" w:hAnsi="Garamond"/>
          <w:bCs/>
          <w:sz w:val="22"/>
          <w:szCs w:val="22"/>
        </w:rPr>
      </w:pPr>
      <w:r w:rsidRPr="001D2656">
        <w:rPr>
          <w:rFonts w:ascii="Garamond" w:hAnsi="Garamond"/>
          <w:bCs/>
          <w:sz w:val="22"/>
          <w:szCs w:val="22"/>
        </w:rPr>
        <w:t>Notional Turnover in (USD million)</w:t>
      </w:r>
    </w:p>
    <w:tbl>
      <w:tblPr>
        <w:tblW w:w="5121" w:type="pct"/>
        <w:tblLook w:val="04A0" w:firstRow="1" w:lastRow="0" w:firstColumn="1" w:lastColumn="0" w:noHBand="0" w:noVBand="1"/>
      </w:tblPr>
      <w:tblGrid>
        <w:gridCol w:w="3534"/>
        <w:gridCol w:w="1150"/>
        <w:gridCol w:w="1085"/>
        <w:gridCol w:w="1089"/>
        <w:gridCol w:w="1085"/>
        <w:gridCol w:w="1085"/>
        <w:gridCol w:w="1089"/>
      </w:tblGrid>
      <w:tr w:rsidR="002C1136" w:rsidRPr="001D2656" w:rsidTr="0019451C">
        <w:trPr>
          <w:trHeight w:val="258"/>
        </w:trPr>
        <w:tc>
          <w:tcPr>
            <w:tcW w:w="1747" w:type="pct"/>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Exchange</w:t>
            </w:r>
          </w:p>
        </w:tc>
        <w:tc>
          <w:tcPr>
            <w:tcW w:w="3253" w:type="pct"/>
            <w:gridSpan w:val="6"/>
            <w:tcBorders>
              <w:top w:val="single" w:sz="4" w:space="0" w:color="auto"/>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Jan-21</w:t>
            </w:r>
          </w:p>
        </w:tc>
      </w:tr>
      <w:tr w:rsidR="002C1136" w:rsidRPr="001D2656" w:rsidTr="0019451C">
        <w:trPr>
          <w:trHeight w:val="258"/>
        </w:trPr>
        <w:tc>
          <w:tcPr>
            <w:tcW w:w="1747" w:type="pct"/>
            <w:vMerge/>
            <w:tcBorders>
              <w:top w:val="single" w:sz="4" w:space="0" w:color="auto"/>
              <w:left w:val="single" w:sz="4" w:space="0" w:color="auto"/>
              <w:bottom w:val="single" w:sz="4" w:space="0" w:color="auto"/>
              <w:right w:val="single" w:sz="4" w:space="0" w:color="auto"/>
            </w:tcBorders>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1643"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Commodities Futures</w:t>
            </w:r>
          </w:p>
        </w:tc>
        <w:tc>
          <w:tcPr>
            <w:tcW w:w="1610" w:type="pct"/>
            <w:gridSpan w:val="3"/>
            <w:tcBorders>
              <w:top w:val="single" w:sz="4" w:space="0" w:color="auto"/>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Commodities Options</w:t>
            </w:r>
          </w:p>
        </w:tc>
      </w:tr>
      <w:tr w:rsidR="002C1136" w:rsidRPr="001D2656" w:rsidTr="0019451C">
        <w:trPr>
          <w:trHeight w:val="672"/>
        </w:trPr>
        <w:tc>
          <w:tcPr>
            <w:tcW w:w="1747" w:type="pct"/>
            <w:vMerge/>
            <w:tcBorders>
              <w:top w:val="single" w:sz="4" w:space="0" w:color="auto"/>
              <w:left w:val="single" w:sz="4" w:space="0" w:color="auto"/>
              <w:bottom w:val="single" w:sz="4" w:space="0" w:color="auto"/>
              <w:right w:val="single" w:sz="4" w:space="0" w:color="auto"/>
            </w:tcBorders>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569"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Number of</w:t>
            </w:r>
            <w:r w:rsidRPr="001D2656">
              <w:rPr>
                <w:rFonts w:ascii="Garamond" w:eastAsia="Times New Roman" w:hAnsi="Garamond" w:cs="Calibri"/>
                <w:b/>
                <w:bCs/>
                <w:color w:val="000000"/>
                <w:sz w:val="20"/>
                <w:szCs w:val="20"/>
                <w:lang w:val="en-IN" w:eastAsia="en-IN" w:bidi="hi-IN"/>
              </w:rPr>
              <w:br/>
              <w:t>Contracts Traded</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Notional</w:t>
            </w:r>
            <w:r w:rsidRPr="001D2656">
              <w:rPr>
                <w:rFonts w:ascii="Garamond" w:eastAsia="Times New Roman" w:hAnsi="Garamond" w:cs="Calibri"/>
                <w:b/>
                <w:bCs/>
                <w:color w:val="000000"/>
                <w:sz w:val="20"/>
                <w:szCs w:val="20"/>
                <w:lang w:val="en-IN" w:eastAsia="en-IN" w:bidi="hi-IN"/>
              </w:rPr>
              <w:br/>
              <w:t>Turnover</w:t>
            </w:r>
          </w:p>
        </w:tc>
        <w:tc>
          <w:tcPr>
            <w:tcW w:w="537"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Open</w:t>
            </w:r>
            <w:r w:rsidRPr="001D2656">
              <w:rPr>
                <w:rFonts w:ascii="Garamond" w:eastAsia="Times New Roman" w:hAnsi="Garamond" w:cs="Calibri"/>
                <w:b/>
                <w:bCs/>
                <w:color w:val="000000"/>
                <w:sz w:val="20"/>
                <w:szCs w:val="20"/>
                <w:lang w:val="en-IN" w:eastAsia="en-IN" w:bidi="hi-IN"/>
              </w:rPr>
              <w:br/>
              <w:t>Interest</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Number of</w:t>
            </w:r>
            <w:r w:rsidRPr="001D2656">
              <w:rPr>
                <w:rFonts w:ascii="Garamond" w:eastAsia="Times New Roman" w:hAnsi="Garamond" w:cs="Calibri"/>
                <w:b/>
                <w:bCs/>
                <w:color w:val="000000"/>
                <w:sz w:val="20"/>
                <w:szCs w:val="20"/>
                <w:lang w:val="en-IN" w:eastAsia="en-IN" w:bidi="hi-IN"/>
              </w:rPr>
              <w:br/>
              <w:t>Contracts Traded</w:t>
            </w:r>
          </w:p>
        </w:tc>
        <w:tc>
          <w:tcPr>
            <w:tcW w:w="536"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Notional</w:t>
            </w:r>
            <w:r w:rsidRPr="001D2656">
              <w:rPr>
                <w:rFonts w:ascii="Garamond" w:eastAsia="Times New Roman" w:hAnsi="Garamond" w:cs="Calibri"/>
                <w:b/>
                <w:bCs/>
                <w:color w:val="000000"/>
                <w:sz w:val="20"/>
                <w:szCs w:val="20"/>
                <w:lang w:val="en-IN" w:eastAsia="en-IN" w:bidi="hi-IN"/>
              </w:rPr>
              <w:br/>
              <w:t>Turnover</w:t>
            </w:r>
          </w:p>
        </w:tc>
        <w:tc>
          <w:tcPr>
            <w:tcW w:w="537" w:type="pct"/>
            <w:tcBorders>
              <w:top w:val="nil"/>
              <w:left w:val="nil"/>
              <w:bottom w:val="single" w:sz="4" w:space="0" w:color="auto"/>
              <w:right w:val="single" w:sz="4" w:space="0" w:color="auto"/>
            </w:tcBorders>
            <w:shd w:val="clear" w:color="000000" w:fill="B4C6E7"/>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Open</w:t>
            </w:r>
            <w:r w:rsidRPr="001D2656">
              <w:rPr>
                <w:rFonts w:ascii="Garamond" w:eastAsia="Times New Roman" w:hAnsi="Garamond" w:cs="Calibri"/>
                <w:b/>
                <w:bCs/>
                <w:color w:val="000000"/>
                <w:sz w:val="20"/>
                <w:szCs w:val="20"/>
                <w:lang w:val="en-IN" w:eastAsia="en-IN" w:bidi="hi-IN"/>
              </w:rPr>
              <w:br/>
              <w:t>Interest</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B3 - Brasil Bolsa Balcão</w:t>
            </w:r>
          </w:p>
        </w:tc>
        <w:tc>
          <w:tcPr>
            <w:tcW w:w="569" w:type="pct"/>
            <w:tcBorders>
              <w:top w:val="single" w:sz="8" w:space="0" w:color="auto"/>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212,922</w:t>
            </w:r>
          </w:p>
        </w:tc>
        <w:tc>
          <w:tcPr>
            <w:tcW w:w="536" w:type="pct"/>
            <w:tcBorders>
              <w:top w:val="single" w:sz="8" w:space="0" w:color="auto"/>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2,604</w:t>
            </w:r>
          </w:p>
        </w:tc>
        <w:tc>
          <w:tcPr>
            <w:tcW w:w="537" w:type="pct"/>
            <w:tcBorders>
              <w:top w:val="single" w:sz="8" w:space="0" w:color="auto"/>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83,362</w:t>
            </w:r>
          </w:p>
        </w:tc>
        <w:tc>
          <w:tcPr>
            <w:tcW w:w="536" w:type="pct"/>
            <w:tcBorders>
              <w:top w:val="single" w:sz="8" w:space="0" w:color="auto"/>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27,225</w:t>
            </w:r>
          </w:p>
        </w:tc>
        <w:tc>
          <w:tcPr>
            <w:tcW w:w="536" w:type="pct"/>
            <w:tcBorders>
              <w:top w:val="single" w:sz="8" w:space="0" w:color="auto"/>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w:t>
            </w:r>
          </w:p>
        </w:tc>
        <w:tc>
          <w:tcPr>
            <w:tcW w:w="537" w:type="pct"/>
            <w:tcBorders>
              <w:top w:val="single" w:sz="8" w:space="0" w:color="auto"/>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49,462</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Matba Rofex</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118,202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1,841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54,410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15,506</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28</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26,578</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CME Group</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74,441,112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4,387,671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14,287,324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14,027,726</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723,787</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10,934,158</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ASX Australian Securities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78,571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1,859</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156,524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12,823</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1,731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42,086</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Hong Kong Exchanges and Clearing</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9,249</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231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660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National Stock Exchange of India</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7,715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117</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58</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37,701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267</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685</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NZX Limited</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22,581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118</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47,997</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500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10,340</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Singapore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1,829,969</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1,057,125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227,510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510,310</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Taiwan Futures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12,723</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236</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1,472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1,512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16</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540</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Thailand Futures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847,564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40,717</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Bursa Malaysia Derivatives</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1,359,177</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25,712</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185,010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1,880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0</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11,880</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Zhengzhou Commodity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Dalian Commodity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176,192,292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1,468,215</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8,419,068</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5,651,329</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926</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1,149,945</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Multi Commodity Exchange of India</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15,986,890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89,720</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211,821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125,679</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3,618</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4,727</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Shanghai Futures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210,120,401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2,457,170</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6,707,899</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1,722,311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741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131,914</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Borsa Istanbul</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9,821,458</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4,033</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2,112,220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Deutsche Boerse AG</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592,835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20,209</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2,865,422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193,161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803</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435,048</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Euronext</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2,052,152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27,839</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749,224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295,300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3,784</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335,178</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LSE Group</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0</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120</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Moscow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43,623,372</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28,871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1,522,556</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400,635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254</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95,568</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Dubai Gold and Commodities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5,625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81</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235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58"/>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London Metal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10,350,276</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1,252,799</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2,073,491</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530,144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71,812</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374,703</w:t>
            </w:r>
          </w:p>
        </w:tc>
      </w:tr>
      <w:tr w:rsidR="002C1136" w:rsidRPr="001D2656" w:rsidTr="0019451C">
        <w:trPr>
          <w:trHeight w:val="452"/>
        </w:trPr>
        <w:tc>
          <w:tcPr>
            <w:tcW w:w="1747" w:type="pct"/>
            <w:tcBorders>
              <w:top w:val="nil"/>
              <w:left w:val="single" w:sz="4" w:space="0" w:color="auto"/>
              <w:bottom w:val="nil"/>
              <w:right w:val="nil"/>
            </w:tcBorders>
            <w:shd w:val="clear" w:color="000000" w:fill="B4C6E7"/>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The Saint-Petersburg International Mercantile Exchange</w:t>
            </w:r>
          </w:p>
        </w:tc>
        <w:tc>
          <w:tcPr>
            <w:tcW w:w="569" w:type="pct"/>
            <w:tcBorders>
              <w:top w:val="nil"/>
              <w:left w:val="single" w:sz="8" w:space="0" w:color="auto"/>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13,034</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47</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xml:space="preserve"> 1,965</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6"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c>
          <w:tcPr>
            <w:tcW w:w="537" w:type="pct"/>
            <w:tcBorders>
              <w:top w:val="nil"/>
              <w:left w:val="nil"/>
              <w:bottom w:val="nil"/>
              <w:right w:val="single" w:sz="8" w:space="0" w:color="auto"/>
            </w:tcBorders>
            <w:shd w:val="clear" w:color="auto" w:fill="auto"/>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NA</w:t>
            </w:r>
          </w:p>
        </w:tc>
      </w:tr>
      <w:tr w:rsidR="002C1136" w:rsidRPr="001D2656" w:rsidTr="0019451C">
        <w:trPr>
          <w:trHeight w:val="271"/>
        </w:trPr>
        <w:tc>
          <w:tcPr>
            <w:tcW w:w="1747" w:type="pct"/>
            <w:tcBorders>
              <w:top w:val="single" w:sz="8" w:space="0" w:color="auto"/>
              <w:left w:val="single" w:sz="8" w:space="0" w:color="auto"/>
              <w:bottom w:val="single" w:sz="8" w:space="0" w:color="auto"/>
              <w:right w:val="nil"/>
            </w:tcBorders>
            <w:shd w:val="clear" w:color="000000" w:fill="D9E1F2"/>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Grand Total</w:t>
            </w:r>
          </w:p>
        </w:tc>
        <w:tc>
          <w:tcPr>
            <w:tcW w:w="569" w:type="pct"/>
            <w:tcBorders>
              <w:top w:val="single" w:sz="8" w:space="0" w:color="auto"/>
              <w:left w:val="nil"/>
              <w:bottom w:val="single" w:sz="8" w:space="0" w:color="auto"/>
              <w:right w:val="nil"/>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547,698,120</w:t>
            </w:r>
          </w:p>
        </w:tc>
        <w:tc>
          <w:tcPr>
            <w:tcW w:w="536" w:type="pct"/>
            <w:tcBorders>
              <w:top w:val="single" w:sz="8" w:space="0" w:color="auto"/>
              <w:left w:val="nil"/>
              <w:bottom w:val="single" w:sz="8" w:space="0" w:color="auto"/>
              <w:right w:val="nil"/>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9,769,374</w:t>
            </w:r>
          </w:p>
        </w:tc>
        <w:tc>
          <w:tcPr>
            <w:tcW w:w="537" w:type="pct"/>
            <w:tcBorders>
              <w:top w:val="single" w:sz="8" w:space="0" w:color="auto"/>
              <w:left w:val="nil"/>
              <w:bottom w:val="single" w:sz="8" w:space="0" w:color="auto"/>
              <w:right w:val="nil"/>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40,578,680</w:t>
            </w:r>
          </w:p>
        </w:tc>
        <w:tc>
          <w:tcPr>
            <w:tcW w:w="536" w:type="pct"/>
            <w:tcBorders>
              <w:top w:val="single" w:sz="8" w:space="0" w:color="auto"/>
              <w:left w:val="nil"/>
              <w:bottom w:val="single" w:sz="8" w:space="0" w:color="auto"/>
              <w:right w:val="nil"/>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23,270,942</w:t>
            </w:r>
          </w:p>
        </w:tc>
        <w:tc>
          <w:tcPr>
            <w:tcW w:w="536" w:type="pct"/>
            <w:tcBorders>
              <w:top w:val="single" w:sz="8" w:space="0" w:color="auto"/>
              <w:left w:val="nil"/>
              <w:bottom w:val="single" w:sz="8" w:space="0" w:color="auto"/>
              <w:right w:val="nil"/>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807,782</w:t>
            </w:r>
          </w:p>
        </w:tc>
        <w:tc>
          <w:tcPr>
            <w:tcW w:w="537" w:type="pct"/>
            <w:tcBorders>
              <w:top w:val="single" w:sz="8" w:space="0" w:color="auto"/>
              <w:left w:val="nil"/>
              <w:bottom w:val="single" w:sz="8" w:space="0" w:color="auto"/>
              <w:right w:val="single" w:sz="8" w:space="0" w:color="auto"/>
            </w:tcBorders>
            <w:shd w:val="clear" w:color="000000" w:fill="D9E1F2"/>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xml:space="preserve"> 14,113,122</w:t>
            </w:r>
          </w:p>
        </w:tc>
      </w:tr>
    </w:tbl>
    <w:p w:rsidR="002C1136" w:rsidRPr="001D2656" w:rsidRDefault="002C1136" w:rsidP="002C1136">
      <w:pPr>
        <w:spacing w:line="23" w:lineRule="atLeast"/>
        <w:rPr>
          <w:rFonts w:ascii="Garamond" w:hAnsi="Garamond"/>
          <w:bCs/>
          <w:sz w:val="18"/>
          <w:szCs w:val="18"/>
        </w:rPr>
      </w:pPr>
      <w:r w:rsidRPr="001D2656">
        <w:rPr>
          <w:rFonts w:ascii="Garamond" w:hAnsi="Garamond"/>
          <w:bCs/>
          <w:sz w:val="18"/>
          <w:szCs w:val="18"/>
        </w:rPr>
        <w:t xml:space="preserve"> NA: Not Available</w:t>
      </w:r>
    </w:p>
    <w:p w:rsidR="002C1136" w:rsidRPr="001D2656" w:rsidRDefault="002C1136" w:rsidP="002C1136">
      <w:pPr>
        <w:spacing w:line="23" w:lineRule="atLeast"/>
        <w:jc w:val="both"/>
        <w:outlineLvl w:val="0"/>
        <w:rPr>
          <w:rFonts w:ascii="Garamond" w:hAnsi="Garamond"/>
          <w:bCs/>
          <w:sz w:val="18"/>
          <w:szCs w:val="18"/>
        </w:rPr>
      </w:pPr>
      <w:r w:rsidRPr="001D2656">
        <w:rPr>
          <w:rFonts w:ascii="Garamond" w:hAnsi="Garamond"/>
          <w:bCs/>
          <w:sz w:val="18"/>
          <w:szCs w:val="18"/>
        </w:rPr>
        <w:t>Source: World Federation of Exchanges</w:t>
      </w:r>
    </w:p>
    <w:p w:rsidR="002C1136" w:rsidRPr="001D2656" w:rsidRDefault="002C1136" w:rsidP="002C1136">
      <w:pPr>
        <w:rPr>
          <w:rFonts w:ascii="Times New Roman" w:hAnsi="Times New Roman"/>
          <w:bCs/>
          <w:sz w:val="18"/>
          <w:szCs w:val="18"/>
        </w:rPr>
      </w:pPr>
      <w:r w:rsidRPr="001D2656">
        <w:rPr>
          <w:rFonts w:ascii="Times New Roman" w:hAnsi="Times New Roman"/>
          <w:bCs/>
          <w:sz w:val="18"/>
          <w:szCs w:val="18"/>
        </w:rPr>
        <w:br w:type="page"/>
      </w:r>
    </w:p>
    <w:p w:rsidR="002C1136" w:rsidRPr="001D2656" w:rsidRDefault="002C1136" w:rsidP="002C1136">
      <w:pPr>
        <w:spacing w:line="23" w:lineRule="atLeast"/>
        <w:jc w:val="both"/>
        <w:rPr>
          <w:rFonts w:ascii="Garamond" w:hAnsi="Garamond"/>
          <w:b/>
          <w:bCs/>
          <w:szCs w:val="22"/>
        </w:rPr>
      </w:pPr>
      <w:r w:rsidRPr="001D2656">
        <w:rPr>
          <w:rFonts w:ascii="Garamond" w:hAnsi="Garamond"/>
          <w:b/>
          <w:bCs/>
          <w:szCs w:val="22"/>
        </w:rPr>
        <w:t>Table A9: Major Foreign Holders of US Treasury Securities (USD billion)</w:t>
      </w:r>
    </w:p>
    <w:tbl>
      <w:tblPr>
        <w:tblW w:w="5034" w:type="pct"/>
        <w:tblLook w:val="04A0" w:firstRow="1" w:lastRow="0" w:firstColumn="1" w:lastColumn="0" w:noHBand="0" w:noVBand="1"/>
      </w:tblPr>
      <w:tblGrid>
        <w:gridCol w:w="1927"/>
        <w:gridCol w:w="729"/>
        <w:gridCol w:w="729"/>
        <w:gridCol w:w="729"/>
        <w:gridCol w:w="729"/>
        <w:gridCol w:w="729"/>
        <w:gridCol w:w="729"/>
        <w:gridCol w:w="729"/>
        <w:gridCol w:w="729"/>
        <w:gridCol w:w="729"/>
        <w:gridCol w:w="729"/>
        <w:gridCol w:w="729"/>
        <w:gridCol w:w="729"/>
      </w:tblGrid>
      <w:tr w:rsidR="002C1136" w:rsidRPr="001D2656" w:rsidTr="0019451C">
        <w:trPr>
          <w:trHeight w:val="315"/>
        </w:trPr>
        <w:tc>
          <w:tcPr>
            <w:tcW w:w="886" w:type="pct"/>
            <w:vMerge w:val="restart"/>
            <w:tcBorders>
              <w:top w:val="single" w:sz="8" w:space="0" w:color="auto"/>
              <w:left w:val="single" w:sz="8" w:space="0" w:color="auto"/>
              <w:bottom w:val="nil"/>
              <w:right w:val="single" w:sz="4" w:space="0" w:color="000000"/>
            </w:tcBorders>
            <w:shd w:val="clear" w:color="auto" w:fill="auto"/>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Country/ Month</w:t>
            </w:r>
          </w:p>
        </w:tc>
        <w:tc>
          <w:tcPr>
            <w:tcW w:w="340" w:type="pct"/>
            <w:tcBorders>
              <w:top w:val="single" w:sz="8" w:space="0" w:color="auto"/>
              <w:left w:val="single" w:sz="8" w:space="0" w:color="auto"/>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2020</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single" w:sz="8" w:space="0" w:color="auto"/>
              <w:left w:val="nil"/>
              <w:bottom w:val="single" w:sz="8" w:space="0" w:color="auto"/>
              <w:right w:val="nil"/>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74"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2021</w:t>
            </w:r>
          </w:p>
        </w:tc>
      </w:tr>
      <w:tr w:rsidR="002C1136" w:rsidRPr="001D2656" w:rsidTr="0019451C">
        <w:trPr>
          <w:trHeight w:val="315"/>
        </w:trPr>
        <w:tc>
          <w:tcPr>
            <w:tcW w:w="886" w:type="pct"/>
            <w:vMerge/>
            <w:tcBorders>
              <w:top w:val="single" w:sz="8" w:space="0" w:color="auto"/>
              <w:left w:val="single" w:sz="8" w:space="0" w:color="auto"/>
              <w:bottom w:val="nil"/>
              <w:right w:val="single" w:sz="4" w:space="0" w:color="000000"/>
            </w:tcBorders>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Feb</w:t>
            </w:r>
          </w:p>
        </w:tc>
        <w:tc>
          <w:tcPr>
            <w:tcW w:w="340" w:type="pct"/>
            <w:tcBorders>
              <w:top w:val="nil"/>
              <w:left w:val="single" w:sz="8" w:space="0" w:color="auto"/>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Mar</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Apr</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May</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Jun</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Jul</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Aug</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Sep</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Oct</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Nov</w:t>
            </w:r>
          </w:p>
        </w:tc>
        <w:tc>
          <w:tcPr>
            <w:tcW w:w="340"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Dec</w:t>
            </w:r>
          </w:p>
        </w:tc>
        <w:tc>
          <w:tcPr>
            <w:tcW w:w="374" w:type="pct"/>
            <w:tcBorders>
              <w:top w:val="nil"/>
              <w:left w:val="nil"/>
              <w:bottom w:val="nil"/>
              <w:right w:val="single" w:sz="8" w:space="0" w:color="auto"/>
            </w:tcBorders>
            <w:shd w:val="clear" w:color="auto" w:fill="auto"/>
            <w:hideMark/>
          </w:tcPr>
          <w:p w:rsidR="002C1136" w:rsidRPr="001D2656" w:rsidRDefault="002C1136" w:rsidP="0019451C">
            <w:pPr>
              <w:jc w:val="cente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Jan</w:t>
            </w:r>
          </w:p>
        </w:tc>
      </w:tr>
      <w:tr w:rsidR="002C1136" w:rsidRPr="001D2656" w:rsidTr="0019451C">
        <w:trPr>
          <w:trHeight w:val="300"/>
        </w:trPr>
        <w:tc>
          <w:tcPr>
            <w:tcW w:w="886" w:type="pct"/>
            <w:tcBorders>
              <w:top w:val="single" w:sz="8" w:space="0" w:color="auto"/>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Japan</w:t>
            </w:r>
          </w:p>
        </w:tc>
        <w:tc>
          <w:tcPr>
            <w:tcW w:w="340" w:type="pct"/>
            <w:tcBorders>
              <w:top w:val="single" w:sz="8" w:space="0" w:color="auto"/>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1268.6</w:t>
            </w:r>
          </w:p>
        </w:tc>
        <w:tc>
          <w:tcPr>
            <w:tcW w:w="340" w:type="pct"/>
            <w:tcBorders>
              <w:top w:val="single" w:sz="8" w:space="0" w:color="auto"/>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1272.6</w:t>
            </w:r>
          </w:p>
        </w:tc>
        <w:tc>
          <w:tcPr>
            <w:tcW w:w="340" w:type="pct"/>
            <w:tcBorders>
              <w:top w:val="single" w:sz="8" w:space="0" w:color="auto"/>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1266.5</w:t>
            </w:r>
          </w:p>
        </w:tc>
        <w:tc>
          <w:tcPr>
            <w:tcW w:w="340" w:type="pct"/>
            <w:tcBorders>
              <w:top w:val="single" w:sz="8" w:space="0" w:color="auto"/>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1260.4</w:t>
            </w:r>
          </w:p>
        </w:tc>
        <w:tc>
          <w:tcPr>
            <w:tcW w:w="340" w:type="pct"/>
            <w:tcBorders>
              <w:top w:val="single" w:sz="8" w:space="0" w:color="auto"/>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1261.6</w:t>
            </w:r>
          </w:p>
        </w:tc>
        <w:tc>
          <w:tcPr>
            <w:tcW w:w="340" w:type="pct"/>
            <w:tcBorders>
              <w:top w:val="single" w:sz="8" w:space="0" w:color="auto"/>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1293</w:t>
            </w:r>
          </w:p>
        </w:tc>
        <w:tc>
          <w:tcPr>
            <w:tcW w:w="340" w:type="pct"/>
            <w:tcBorders>
              <w:top w:val="single" w:sz="8" w:space="0" w:color="auto"/>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1278.4</w:t>
            </w:r>
          </w:p>
        </w:tc>
        <w:tc>
          <w:tcPr>
            <w:tcW w:w="340" w:type="pct"/>
            <w:tcBorders>
              <w:top w:val="single" w:sz="8" w:space="0" w:color="auto"/>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1276.2</w:t>
            </w:r>
          </w:p>
        </w:tc>
        <w:tc>
          <w:tcPr>
            <w:tcW w:w="340" w:type="pct"/>
            <w:tcBorders>
              <w:top w:val="single" w:sz="8" w:space="0" w:color="auto"/>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1273.1</w:t>
            </w:r>
          </w:p>
        </w:tc>
        <w:tc>
          <w:tcPr>
            <w:tcW w:w="340" w:type="pct"/>
            <w:tcBorders>
              <w:top w:val="single" w:sz="8" w:space="0" w:color="auto"/>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1260.8</w:t>
            </w:r>
          </w:p>
        </w:tc>
        <w:tc>
          <w:tcPr>
            <w:tcW w:w="340" w:type="pct"/>
            <w:tcBorders>
              <w:top w:val="single" w:sz="8" w:space="0" w:color="auto"/>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1251.3</w:t>
            </w:r>
          </w:p>
        </w:tc>
        <w:tc>
          <w:tcPr>
            <w:tcW w:w="374" w:type="pct"/>
            <w:tcBorders>
              <w:top w:val="single" w:sz="8" w:space="0" w:color="auto"/>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1276.7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China, Mainland</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1092.3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1081.6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1072.8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1083.7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1074.4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1073.4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1068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1061.7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1054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1063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1072.3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1095.2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United Kingdom</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477.1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469.7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429.2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445.8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445.3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424.6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419.4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428.5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442.8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420.5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440.6</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438.7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Ireland</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282.8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271.6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324.2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330.2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330.7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335.2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315.7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316.3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314.2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318.1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313.6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Luxembourg</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260.8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246.1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265.5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267.3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264.7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268.8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266.2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267.8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287.7</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281.4</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Brazil</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285.9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264.4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259.5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264.4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264.1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265.7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265.1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258.3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260.4</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Switzerland</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243.7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244.6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241.3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243.1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247.3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250.4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253.4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255.4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255.5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253.3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255.5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254</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Belgium</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206.1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210.2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212.1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219.8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211.8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214.9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218.1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239.5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240.5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253.5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248.2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Taiwan</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201.9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201.7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199.2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204.6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209.7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213.5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218.2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222.3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235.4</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239.6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Hong Kong</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268.4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259.4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262.7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246.7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241.7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226.6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223.8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224.1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223.9</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Cayman Islands</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228.2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209.4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213.1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216.7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222.3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231.6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221.5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222.9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222.9</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217.6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India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177.5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156.5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157.4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169.9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182.7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194.6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196.5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213.5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222.4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220.2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216.2</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211.6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Singapore</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165.4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151.5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146.1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142.1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150.5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158.6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160.3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163.8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168.1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164.3</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Saudi Arabia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184.4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159.1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125.3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123.5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124.9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124.6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130</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131.2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134.2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137.6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136.4</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135.1</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Canada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148.3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131.5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136.3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129.9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133.9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131.1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131.3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127.4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119.9</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126.7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Korea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116.1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110.8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120</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117.3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122.7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123.1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122.7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123.2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119.1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122.8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130.9</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125.2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France</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147.6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156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137.7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130.5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130</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133.3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135.1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136.9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132.4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111.3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122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Norway</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103.3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93.2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87.6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88.7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89.9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90.6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90.5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82.9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87.5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91.5</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Thailand</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91.3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81.8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80.5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85.8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85.5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87.9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85.7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83.2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80</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82.2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Germany</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77.3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77.7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80.6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79.3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78.2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78.7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74.7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74.2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75.4</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74.8</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Netherlands</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66.2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67.9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71.2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68.5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71.7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69.7</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69.8</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Bermuda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65.9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64.2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65.5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63.9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71.1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74.2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76.1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73.9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72.6</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68.2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Israel</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45.1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51.5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53.3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48.7</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53.7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Poland</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35.6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50.5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53.3</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Mexico</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45.4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52.7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49.4</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49.8</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Philippines</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Kuwait</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46.6</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45.3</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Sweden</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45.4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36.5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42.2</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Australia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39.8</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Italy</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38.3</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Vietnam</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32.6</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33.2</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37.4</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United Arab Emirates</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27.9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36.6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36.8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32.2</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33.8</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Colombia</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26.5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30.6</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32.4</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Spain</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43.8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35.2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35.3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Chile</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29.1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27.7</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27.3</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30.1</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All Other</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511.9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487.8</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493.4</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492.7</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506.3</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492.1</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483.3</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473.4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466.5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462.7</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Grand Total</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7226.2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6949.5</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6903.4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6978</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7046.9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7096.2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7082</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7069.2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7070.4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7051.2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7070.8</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7119.6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b/>
                <w:bCs/>
                <w:color w:val="000000"/>
                <w:sz w:val="20"/>
                <w:szCs w:val="20"/>
                <w:lang w:val="en-IN" w:eastAsia="en-IN" w:bidi="hi-IN"/>
              </w:rPr>
            </w:pPr>
            <w:r w:rsidRPr="001D2656">
              <w:rPr>
                <w:rFonts w:ascii="Garamond" w:eastAsia="Times New Roman" w:hAnsi="Garamond" w:cs="Calibri"/>
                <w:b/>
                <w:bCs/>
                <w:color w:val="000000"/>
                <w:sz w:val="20"/>
                <w:szCs w:val="20"/>
                <w:lang w:val="en-IN" w:eastAsia="en-IN" w:bidi="hi-IN"/>
              </w:rPr>
              <w:t> </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Of which:</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 </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For. Official</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4264.9</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4117.9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4047.4</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4105.9</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4147.1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4191.2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4199.3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4198.9</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4166.8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4176.2</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4186.5</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4224.6</w:t>
            </w:r>
          </w:p>
        </w:tc>
      </w:tr>
      <w:tr w:rsidR="002C1136" w:rsidRPr="001D2656" w:rsidTr="0019451C">
        <w:trPr>
          <w:trHeight w:val="300"/>
        </w:trPr>
        <w:tc>
          <w:tcPr>
            <w:tcW w:w="886" w:type="pct"/>
            <w:tcBorders>
              <w:top w:val="nil"/>
              <w:left w:val="single" w:sz="8" w:space="0" w:color="auto"/>
              <w:bottom w:val="nil"/>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Treasury Bills</w:t>
            </w:r>
          </w:p>
        </w:tc>
        <w:tc>
          <w:tcPr>
            <w:tcW w:w="340" w:type="pct"/>
            <w:tcBorders>
              <w:top w:val="nil"/>
              <w:left w:val="single" w:sz="8" w:space="0" w:color="auto"/>
              <w:bottom w:val="nil"/>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306.1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283.2</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331</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355.7</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382.3</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393.6</w:t>
            </w:r>
          </w:p>
        </w:tc>
        <w:tc>
          <w:tcPr>
            <w:tcW w:w="340" w:type="pct"/>
            <w:tcBorders>
              <w:top w:val="nil"/>
              <w:left w:val="nil"/>
              <w:bottom w:val="nil"/>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385</w:t>
            </w:r>
          </w:p>
        </w:tc>
        <w:tc>
          <w:tcPr>
            <w:tcW w:w="340" w:type="pct"/>
            <w:tcBorders>
              <w:top w:val="nil"/>
              <w:left w:val="single" w:sz="8" w:space="0" w:color="auto"/>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371.5</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375.4</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370.8</w:t>
            </w:r>
          </w:p>
        </w:tc>
        <w:tc>
          <w:tcPr>
            <w:tcW w:w="340"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361</w:t>
            </w:r>
          </w:p>
        </w:tc>
        <w:tc>
          <w:tcPr>
            <w:tcW w:w="374" w:type="pct"/>
            <w:tcBorders>
              <w:top w:val="nil"/>
              <w:left w:val="nil"/>
              <w:bottom w:val="nil"/>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378.1</w:t>
            </w:r>
          </w:p>
        </w:tc>
      </w:tr>
      <w:tr w:rsidR="002C1136" w:rsidRPr="001D2656" w:rsidTr="0019451C">
        <w:trPr>
          <w:trHeight w:val="315"/>
        </w:trPr>
        <w:tc>
          <w:tcPr>
            <w:tcW w:w="886" w:type="pct"/>
            <w:tcBorders>
              <w:top w:val="nil"/>
              <w:left w:val="single" w:sz="8" w:space="0" w:color="auto"/>
              <w:bottom w:val="single" w:sz="8" w:space="0" w:color="auto"/>
              <w:right w:val="nil"/>
            </w:tcBorders>
            <w:shd w:val="clear" w:color="auto" w:fill="auto"/>
            <w:noWrap/>
            <w:vAlign w:val="center"/>
            <w:hideMark/>
          </w:tcPr>
          <w:p w:rsidR="002C1136" w:rsidRPr="001D2656" w:rsidRDefault="002C1136" w:rsidP="0019451C">
            <w:pPr>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T-Bonds &amp; Notes</w:t>
            </w:r>
          </w:p>
        </w:tc>
        <w:tc>
          <w:tcPr>
            <w:tcW w:w="340" w:type="pct"/>
            <w:tcBorders>
              <w:top w:val="nil"/>
              <w:left w:val="single" w:sz="8" w:space="0" w:color="auto"/>
              <w:bottom w:val="single" w:sz="8" w:space="0" w:color="auto"/>
              <w:right w:val="nil"/>
            </w:tcBorders>
            <w:shd w:val="clear" w:color="auto" w:fill="auto"/>
            <w:noWrap/>
            <w:vAlign w:val="center"/>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3825.6</w:t>
            </w:r>
          </w:p>
        </w:tc>
        <w:tc>
          <w:tcPr>
            <w:tcW w:w="340" w:type="pct"/>
            <w:tcBorders>
              <w:top w:val="nil"/>
              <w:left w:val="single" w:sz="8" w:space="0" w:color="auto"/>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3805.4</w:t>
            </w:r>
          </w:p>
        </w:tc>
        <w:tc>
          <w:tcPr>
            <w:tcW w:w="340" w:type="pct"/>
            <w:tcBorders>
              <w:top w:val="nil"/>
              <w:left w:val="nil"/>
              <w:bottom w:val="single" w:sz="8" w:space="0" w:color="auto"/>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3791.3</w:t>
            </w:r>
          </w:p>
        </w:tc>
        <w:tc>
          <w:tcPr>
            <w:tcW w:w="340" w:type="pct"/>
            <w:tcBorders>
              <w:top w:val="nil"/>
              <w:left w:val="single" w:sz="8" w:space="0" w:color="auto"/>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3827.4</w:t>
            </w:r>
          </w:p>
        </w:tc>
        <w:tc>
          <w:tcPr>
            <w:tcW w:w="340" w:type="pct"/>
            <w:tcBorders>
              <w:top w:val="nil"/>
              <w:left w:val="nil"/>
              <w:bottom w:val="single" w:sz="8" w:space="0" w:color="auto"/>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3814.3</w:t>
            </w:r>
          </w:p>
        </w:tc>
        <w:tc>
          <w:tcPr>
            <w:tcW w:w="340" w:type="pct"/>
            <w:tcBorders>
              <w:top w:val="nil"/>
              <w:left w:val="single" w:sz="8" w:space="0" w:color="auto"/>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3797.6</w:t>
            </w:r>
          </w:p>
        </w:tc>
        <w:tc>
          <w:tcPr>
            <w:tcW w:w="340" w:type="pct"/>
            <w:tcBorders>
              <w:top w:val="nil"/>
              <w:left w:val="nil"/>
              <w:bottom w:val="single" w:sz="8" w:space="0" w:color="auto"/>
              <w:right w:val="nil"/>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3764.9</w:t>
            </w:r>
          </w:p>
        </w:tc>
        <w:tc>
          <w:tcPr>
            <w:tcW w:w="340" w:type="pct"/>
            <w:tcBorders>
              <w:top w:val="nil"/>
              <w:left w:val="single" w:sz="8" w:space="0" w:color="auto"/>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3750.2</w:t>
            </w:r>
          </w:p>
        </w:tc>
        <w:tc>
          <w:tcPr>
            <w:tcW w:w="340" w:type="pct"/>
            <w:tcBorders>
              <w:top w:val="nil"/>
              <w:left w:val="nil"/>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3716.4</w:t>
            </w:r>
          </w:p>
        </w:tc>
        <w:tc>
          <w:tcPr>
            <w:tcW w:w="340" w:type="pct"/>
            <w:tcBorders>
              <w:top w:val="nil"/>
              <w:left w:val="nil"/>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3834.6</w:t>
            </w:r>
          </w:p>
        </w:tc>
        <w:tc>
          <w:tcPr>
            <w:tcW w:w="340" w:type="pct"/>
            <w:tcBorders>
              <w:top w:val="nil"/>
              <w:left w:val="nil"/>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3958.8</w:t>
            </w:r>
          </w:p>
        </w:tc>
        <w:tc>
          <w:tcPr>
            <w:tcW w:w="374" w:type="pct"/>
            <w:tcBorders>
              <w:top w:val="nil"/>
              <w:left w:val="nil"/>
              <w:bottom w:val="single" w:sz="8" w:space="0" w:color="auto"/>
              <w:right w:val="single" w:sz="8" w:space="0" w:color="auto"/>
            </w:tcBorders>
            <w:shd w:val="clear" w:color="auto" w:fill="auto"/>
            <w:noWrap/>
            <w:vAlign w:val="bottom"/>
            <w:hideMark/>
          </w:tcPr>
          <w:p w:rsidR="002C1136" w:rsidRPr="001D2656" w:rsidRDefault="002C1136" w:rsidP="0019451C">
            <w:pPr>
              <w:jc w:val="right"/>
              <w:rPr>
                <w:rFonts w:ascii="Garamond" w:eastAsia="Times New Roman" w:hAnsi="Garamond" w:cs="Calibri"/>
                <w:color w:val="000000"/>
                <w:sz w:val="20"/>
                <w:szCs w:val="20"/>
                <w:lang w:val="en-IN" w:eastAsia="en-IN" w:bidi="hi-IN"/>
              </w:rPr>
            </w:pPr>
            <w:r w:rsidRPr="001D2656">
              <w:rPr>
                <w:rFonts w:ascii="Garamond" w:eastAsia="Times New Roman" w:hAnsi="Garamond" w:cs="Calibri"/>
                <w:color w:val="000000"/>
                <w:sz w:val="20"/>
                <w:szCs w:val="20"/>
                <w:lang w:val="en-IN" w:eastAsia="en-IN" w:bidi="hi-IN"/>
              </w:rPr>
              <w:t>3875.1</w:t>
            </w:r>
          </w:p>
        </w:tc>
      </w:tr>
    </w:tbl>
    <w:p w:rsidR="002C1136" w:rsidRPr="001D2656" w:rsidRDefault="002C1136" w:rsidP="002C1136">
      <w:pPr>
        <w:spacing w:line="23" w:lineRule="atLeast"/>
        <w:rPr>
          <w:rFonts w:ascii="Garamond" w:hAnsi="Garamond"/>
          <w:bCs/>
          <w:sz w:val="18"/>
          <w:szCs w:val="18"/>
        </w:rPr>
      </w:pPr>
      <w:r w:rsidRPr="001D2656">
        <w:rPr>
          <w:rFonts w:ascii="Garamond" w:hAnsi="Garamond"/>
          <w:bCs/>
          <w:sz w:val="18"/>
          <w:szCs w:val="18"/>
        </w:rPr>
        <w:t xml:space="preserve"> Note: </w:t>
      </w:r>
    </w:p>
    <w:p w:rsidR="002C1136" w:rsidRPr="001D2656" w:rsidRDefault="002C1136" w:rsidP="003F384D">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 xml:space="preserve">Data available as on </w:t>
      </w:r>
      <w:r>
        <w:rPr>
          <w:rFonts w:ascii="Garamond" w:hAnsi="Garamond"/>
          <w:bCs/>
          <w:sz w:val="18"/>
          <w:szCs w:val="18"/>
          <w:lang w:val="en-US"/>
        </w:rPr>
        <w:t>18 March</w:t>
      </w:r>
      <w:r w:rsidRPr="001D2656">
        <w:rPr>
          <w:rFonts w:ascii="Garamond" w:hAnsi="Garamond"/>
          <w:bCs/>
          <w:sz w:val="18"/>
          <w:szCs w:val="18"/>
          <w:lang w:val="en-US"/>
        </w:rPr>
        <w:t xml:space="preserve"> 2021</w:t>
      </w:r>
    </w:p>
    <w:p w:rsidR="002C1136" w:rsidRPr="001D2656" w:rsidRDefault="002C1136" w:rsidP="003F384D">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 (see TIC FAQ #7 at: http://www.treasury.gov/resource-center/data-chart-center/tic/Pages/ticfaq1.aspx)</w:t>
      </w:r>
    </w:p>
    <w:p w:rsidR="002C1136" w:rsidRPr="001D2656" w:rsidRDefault="002C1136" w:rsidP="003F384D">
      <w:pPr>
        <w:numPr>
          <w:ilvl w:val="0"/>
          <w:numId w:val="6"/>
        </w:numPr>
        <w:spacing w:line="23" w:lineRule="atLeast"/>
        <w:ind w:left="360"/>
        <w:contextualSpacing/>
        <w:jc w:val="both"/>
        <w:rPr>
          <w:rFonts w:ascii="Garamond" w:hAnsi="Garamond"/>
          <w:bCs/>
          <w:sz w:val="18"/>
          <w:szCs w:val="18"/>
          <w:lang w:val="en-US"/>
        </w:rPr>
      </w:pPr>
      <w:r w:rsidRPr="001D2656">
        <w:rPr>
          <w:rFonts w:ascii="Garamond" w:hAnsi="Garamond"/>
          <w:bCs/>
          <w:sz w:val="18"/>
          <w:szCs w:val="18"/>
          <w:lang w:val="en-US"/>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2C1136" w:rsidRPr="001D2656" w:rsidRDefault="002C1136" w:rsidP="002C1136">
      <w:pPr>
        <w:spacing w:line="23" w:lineRule="atLeast"/>
        <w:rPr>
          <w:rFonts w:ascii="Times New Roman" w:hAnsi="Times New Roman"/>
          <w:bCs/>
          <w:sz w:val="18"/>
          <w:szCs w:val="18"/>
        </w:rPr>
      </w:pPr>
      <w:r w:rsidRPr="001D2656">
        <w:rPr>
          <w:rFonts w:ascii="Garamond" w:hAnsi="Garamond"/>
          <w:bCs/>
          <w:sz w:val="18"/>
          <w:szCs w:val="18"/>
        </w:rPr>
        <w:t>Source: Department of the Treasury/Federal Reserve Board</w:t>
      </w:r>
    </w:p>
    <w:p w:rsidR="000F236F" w:rsidRDefault="000F236F" w:rsidP="00C909C0">
      <w:pPr>
        <w:spacing w:line="23" w:lineRule="atLeast"/>
        <w:rPr>
          <w:rFonts w:ascii="Garamond" w:hAnsi="Garamond"/>
          <w:bCs/>
          <w:sz w:val="18"/>
          <w:szCs w:val="18"/>
        </w:rPr>
      </w:pPr>
    </w:p>
    <w:p w:rsidR="00C909C0" w:rsidRDefault="00C909C0">
      <w:pPr>
        <w:rPr>
          <w:rFonts w:ascii="Garamond" w:hAnsi="Garamond"/>
          <w:bCs/>
          <w:sz w:val="18"/>
          <w:szCs w:val="18"/>
        </w:rPr>
      </w:pPr>
      <w:r>
        <w:rPr>
          <w:rFonts w:ascii="Garamond" w:hAnsi="Garamond"/>
          <w:bCs/>
          <w:sz w:val="18"/>
          <w:szCs w:val="18"/>
        </w:rPr>
        <w:br w:type="page"/>
      </w:r>
    </w:p>
    <w:p w:rsidR="000F236F"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HIGHLIGHTS OF DEVELOPMENTS IN</w:t>
      </w:r>
    </w:p>
    <w:p w:rsidR="000F236F" w:rsidRPr="004752BB" w:rsidRDefault="000F236F" w:rsidP="000E125F">
      <w:pPr>
        <w:jc w:val="center"/>
        <w:rPr>
          <w:rFonts w:ascii="Palatino Linotype" w:hAnsi="Palatino Linotype" w:cs="Calibri"/>
          <w:b/>
          <w:sz w:val="28"/>
          <w:szCs w:val="28"/>
        </w:rPr>
      </w:pPr>
      <w:r w:rsidRPr="004752BB">
        <w:rPr>
          <w:rFonts w:ascii="Palatino Linotype" w:hAnsi="Palatino Linotype" w:cs="Calibri"/>
          <w:b/>
          <w:sz w:val="28"/>
          <w:szCs w:val="28"/>
        </w:rPr>
        <w:t>INTERNATIONAL SECURITIES MARKET</w:t>
      </w:r>
    </w:p>
    <w:p w:rsidR="000F236F" w:rsidRDefault="000F236F" w:rsidP="000F236F">
      <w:pPr>
        <w:tabs>
          <w:tab w:val="left" w:pos="8160"/>
        </w:tabs>
        <w:jc w:val="both"/>
        <w:rPr>
          <w:rFonts w:ascii="Palatino Linotype" w:hAnsi="Palatino Linotype"/>
          <w:b/>
          <w:sz w:val="22"/>
          <w:szCs w:val="22"/>
        </w:rPr>
      </w:pPr>
    </w:p>
    <w:p w:rsidR="000F236F" w:rsidRDefault="000F236F" w:rsidP="000F236F">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272724" w:rsidRPr="00F3519E" w:rsidRDefault="00272724" w:rsidP="005D5970">
      <w:pPr>
        <w:shd w:val="clear" w:color="auto" w:fill="FFFFFF"/>
        <w:spacing w:line="276" w:lineRule="auto"/>
        <w:jc w:val="both"/>
        <w:textAlignment w:val="baseline"/>
        <w:rPr>
          <w:rFonts w:ascii="Palatino Linotype" w:hAnsi="Palatino Linotype"/>
          <w:b/>
          <w:bCs/>
          <w:sz w:val="22"/>
          <w:szCs w:val="22"/>
          <w:lang w:val="en-US" w:bidi="hi-IN"/>
        </w:rPr>
      </w:pPr>
      <w:r w:rsidRPr="00F3519E">
        <w:rPr>
          <w:rFonts w:ascii="Palatino Linotype" w:hAnsi="Palatino Linotype"/>
          <w:b/>
          <w:bCs/>
          <w:sz w:val="22"/>
          <w:szCs w:val="22"/>
          <w:lang w:val="en-US" w:bidi="hi-IN"/>
        </w:rPr>
        <w:t xml:space="preserve">1) </w:t>
      </w:r>
      <w:r w:rsidR="005D5970" w:rsidRPr="00F3519E">
        <w:rPr>
          <w:rFonts w:ascii="Palatino Linotype" w:hAnsi="Palatino Linotype"/>
          <w:b/>
          <w:bCs/>
          <w:sz w:val="22"/>
          <w:szCs w:val="22"/>
          <w:lang w:val="en-US" w:bidi="hi-IN"/>
        </w:rPr>
        <w:t>IOSCO Reviews the Impact of COVID-19 Government Support Measures on Credit Ratings</w:t>
      </w:r>
    </w:p>
    <w:p w:rsidR="00272724" w:rsidRPr="00F3519E" w:rsidRDefault="00272724" w:rsidP="00272724">
      <w:pPr>
        <w:shd w:val="clear" w:color="auto" w:fill="FFFFFF"/>
        <w:spacing w:line="276" w:lineRule="auto"/>
        <w:jc w:val="both"/>
        <w:textAlignment w:val="baseline"/>
        <w:rPr>
          <w:rFonts w:ascii="Palatino Linotype" w:hAnsi="Palatino Linotype"/>
          <w:b/>
          <w:bCs/>
          <w:sz w:val="22"/>
          <w:szCs w:val="22"/>
          <w:lang w:val="en-US" w:bidi="hi-IN"/>
        </w:rPr>
      </w:pPr>
    </w:p>
    <w:p w:rsidR="00F3519E" w:rsidRPr="00F3519E" w:rsidRDefault="00F3519E" w:rsidP="00F3519E">
      <w:pPr>
        <w:shd w:val="clear" w:color="auto" w:fill="FFFFFF"/>
        <w:spacing w:line="276" w:lineRule="auto"/>
        <w:jc w:val="both"/>
        <w:textAlignment w:val="baseline"/>
        <w:rPr>
          <w:rFonts w:ascii="Palatino Linotype" w:hAnsi="Palatino Linotype"/>
          <w:sz w:val="22"/>
          <w:szCs w:val="22"/>
          <w:lang w:val="en-US" w:bidi="hi-IN"/>
        </w:rPr>
      </w:pPr>
      <w:r w:rsidRPr="00F3519E">
        <w:rPr>
          <w:rFonts w:ascii="Palatino Linotype" w:hAnsi="Palatino Linotype"/>
          <w:sz w:val="22"/>
          <w:szCs w:val="22"/>
          <w:lang w:val="en-US" w:bidi="hi-IN"/>
        </w:rPr>
        <w:t xml:space="preserve">The Board of the International Organization of Securities Commissions (IOSCO) published a report analyzing the observed impact of COVID-19-related government support measures (GSM) on the credit ratings of the three largest credit rating agencies- Fitch, Moody´s and Standard &amp; Poor´s. </w:t>
      </w:r>
    </w:p>
    <w:p w:rsidR="00F3519E" w:rsidRPr="00F3519E" w:rsidRDefault="00F3519E" w:rsidP="00F3519E">
      <w:pPr>
        <w:shd w:val="clear" w:color="auto" w:fill="FFFFFF"/>
        <w:spacing w:line="276" w:lineRule="auto"/>
        <w:jc w:val="both"/>
        <w:textAlignment w:val="baseline"/>
        <w:rPr>
          <w:rFonts w:ascii="Palatino Linotype" w:hAnsi="Palatino Linotype"/>
          <w:sz w:val="22"/>
          <w:szCs w:val="22"/>
          <w:lang w:val="en-US" w:bidi="hi-IN"/>
        </w:rPr>
      </w:pPr>
    </w:p>
    <w:p w:rsidR="00F3519E" w:rsidRPr="00F3519E" w:rsidRDefault="00F3519E" w:rsidP="00F3519E">
      <w:pPr>
        <w:autoSpaceDE w:val="0"/>
        <w:autoSpaceDN w:val="0"/>
        <w:adjustRightInd w:val="0"/>
        <w:jc w:val="both"/>
        <w:rPr>
          <w:rFonts w:ascii="Palatino Linotype" w:hAnsi="Palatino Linotype"/>
          <w:lang w:val="en-IN" w:eastAsia="en-IN" w:bidi="hi-IN"/>
        </w:rPr>
      </w:pPr>
      <w:r w:rsidRPr="00F3519E">
        <w:rPr>
          <w:rFonts w:ascii="Palatino Linotype" w:hAnsi="Palatino Linotype"/>
          <w:lang w:val="en-IN" w:eastAsia="en-IN" w:bidi="hi-IN"/>
        </w:rPr>
        <w:t>a summary of the observed impact of GSMs on credit ratings and credit ratings ethodologies through a review of any changes made to the methodologi</w:t>
      </w:r>
      <w:r>
        <w:rPr>
          <w:rFonts w:ascii="Palatino Linotype" w:hAnsi="Palatino Linotype"/>
          <w:lang w:val="en-IN" w:eastAsia="en-IN" w:bidi="hi-IN"/>
        </w:rPr>
        <w:t xml:space="preserve">es, their application to rating </w:t>
      </w:r>
      <w:r w:rsidRPr="00F3519E">
        <w:rPr>
          <w:rFonts w:ascii="Palatino Linotype" w:hAnsi="Palatino Linotype"/>
          <w:lang w:val="en-IN" w:eastAsia="en-IN" w:bidi="hi-IN"/>
        </w:rPr>
        <w:t>actions taken during the timeframe of the pandemic, as well as implications of the withdrawal of GSMs on credit ratings and methodologies. The report does so across four main asset categories:</w:t>
      </w:r>
    </w:p>
    <w:p w:rsidR="00F3519E" w:rsidRPr="00F3519E" w:rsidRDefault="00F3519E" w:rsidP="00F3519E">
      <w:pPr>
        <w:autoSpaceDE w:val="0"/>
        <w:autoSpaceDN w:val="0"/>
        <w:adjustRightInd w:val="0"/>
        <w:rPr>
          <w:rFonts w:ascii="Palatino Linotype" w:hAnsi="Palatino Linotype"/>
          <w:lang w:val="en-IN" w:eastAsia="en-IN" w:bidi="hi-IN"/>
        </w:rPr>
      </w:pPr>
    </w:p>
    <w:p w:rsidR="00F3519E" w:rsidRPr="00F3519E" w:rsidRDefault="00F3519E" w:rsidP="00F3519E">
      <w:pPr>
        <w:autoSpaceDE w:val="0"/>
        <w:autoSpaceDN w:val="0"/>
        <w:adjustRightInd w:val="0"/>
        <w:rPr>
          <w:rFonts w:ascii="Palatino Linotype" w:hAnsi="Palatino Linotype"/>
          <w:lang w:val="en-IN" w:eastAsia="en-IN" w:bidi="hi-IN"/>
        </w:rPr>
      </w:pPr>
      <w:r w:rsidRPr="00F3519E">
        <w:rPr>
          <w:rFonts w:ascii="Palatino Linotype" w:hAnsi="Palatino Linotype" w:cs="SymbolMT"/>
          <w:lang w:val="en-IN" w:eastAsia="en-IN" w:bidi="hi-IN"/>
        </w:rPr>
        <w:t xml:space="preserve">• </w:t>
      </w:r>
      <w:r w:rsidRPr="00F3519E">
        <w:rPr>
          <w:rFonts w:ascii="Palatino Linotype" w:hAnsi="Palatino Linotype"/>
          <w:lang w:val="en-IN" w:eastAsia="en-IN" w:bidi="hi-IN"/>
        </w:rPr>
        <w:t>Sovereigns</w:t>
      </w:r>
    </w:p>
    <w:p w:rsidR="00F3519E" w:rsidRPr="00F3519E" w:rsidRDefault="00F3519E" w:rsidP="00F3519E">
      <w:pPr>
        <w:autoSpaceDE w:val="0"/>
        <w:autoSpaceDN w:val="0"/>
        <w:adjustRightInd w:val="0"/>
        <w:rPr>
          <w:rFonts w:ascii="Palatino Linotype" w:hAnsi="Palatino Linotype"/>
          <w:lang w:val="en-IN" w:eastAsia="en-IN" w:bidi="hi-IN"/>
        </w:rPr>
      </w:pPr>
      <w:r w:rsidRPr="00F3519E">
        <w:rPr>
          <w:rFonts w:ascii="Palatino Linotype" w:hAnsi="Palatino Linotype" w:cs="SymbolMT"/>
          <w:lang w:val="en-IN" w:eastAsia="en-IN" w:bidi="hi-IN"/>
        </w:rPr>
        <w:t xml:space="preserve">• </w:t>
      </w:r>
      <w:r w:rsidRPr="00F3519E">
        <w:rPr>
          <w:rFonts w:ascii="Palatino Linotype" w:hAnsi="Palatino Linotype"/>
          <w:lang w:val="en-IN" w:eastAsia="en-IN" w:bidi="hi-IN"/>
        </w:rPr>
        <w:t>Financial Institutions</w:t>
      </w:r>
    </w:p>
    <w:p w:rsidR="00F3519E" w:rsidRPr="00F3519E" w:rsidRDefault="00F3519E" w:rsidP="00F3519E">
      <w:pPr>
        <w:shd w:val="clear" w:color="auto" w:fill="FFFFFF"/>
        <w:spacing w:line="276" w:lineRule="auto"/>
        <w:jc w:val="both"/>
        <w:textAlignment w:val="baseline"/>
        <w:rPr>
          <w:rFonts w:ascii="Palatino Linotype" w:hAnsi="Palatino Linotype"/>
          <w:lang w:val="en-IN" w:eastAsia="en-IN" w:bidi="hi-IN"/>
        </w:rPr>
      </w:pPr>
      <w:r w:rsidRPr="00F3519E">
        <w:rPr>
          <w:rFonts w:ascii="Palatino Linotype" w:hAnsi="Palatino Linotype" w:cs="SymbolMT"/>
          <w:lang w:val="en-IN" w:eastAsia="en-IN" w:bidi="hi-IN"/>
        </w:rPr>
        <w:t xml:space="preserve">• </w:t>
      </w:r>
      <w:r w:rsidRPr="00F3519E">
        <w:rPr>
          <w:rFonts w:ascii="Palatino Linotype" w:hAnsi="Palatino Linotype"/>
          <w:lang w:val="en-IN" w:eastAsia="en-IN" w:bidi="hi-IN"/>
        </w:rPr>
        <w:t>Non-Financial Corporates</w:t>
      </w:r>
    </w:p>
    <w:p w:rsidR="00F3519E" w:rsidRPr="00F3519E" w:rsidRDefault="00F3519E" w:rsidP="00F3519E">
      <w:pPr>
        <w:pStyle w:val="ListParagraph"/>
        <w:numPr>
          <w:ilvl w:val="0"/>
          <w:numId w:val="27"/>
        </w:numPr>
        <w:shd w:val="clear" w:color="auto" w:fill="FFFFFF"/>
        <w:ind w:left="142" w:hanging="142"/>
        <w:jc w:val="both"/>
        <w:textAlignment w:val="baseline"/>
        <w:rPr>
          <w:rFonts w:ascii="Palatino Linotype" w:hAnsi="Palatino Linotype"/>
          <w:sz w:val="24"/>
          <w:szCs w:val="24"/>
          <w:lang w:val="en-IN" w:eastAsia="en-IN" w:bidi="hi-IN"/>
        </w:rPr>
      </w:pPr>
      <w:r w:rsidRPr="00F3519E">
        <w:rPr>
          <w:rFonts w:ascii="Palatino Linotype" w:hAnsi="Palatino Linotype"/>
          <w:sz w:val="24"/>
          <w:szCs w:val="24"/>
          <w:lang w:val="en-IN" w:eastAsia="en-IN" w:bidi="hi-IN"/>
        </w:rPr>
        <w:t>Structured Finance</w:t>
      </w:r>
    </w:p>
    <w:p w:rsidR="00F3519E" w:rsidRDefault="00F3519E" w:rsidP="00F3519E">
      <w:pPr>
        <w:jc w:val="both"/>
        <w:rPr>
          <w:rFonts w:ascii="Palatino Linotype" w:hAnsi="Palatino Linotype"/>
          <w:lang w:val="en-IN" w:eastAsia="en-IN" w:bidi="hi-IN"/>
        </w:rPr>
      </w:pPr>
      <w:r w:rsidRPr="00F3519E">
        <w:rPr>
          <w:rFonts w:ascii="Palatino Linotype" w:hAnsi="Palatino Linotype"/>
          <w:lang w:val="en-IN" w:eastAsia="en-IN" w:bidi="hi-IN"/>
        </w:rPr>
        <w:t>The report concludes that, as the after-effects of the COVID-19 health crisis continues to unfold into 2021, it remains important to continue to consider the effects of the GSMs across credit ratings and credit rating methodologies.</w:t>
      </w:r>
    </w:p>
    <w:p w:rsidR="00F3519E" w:rsidRDefault="00F3519E" w:rsidP="00F3519E">
      <w:pPr>
        <w:jc w:val="both"/>
        <w:rPr>
          <w:rFonts w:ascii="Palatino Linotype" w:hAnsi="Palatino Linotype"/>
          <w:lang w:val="en-IN" w:eastAsia="en-IN" w:bidi="hi-IN"/>
        </w:rPr>
      </w:pPr>
    </w:p>
    <w:p w:rsidR="00F3519E" w:rsidRPr="00F3519E" w:rsidRDefault="00F3519E" w:rsidP="00F3519E">
      <w:pPr>
        <w:jc w:val="both"/>
        <w:rPr>
          <w:rFonts w:ascii="Palatino Linotype" w:hAnsi="Palatino Linotype" w:cs="Calibri"/>
          <w:bCs/>
        </w:rPr>
      </w:pPr>
      <w:r w:rsidRPr="00F3519E">
        <w:rPr>
          <w:rFonts w:ascii="Palatino Linotype" w:hAnsi="Palatino Linotype" w:cs="Calibri"/>
          <w:bCs/>
        </w:rPr>
        <w:t xml:space="preserve">Source:  </w:t>
      </w:r>
      <w:hyperlink r:id="rId46" w:history="1">
        <w:r w:rsidRPr="00F3519E">
          <w:rPr>
            <w:rStyle w:val="Hyperlink"/>
            <w:rFonts w:ascii="Palatino Linotype" w:hAnsi="Palatino Linotype" w:cs="Calibri"/>
            <w:bCs/>
            <w:color w:val="auto"/>
            <w:u w:val="none"/>
          </w:rPr>
          <w:t>https://www.iosco.org/news/pdf/IOSCONEWS593.pdf</w:t>
        </w:r>
      </w:hyperlink>
    </w:p>
    <w:p w:rsidR="00F3519E" w:rsidRPr="00F3519E" w:rsidRDefault="00F3519E" w:rsidP="00F3519E">
      <w:pPr>
        <w:jc w:val="both"/>
        <w:rPr>
          <w:rFonts w:ascii="Palatino Linotype" w:hAnsi="Palatino Linotype"/>
          <w:i/>
          <w:iCs/>
          <w:lang w:val="en-US" w:bidi="hi-IN"/>
        </w:rPr>
      </w:pPr>
    </w:p>
    <w:p w:rsidR="00F3519E" w:rsidRPr="00F3519E" w:rsidRDefault="00F3519E" w:rsidP="00F3519E">
      <w:pPr>
        <w:tabs>
          <w:tab w:val="left" w:pos="8160"/>
        </w:tabs>
        <w:jc w:val="both"/>
        <w:rPr>
          <w:rFonts w:ascii="Palatino Linotype" w:hAnsi="Palatino Linotype"/>
          <w:b/>
        </w:rPr>
      </w:pPr>
      <w:r w:rsidRPr="00F3519E">
        <w:rPr>
          <w:rFonts w:ascii="Palatino Linotype" w:hAnsi="Palatino Linotype"/>
          <w:b/>
        </w:rPr>
        <w:t>2)  IOSCO sees an Urgent Need for Globally Consistent, Comparable, and Reliable Sustainability Disclosure Standards and announces its Priorities and Vision for a Sustainability Standards Board under the IFRS Foundation</w:t>
      </w:r>
      <w:r w:rsidRPr="00F3519E">
        <w:rPr>
          <w:rFonts w:ascii="Palatino Linotype" w:hAnsi="Palatino Linotype"/>
          <w:b/>
        </w:rPr>
        <w:cr/>
      </w:r>
    </w:p>
    <w:p w:rsidR="00F3519E" w:rsidRPr="00F3519E" w:rsidRDefault="00F3519E" w:rsidP="00F3519E">
      <w:pPr>
        <w:tabs>
          <w:tab w:val="left" w:pos="8160"/>
        </w:tabs>
        <w:jc w:val="both"/>
        <w:rPr>
          <w:rFonts w:ascii="Palatino Linotype" w:hAnsi="Palatino Linotype"/>
          <w:bCs/>
        </w:rPr>
      </w:pPr>
      <w:r w:rsidRPr="00F3519E">
        <w:rPr>
          <w:rFonts w:ascii="Palatino Linotype" w:hAnsi="Palatino Linotype"/>
          <w:bCs/>
        </w:rPr>
        <w:t>The IOSCO Board met and discussed the progress made over the past year by its Sustainable Finance Task Force. IOSCO sees an urgent need to improve the consistency, comparability, and reliability of sustainability reporting, with an initial focus on climate change-related risks and opportunities, which would subsequently be broadened to other sustainability issues.</w:t>
      </w:r>
    </w:p>
    <w:p w:rsidR="00F3519E" w:rsidRDefault="00F3519E" w:rsidP="00F3519E">
      <w:pPr>
        <w:tabs>
          <w:tab w:val="left" w:pos="8160"/>
        </w:tabs>
        <w:jc w:val="both"/>
        <w:rPr>
          <w:rFonts w:ascii="Palatino Linotype" w:hAnsi="Palatino Linotype" w:cs="TimesNewRomanPSMT"/>
          <w:lang w:val="en-IN" w:eastAsia="en-IN" w:bidi="hi-IN"/>
        </w:rPr>
      </w:pPr>
      <w:r w:rsidRPr="00F3519E">
        <w:rPr>
          <w:rFonts w:ascii="Palatino Linotype" w:hAnsi="Palatino Linotype" w:cs="TimesNewRomanPSMT"/>
          <w:lang w:val="en-IN" w:eastAsia="en-IN" w:bidi="hi-IN"/>
        </w:rPr>
        <w:t xml:space="preserve">In line with its objectives, the IOSCO Board identified three priority areas for improvement in sustainability-related disclosures by companies and asset managers- </w:t>
      </w:r>
    </w:p>
    <w:p w:rsidR="00F3519E" w:rsidRPr="00F3519E" w:rsidRDefault="00F3519E" w:rsidP="00F3519E">
      <w:pPr>
        <w:tabs>
          <w:tab w:val="left" w:pos="8160"/>
        </w:tabs>
        <w:jc w:val="both"/>
        <w:rPr>
          <w:rFonts w:ascii="Palatino Linotype" w:hAnsi="Palatino Linotype" w:cs="TimesNewRomanPSMT"/>
          <w:lang w:val="en-IN" w:eastAsia="en-IN" w:bidi="hi-IN"/>
        </w:rPr>
      </w:pPr>
    </w:p>
    <w:p w:rsidR="00F3519E" w:rsidRPr="00F3519E" w:rsidRDefault="00F3519E" w:rsidP="00F3519E">
      <w:pPr>
        <w:numPr>
          <w:ilvl w:val="3"/>
          <w:numId w:val="6"/>
        </w:numPr>
        <w:tabs>
          <w:tab w:val="left" w:pos="8160"/>
        </w:tabs>
        <w:ind w:left="1418" w:hanging="425"/>
        <w:jc w:val="both"/>
        <w:rPr>
          <w:rFonts w:ascii="Palatino Linotype" w:hAnsi="Palatino Linotype"/>
          <w:b/>
        </w:rPr>
      </w:pPr>
      <w:r w:rsidRPr="00F3519E">
        <w:rPr>
          <w:rFonts w:ascii="Palatino Linotype" w:hAnsi="Palatino Linotype" w:cs="TimesNewRomanPS-BoldMT"/>
          <w:b/>
          <w:bCs/>
          <w:lang w:val="en-IN" w:eastAsia="en-IN" w:bidi="hi-IN"/>
        </w:rPr>
        <w:t>Encouraging Globally Consistent Standards.</w:t>
      </w:r>
    </w:p>
    <w:p w:rsidR="00F3519E" w:rsidRPr="00F3519E" w:rsidRDefault="00F3519E" w:rsidP="00F3519E">
      <w:pPr>
        <w:numPr>
          <w:ilvl w:val="3"/>
          <w:numId w:val="6"/>
        </w:numPr>
        <w:tabs>
          <w:tab w:val="left" w:pos="8160"/>
        </w:tabs>
        <w:ind w:left="1418" w:hanging="425"/>
        <w:jc w:val="both"/>
        <w:rPr>
          <w:rFonts w:ascii="Palatino Linotype" w:hAnsi="Palatino Linotype"/>
          <w:b/>
        </w:rPr>
      </w:pPr>
      <w:r w:rsidRPr="00F3519E">
        <w:rPr>
          <w:rFonts w:ascii="Palatino Linotype" w:hAnsi="Palatino Linotype" w:cs="TimesNewRomanPS-BoldMT"/>
          <w:b/>
          <w:bCs/>
          <w:lang w:val="en-IN" w:eastAsia="en-IN" w:bidi="hi-IN"/>
        </w:rPr>
        <w:t>Promoting Comparable Metrics and Narratives</w:t>
      </w:r>
    </w:p>
    <w:p w:rsidR="00F3519E" w:rsidRPr="00F3519E" w:rsidRDefault="00F3519E" w:rsidP="00F3519E">
      <w:pPr>
        <w:numPr>
          <w:ilvl w:val="3"/>
          <w:numId w:val="6"/>
        </w:numPr>
        <w:tabs>
          <w:tab w:val="left" w:pos="8160"/>
        </w:tabs>
        <w:ind w:left="1418" w:hanging="425"/>
        <w:jc w:val="both"/>
        <w:rPr>
          <w:rFonts w:ascii="Palatino Linotype" w:hAnsi="Palatino Linotype"/>
          <w:b/>
        </w:rPr>
      </w:pPr>
      <w:r w:rsidRPr="00F3519E">
        <w:rPr>
          <w:rFonts w:ascii="Palatino Linotype" w:hAnsi="Palatino Linotype" w:cs="TimesNewRomanPS-BoldMT"/>
          <w:b/>
          <w:bCs/>
          <w:lang w:val="en-IN" w:eastAsia="en-IN" w:bidi="hi-IN"/>
        </w:rPr>
        <w:t>Coordinating Across Approaches.</w:t>
      </w:r>
    </w:p>
    <w:p w:rsidR="00F3519E" w:rsidRPr="00F3519E" w:rsidRDefault="00F3519E" w:rsidP="00F3519E">
      <w:pPr>
        <w:tabs>
          <w:tab w:val="left" w:pos="8160"/>
        </w:tabs>
        <w:ind w:left="2880"/>
        <w:jc w:val="both"/>
        <w:rPr>
          <w:rFonts w:ascii="Palatino Linotype" w:hAnsi="Palatino Linotype"/>
          <w:b/>
        </w:rPr>
      </w:pPr>
    </w:p>
    <w:p w:rsidR="00F3519E" w:rsidRPr="00F3519E" w:rsidRDefault="00F3519E" w:rsidP="00F3519E">
      <w:pPr>
        <w:tabs>
          <w:tab w:val="left" w:pos="8160"/>
        </w:tabs>
        <w:jc w:val="both"/>
        <w:rPr>
          <w:rFonts w:ascii="Palatino Linotype" w:hAnsi="Palatino Linotype"/>
          <w:bCs/>
        </w:rPr>
      </w:pPr>
      <w:r w:rsidRPr="00F3519E">
        <w:rPr>
          <w:rFonts w:ascii="Palatino Linotype" w:hAnsi="Palatino Linotype"/>
          <w:bCs/>
        </w:rPr>
        <w:t>Source: https://www.iosco.org/news/pdf/IOSCONEWS594.pdf</w:t>
      </w:r>
    </w:p>
    <w:p w:rsidR="00932FDF" w:rsidRDefault="00932FDF" w:rsidP="00272724">
      <w:pPr>
        <w:rPr>
          <w:rFonts w:ascii="Palatino Linotype" w:hAnsi="Palatino Linotype"/>
          <w:b/>
          <w:sz w:val="22"/>
          <w:szCs w:val="22"/>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5D5970" w:rsidRDefault="005D5970" w:rsidP="00272724">
      <w:pPr>
        <w:jc w:val="center"/>
        <w:rPr>
          <w:rFonts w:ascii="Palatino Linotype" w:hAnsi="Palatino Linotype" w:cs="Calibri"/>
          <w:b/>
          <w:sz w:val="28"/>
          <w:szCs w:val="28"/>
        </w:rPr>
      </w:pPr>
    </w:p>
    <w:p w:rsidR="005D5970" w:rsidRDefault="005D597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183E80" w:rsidRDefault="00183E80" w:rsidP="00272724">
      <w:pPr>
        <w:jc w:val="center"/>
        <w:rPr>
          <w:rFonts w:ascii="Palatino Linotype" w:hAnsi="Palatino Linotype" w:cs="Calibri"/>
          <w:b/>
          <w:sz w:val="28"/>
          <w:szCs w:val="28"/>
        </w:rPr>
      </w:pPr>
    </w:p>
    <w:p w:rsidR="00C909C0" w:rsidRDefault="00C909C0" w:rsidP="00272724">
      <w:pPr>
        <w:jc w:val="center"/>
        <w:rPr>
          <w:rFonts w:ascii="Palatino Linotype" w:hAnsi="Palatino Linotype" w:cs="Calibri"/>
          <w:b/>
          <w:sz w:val="28"/>
          <w:szCs w:val="28"/>
        </w:rPr>
      </w:pPr>
    </w:p>
    <w:p w:rsidR="00C909C0" w:rsidRDefault="00C909C0" w:rsidP="00272724">
      <w:pPr>
        <w:jc w:val="center"/>
        <w:rPr>
          <w:rFonts w:ascii="Palatino Linotype" w:hAnsi="Palatino Linotype" w:cs="Calibri"/>
          <w:b/>
          <w:sz w:val="28"/>
          <w:szCs w:val="28"/>
        </w:rPr>
      </w:pPr>
    </w:p>
    <w:p w:rsidR="00C909C0" w:rsidRDefault="00C909C0" w:rsidP="00272724">
      <w:pPr>
        <w:jc w:val="center"/>
        <w:rPr>
          <w:rFonts w:ascii="Palatino Linotype" w:hAnsi="Palatino Linotype" w:cs="Calibri"/>
          <w:b/>
          <w:sz w:val="28"/>
          <w:szCs w:val="28"/>
        </w:rPr>
      </w:pPr>
    </w:p>
    <w:p w:rsidR="00C909C0" w:rsidRDefault="00C909C0" w:rsidP="00272724">
      <w:pPr>
        <w:jc w:val="center"/>
        <w:rPr>
          <w:rFonts w:ascii="Palatino Linotype" w:hAnsi="Palatino Linotype" w:cs="Calibri"/>
          <w:b/>
          <w:sz w:val="28"/>
          <w:szCs w:val="28"/>
        </w:rPr>
      </w:pPr>
    </w:p>
    <w:p w:rsidR="00272724" w:rsidRPr="004752BB" w:rsidRDefault="00272724" w:rsidP="00272724">
      <w:pPr>
        <w:jc w:val="center"/>
        <w:rPr>
          <w:rFonts w:ascii="Palatino Linotype" w:hAnsi="Palatino Linotype" w:cs="Calibri"/>
          <w:b/>
          <w:sz w:val="28"/>
          <w:szCs w:val="28"/>
        </w:rPr>
      </w:pPr>
      <w:r w:rsidRPr="004752BB">
        <w:rPr>
          <w:rFonts w:ascii="Palatino Linotype" w:hAnsi="Palatino Linotype" w:cs="Calibri"/>
          <w:b/>
          <w:sz w:val="28"/>
          <w:szCs w:val="28"/>
        </w:rPr>
        <w:t>POLICY DEVELOPMENTS AT SEBI</w:t>
      </w:r>
    </w:p>
    <w:p w:rsidR="00272724" w:rsidRDefault="00272724" w:rsidP="00272724">
      <w:pPr>
        <w:shd w:val="clear" w:color="auto" w:fill="FFFFFF"/>
        <w:spacing w:line="276" w:lineRule="auto"/>
        <w:jc w:val="both"/>
        <w:rPr>
          <w:rFonts w:ascii="Palatino Linotype" w:hAnsi="Palatino Linotype"/>
          <w:color w:val="000000"/>
        </w:rPr>
      </w:pPr>
    </w:p>
    <w:p w:rsidR="00C909C0" w:rsidRPr="00B239FA" w:rsidRDefault="00C909C0" w:rsidP="003F384D">
      <w:pPr>
        <w:pStyle w:val="ListParagraph"/>
        <w:numPr>
          <w:ilvl w:val="0"/>
          <w:numId w:val="18"/>
        </w:numPr>
        <w:spacing w:after="160" w:line="259" w:lineRule="auto"/>
        <w:ind w:left="284" w:hanging="284"/>
        <w:rPr>
          <w:rFonts w:ascii="Palatino Linotype" w:hAnsi="Palatino Linotype" w:cs="Arial"/>
          <w:b/>
          <w:sz w:val="24"/>
          <w:szCs w:val="24"/>
        </w:rPr>
      </w:pPr>
      <w:r w:rsidRPr="00B239FA">
        <w:rPr>
          <w:rFonts w:ascii="Palatino Linotype" w:hAnsi="Palatino Linotype" w:cs="Arial"/>
          <w:b/>
          <w:sz w:val="24"/>
          <w:szCs w:val="24"/>
        </w:rPr>
        <w:t xml:space="preserve">Setting up of Limited Purpose Clearing Corporation (LPCC) by Asset Management Companies (AMCs) of Mutual Funds </w:t>
      </w: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Securities Contracts (Regulation) (Stock Exchanges and Clearing Corporations) Regulations, 2018 (SECC Regulations), have been amended vide gazette notification dated October 08, 2020 to facilitate setting up of a LPCC for clearing and settling repo transactions in corporate debt securities.</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 xml:space="preserve">It has also been decided that AMCs shall contribute Rs.150 crore towards share capital of LPCC in proportion to the AUM of open ended debt oriented mutual fund schemes (excluding overnight, gilt fund and gilt fund with 10 year constant duration but including conservative hybrid schemes) managed by them. </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This contribution shall be based on Average AUM of debt oriented schemes for 2019-20 to be calculated by AMFI. Henceforth, it will be obligatory on the part of AMCs to contribute towards the share capital of LPCC.</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The setting up of LPCC and making the aforesaid contribution shall be in compliance with the networth requirements, other conditions and timelines, if any, as per SECC Regulations and circulars issued thereunder from time to time. AMCs shall also ensure that the networth as prescribed under Regulation 21(f) of SEBI (Mutual Funds) Regulations, 1996 shall be maintained over and above the contribution made towards setting up of the LPCC.</w:t>
      </w:r>
    </w:p>
    <w:p w:rsidR="00C909C0" w:rsidRPr="00B239FA" w:rsidRDefault="00C909C0" w:rsidP="00C909C0">
      <w:pPr>
        <w:jc w:val="both"/>
        <w:rPr>
          <w:rFonts w:ascii="Palatino Linotype" w:hAnsi="Palatino Linotype" w:cs="Arial"/>
          <w:bCs/>
          <w:i/>
          <w:iCs/>
        </w:rPr>
      </w:pPr>
    </w:p>
    <w:p w:rsidR="00C909C0" w:rsidRPr="00B239FA" w:rsidRDefault="00C909C0" w:rsidP="00C909C0">
      <w:pPr>
        <w:jc w:val="both"/>
        <w:rPr>
          <w:rFonts w:ascii="Palatino Linotype" w:hAnsi="Palatino Linotype" w:cs="Arial"/>
          <w:bCs/>
          <w:i/>
          <w:iCs/>
        </w:rPr>
      </w:pPr>
      <w:r w:rsidRPr="00B239FA">
        <w:rPr>
          <w:rFonts w:ascii="Palatino Linotype" w:hAnsi="Palatino Linotype" w:cs="Arial"/>
          <w:bCs/>
          <w:i/>
          <w:iCs/>
        </w:rPr>
        <w:t>Source: SEBI/HO/IMD/DF2/CIR/P/2021/17 dated February 02, 2021</w:t>
      </w:r>
    </w:p>
    <w:p w:rsidR="00C909C0" w:rsidRPr="00B239FA" w:rsidRDefault="00C909C0" w:rsidP="00C909C0">
      <w:pPr>
        <w:pStyle w:val="ListParagraph"/>
        <w:spacing w:after="0" w:line="240" w:lineRule="auto"/>
        <w:rPr>
          <w:rFonts w:ascii="Palatino Linotype" w:hAnsi="Palatino Linotype" w:cs="Arial"/>
          <w:b/>
          <w:sz w:val="24"/>
          <w:szCs w:val="24"/>
        </w:rPr>
      </w:pPr>
    </w:p>
    <w:p w:rsidR="00C909C0" w:rsidRPr="00B239FA" w:rsidRDefault="00C909C0" w:rsidP="003F384D">
      <w:pPr>
        <w:pStyle w:val="ListParagraph"/>
        <w:numPr>
          <w:ilvl w:val="0"/>
          <w:numId w:val="18"/>
        </w:numPr>
        <w:spacing w:after="0" w:line="240" w:lineRule="auto"/>
        <w:ind w:left="284" w:hanging="284"/>
        <w:rPr>
          <w:rFonts w:ascii="Palatino Linotype" w:hAnsi="Palatino Linotype" w:cs="Arial"/>
          <w:b/>
          <w:sz w:val="24"/>
          <w:szCs w:val="24"/>
        </w:rPr>
      </w:pPr>
      <w:r w:rsidRPr="00B239FA">
        <w:rPr>
          <w:rFonts w:ascii="Palatino Linotype" w:hAnsi="Palatino Linotype" w:cs="Arial"/>
          <w:b/>
          <w:sz w:val="24"/>
          <w:szCs w:val="24"/>
        </w:rPr>
        <w:t>Revised Framework for Innovation Sandbox</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With a view to operationalize fintech adoption and innovation, SEBI had proposed a concept of “Innovation Sandbox”. Innovation Sandbox facilitates access to an environment (testing facilities and test data) provided by enabling organizations like stock exchanges, depositories and qualified registrar and share transfer agents wherein innovators (hereinafter referred to as Sandbox Applicants) would be testing their innovations in isolation from the live market and would be used for offline testing of the proposed solution of the applicant.</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 xml:space="preserve">To drive the Innovation Sandbox, a steering committee comprising of representatives from the enabling organizations has been formed. The responsibilities of the steering committee includes supervision of operations of innovation sandbox, processing the applications submitted by sandbox applicants, approval / rejection of applications, assigning of lead enabling organizations. The secretariat for a particular application would be the assigned lead enabling organization. The lead enabling organizations are also be responsible for onboarding the applicant post approval of the application and monitoring the applicant throughout the lifecycle of the sandboxing. </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 xml:space="preserve">On review of the existing framework, in order to encourage innovation and make it even more convenient for participation in the Innovation Sandbox, the objective and eligibility criteria of the Innovation Sandbox has been revised in the present circular with graded entry norms as follows:  </w:t>
      </w:r>
    </w:p>
    <w:p w:rsidR="00C909C0" w:rsidRPr="00B239FA" w:rsidRDefault="00C909C0" w:rsidP="00C909C0">
      <w:pPr>
        <w:jc w:val="both"/>
        <w:rPr>
          <w:rFonts w:ascii="Palatino Linotype" w:hAnsi="Palatino Linotype" w:cs="Arial"/>
          <w:bCs/>
        </w:rPr>
      </w:pPr>
    </w:p>
    <w:p w:rsidR="00C909C0" w:rsidRPr="00B239FA" w:rsidRDefault="00C909C0" w:rsidP="003F384D">
      <w:pPr>
        <w:pStyle w:val="ListParagraph"/>
        <w:numPr>
          <w:ilvl w:val="0"/>
          <w:numId w:val="17"/>
        </w:numPr>
        <w:spacing w:after="0" w:line="240" w:lineRule="auto"/>
        <w:jc w:val="both"/>
        <w:rPr>
          <w:rFonts w:ascii="Palatino Linotype" w:hAnsi="Palatino Linotype" w:cs="Arial"/>
          <w:bCs/>
          <w:sz w:val="24"/>
          <w:szCs w:val="24"/>
        </w:rPr>
      </w:pPr>
      <w:r w:rsidRPr="00B239FA">
        <w:rPr>
          <w:rFonts w:ascii="Palatino Linotype" w:hAnsi="Palatino Linotype" w:cs="Arial"/>
          <w:bCs/>
          <w:sz w:val="24"/>
          <w:szCs w:val="24"/>
        </w:rPr>
        <w:t>Revised objective of Innovation Sandbox: To promote innovation both in terms of new products and services as well as new ways of delivering existing products and services so as to:  create new opportunities in the securities market and to make existing services more efficient / investor friendly/ inclusive.  This would be achieved by giving access to both test data and test environment to financial institutions, fintech firms, startups including entities not regulated by SEBI including individuals.</w:t>
      </w:r>
    </w:p>
    <w:p w:rsidR="00C909C0" w:rsidRPr="00B239FA" w:rsidRDefault="00C909C0" w:rsidP="00C909C0">
      <w:pPr>
        <w:pStyle w:val="ListParagraph"/>
        <w:spacing w:after="0" w:line="240" w:lineRule="auto"/>
        <w:jc w:val="both"/>
        <w:rPr>
          <w:rFonts w:ascii="Palatino Linotype" w:hAnsi="Palatino Linotype" w:cs="Arial"/>
          <w:bCs/>
          <w:sz w:val="24"/>
          <w:szCs w:val="24"/>
        </w:rPr>
      </w:pPr>
    </w:p>
    <w:p w:rsidR="00C909C0" w:rsidRPr="00B239FA" w:rsidRDefault="00C909C0" w:rsidP="003F384D">
      <w:pPr>
        <w:pStyle w:val="ListParagraph"/>
        <w:numPr>
          <w:ilvl w:val="0"/>
          <w:numId w:val="17"/>
        </w:numPr>
        <w:spacing w:after="0" w:line="240" w:lineRule="auto"/>
        <w:jc w:val="both"/>
        <w:rPr>
          <w:rFonts w:ascii="Palatino Linotype" w:hAnsi="Palatino Linotype" w:cs="Arial"/>
          <w:bCs/>
          <w:sz w:val="24"/>
          <w:szCs w:val="24"/>
        </w:rPr>
      </w:pPr>
      <w:r w:rsidRPr="00B239FA">
        <w:rPr>
          <w:rFonts w:ascii="Palatino Linotype" w:hAnsi="Palatino Linotype" w:cs="Arial"/>
          <w:bCs/>
          <w:sz w:val="24"/>
          <w:szCs w:val="24"/>
        </w:rPr>
        <w:t xml:space="preserve">Stages of Innovation sandbox:  During Stage – I, limited access to the test environment shall be provided and there shall be cap on the utilization of resources in terms of processing power, memory, storage etc. Under Stage – II, the cap on the utilization of resources shall be removed, subject to availability of resources at that point of time. </w:t>
      </w:r>
    </w:p>
    <w:p w:rsidR="00C909C0" w:rsidRPr="00B239FA" w:rsidRDefault="00C909C0" w:rsidP="00C909C0">
      <w:pPr>
        <w:pStyle w:val="ListParagraph"/>
        <w:spacing w:after="0" w:line="240" w:lineRule="auto"/>
        <w:rPr>
          <w:rFonts w:ascii="Palatino Linotype" w:hAnsi="Palatino Linotype" w:cs="Arial"/>
          <w:bCs/>
          <w:sz w:val="24"/>
          <w:szCs w:val="24"/>
        </w:rPr>
      </w:pPr>
    </w:p>
    <w:p w:rsidR="00C909C0" w:rsidRPr="00B239FA" w:rsidRDefault="00C909C0" w:rsidP="003F384D">
      <w:pPr>
        <w:pStyle w:val="ListParagraph"/>
        <w:numPr>
          <w:ilvl w:val="0"/>
          <w:numId w:val="17"/>
        </w:numPr>
        <w:spacing w:after="0" w:line="240" w:lineRule="auto"/>
        <w:jc w:val="both"/>
        <w:rPr>
          <w:rFonts w:ascii="Palatino Linotype" w:hAnsi="Palatino Linotype" w:cs="Arial"/>
          <w:bCs/>
          <w:sz w:val="24"/>
          <w:szCs w:val="24"/>
        </w:rPr>
      </w:pPr>
      <w:r w:rsidRPr="00B239FA">
        <w:rPr>
          <w:rFonts w:ascii="Palatino Linotype" w:hAnsi="Palatino Linotype" w:cs="Arial"/>
          <w:bCs/>
          <w:sz w:val="24"/>
          <w:szCs w:val="24"/>
        </w:rPr>
        <w:t xml:space="preserve">The eligibility criteria for Stage-I and Stage-II have been defined vide the present circular. </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 xml:space="preserve">In addition, the circular has classified in detail components and structure of the Innovation Sandbox into categories which included design components of data sets and infrastructure, intellectual property rights and administrative components. </w:t>
      </w:r>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rPr>
      </w:pPr>
      <w:r w:rsidRPr="00B239FA">
        <w:rPr>
          <w:rFonts w:ascii="Palatino Linotype" w:hAnsi="Palatino Linotype" w:cs="Arial"/>
          <w:bCs/>
        </w:rPr>
        <w:t xml:space="preserve">Enabling organizations are advised to endeavor to make the entire sandbox participation lifecycle (applying, tracking, on-boarding, monitoring, reporting, etc.) completely digital to ensure transparency and efficiency. The Innovation Sandbox web portal can be accessed at: </w:t>
      </w:r>
      <w:hyperlink r:id="rId47" w:history="1">
        <w:r w:rsidRPr="00B239FA">
          <w:rPr>
            <w:rFonts w:ascii="Palatino Linotype" w:hAnsi="Palatino Linotype" w:cs="Arial"/>
            <w:bCs/>
          </w:rPr>
          <w:t>https://innovation-sandbox.in/</w:t>
        </w:r>
      </w:hyperlink>
    </w:p>
    <w:p w:rsidR="00C909C0" w:rsidRPr="00B239FA" w:rsidRDefault="00C909C0" w:rsidP="00C909C0">
      <w:pPr>
        <w:jc w:val="both"/>
        <w:rPr>
          <w:rFonts w:ascii="Palatino Linotype" w:hAnsi="Palatino Linotype" w:cs="Arial"/>
          <w:bCs/>
        </w:rPr>
      </w:pPr>
    </w:p>
    <w:p w:rsidR="00C909C0" w:rsidRPr="00B239FA" w:rsidRDefault="00C909C0" w:rsidP="00C909C0">
      <w:pPr>
        <w:jc w:val="both"/>
        <w:rPr>
          <w:rFonts w:ascii="Palatino Linotype" w:hAnsi="Palatino Linotype" w:cs="Arial"/>
          <w:bCs/>
          <w:i/>
          <w:iCs/>
        </w:rPr>
      </w:pPr>
      <w:r w:rsidRPr="00B239FA">
        <w:rPr>
          <w:rFonts w:ascii="Palatino Linotype" w:hAnsi="Palatino Linotype" w:cs="Arial"/>
          <w:bCs/>
          <w:i/>
          <w:iCs/>
        </w:rPr>
        <w:t>Source: SEBI/HO/ITD/ITD/CIR/P/2021/16 dated February 02,2021</w:t>
      </w:r>
    </w:p>
    <w:p w:rsidR="00C909C0" w:rsidRPr="00B239FA" w:rsidRDefault="00C909C0" w:rsidP="00C909C0">
      <w:pPr>
        <w:pStyle w:val="Default"/>
        <w:jc w:val="both"/>
        <w:rPr>
          <w:rFonts w:ascii="Palatino Linotype" w:hAnsi="Palatino Linotype"/>
          <w:bCs/>
          <w:color w:val="auto"/>
        </w:rPr>
      </w:pPr>
    </w:p>
    <w:p w:rsidR="00C909C0" w:rsidRPr="00B239FA" w:rsidRDefault="00C909C0" w:rsidP="00C909C0">
      <w:pPr>
        <w:pStyle w:val="Default"/>
        <w:jc w:val="both"/>
        <w:rPr>
          <w:rFonts w:ascii="Palatino Linotype" w:hAnsi="Palatino Linotype"/>
          <w:bCs/>
          <w:color w:val="auto"/>
        </w:rPr>
      </w:pPr>
      <w:r w:rsidRPr="00B239FA">
        <w:rPr>
          <w:rFonts w:ascii="Palatino Linotype" w:hAnsi="Palatino Linotype"/>
          <w:b/>
          <w:color w:val="auto"/>
        </w:rPr>
        <w:t>3.</w:t>
      </w:r>
      <w:r w:rsidRPr="00B239FA">
        <w:rPr>
          <w:rFonts w:ascii="Palatino Linotype" w:hAnsi="Palatino Linotype"/>
          <w:bCs/>
          <w:color w:val="auto"/>
        </w:rPr>
        <w:t xml:space="preserve">  </w:t>
      </w:r>
      <w:r w:rsidRPr="00B239FA">
        <w:rPr>
          <w:rFonts w:ascii="Palatino Linotype" w:hAnsi="Palatino Linotype"/>
          <w:b/>
          <w:color w:val="auto"/>
        </w:rPr>
        <w:t>Revised disclosure formats under Regulation 7 of SEBI (Prohibition of Insider Trading)  Regulations, 2015</w:t>
      </w:r>
      <w:r w:rsidRPr="00B239FA">
        <w:rPr>
          <w:rFonts w:ascii="Palatino Linotype" w:hAnsi="Palatino Linotype"/>
          <w:bCs/>
          <w:color w:val="auto"/>
        </w:rPr>
        <w:t xml:space="preserve"> </w:t>
      </w:r>
    </w:p>
    <w:p w:rsidR="00C909C0" w:rsidRPr="00B239FA" w:rsidRDefault="00C909C0" w:rsidP="00C909C0">
      <w:pPr>
        <w:pStyle w:val="Default"/>
        <w:jc w:val="both"/>
        <w:rPr>
          <w:rFonts w:ascii="Palatino Linotype" w:hAnsi="Palatino Linotype"/>
          <w:bCs/>
          <w:color w:val="auto"/>
        </w:rPr>
      </w:pPr>
    </w:p>
    <w:p w:rsidR="00C909C0" w:rsidRPr="00B239FA" w:rsidRDefault="00C909C0" w:rsidP="00C909C0">
      <w:pPr>
        <w:pStyle w:val="Default"/>
        <w:jc w:val="both"/>
        <w:rPr>
          <w:rFonts w:ascii="Palatino Linotype" w:hAnsi="Palatino Linotype"/>
          <w:bCs/>
          <w:color w:val="auto"/>
        </w:rPr>
      </w:pPr>
      <w:r w:rsidRPr="00B239FA">
        <w:rPr>
          <w:rFonts w:ascii="Palatino Linotype" w:hAnsi="Palatino Linotype"/>
          <w:bCs/>
          <w:color w:val="auto"/>
        </w:rPr>
        <w:t>SEBI had specified the format for disclosures under regulation 7 of SEBI (PIT) Regulations, 2015 through circulars dated May 11, 2015 and September 16, 2015. Considering the feedback of market participants and in light of amendments to PIT regulations effecting inclusion of member of promoter group and designated person in place of employee, the relevant disclosure formats (Forms B to D) have been suitably revised. It is also advised to the stock exchanges to bring the circular to the notice of all listed companies and host in their respective websites.</w:t>
      </w:r>
    </w:p>
    <w:p w:rsidR="00C909C0" w:rsidRPr="00B239FA" w:rsidRDefault="00C909C0" w:rsidP="00C909C0">
      <w:pPr>
        <w:pStyle w:val="Default"/>
        <w:jc w:val="both"/>
        <w:rPr>
          <w:rFonts w:ascii="Palatino Linotype" w:hAnsi="Palatino Linotype"/>
          <w:bCs/>
          <w:color w:val="auto"/>
        </w:rPr>
      </w:pPr>
    </w:p>
    <w:p w:rsidR="00C909C0" w:rsidRPr="00B239FA" w:rsidRDefault="00C909C0" w:rsidP="00C909C0">
      <w:pPr>
        <w:pStyle w:val="Default"/>
        <w:jc w:val="both"/>
        <w:rPr>
          <w:rFonts w:ascii="Palatino Linotype" w:hAnsi="Palatino Linotype"/>
          <w:bCs/>
          <w:i/>
          <w:iCs/>
          <w:color w:val="auto"/>
        </w:rPr>
      </w:pPr>
      <w:r w:rsidRPr="00B239FA">
        <w:rPr>
          <w:rFonts w:ascii="Palatino Linotype" w:hAnsi="Palatino Linotype"/>
          <w:bCs/>
          <w:i/>
          <w:iCs/>
          <w:color w:val="auto"/>
        </w:rPr>
        <w:t>Source: SEBI/HO/ISD/ISD/CIR/P/2021/19 dated February 09, 2021.</w:t>
      </w:r>
    </w:p>
    <w:p w:rsidR="00C909C0" w:rsidRPr="00B239FA" w:rsidRDefault="00C909C0" w:rsidP="00C909C0">
      <w:pPr>
        <w:pStyle w:val="Default"/>
        <w:jc w:val="both"/>
        <w:rPr>
          <w:rFonts w:ascii="Palatino Linotype" w:hAnsi="Palatino Linotype"/>
          <w:bCs/>
          <w:i/>
          <w:iCs/>
          <w:color w:val="auto"/>
        </w:rPr>
      </w:pPr>
    </w:p>
    <w:p w:rsidR="00C909C0" w:rsidRPr="00B239FA" w:rsidRDefault="00C909C0" w:rsidP="00C909C0">
      <w:pPr>
        <w:shd w:val="clear" w:color="auto" w:fill="FFFFFF"/>
        <w:jc w:val="both"/>
        <w:rPr>
          <w:rFonts w:ascii="Palatino Linotype" w:hAnsi="Palatino Linotype" w:cs="Arial"/>
          <w:b/>
        </w:rPr>
      </w:pPr>
    </w:p>
    <w:p w:rsidR="00C909C0" w:rsidRPr="00B239FA" w:rsidRDefault="00C909C0" w:rsidP="00C909C0">
      <w:pPr>
        <w:shd w:val="clear" w:color="auto" w:fill="FFFFFF"/>
        <w:jc w:val="both"/>
        <w:rPr>
          <w:rFonts w:ascii="Palatino Linotype" w:hAnsi="Palatino Linotype" w:cs="Arial"/>
          <w:b/>
        </w:rPr>
      </w:pPr>
      <w:r w:rsidRPr="00B239FA">
        <w:rPr>
          <w:rFonts w:ascii="Palatino Linotype" w:hAnsi="Palatino Linotype" w:cs="Arial"/>
          <w:b/>
        </w:rPr>
        <w:t>4.   Pre-Expiry Margin on commodities under Alternate Risk Management Framework</w:t>
      </w:r>
    </w:p>
    <w:p w:rsidR="00C909C0" w:rsidRPr="00B239FA" w:rsidRDefault="00C909C0" w:rsidP="00C909C0">
      <w:pPr>
        <w:pStyle w:val="Default"/>
        <w:jc w:val="both"/>
        <w:rPr>
          <w:rFonts w:ascii="Palatino Linotype" w:hAnsi="Palatino Linotype"/>
          <w:bCs/>
          <w:color w:val="auto"/>
        </w:rPr>
      </w:pPr>
    </w:p>
    <w:p w:rsidR="00B239FA" w:rsidRPr="00B239FA" w:rsidRDefault="00B239FA" w:rsidP="00B239FA">
      <w:pPr>
        <w:pStyle w:val="Default"/>
        <w:jc w:val="both"/>
        <w:rPr>
          <w:rFonts w:ascii="Palatino Linotype" w:hAnsi="Palatino Linotype"/>
          <w:bCs/>
          <w:color w:val="auto"/>
        </w:rPr>
      </w:pPr>
      <w:r w:rsidRPr="00B239FA">
        <w:rPr>
          <w:rFonts w:ascii="Palatino Linotype" w:hAnsi="Palatino Linotype"/>
          <w:bCs/>
          <w:color w:val="auto"/>
        </w:rPr>
        <w:t>As per the suggestions of the Risk Management Review Committee (RMRC) of SEBI that the Indian exchanges should consider introducing some mechanism to reduce the open interest as the contact approaches the expiry date, in consultation with Clearing Corporations (CCs), the following was implemented:</w:t>
      </w:r>
    </w:p>
    <w:p w:rsidR="00B239FA" w:rsidRPr="00B239FA" w:rsidRDefault="00B239FA" w:rsidP="00B239FA">
      <w:pPr>
        <w:pStyle w:val="Default"/>
        <w:jc w:val="both"/>
        <w:rPr>
          <w:rFonts w:ascii="Palatino Linotype" w:hAnsi="Palatino Linotype"/>
          <w:bCs/>
          <w:color w:val="auto"/>
        </w:rPr>
      </w:pPr>
    </w:p>
    <w:p w:rsidR="00B239FA" w:rsidRPr="00B239FA" w:rsidRDefault="00B239FA" w:rsidP="00B239FA">
      <w:pPr>
        <w:pStyle w:val="Default"/>
        <w:jc w:val="both"/>
        <w:rPr>
          <w:rFonts w:ascii="Palatino Linotype" w:hAnsi="Palatino Linotype"/>
          <w:bCs/>
          <w:color w:val="auto"/>
        </w:rPr>
      </w:pPr>
      <w:r w:rsidRPr="00B239FA">
        <w:rPr>
          <w:rFonts w:ascii="Palatino Linotype" w:hAnsi="Palatino Linotype"/>
          <w:bCs/>
          <w:color w:val="auto"/>
        </w:rPr>
        <w:t>Pre-expiry margins shall be imposed on cash settled contracts wherein the underlying commodity is deemed susceptible to possibility of near zero and/or negative prices as identified by exchange/CC under ARMF circular.</w:t>
      </w:r>
    </w:p>
    <w:p w:rsidR="00B239FA" w:rsidRPr="00B239FA" w:rsidRDefault="00B239FA" w:rsidP="00B239FA">
      <w:pPr>
        <w:pStyle w:val="Default"/>
        <w:jc w:val="both"/>
        <w:rPr>
          <w:rFonts w:ascii="Palatino Linotype" w:hAnsi="Palatino Linotype"/>
          <w:bCs/>
          <w:color w:val="auto"/>
        </w:rPr>
      </w:pPr>
    </w:p>
    <w:p w:rsidR="00B239FA" w:rsidRPr="00B239FA" w:rsidRDefault="00B239FA" w:rsidP="00B239FA">
      <w:pPr>
        <w:pStyle w:val="Default"/>
        <w:jc w:val="both"/>
        <w:rPr>
          <w:rFonts w:ascii="Palatino Linotype" w:hAnsi="Palatino Linotype"/>
          <w:bCs/>
          <w:color w:val="auto"/>
        </w:rPr>
      </w:pPr>
      <w:r w:rsidRPr="00B239FA">
        <w:rPr>
          <w:rFonts w:ascii="Palatino Linotype" w:hAnsi="Palatino Linotype"/>
          <w:bCs/>
          <w:color w:val="auto"/>
        </w:rPr>
        <w:t>In case of these contracts, pre-expiry margins shall be levied during the last five trading days prior to expiry date, wherein they shall increase by 5 per cent every day.</w:t>
      </w:r>
    </w:p>
    <w:p w:rsidR="00B239FA" w:rsidRPr="00B239FA" w:rsidRDefault="00B239FA" w:rsidP="00B239FA">
      <w:pPr>
        <w:pStyle w:val="Default"/>
        <w:jc w:val="both"/>
        <w:rPr>
          <w:rFonts w:ascii="Palatino Linotype" w:hAnsi="Palatino Linotype"/>
          <w:bCs/>
          <w:color w:val="auto"/>
        </w:rPr>
      </w:pPr>
    </w:p>
    <w:p w:rsidR="00C909C0" w:rsidRPr="00B239FA" w:rsidRDefault="00C909C0" w:rsidP="00C909C0">
      <w:pPr>
        <w:pStyle w:val="Default"/>
        <w:jc w:val="both"/>
        <w:rPr>
          <w:rFonts w:ascii="Palatino Linotype" w:hAnsi="Palatino Linotype"/>
          <w:bCs/>
          <w:i/>
          <w:iCs/>
          <w:color w:val="auto"/>
        </w:rPr>
      </w:pPr>
      <w:r w:rsidRPr="00B239FA">
        <w:rPr>
          <w:rFonts w:ascii="Palatino Linotype" w:hAnsi="Palatino Linotype"/>
          <w:bCs/>
          <w:i/>
          <w:iCs/>
          <w:color w:val="auto"/>
        </w:rPr>
        <w:t>Source - SEBI/HO/CDMRD/DRMP/CIR/P/2021/20 dated February 23, 2021.</w:t>
      </w:r>
    </w:p>
    <w:p w:rsidR="00C909C0" w:rsidRPr="00B239FA" w:rsidRDefault="00C909C0" w:rsidP="00C909C0">
      <w:pPr>
        <w:pStyle w:val="Default"/>
        <w:jc w:val="both"/>
        <w:rPr>
          <w:rFonts w:ascii="Palatino Linotype" w:hAnsi="Palatino Linotype"/>
          <w:b/>
          <w:color w:val="auto"/>
        </w:rPr>
      </w:pPr>
    </w:p>
    <w:p w:rsidR="00C909C0" w:rsidRPr="00B239FA" w:rsidRDefault="00C909C0" w:rsidP="00C909C0">
      <w:pPr>
        <w:pStyle w:val="Default"/>
        <w:jc w:val="both"/>
        <w:rPr>
          <w:rFonts w:ascii="Palatino Linotype" w:hAnsi="Palatino Linotype"/>
          <w:b/>
          <w:color w:val="auto"/>
        </w:rPr>
      </w:pPr>
      <w:r w:rsidRPr="00B239FA">
        <w:rPr>
          <w:rFonts w:ascii="Palatino Linotype" w:hAnsi="Palatino Linotype"/>
          <w:b/>
          <w:color w:val="auto"/>
        </w:rPr>
        <w:t>5</w:t>
      </w:r>
      <w:r w:rsidRPr="00B239FA">
        <w:rPr>
          <w:rFonts w:ascii="Palatino Linotype" w:hAnsi="Palatino Linotype"/>
          <w:bCs/>
          <w:color w:val="auto"/>
        </w:rPr>
        <w:t xml:space="preserve">.  </w:t>
      </w:r>
      <w:r w:rsidRPr="00B239FA">
        <w:rPr>
          <w:rFonts w:ascii="Palatino Linotype" w:hAnsi="Palatino Linotype"/>
          <w:b/>
          <w:color w:val="auto"/>
        </w:rPr>
        <w:t>Extension of facility for conducting meeting(s) of unit holders of REITs and InvITs through Video Conferencing (VC) or through other audio-visual means (OAVM)</w:t>
      </w:r>
    </w:p>
    <w:p w:rsidR="00C909C0" w:rsidRPr="00B239FA" w:rsidRDefault="00C909C0" w:rsidP="00C909C0">
      <w:pPr>
        <w:pStyle w:val="Default"/>
        <w:jc w:val="both"/>
        <w:rPr>
          <w:rFonts w:ascii="Palatino Linotype" w:hAnsi="Palatino Linotype"/>
          <w:bCs/>
          <w:color w:val="auto"/>
        </w:rPr>
      </w:pPr>
    </w:p>
    <w:p w:rsidR="00B239FA" w:rsidRPr="00B239FA" w:rsidRDefault="00B239FA" w:rsidP="00C909C0">
      <w:pPr>
        <w:pStyle w:val="Default"/>
        <w:jc w:val="both"/>
        <w:rPr>
          <w:rFonts w:ascii="Palatino Linotype" w:hAnsi="Palatino Linotype"/>
          <w:bCs/>
          <w:color w:val="auto"/>
        </w:rPr>
      </w:pPr>
      <w:r w:rsidRPr="00B239FA">
        <w:rPr>
          <w:rFonts w:ascii="Palatino Linotype" w:hAnsi="Palatino Linotype"/>
          <w:bCs/>
          <w:color w:val="auto"/>
        </w:rPr>
        <w:t xml:space="preserve">REITs/InvITs were permitted to conduct annual meetings and other meetings of unit holders through video conferencing (VC) or other audio-visual means (OAVM) up to December 31, 2020 vide its circular dated June 22, 2020 and October 8, 2020 respectively. After receiving various representations and observing the permission given by MCA on this issue, SEBI has decided to extend the facility to conduct meetings of unit holders, through VC or OAVM for REITs/InvITs. </w:t>
      </w:r>
    </w:p>
    <w:p w:rsidR="00B239FA" w:rsidRPr="00B239FA" w:rsidRDefault="00B239FA" w:rsidP="00C909C0">
      <w:pPr>
        <w:pStyle w:val="Default"/>
        <w:jc w:val="both"/>
        <w:rPr>
          <w:rFonts w:ascii="Palatino Linotype" w:hAnsi="Palatino Linotype"/>
          <w:bCs/>
          <w:color w:val="auto"/>
        </w:rPr>
      </w:pPr>
    </w:p>
    <w:p w:rsidR="00C909C0" w:rsidRPr="00B239FA" w:rsidRDefault="00C909C0" w:rsidP="00C909C0">
      <w:pPr>
        <w:pStyle w:val="Default"/>
        <w:jc w:val="both"/>
        <w:rPr>
          <w:rFonts w:ascii="Palatino Linotype" w:hAnsi="Palatino Linotype"/>
          <w:bCs/>
          <w:i/>
          <w:iCs/>
          <w:color w:val="auto"/>
        </w:rPr>
      </w:pPr>
      <w:r w:rsidRPr="00B239FA">
        <w:rPr>
          <w:rFonts w:ascii="Palatino Linotype" w:hAnsi="Palatino Linotype"/>
          <w:bCs/>
          <w:i/>
          <w:iCs/>
          <w:color w:val="auto"/>
        </w:rPr>
        <w:t>Source: SEBI/HO/DDHS/DDHS/CIR/P/2021/21 dated February 26, 2021.</w:t>
      </w:r>
    </w:p>
    <w:p w:rsidR="005F4FFF" w:rsidRDefault="005F4FFF" w:rsidP="00E10EB8"/>
    <w:p w:rsidR="005F4FFF" w:rsidRDefault="005F4FFF" w:rsidP="00E10EB8"/>
    <w:p w:rsidR="00272724" w:rsidRDefault="00DD68D0" w:rsidP="00A07B14">
      <w:pPr>
        <w:spacing w:after="120"/>
        <w:rPr>
          <w:rFonts w:ascii="Garamond" w:hAnsi="Garamond" w:cs="Arial"/>
          <w:i/>
          <w:szCs w:val="32"/>
        </w:rPr>
      </w:pPr>
      <w:r w:rsidRPr="008570C3">
        <w:rPr>
          <w:rFonts w:ascii="Garamond" w:hAnsi="Garamond" w:cs="Arial"/>
          <w:i/>
          <w:szCs w:val="32"/>
        </w:rPr>
        <w:t>Disclaimer: The summary has been prepared for the convenience of readers. In case of any ambiguity, please refer to the original circular.</w:t>
      </w:r>
    </w:p>
    <w:p w:rsidR="00092887" w:rsidRDefault="00092887">
      <w:pPr>
        <w:rPr>
          <w:rFonts w:ascii="Palatino Linotype" w:hAnsi="Palatino Linotype"/>
          <w:b/>
          <w:bCs/>
        </w:rPr>
      </w:pPr>
      <w:r>
        <w:rPr>
          <w:rFonts w:ascii="Palatino Linotype" w:hAnsi="Palatino Linotype"/>
          <w:b/>
          <w:bCs/>
        </w:rPr>
        <w:br w:type="page"/>
      </w:r>
    </w:p>
    <w:p w:rsidR="00A07B14" w:rsidRDefault="00A07B14" w:rsidP="00A07B14">
      <w:pPr>
        <w:spacing w:after="120"/>
        <w:rPr>
          <w:rFonts w:ascii="Palatino Linotype" w:hAnsi="Palatino Linotype"/>
          <w:b/>
          <w:bCs/>
        </w:rPr>
      </w:pPr>
    </w:p>
    <w:p w:rsidR="00272724" w:rsidRPr="004752BB" w:rsidRDefault="00272724" w:rsidP="00272724">
      <w:pPr>
        <w:tabs>
          <w:tab w:val="left" w:pos="8160"/>
        </w:tabs>
        <w:jc w:val="center"/>
        <w:rPr>
          <w:rFonts w:ascii="Palatino Linotype" w:hAnsi="Palatino Linotype"/>
          <w:b/>
          <w:sz w:val="28"/>
          <w:szCs w:val="28"/>
        </w:rPr>
      </w:pPr>
      <w:r w:rsidRPr="004752BB">
        <w:rPr>
          <w:rFonts w:ascii="Palatino Linotype" w:hAnsi="Palatino Linotype"/>
          <w:b/>
          <w:sz w:val="28"/>
          <w:szCs w:val="28"/>
        </w:rPr>
        <w:t>REGULATORY ACTIONS TAKEN BY SEBI</w:t>
      </w:r>
    </w:p>
    <w:p w:rsidR="00272724" w:rsidRDefault="00272724" w:rsidP="00272724">
      <w:pPr>
        <w:rPr>
          <w:rFonts w:ascii="Palatino Linotype" w:hAnsi="Palatino Linotype"/>
          <w:b/>
          <w:sz w:val="40"/>
          <w:szCs w:val="40"/>
        </w:rPr>
      </w:pPr>
    </w:p>
    <w:p w:rsidR="00272724" w:rsidRDefault="00272724" w:rsidP="00272724">
      <w:pPr>
        <w:rPr>
          <w:rFonts w:ascii="Palatino Linotype" w:hAnsi="Palatino Linotype"/>
          <w:b/>
        </w:rPr>
      </w:pPr>
      <w:r w:rsidRPr="009E191B">
        <w:rPr>
          <w:rFonts w:ascii="Palatino Linotype" w:hAnsi="Palatino Linotype"/>
          <w:b/>
        </w:rPr>
        <w:t xml:space="preserve">Orders passed by </w:t>
      </w:r>
      <w:r>
        <w:rPr>
          <w:rFonts w:ascii="Palatino Linotype" w:hAnsi="Palatino Linotype"/>
          <w:b/>
        </w:rPr>
        <w:t xml:space="preserve">Whole Time </w:t>
      </w:r>
      <w:r w:rsidRPr="009E191B">
        <w:rPr>
          <w:rFonts w:ascii="Palatino Linotype" w:hAnsi="Palatino Linotype"/>
          <w:b/>
        </w:rPr>
        <w:t>Member</w:t>
      </w:r>
      <w:r>
        <w:rPr>
          <w:rFonts w:ascii="Palatino Linotype" w:hAnsi="Palatino Linotype"/>
          <w:b/>
        </w:rPr>
        <w:t>s</w:t>
      </w:r>
      <w:r w:rsidR="00F9747C">
        <w:rPr>
          <w:rFonts w:ascii="Palatino Linotype" w:hAnsi="Palatino Linotype"/>
          <w:b/>
        </w:rPr>
        <w:t xml:space="preserve"> / Adjudication Officers</w:t>
      </w:r>
      <w:r>
        <w:rPr>
          <w:rFonts w:ascii="Palatino Linotype" w:hAnsi="Palatino Linotype"/>
          <w:b/>
        </w:rPr>
        <w:t>:</w:t>
      </w:r>
    </w:p>
    <w:p w:rsidR="00A07B14" w:rsidRDefault="00A07B14" w:rsidP="00272724">
      <w:pPr>
        <w:rPr>
          <w:rFonts w:ascii="Palatino Linotype" w:hAnsi="Palatino Linotype"/>
          <w:b/>
        </w:rPr>
      </w:pPr>
    </w:p>
    <w:tbl>
      <w:tblPr>
        <w:tblW w:w="11482" w:type="dxa"/>
        <w:tblInd w:w="-714" w:type="dxa"/>
        <w:tblLayout w:type="fixed"/>
        <w:tblLook w:val="04A0" w:firstRow="1" w:lastRow="0" w:firstColumn="1" w:lastColumn="0" w:noHBand="0" w:noVBand="1"/>
      </w:tblPr>
      <w:tblGrid>
        <w:gridCol w:w="567"/>
        <w:gridCol w:w="1418"/>
        <w:gridCol w:w="2126"/>
        <w:gridCol w:w="1418"/>
        <w:gridCol w:w="2126"/>
        <w:gridCol w:w="2268"/>
        <w:gridCol w:w="1559"/>
      </w:tblGrid>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Sl.</w:t>
            </w:r>
          </w:p>
          <w:p w:rsidR="000E7AC9" w:rsidRPr="00B83873" w:rsidRDefault="000E7AC9" w:rsidP="00BA55C5">
            <w:pPr>
              <w:jc w:val="center"/>
              <w:rPr>
                <w:rFonts w:ascii="Palatino Linotype" w:hAnsi="Palatino Linotype" w:cs="Calibri"/>
                <w:b/>
                <w:bCs/>
                <w:color w:val="000000"/>
                <w:sz w:val="20"/>
                <w:szCs w:val="20"/>
                <w:lang w:val="en-IN" w:eastAsia="en-IN" w:bidi="hi-IN"/>
              </w:rPr>
            </w:pPr>
            <w:r>
              <w:rPr>
                <w:rFonts w:ascii="Palatino Linotype" w:hAnsi="Palatino Linotype" w:cs="Calibri"/>
                <w:b/>
                <w:bCs/>
                <w:color w:val="000000"/>
                <w:sz w:val="20"/>
                <w:szCs w:val="20"/>
                <w:lang w:val="en-IN" w:eastAsia="en-IN" w:bidi="hi-IN"/>
              </w:rPr>
              <w:t>No.</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Date</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Case Name</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 xml:space="preserve">Action </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Entity</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Violation</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E7AC9" w:rsidRPr="00B83873" w:rsidRDefault="000E7AC9" w:rsidP="00BA55C5">
            <w:pPr>
              <w:jc w:val="center"/>
              <w:rPr>
                <w:rFonts w:ascii="Palatino Linotype" w:hAnsi="Palatino Linotype" w:cs="Calibri"/>
                <w:b/>
                <w:bCs/>
                <w:color w:val="000000"/>
                <w:sz w:val="20"/>
                <w:szCs w:val="20"/>
                <w:lang w:val="en-IN" w:eastAsia="en-IN" w:bidi="hi-IN"/>
              </w:rPr>
            </w:pPr>
            <w:r w:rsidRPr="00B83873">
              <w:rPr>
                <w:rFonts w:ascii="Palatino Linotype" w:hAnsi="Palatino Linotype" w:cs="Calibri"/>
                <w:b/>
                <w:bCs/>
                <w:color w:val="000000"/>
                <w:sz w:val="20"/>
                <w:szCs w:val="20"/>
                <w:lang w:val="en-IN" w:eastAsia="en-IN" w:bidi="hi-IN"/>
              </w:rPr>
              <w:t>PENALTY</w:t>
            </w:r>
            <w:r>
              <w:rPr>
                <w:rFonts w:ascii="Palatino Linotype" w:hAnsi="Palatino Linotype" w:cs="Calibri"/>
                <w:b/>
                <w:bCs/>
                <w:color w:val="000000"/>
                <w:sz w:val="20"/>
                <w:szCs w:val="20"/>
                <w:lang w:val="en-IN" w:eastAsia="en-IN" w:bidi="hi-IN"/>
              </w:rPr>
              <w:t xml:space="preserve"> (</w:t>
            </w:r>
            <w:r w:rsidRPr="00D22F0B">
              <w:rPr>
                <w:rFonts w:ascii="Rupee Foradian" w:hAnsi="Rupee Foradian" w:cs="Calibri"/>
                <w:b/>
                <w:bCs/>
                <w:color w:val="000000"/>
                <w:sz w:val="20"/>
                <w:szCs w:val="20"/>
                <w:lang w:val="en-IN" w:eastAsia="en-IN" w:bidi="hi-IN"/>
              </w:rPr>
              <w:t>`</w:t>
            </w:r>
            <w:r>
              <w:rPr>
                <w:rFonts w:ascii="Palatino Linotype" w:hAnsi="Palatino Linotype" w:cs="Calibri"/>
                <w:b/>
                <w:bCs/>
                <w:color w:val="000000"/>
                <w:sz w:val="20"/>
                <w:szCs w:val="20"/>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01/02/2021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Steel Exchange India Limited</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Pratik S Patel</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rPr>
                <w:rFonts w:ascii="Arial" w:hAnsi="Arial" w:cs="Arial"/>
                <w:sz w:val="22"/>
                <w:szCs w:val="22"/>
                <w:lang w:val="en-IN" w:eastAsia="en-IN" w:bidi="hi-IN"/>
              </w:rPr>
            </w:pPr>
            <w:r w:rsidRPr="00A538EB">
              <w:rPr>
                <w:rFonts w:ascii="Arial" w:hAnsi="Arial" w:cs="Arial"/>
                <w:sz w:val="22"/>
                <w:szCs w:val="22"/>
                <w:lang w:val="en-IN" w:eastAsia="en-IN" w:bidi="hi-IN"/>
              </w:rPr>
              <w:t xml:space="preserve">Section  11C(3)  and </w:t>
            </w: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Section 11C(5) of SEBI Act. </w:t>
            </w:r>
          </w:p>
          <w:p w:rsidR="000E7AC9" w:rsidRPr="00A538EB" w:rsidRDefault="000E7AC9" w:rsidP="00A538EB">
            <w:pPr>
              <w:shd w:val="clear" w:color="auto" w:fill="FFFFFF"/>
              <w:rPr>
                <w:sz w:val="22"/>
                <w:szCs w:val="22"/>
                <w:lang w:val="en-IN" w:eastAsia="en-IN"/>
              </w:rPr>
            </w:pP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5,00,000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03/02/2021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Urja Global Ltd. </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sz w:val="22"/>
                <w:szCs w:val="22"/>
                <w:lang w:val="en-IN" w:eastAsia="en-IN"/>
              </w:rPr>
            </w:pPr>
            <w:r w:rsidRPr="00A538EB">
              <w:rPr>
                <w:rFonts w:eastAsia="Calibri"/>
                <w:sz w:val="22"/>
                <w:szCs w:val="22"/>
                <w:shd w:val="clear" w:color="auto" w:fill="FFFFFF"/>
                <w:lang w:val="en-IN" w:bidi="hi-IN"/>
              </w:rPr>
              <w:t xml:space="preserve">Shree Sudharshan Castings Pvt., Ltd., </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spacing w:after="160" w:line="259" w:lineRule="auto"/>
              <w:rPr>
                <w:rFonts w:ascii="Arial" w:hAnsi="Arial" w:cs="Arial"/>
                <w:sz w:val="22"/>
                <w:szCs w:val="22"/>
                <w:lang w:val="en-IN" w:eastAsia="en-IN" w:bidi="hi-IN"/>
              </w:rPr>
            </w:pPr>
            <w:r w:rsidRPr="00A538EB">
              <w:rPr>
                <w:sz w:val="22"/>
                <w:szCs w:val="22"/>
                <w:lang w:val="en-IN" w:eastAsia="en-IN"/>
              </w:rPr>
              <w:t xml:space="preserve">Section  16 of Securities  Contracts  (Regulation)  Act,  1956 </w:t>
            </w:r>
            <w:r w:rsidRPr="00A538EB">
              <w:rPr>
                <w:rFonts w:ascii="Arial" w:hAnsi="Arial" w:cs="Arial"/>
                <w:sz w:val="22"/>
                <w:szCs w:val="22"/>
                <w:lang w:val="en-IN" w:eastAsia="en-IN" w:bidi="hi-IN"/>
              </w:rPr>
              <w:t>read with SEBI Notification G.S.R 219 (E) dated March 02, 2000</w:t>
            </w:r>
            <w:r w:rsidRPr="00A538EB">
              <w:rPr>
                <w:sz w:val="22"/>
                <w:szCs w:val="22"/>
                <w:lang w:val="en-IN" w:eastAsia="en-IN"/>
              </w:rPr>
              <w:t xml:space="preserve"> and Section </w:t>
            </w:r>
            <w:r w:rsidRPr="00A538EB">
              <w:rPr>
                <w:rFonts w:eastAsia="Calibri"/>
                <w:sz w:val="22"/>
                <w:szCs w:val="22"/>
                <w:shd w:val="clear" w:color="auto" w:fill="FFFFFF"/>
                <w:lang w:val="en-IN" w:bidi="hi-IN"/>
              </w:rPr>
              <w:t>13 and 18</w:t>
            </w:r>
            <w:r w:rsidRPr="00A538EB">
              <w:rPr>
                <w:sz w:val="22"/>
                <w:szCs w:val="22"/>
                <w:lang w:val="en-IN" w:eastAsia="en-IN"/>
              </w:rPr>
              <w:t xml:space="preserve"> read with </w:t>
            </w:r>
            <w:r w:rsidRPr="00A538EB">
              <w:rPr>
                <w:rFonts w:eastAsia="Calibri"/>
                <w:sz w:val="22"/>
                <w:szCs w:val="22"/>
                <w:shd w:val="clear" w:color="auto" w:fill="FFFFFF"/>
                <w:lang w:val="en-IN" w:bidi="hi-IN"/>
              </w:rPr>
              <w:t>Section 2(i)</w:t>
            </w:r>
            <w:r w:rsidRPr="00A538EB">
              <w:rPr>
                <w:sz w:val="22"/>
                <w:szCs w:val="22"/>
                <w:lang w:val="en-IN" w:eastAsia="en-IN"/>
              </w:rPr>
              <w:t xml:space="preserve">of Securities  Contracts  (Regulation)  Act,  1956 </w:t>
            </w:r>
          </w:p>
          <w:p w:rsidR="000E7AC9" w:rsidRPr="00A538EB" w:rsidRDefault="000E7AC9" w:rsidP="00A538EB">
            <w:pPr>
              <w:shd w:val="clear" w:color="auto" w:fill="FFFFFF"/>
              <w:spacing w:after="160" w:line="259" w:lineRule="auto"/>
              <w:rPr>
                <w:sz w:val="22"/>
                <w:szCs w:val="22"/>
                <w:lang w:val="en-IN" w:eastAsia="en-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10,00,000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03/02/2021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GDR issue (2008) by    Beckons Industries  Limited</w:t>
            </w:r>
          </w:p>
          <w:p w:rsidR="000E7AC9" w:rsidRPr="00A538EB" w:rsidRDefault="000E7AC9" w:rsidP="00A538EB">
            <w:pPr>
              <w:jc w:val="both"/>
              <w:rPr>
                <w:rFonts w:eastAsia="Calibri"/>
                <w:sz w:val="22"/>
                <w:szCs w:val="22"/>
                <w:shd w:val="clear" w:color="auto" w:fill="FFFFFF"/>
                <w:lang w:val="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 Gurmeet Singh,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I. S. Sukhija,  </w:t>
            </w:r>
          </w:p>
          <w:p w:rsidR="000E7AC9" w:rsidRPr="00A538EB" w:rsidRDefault="000E7AC9" w:rsidP="00A538EB">
            <w:pPr>
              <w:shd w:val="clear" w:color="auto" w:fill="FFFFFF"/>
              <w:spacing w:after="160" w:line="259" w:lineRule="auto"/>
              <w:ind w:left="60"/>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Chandra Prakash,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H. S. Anand</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0E7AC9">
            <w:pPr>
              <w:shd w:val="clear" w:color="auto" w:fill="FFFFFF"/>
              <w:jc w:val="both"/>
              <w:rPr>
                <w:sz w:val="22"/>
                <w:szCs w:val="22"/>
                <w:lang w:val="en-IN" w:eastAsia="en-IN"/>
              </w:rPr>
            </w:pPr>
            <w:r w:rsidRPr="00A538EB">
              <w:rPr>
                <w:sz w:val="22"/>
                <w:szCs w:val="22"/>
                <w:lang w:val="en-IN" w:eastAsia="en-IN"/>
              </w:rPr>
              <w:t>Section 12A(a), (b), (c) of SEBI Act, 1992 r/w Regulations, 3(a), (b), (c), (d), 4(1), 4(2)(f), (k), (r) of SEBI (Prohibition of Fraudulent and Unfair Trade Practices relating to Securities Market) Regulations, 2003</w:t>
            </w: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1,55,00,000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03/02/2021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Kanchan International Ltd.</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Hitesh Asoo Nihalani,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Maverick Investment Solutions Pvt., Ltd.</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Regulations 3(a),(b),(c),(d), 4(1),4(2) (a) and (g) of </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SEBI (Prohibition of Fraudulent and Unfair  Trade  Practices  relating  to  Securities  Market)  Regulations,  2003. </w:t>
            </w:r>
            <w:r w:rsidRPr="00A538EB">
              <w:rPr>
                <w:rFonts w:eastAsia="Calibri"/>
                <w:sz w:val="22"/>
                <w:szCs w:val="22"/>
                <w:shd w:val="clear" w:color="auto" w:fill="FFFFFF"/>
                <w:lang w:val="en-IN" w:bidi="hi-IN"/>
              </w:rPr>
              <w:t xml:space="preserve">Section  15HA  of  SEBI  Act. </w:t>
            </w:r>
          </w:p>
          <w:p w:rsidR="000E7AC9" w:rsidRPr="00A538EB" w:rsidRDefault="000E7AC9" w:rsidP="00A538EB">
            <w:pPr>
              <w:shd w:val="clear" w:color="auto" w:fill="FFFFFF"/>
              <w:spacing w:after="160" w:line="259" w:lineRule="auto"/>
              <w:rPr>
                <w:sz w:val="22"/>
                <w:szCs w:val="22"/>
                <w:lang w:val="en-IN" w:eastAsia="en-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 xml:space="preserve"> 10,00,000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03/02/2021. </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GDR issue (2008) of </w:t>
            </w: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 </w:t>
            </w:r>
          </w:p>
          <w:p w:rsidR="000E7AC9" w:rsidRPr="00A538EB" w:rsidRDefault="000E7AC9" w:rsidP="00A538EB">
            <w:pPr>
              <w:shd w:val="clear" w:color="auto" w:fill="FFFFFF"/>
              <w:rPr>
                <w:sz w:val="22"/>
                <w:szCs w:val="22"/>
                <w:lang w:val="en-IN" w:eastAsia="en-IN"/>
              </w:rPr>
            </w:pPr>
            <w:r w:rsidRPr="00A538EB">
              <w:rPr>
                <w:sz w:val="22"/>
                <w:szCs w:val="22"/>
                <w:lang w:val="en-IN" w:eastAsia="en-IN"/>
              </w:rPr>
              <w:t>Beckons</w:t>
            </w: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Industries </w:t>
            </w:r>
          </w:p>
          <w:p w:rsidR="000E7AC9" w:rsidRPr="00A538EB" w:rsidRDefault="000E7AC9" w:rsidP="00A538EB">
            <w:pPr>
              <w:shd w:val="clear" w:color="auto" w:fill="FFFFFF"/>
              <w:rPr>
                <w:sz w:val="22"/>
                <w:szCs w:val="22"/>
                <w:lang w:val="en-IN" w:eastAsia="en-IN"/>
              </w:rPr>
            </w:pPr>
            <w:r w:rsidRPr="00A538EB">
              <w:rPr>
                <w:sz w:val="22"/>
                <w:szCs w:val="22"/>
                <w:lang w:val="en-IN" w:eastAsia="en-IN"/>
              </w:rPr>
              <w:t>Limited</w:t>
            </w:r>
          </w:p>
          <w:p w:rsidR="000E7AC9" w:rsidRPr="00A538EB" w:rsidRDefault="000E7AC9" w:rsidP="00A538EB">
            <w:pPr>
              <w:jc w:val="both"/>
              <w:rPr>
                <w:rFonts w:eastAsia="Calibri"/>
                <w:sz w:val="22"/>
                <w:szCs w:val="22"/>
                <w:shd w:val="clear" w:color="auto" w:fill="FFFFFF"/>
                <w:lang w:val="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 Beckons Industries L</w:t>
            </w:r>
          </w:p>
          <w:p w:rsidR="000E7AC9" w:rsidRPr="00A538EB" w:rsidRDefault="000E7AC9" w:rsidP="00A538EB">
            <w:pPr>
              <w:shd w:val="clear" w:color="auto" w:fill="FFFFFF"/>
              <w:rPr>
                <w:sz w:val="22"/>
                <w:szCs w:val="22"/>
                <w:lang w:val="en-IN" w:eastAsia="en-IN"/>
              </w:rPr>
            </w:pPr>
            <w:r w:rsidRPr="00A538EB">
              <w:rPr>
                <w:sz w:val="22"/>
                <w:szCs w:val="22"/>
                <w:lang w:val="en-IN" w:eastAsia="en-IN"/>
              </w:rPr>
              <w:t>imited</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p>
        </w:tc>
        <w:tc>
          <w:tcPr>
            <w:tcW w:w="226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 Section 12 A (a) (b) (c) of SEBI  Act,  1992 r/w Regulation 3 (a) (b) (c) (d) and 4 (1), 4(2)(f), (k), (r) SEBI (Prohibition of Fraudulent and Unfair  Trade  Practices  relating  to  Securities  Market)  Regulations,  2003,</w:t>
            </w:r>
            <w:r w:rsidRPr="00A538EB">
              <w:rPr>
                <w:rFonts w:eastAsia="Calibri"/>
                <w:sz w:val="22"/>
                <w:szCs w:val="22"/>
                <w:shd w:val="clear" w:color="auto" w:fill="FFFFFF"/>
                <w:lang w:val="en-IN" w:bidi="hi-IN"/>
              </w:rPr>
              <w:t xml:space="preserve">Section   21, </w:t>
            </w:r>
            <w:r w:rsidRPr="00A538EB">
              <w:rPr>
                <w:sz w:val="22"/>
                <w:szCs w:val="22"/>
                <w:lang w:val="en-IN" w:eastAsia="en-IN"/>
              </w:rPr>
              <w:t xml:space="preserve">Securities  Contracts  (Regulation)  Act r/w clause 36(7) and clause 50 of Listing Agreement. </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spacing w:after="160" w:line="259" w:lineRule="auto"/>
              <w:rPr>
                <w:sz w:val="22"/>
                <w:szCs w:val="22"/>
                <w:lang w:val="en-IN" w:eastAsia="en-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10,25,00,000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04/02/2021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Kanchan International</w:t>
            </w:r>
          </w:p>
          <w:p w:rsidR="000E7AC9" w:rsidRPr="00A538EB" w:rsidRDefault="000E7AC9" w:rsidP="00A538EB">
            <w:pPr>
              <w:shd w:val="clear" w:color="auto" w:fill="FFFFFF"/>
              <w:rPr>
                <w:sz w:val="22"/>
                <w:szCs w:val="22"/>
                <w:lang w:val="en-IN" w:eastAsia="en-IN"/>
              </w:rPr>
            </w:pPr>
            <w:r w:rsidRPr="00A538EB">
              <w:rPr>
                <w:sz w:val="22"/>
                <w:szCs w:val="22"/>
                <w:lang w:val="en-IN" w:eastAsia="en-IN"/>
              </w:rPr>
              <w:t>Ltd.</w:t>
            </w:r>
          </w:p>
          <w:p w:rsidR="000E7AC9" w:rsidRPr="00A538EB" w:rsidRDefault="000E7AC9" w:rsidP="00A538EB">
            <w:pPr>
              <w:jc w:val="both"/>
              <w:rPr>
                <w:rFonts w:eastAsia="Calibri"/>
                <w:sz w:val="22"/>
                <w:szCs w:val="22"/>
                <w:shd w:val="clear" w:color="auto" w:fill="FFFFFF"/>
                <w:lang w:val="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Dharmendra Bhojak</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Regulations 29(1), 29(2) </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read   with   Regulation   29(3)   of   SEBI  (</w:t>
            </w:r>
            <w:r w:rsidRPr="00A538EB">
              <w:rPr>
                <w:rFonts w:eastAsia="Calibri"/>
                <w:sz w:val="22"/>
                <w:szCs w:val="22"/>
                <w:shd w:val="clear" w:color="auto" w:fill="FFFFFF"/>
                <w:lang w:val="en-IN" w:bidi="hi-IN"/>
              </w:rPr>
              <w:t>Substantial Acquisition of Shares and Takeovers)</w:t>
            </w:r>
            <w:r w:rsidRPr="00A538EB">
              <w:rPr>
                <w:sz w:val="22"/>
                <w:szCs w:val="22"/>
                <w:lang w:val="en-IN" w:eastAsia="en-IN"/>
              </w:rPr>
              <w:t xml:space="preserve">   Regulations,   2011   and </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Regulations   13(1),13(3)   </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 r/w   13(5)   of   SEBI  </w:t>
            </w:r>
            <w:r w:rsidRPr="00A538EB">
              <w:rPr>
                <w:rFonts w:eastAsia="Calibri"/>
                <w:sz w:val="22"/>
                <w:szCs w:val="22"/>
                <w:shd w:val="clear" w:color="auto" w:fill="FFFFFF"/>
                <w:lang w:val="en-IN" w:bidi="hi-IN"/>
              </w:rPr>
              <w:t>(Prohibition of Insider Trading)</w:t>
            </w:r>
            <w:r w:rsidRPr="00A538EB">
              <w:rPr>
                <w:sz w:val="22"/>
                <w:szCs w:val="22"/>
                <w:lang w:val="en-IN" w:eastAsia="en-IN"/>
              </w:rPr>
              <w:t xml:space="preserve"> </w:t>
            </w:r>
          </w:p>
          <w:p w:rsidR="000E7AC9" w:rsidRPr="00A538EB" w:rsidRDefault="000E7AC9" w:rsidP="00A538EB">
            <w:pPr>
              <w:shd w:val="clear" w:color="auto" w:fill="FFFFFF"/>
              <w:rPr>
                <w:sz w:val="22"/>
                <w:szCs w:val="22"/>
                <w:lang w:val="en-IN" w:eastAsia="en-IN"/>
              </w:rPr>
            </w:pPr>
            <w:r w:rsidRPr="00A538EB">
              <w:rPr>
                <w:sz w:val="22"/>
                <w:szCs w:val="22"/>
                <w:lang w:val="en-IN" w:eastAsia="en-IN"/>
              </w:rPr>
              <w:t>Regulations, 1992.</w:t>
            </w:r>
          </w:p>
          <w:p w:rsidR="000E7AC9" w:rsidRPr="00A538EB" w:rsidRDefault="000E7AC9" w:rsidP="00A538EB">
            <w:pPr>
              <w:shd w:val="clear" w:color="auto" w:fill="FFFFFF"/>
              <w:spacing w:after="160" w:line="259" w:lineRule="auto"/>
              <w:rPr>
                <w:sz w:val="22"/>
                <w:szCs w:val="22"/>
                <w:lang w:val="en-IN" w:eastAsia="en-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7,00,000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04/02/2021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 Geodesic Limited</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Kiran Kulkarni, Pankaj Kumar, Veena Pankaj Kumar.</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Regulations  31(1)  and  31(2) and 29(2) of  SEBI (</w:t>
            </w:r>
            <w:r w:rsidRPr="00A538EB">
              <w:rPr>
                <w:rFonts w:eastAsia="Calibri"/>
                <w:sz w:val="22"/>
                <w:szCs w:val="22"/>
                <w:shd w:val="clear" w:color="auto" w:fill="FFFFFF"/>
                <w:lang w:val="en-IN" w:bidi="hi-IN"/>
              </w:rPr>
              <w:t xml:space="preserve">Substantial Acquisition of Shares and Takeovers) </w:t>
            </w:r>
            <w:r w:rsidRPr="00A538EB">
              <w:rPr>
                <w:sz w:val="22"/>
                <w:szCs w:val="22"/>
                <w:lang w:val="en-IN" w:eastAsia="en-IN"/>
              </w:rPr>
              <w:t xml:space="preserve">Regulations, </w:t>
            </w:r>
          </w:p>
          <w:p w:rsidR="000E7AC9" w:rsidRPr="00A538EB" w:rsidRDefault="000E7AC9" w:rsidP="00A538EB">
            <w:pPr>
              <w:shd w:val="clear" w:color="auto" w:fill="FFFFFF"/>
              <w:spacing w:after="160" w:line="259" w:lineRule="auto"/>
              <w:rPr>
                <w:sz w:val="22"/>
                <w:szCs w:val="22"/>
                <w:lang w:val="en-IN" w:eastAsia="en-IN"/>
              </w:rPr>
            </w:pPr>
            <w:r w:rsidRPr="00A538EB">
              <w:rPr>
                <w:sz w:val="22"/>
                <w:szCs w:val="22"/>
                <w:lang w:val="en-IN" w:eastAsia="en-IN"/>
              </w:rPr>
              <w:t xml:space="preserve">2011. </w:t>
            </w:r>
          </w:p>
          <w:p w:rsidR="000E7AC9" w:rsidRPr="00A538EB" w:rsidRDefault="000E7AC9" w:rsidP="00A538EB">
            <w:pPr>
              <w:shd w:val="clear" w:color="auto" w:fill="FFFFFF"/>
              <w:spacing w:after="160" w:line="259" w:lineRule="auto"/>
              <w:jc w:val="both"/>
              <w:rPr>
                <w:sz w:val="22"/>
                <w:szCs w:val="22"/>
                <w:lang w:val="en-IN" w:eastAsia="en-IN"/>
              </w:rPr>
            </w:pPr>
            <w:r w:rsidRPr="00A538EB">
              <w:rPr>
                <w:sz w:val="22"/>
                <w:szCs w:val="22"/>
                <w:lang w:val="en-IN" w:eastAsia="en-IN"/>
              </w:rPr>
              <w:t xml:space="preserve">Regulation 13(3), 13(4) and 13(4A) of SEBI </w:t>
            </w:r>
            <w:r w:rsidRPr="00A538EB">
              <w:rPr>
                <w:rFonts w:eastAsia="Calibri"/>
                <w:sz w:val="22"/>
                <w:szCs w:val="22"/>
                <w:shd w:val="clear" w:color="auto" w:fill="FFFFFF"/>
                <w:lang w:val="en-IN" w:bidi="hi-IN"/>
              </w:rPr>
              <w:t>(Prohibition of Insider Trading)</w:t>
            </w:r>
            <w:r w:rsidRPr="00A538EB">
              <w:rPr>
                <w:sz w:val="22"/>
                <w:szCs w:val="22"/>
                <w:lang w:val="en-IN" w:eastAsia="en-IN"/>
              </w:rPr>
              <w:t xml:space="preserve"> Regulations,1992 r/wRegulation  12(2)  of PIT </w:t>
            </w:r>
            <w:r w:rsidRPr="00A538EB">
              <w:rPr>
                <w:rFonts w:eastAsia="Calibri"/>
                <w:sz w:val="22"/>
                <w:szCs w:val="22"/>
                <w:shd w:val="clear" w:color="auto" w:fill="FFFFFF"/>
                <w:lang w:val="en-IN" w:bidi="hi-IN"/>
              </w:rPr>
              <w:t>(Prohibition of Insider Trading)</w:t>
            </w:r>
            <w:r w:rsidRPr="00A538EB">
              <w:rPr>
                <w:sz w:val="22"/>
                <w:szCs w:val="22"/>
                <w:lang w:val="en-IN" w:eastAsia="en-IN"/>
              </w:rPr>
              <w:t xml:space="preserve"> Regulations, 2015.</w:t>
            </w: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14,00,000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04/02/2021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Birla  Pacific </w:t>
            </w: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Medspa </w:t>
            </w:r>
          </w:p>
          <w:p w:rsidR="000E7AC9" w:rsidRPr="00A538EB" w:rsidRDefault="000E7AC9" w:rsidP="00A538EB">
            <w:pPr>
              <w:shd w:val="clear" w:color="auto" w:fill="FFFFFF"/>
              <w:rPr>
                <w:sz w:val="22"/>
                <w:szCs w:val="22"/>
                <w:lang w:val="en-IN" w:eastAsia="en-IN"/>
              </w:rPr>
            </w:pPr>
            <w:r w:rsidRPr="00A538EB">
              <w:rPr>
                <w:sz w:val="22"/>
                <w:szCs w:val="22"/>
                <w:lang w:val="en-IN" w:eastAsia="en-IN"/>
              </w:rPr>
              <w:t>Limited</w:t>
            </w:r>
          </w:p>
          <w:p w:rsidR="000E7AC9" w:rsidRPr="00A538EB" w:rsidRDefault="000E7AC9" w:rsidP="00A538EB">
            <w:pPr>
              <w:jc w:val="both"/>
              <w:rPr>
                <w:rFonts w:eastAsia="Calibri"/>
                <w:sz w:val="22"/>
                <w:szCs w:val="22"/>
                <w:shd w:val="clear" w:color="auto" w:fill="FFFFFF"/>
                <w:lang w:val="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val="en-IN" w:bidi="hi-IN"/>
              </w:rPr>
            </w:pPr>
            <w:r w:rsidRPr="00A538EB">
              <w:rPr>
                <w:rFonts w:eastAsia="Calibri"/>
                <w:color w:val="000000"/>
                <w:sz w:val="22"/>
                <w:szCs w:val="22"/>
                <w:lang w:val="en-IN" w:bidi="hi-IN"/>
              </w:rPr>
              <w:t>Adjudication</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 Jalan Cement Works Ltd.</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 xml:space="preserve">Orbit Financial </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Consultants</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Pvt. Ltd.</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Rupak Trading Pvt.</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Ltd.</w:t>
            </w:r>
          </w:p>
          <w:p w:rsidR="000E7AC9" w:rsidRPr="00A538EB" w:rsidRDefault="000E7AC9" w:rsidP="00A538EB">
            <w:pPr>
              <w:shd w:val="clear" w:color="auto" w:fill="FFFFFF"/>
              <w:jc w:val="both"/>
              <w:rPr>
                <w:rFonts w:eastAsia="Calibri"/>
                <w:sz w:val="22"/>
                <w:szCs w:val="22"/>
                <w:shd w:val="clear" w:color="auto" w:fill="FFFFFF"/>
                <w:lang w:val="en-IN" w:bidi="hi-IN"/>
              </w:rPr>
            </w:pPr>
            <w:r w:rsidRPr="00A538EB">
              <w:rPr>
                <w:sz w:val="22"/>
                <w:szCs w:val="22"/>
                <w:lang w:val="en-IN" w:eastAsia="en-IN"/>
              </w:rPr>
              <w:t xml:space="preserve">Marutinandan Infosolutions Pvt. Ltd. </w:t>
            </w:r>
            <w:r w:rsidRPr="00A538EB">
              <w:rPr>
                <w:rFonts w:eastAsia="Calibri"/>
                <w:sz w:val="22"/>
                <w:szCs w:val="22"/>
                <w:shd w:val="clear" w:color="auto" w:fill="FFFFFF"/>
                <w:lang w:val="en-IN" w:bidi="hi-IN"/>
              </w:rPr>
              <w:t xml:space="preserve"> </w:t>
            </w:r>
          </w:p>
          <w:p w:rsidR="000E7AC9" w:rsidRPr="00A538EB" w:rsidRDefault="000E7AC9" w:rsidP="00A538EB">
            <w:pPr>
              <w:shd w:val="clear" w:color="auto" w:fill="FFFFFF"/>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Sanjukta Vanijya Private Ltd.</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rPr>
                <w:sz w:val="22"/>
                <w:szCs w:val="22"/>
                <w:lang w:val="en-IN" w:eastAsia="en-IN"/>
              </w:rPr>
            </w:pPr>
            <w:r w:rsidRPr="00A538EB">
              <w:rPr>
                <w:sz w:val="22"/>
                <w:szCs w:val="22"/>
                <w:lang w:val="en-IN" w:eastAsia="en-IN"/>
              </w:rPr>
              <w:t>Darshan</w:t>
            </w:r>
          </w:p>
          <w:p w:rsidR="000E7AC9" w:rsidRPr="00A538EB" w:rsidRDefault="000E7AC9" w:rsidP="00A538EB">
            <w:pPr>
              <w:shd w:val="clear" w:color="auto" w:fill="FFFFFF"/>
              <w:rPr>
                <w:sz w:val="22"/>
                <w:szCs w:val="22"/>
                <w:lang w:val="en-IN" w:eastAsia="en-IN"/>
              </w:rPr>
            </w:pPr>
            <w:r w:rsidRPr="00A538EB">
              <w:rPr>
                <w:sz w:val="22"/>
                <w:szCs w:val="22"/>
                <w:lang w:val="en-IN" w:eastAsia="en-IN"/>
              </w:rPr>
              <w:t>Tradelink Pvt Ltd.</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Regulations  3(a),  (b),  (c),  (d),  4(1),  4(2)(a)  and  (e)  of  SEBI (Prohibition  of  Fraudulent  and  Unfair  Trade  Practices relating  to  Securities Market)    Regulations, 2003.</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spacing w:after="160" w:line="259" w:lineRule="auto"/>
              <w:rPr>
                <w:sz w:val="22"/>
                <w:szCs w:val="22"/>
                <w:lang w:val="en-IN" w:eastAsia="en-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sz w:val="22"/>
                <w:szCs w:val="22"/>
                <w:lang w:val="en-IN" w:eastAsia="en-IN" w:bidi="hi-IN"/>
              </w:rPr>
            </w:pPr>
            <w:r w:rsidRPr="00A538EB">
              <w:rPr>
                <w:sz w:val="22"/>
                <w:szCs w:val="22"/>
                <w:lang w:val="en-IN" w:eastAsia="en-IN" w:bidi="hi-IN"/>
              </w:rPr>
              <w:t>1,20,00,000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08/02/2021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Shri Ram Real Estate &amp; Business Solutions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Shri Ram Real Estate &amp; Business Solution Ltd., Vijay Singh, Sohan Kumar Patel, Subhash Deshmukh, Babloo Prajapati, Gopal Meena, Nirmal Dhanelia and Others.</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Regulation of 4(2)(t) of Prohibition of Fraudulent And Unfair Trade Practices Relating to securities Market,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40,00,000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Urja Global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shd w:val="clear" w:color="auto" w:fill="FFFFFF"/>
                <w:lang w:bidi="hi-IN"/>
              </w:rPr>
            </w:pPr>
            <w:r w:rsidRPr="00A538EB">
              <w:rPr>
                <w:rFonts w:eastAsia="Calibri"/>
                <w:sz w:val="22"/>
                <w:szCs w:val="22"/>
                <w:shd w:val="clear" w:color="auto" w:fill="FFFFFF"/>
                <w:lang w:bidi="hi-IN"/>
              </w:rPr>
              <w:t xml:space="preserve">Chetan Dogra, Chetan Dogra HUF, </w:t>
            </w:r>
            <w:r w:rsidRPr="00A538EB">
              <w:rPr>
                <w:rFonts w:eastAsia="Calibri"/>
                <w:sz w:val="22"/>
                <w:szCs w:val="22"/>
                <w:lang w:bidi="hi-IN"/>
              </w:rPr>
              <w:t>Daffodil Tradex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Regulations 3 (a) (b) (c) &amp; (d), 4(1), 4 (2) (a) (e)and (g)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80,00,000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Kanchan International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Ganesh Anant Ghadge</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11(3) and 11(C)(3) of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5,00,000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Blue Heavens Agro Industries Ltd.  </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Blue Heavens Agro Industries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SEBI’s Circulars No. CIR/OIAE/2/2011, CIR/OIAE/1/2012, CIR/OIAE/1/2013,</w:t>
            </w:r>
            <w:r w:rsidRPr="00A538EB">
              <w:rPr>
                <w:rFonts w:ascii="Calibri" w:eastAsia="Calibri" w:hAnsi="Calibri" w:cs="Mangal"/>
                <w:sz w:val="22"/>
                <w:szCs w:val="22"/>
                <w:lang w:bidi="hi-IN"/>
              </w:rPr>
              <w:t xml:space="preserve"> </w:t>
            </w:r>
            <w:r w:rsidRPr="00A538EB">
              <w:rPr>
                <w:rFonts w:eastAsia="Calibri"/>
                <w:sz w:val="22"/>
                <w:szCs w:val="22"/>
                <w:lang w:bidi="hi-IN"/>
              </w:rPr>
              <w:t xml:space="preserve">CIR/OIAE/1/2014.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Ambuja Flour Mills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Ambuja Flour Mills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hd w:val="clear" w:color="auto" w:fill="FFFFFF"/>
              <w:rPr>
                <w:rFonts w:ascii="Arial" w:hAnsi="Arial" w:cs="Arial"/>
                <w:sz w:val="22"/>
                <w:szCs w:val="22"/>
                <w:lang w:bidi="hi-IN"/>
              </w:rPr>
            </w:pPr>
            <w:r w:rsidRPr="00A538EB">
              <w:rPr>
                <w:rFonts w:eastAsia="Calibri"/>
                <w:sz w:val="22"/>
                <w:szCs w:val="22"/>
                <w:lang w:bidi="hi-IN"/>
              </w:rPr>
              <w:t xml:space="preserve">SEBI’s Circulars No. CIR/OIAE/2/2011, </w:t>
            </w:r>
            <w:r w:rsidRPr="00A538EB">
              <w:rPr>
                <w:rFonts w:ascii="Arial" w:hAnsi="Arial" w:cs="Arial"/>
                <w:sz w:val="22"/>
                <w:szCs w:val="22"/>
                <w:lang w:bidi="hi-IN"/>
              </w:rPr>
              <w:t>CIR/OIAE/1/2012, CIR/OIAE/1/2013, CIR/OIAE/1/2014.</w:t>
            </w:r>
          </w:p>
          <w:p w:rsidR="000E7AC9" w:rsidRPr="00A538EB" w:rsidRDefault="000E7AC9" w:rsidP="00A538EB">
            <w:pPr>
              <w:spacing w:after="160" w:line="259" w:lineRule="auto"/>
              <w:rPr>
                <w:rFonts w:eastAsia="Calibri"/>
                <w:sz w:val="22"/>
                <w:szCs w:val="22"/>
                <w:lang w:bidi="hi-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Ambuja Electro Castings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Ambuja Electro Castings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ascii="Arial" w:eastAsia="Calibri" w:hAnsi="Arial" w:cs="Arial"/>
                <w:sz w:val="22"/>
                <w:szCs w:val="22"/>
                <w:shd w:val="clear" w:color="auto" w:fill="FFFFFF"/>
                <w:lang w:bidi="hi-IN"/>
              </w:rPr>
              <w:t>SEBI’s Circulars No. CIR/OIAE/2/2011, CIR/OIAE/1/2012, CIR/OIAE/1/2013, CIR/OIAE/1/2014</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10/02/2021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IPO of Tijaria Polypipes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Volga International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12A of SEBI Act, 1992, Regulations 3(a), (b), (c)  &amp;  (d),  4(1)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3F384D">
            <w:pPr>
              <w:numPr>
                <w:ilvl w:val="0"/>
                <w:numId w:val="24"/>
              </w:numPr>
              <w:spacing w:after="160" w:line="259" w:lineRule="auto"/>
              <w:jc w:val="right"/>
              <w:rPr>
                <w:rFonts w:eastAsia="Calibri"/>
                <w:sz w:val="22"/>
                <w:szCs w:val="22"/>
                <w:lang w:bidi="hi-IN"/>
              </w:rPr>
            </w:pP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10/02/2021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shd w:val="clear" w:color="auto" w:fill="FFFFFF"/>
                <w:lang w:bidi="hi-IN"/>
              </w:rPr>
              <w:t>Urja Global Ltd</w:t>
            </w:r>
            <w:r w:rsidRPr="00A538EB">
              <w:rPr>
                <w:rFonts w:ascii="Calibri" w:eastAsia="Calibri" w:hAnsi="Calibri" w:cs="Mangal"/>
                <w:sz w:val="22"/>
                <w:szCs w:val="22"/>
                <w:lang w:bidi="hi-IN"/>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Nandanvan Commercial Pvt.,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13, 16, 18 2(1) of Securities Contract (Regulation)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10,00,000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10/02/2021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NSE Co-location</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National Stock Exchange of India Ltd., Ravi Narain,</w:t>
            </w:r>
            <w:r w:rsidRPr="00A538EB">
              <w:rPr>
                <w:rFonts w:ascii="Calibri" w:eastAsia="Calibri" w:hAnsi="Calibri" w:cs="Mangal"/>
                <w:sz w:val="22"/>
                <w:szCs w:val="22"/>
                <w:lang w:bidi="hi-IN"/>
              </w:rPr>
              <w:t xml:space="preserve"> </w:t>
            </w:r>
            <w:r w:rsidRPr="00A538EB">
              <w:rPr>
                <w:rFonts w:eastAsia="Calibri"/>
                <w:sz w:val="22"/>
                <w:szCs w:val="22"/>
                <w:lang w:bidi="hi-IN"/>
              </w:rPr>
              <w:t xml:space="preserve">Chitra Ramakrishna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23H of the Securities Contract (Regulation) Act, 1956</w:t>
            </w:r>
          </w:p>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SEBI(Prohibition of Fraudulent and Unfair Trade  practices relating to Securities Market("PFUTP Reg)-Sec 12A(a)(b) &amp; (c) of SEBI Act,1992.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1,50,00,000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10/02/2021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Birla  Pacific Medspa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KV Impex, Ketan Vora, Dinesh Vora HUF, Jigar Vora.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Regulations 3(a), (b), (c), (d)and4(1) of the PFUTP Regulations, Section 12A(a), (b)  &amp;  (c)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80,00,000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19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Suman Motels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Suman Motels Limited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SEBI’s Circulars No. CIR/OIAE/2/2011,</w:t>
            </w:r>
            <w:r w:rsidRPr="00A538EB">
              <w:rPr>
                <w:rFonts w:ascii="Calibri" w:eastAsia="Calibri" w:hAnsi="Calibri" w:cs="Mangal"/>
                <w:sz w:val="22"/>
                <w:szCs w:val="22"/>
                <w:lang w:bidi="hi-IN"/>
              </w:rPr>
              <w:t xml:space="preserve"> </w:t>
            </w:r>
            <w:r w:rsidRPr="00A538EB">
              <w:rPr>
                <w:rFonts w:eastAsia="Calibri"/>
                <w:sz w:val="22"/>
                <w:szCs w:val="22"/>
                <w:lang w:bidi="hi-IN"/>
              </w:rPr>
              <w:t>CIR/OIAE/1/2012,</w:t>
            </w:r>
            <w:r w:rsidRPr="00A538EB">
              <w:rPr>
                <w:rFonts w:ascii="Calibri" w:eastAsia="Calibri" w:hAnsi="Calibri" w:cs="Mangal"/>
                <w:sz w:val="22"/>
                <w:szCs w:val="22"/>
                <w:lang w:bidi="hi-IN"/>
              </w:rPr>
              <w:t xml:space="preserve"> </w:t>
            </w:r>
            <w:r w:rsidRPr="00A538EB">
              <w:rPr>
                <w:rFonts w:eastAsia="Calibri"/>
                <w:sz w:val="22"/>
                <w:szCs w:val="22"/>
                <w:lang w:bidi="hi-IN"/>
              </w:rPr>
              <w:t xml:space="preserve">CIR/OIAE/1/2013,  CIR/OIAE/1/2014.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20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NSE Co-location</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OPG Securities Private Ltd, Sanjay Gupta,</w:t>
            </w:r>
            <w:r w:rsidRPr="00A538EB">
              <w:rPr>
                <w:rFonts w:ascii="Calibri" w:eastAsia="Calibri" w:hAnsi="Calibri" w:cs="Mangal"/>
                <w:sz w:val="22"/>
                <w:szCs w:val="22"/>
                <w:lang w:bidi="hi-IN"/>
              </w:rPr>
              <w:t xml:space="preserve"> </w:t>
            </w:r>
            <w:r w:rsidRPr="00A538EB">
              <w:rPr>
                <w:rFonts w:eastAsia="Calibri"/>
                <w:sz w:val="22"/>
                <w:szCs w:val="22"/>
                <w:lang w:bidi="hi-IN"/>
              </w:rPr>
              <w:t xml:space="preserve">Sangeeta Gupta, Om Prakash Gupta.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Regulation   4(1),(2),  of  SEBI (PFUTP) Regulations, 2003, Section  11C  (2)  of  SEBI Act</w:t>
            </w:r>
          </w:p>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 12A(a)(b) &amp; (c) of SEBI Act,1992.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5,80,00,000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21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Real Growth Commercial Enterprise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Real Growth Commercial Enterprise Ltd,</w:t>
            </w:r>
            <w:r w:rsidRPr="00A538EB">
              <w:rPr>
                <w:rFonts w:ascii="Calibri" w:eastAsia="Calibri" w:hAnsi="Calibri" w:cs="Mangal"/>
                <w:sz w:val="22"/>
                <w:szCs w:val="22"/>
                <w:lang w:bidi="hi-IN"/>
              </w:rPr>
              <w:t xml:space="preserve"> </w:t>
            </w:r>
            <w:r w:rsidRPr="00A538EB">
              <w:rPr>
                <w:rFonts w:eastAsia="Calibri"/>
                <w:sz w:val="22"/>
                <w:szCs w:val="22"/>
                <w:lang w:bidi="hi-IN"/>
              </w:rPr>
              <w:t xml:space="preserve">Deepak Gupta, Rajesh Goyal, Suchita Goyal, Himanshu Garg.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Regulations 31(4)   of   SEBI (Listing Obligations and Disclosure Requirements) Regulations, 2015.   </w:t>
            </w:r>
          </w:p>
          <w:p w:rsidR="000E7AC9" w:rsidRPr="00A538EB" w:rsidRDefault="000E7AC9" w:rsidP="00A538EB">
            <w:pPr>
              <w:spacing w:after="160" w:line="259" w:lineRule="auto"/>
              <w:rPr>
                <w:rFonts w:eastAsia="Calibri"/>
                <w:sz w:val="22"/>
                <w:szCs w:val="22"/>
                <w:lang w:bidi="hi-IN"/>
              </w:rPr>
            </w:pPr>
          </w:p>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23 of SECURITIES CONTRACTS (REGULATION)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16,00,000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22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12/02/2021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Gautam Dealers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Gautam Dealers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Del="00A17303" w:rsidRDefault="000E7AC9" w:rsidP="00A538EB">
            <w:pPr>
              <w:spacing w:after="160" w:line="259" w:lineRule="auto"/>
              <w:rPr>
                <w:rFonts w:eastAsia="Calibri"/>
                <w:sz w:val="22"/>
                <w:szCs w:val="22"/>
                <w:lang w:bidi="hi-IN"/>
              </w:rPr>
            </w:pPr>
            <w:r w:rsidRPr="00A538EB">
              <w:rPr>
                <w:rFonts w:eastAsia="Calibri"/>
                <w:sz w:val="22"/>
                <w:szCs w:val="22"/>
                <w:lang w:bidi="hi-IN"/>
              </w:rPr>
              <w:t>Regulations  3(a),  (b),  (c),  (d)  and  4(1)  of  the  PFUTP Regulations read with Section 12A(a), (b) &amp; (c)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6B79C9">
            <w:pPr>
              <w:spacing w:after="160" w:line="259" w:lineRule="auto"/>
              <w:jc w:val="right"/>
              <w:rPr>
                <w:rFonts w:eastAsia="Calibri"/>
                <w:sz w:val="22"/>
                <w:szCs w:val="22"/>
                <w:lang w:bidi="hi-IN"/>
              </w:rPr>
            </w:pPr>
            <w:r w:rsidRPr="00A538EB">
              <w:rPr>
                <w:rFonts w:eastAsia="Calibri"/>
                <w:sz w:val="22"/>
                <w:szCs w:val="22"/>
                <w:lang w:bidi="hi-IN"/>
              </w:rPr>
              <w:t>5,00,000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Atlanta Infrastructure and Finance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b/>
                <w:bCs/>
                <w:sz w:val="22"/>
                <w:szCs w:val="22"/>
                <w:lang w:bidi="hi-IN"/>
              </w:rPr>
              <w:t>Manish Manubhai</w:t>
            </w:r>
            <w:r w:rsidRPr="00A538EB">
              <w:rPr>
                <w:rFonts w:eastAsia="Calibri"/>
                <w:sz w:val="22"/>
                <w:szCs w:val="22"/>
                <w:lang w:bidi="hi-IN"/>
              </w:rPr>
              <w:t xml:space="preserve"> </w:t>
            </w:r>
            <w:r w:rsidRPr="00A538EB">
              <w:rPr>
                <w:rFonts w:eastAsia="Calibri"/>
                <w:b/>
                <w:bCs/>
                <w:sz w:val="22"/>
                <w:szCs w:val="22"/>
                <w:lang w:bidi="hi-IN"/>
              </w:rPr>
              <w:t>Raja</w:t>
            </w:r>
            <w:r w:rsidRPr="00A538EB">
              <w:rPr>
                <w:rFonts w:eastAsia="Calibri"/>
                <w:sz w:val="22"/>
                <w:szCs w:val="22"/>
                <w:lang w:bidi="hi-IN"/>
              </w:rPr>
              <w:t>, Pari Stock Trading Pvt. Ltd,</w:t>
            </w:r>
            <w:r w:rsidRPr="00A538EB">
              <w:rPr>
                <w:rFonts w:ascii="Calibri" w:eastAsia="Calibri" w:hAnsi="Calibri" w:cs="Mangal"/>
                <w:sz w:val="22"/>
                <w:szCs w:val="22"/>
                <w:lang w:bidi="hi-IN"/>
              </w:rPr>
              <w:t xml:space="preserve"> </w:t>
            </w:r>
            <w:r w:rsidRPr="00A538EB">
              <w:rPr>
                <w:rFonts w:eastAsia="Calibri"/>
                <w:sz w:val="22"/>
                <w:szCs w:val="22"/>
                <w:lang w:bidi="hi-IN"/>
              </w:rPr>
              <w:t>Pavan Anilbhai Gandhi,</w:t>
            </w:r>
            <w:r w:rsidRPr="00A538EB">
              <w:rPr>
                <w:rFonts w:ascii="Calibri" w:eastAsia="Calibri" w:hAnsi="Calibri" w:cs="Mangal"/>
                <w:sz w:val="22"/>
                <w:szCs w:val="22"/>
                <w:lang w:bidi="hi-IN"/>
              </w:rPr>
              <w:t xml:space="preserve"> </w:t>
            </w:r>
            <w:r w:rsidRPr="00A538EB">
              <w:rPr>
                <w:rFonts w:eastAsia="Calibri"/>
                <w:sz w:val="22"/>
                <w:szCs w:val="22"/>
                <w:lang w:bidi="hi-IN"/>
              </w:rPr>
              <w:t xml:space="preserve">Dharmesh Narendrakumar Solanki, </w:t>
            </w:r>
            <w:r w:rsidRPr="00A538EB">
              <w:rPr>
                <w:rFonts w:eastAsia="Calibri"/>
                <w:b/>
                <w:bCs/>
                <w:sz w:val="22"/>
                <w:szCs w:val="22"/>
                <w:lang w:bidi="hi-IN"/>
              </w:rPr>
              <w:t>Girishkumar Prabhudas Ruparel</w:t>
            </w:r>
            <w:r w:rsidRPr="00A538EB">
              <w:rPr>
                <w:rFonts w:eastAsia="Calibri"/>
                <w:sz w:val="22"/>
                <w:szCs w:val="22"/>
                <w:lang w:bidi="hi-IN"/>
              </w:rPr>
              <w:t>, Amrutlal Jivandas Gandhi,</w:t>
            </w:r>
            <w:r w:rsidRPr="00A538EB">
              <w:rPr>
                <w:rFonts w:ascii="Calibri" w:eastAsia="Calibri" w:hAnsi="Calibri" w:cs="Mangal"/>
                <w:sz w:val="22"/>
                <w:szCs w:val="22"/>
                <w:lang w:bidi="hi-IN"/>
              </w:rPr>
              <w:t xml:space="preserve"> </w:t>
            </w:r>
            <w:r w:rsidRPr="00A538EB">
              <w:rPr>
                <w:rFonts w:eastAsia="Calibri"/>
                <w:sz w:val="22"/>
                <w:szCs w:val="22"/>
                <w:lang w:bidi="hi-IN"/>
              </w:rPr>
              <w:t xml:space="preserve">Dipti Darshanbhai Parmar.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Regulations 3(a), (b), (c), (d), 4(1), 4(2) (a) and (e)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Front-running by Manish Chaturvedi &amp; Others</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Praveen Kumar Jain</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Sections 12A(a), (b) and (c) of the SEBI Act and Regulations 3(a), (b), (c), (d), Regulation 4(1) and Regulations 4(2)(a) and (q)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35,00,000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17/02/2021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Malabar Trading Company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Sushma Chaudhary, Prerna Chaudhary</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Regulations 3(a), (b), (c), (d), 4(1), 4(2)(a) and (e)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17/02/2021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Sarang Chemicals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Sarang Chemicals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SEBI Circular   No. CIR/OIAE/2/2011, CIR/OIAE/1/2012, CIR/OIAE/1/2013</w:t>
            </w:r>
            <w:r w:rsidRPr="00A538EB">
              <w:rPr>
                <w:rFonts w:ascii="Calibri" w:eastAsia="Calibri" w:hAnsi="Calibri" w:cs="Mangal"/>
                <w:sz w:val="22"/>
                <w:szCs w:val="22"/>
                <w:lang w:bidi="hi-IN"/>
              </w:rPr>
              <w:t xml:space="preserve"> </w:t>
            </w:r>
            <w:r w:rsidRPr="00A538EB">
              <w:rPr>
                <w:rFonts w:eastAsia="Calibri"/>
                <w:sz w:val="22"/>
                <w:szCs w:val="22"/>
                <w:lang w:bidi="hi-IN"/>
              </w:rPr>
              <w:t xml:space="preserve">CIR/OIAE/1/2014.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2,00,000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22/02/2021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Alchemist Infra Reality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Alchemist Infra Realty Limited, Brij Mohan Mahajan, Narayan Madhav Kumar, Balvir Singh, Chandra Sekhar Chauhan.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Section 12(1B) of the </w:t>
            </w:r>
          </w:p>
          <w:p w:rsidR="000E7AC9" w:rsidRPr="00A538EB" w:rsidRDefault="000E7AC9" w:rsidP="00A538EB">
            <w:pPr>
              <w:jc w:val="both"/>
              <w:rPr>
                <w:rFonts w:eastAsia="Calibri"/>
                <w:sz w:val="22"/>
                <w:szCs w:val="22"/>
                <w:lang w:bidi="hi-IN"/>
              </w:rPr>
            </w:pPr>
            <w:r w:rsidRPr="00A538EB">
              <w:rPr>
                <w:rFonts w:eastAsia="Calibri"/>
                <w:sz w:val="22"/>
                <w:szCs w:val="22"/>
                <w:lang w:bidi="hi-IN"/>
              </w:rPr>
              <w:t>SEBI Act, 1992</w:t>
            </w:r>
          </w:p>
          <w:p w:rsidR="000E7AC9" w:rsidRPr="00A538EB" w:rsidRDefault="000E7AC9" w:rsidP="00A538EB">
            <w:pPr>
              <w:jc w:val="both"/>
              <w:rPr>
                <w:rFonts w:eastAsia="Calibri"/>
                <w:sz w:val="22"/>
                <w:szCs w:val="22"/>
                <w:lang w:bidi="hi-IN"/>
              </w:rPr>
            </w:pPr>
            <w:r w:rsidRPr="00A538EB">
              <w:rPr>
                <w:rFonts w:eastAsia="Calibri"/>
                <w:sz w:val="22"/>
                <w:szCs w:val="22"/>
                <w:lang w:bidi="hi-IN"/>
              </w:rPr>
              <w:t>read with Regulation 3</w:t>
            </w:r>
          </w:p>
          <w:p w:rsidR="000E7AC9" w:rsidRPr="00A538EB" w:rsidRDefault="000E7AC9" w:rsidP="00A538EB">
            <w:pPr>
              <w:jc w:val="both"/>
              <w:rPr>
                <w:rFonts w:eastAsia="Calibri"/>
                <w:sz w:val="22"/>
                <w:szCs w:val="22"/>
                <w:lang w:bidi="hi-IN"/>
              </w:rPr>
            </w:pPr>
            <w:r w:rsidRPr="00A538EB">
              <w:rPr>
                <w:rFonts w:eastAsia="Calibri"/>
                <w:sz w:val="22"/>
                <w:szCs w:val="22"/>
                <w:lang w:bidi="hi-IN"/>
              </w:rPr>
              <w:t>SEBI (Collective Investment Schemes) Regulations, 1999</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Tijaria Polypipes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Hitendra kumar Kapadia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12Aof SEBI Act, 1992 and Regulations 3(a), (b),  (c)  &amp;  (d),  4(1)  of  SEBI  (Prohibition of Fraudulent and Unfair Trade Practices)  Regulations,  2003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29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Ricoh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Ashish Pandey</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11(2)(ia) r/w Section  11C  (2) ,  (3)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5,00,000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Garware Polyester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Rachita Shripal kumar Shah, Shripal Sheshmal HUF,  Shripal Sheshmal.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12A (a), (b) and (c) of the  SEBI  Act  and Regulation 3  (a),  (b),  (c),  (d) r/w Regulation 4(1),  4  (2)(a) of SEBI ((Prohibition of Fraudulent and Unfair Trade Practices)  Regulations,  2003 (PFUTP Regulations)and Clause A(2) of the code of conduct specified under Schedule II r/w regulation 15 of the Brokers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30,00,000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Ashika Stock Broking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Ashika Stock Broking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SEBI Circular no.  SMD/SED/CIR/93/23321</w:t>
            </w:r>
            <w:r w:rsidRPr="00A538EB">
              <w:rPr>
                <w:rFonts w:ascii="Calibri" w:eastAsia="Calibri" w:hAnsi="Calibri" w:cs="Mangal"/>
                <w:sz w:val="22"/>
                <w:szCs w:val="22"/>
                <w:lang w:bidi="hi-IN"/>
              </w:rPr>
              <w:t xml:space="preserve"> </w:t>
            </w:r>
            <w:r w:rsidRPr="00A538EB">
              <w:rPr>
                <w:rFonts w:eastAsia="Calibri"/>
                <w:sz w:val="22"/>
                <w:szCs w:val="22"/>
                <w:lang w:bidi="hi-IN"/>
              </w:rPr>
              <w:t>MRD/DoP/SE/Cir-11/2008, CIR/DNPD/7/2011, CIR/DNPD/1/2012, CIR/MIRSD/SE/Cir-19/2009,</w:t>
            </w:r>
            <w:r w:rsidRPr="00A538EB">
              <w:rPr>
                <w:rFonts w:ascii="Calibri" w:eastAsia="Calibri" w:hAnsi="Calibri" w:cs="Mangal"/>
                <w:sz w:val="22"/>
                <w:szCs w:val="22"/>
                <w:lang w:bidi="hi-IN"/>
              </w:rPr>
              <w:t xml:space="preserve"> </w:t>
            </w:r>
            <w:r w:rsidRPr="00A538EB">
              <w:rPr>
                <w:rFonts w:eastAsia="Calibri"/>
                <w:sz w:val="22"/>
                <w:szCs w:val="22"/>
                <w:lang w:bidi="hi-IN"/>
              </w:rPr>
              <w:t xml:space="preserve">SEBI/MIRSD/SE/Cir/01/2011, Clauses A (1), A (2), and A (5), 9 (f) of Broker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6,00,000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Supreme Tex Mart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Jesse Trading Private Ltd, Nikita Enterprises Private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Section 11C (2) and 11C (3) of SEBI Act,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color w:val="FF0000"/>
                <w:sz w:val="22"/>
                <w:szCs w:val="22"/>
                <w:lang w:bidi="hi-IN"/>
              </w:rPr>
              <w:t xml:space="preserve"> </w:t>
            </w:r>
            <w:r w:rsidRPr="00A538EB">
              <w:rPr>
                <w:rFonts w:eastAsia="Calibri"/>
                <w:sz w:val="22"/>
                <w:szCs w:val="22"/>
                <w:lang w:bidi="hi-IN"/>
              </w:rPr>
              <w:t>10,00,000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24/02/2021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Kassa Finvest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Kassa Finvest Private Ltd, Ashok Kumar, Umashankar Sharan Srivastava, Anjana Kumar, Siddharth Shankar, NItika Shankar, Anil Kumar Dhawan, Manoj Kumar Agarwal.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ascii="Arial" w:hAnsi="Arial" w:cs="Arial"/>
                <w:sz w:val="22"/>
                <w:szCs w:val="22"/>
                <w:lang w:val="en-IN" w:eastAsia="en-IN" w:bidi="hi-IN"/>
              </w:rPr>
            </w:pPr>
            <w:r w:rsidRPr="00A538EB">
              <w:rPr>
                <w:rFonts w:eastAsia="Calibri"/>
                <w:sz w:val="22"/>
                <w:szCs w:val="22"/>
                <w:lang w:bidi="hi-IN"/>
              </w:rPr>
              <w:t xml:space="preserve">Rule 8 (3) (f) of Securities Contracts (Regulation) Rules, 1957, </w:t>
            </w:r>
            <w:r w:rsidRPr="00A538EB">
              <w:rPr>
                <w:rFonts w:ascii="Arial" w:hAnsi="Arial" w:cs="Arial"/>
                <w:sz w:val="22"/>
                <w:szCs w:val="22"/>
                <w:lang w:val="en-IN" w:eastAsia="en-IN" w:bidi="hi-IN"/>
              </w:rPr>
              <w:t>Circular no. SMD/SED/CI</w:t>
            </w:r>
          </w:p>
          <w:p w:rsidR="000E7AC9" w:rsidRPr="00A538EB" w:rsidRDefault="000E7AC9" w:rsidP="00A538EB">
            <w:pPr>
              <w:jc w:val="both"/>
              <w:rPr>
                <w:rFonts w:ascii="Arial" w:hAnsi="Arial" w:cs="Arial"/>
                <w:sz w:val="22"/>
                <w:szCs w:val="22"/>
                <w:lang w:val="en-IN" w:eastAsia="en-IN" w:bidi="hi-IN"/>
              </w:rPr>
            </w:pPr>
            <w:r w:rsidRPr="00A538EB">
              <w:rPr>
                <w:rFonts w:ascii="Arial" w:hAnsi="Arial" w:cs="Arial"/>
                <w:sz w:val="22"/>
                <w:szCs w:val="22"/>
                <w:lang w:val="en-IN" w:eastAsia="en-IN" w:bidi="hi-IN"/>
              </w:rPr>
              <w:t xml:space="preserve">/93/23321 dated 18 November, </w:t>
            </w:r>
          </w:p>
          <w:p w:rsidR="000E7AC9" w:rsidRPr="00A538EB" w:rsidRDefault="000E7AC9" w:rsidP="00A538EB">
            <w:pPr>
              <w:jc w:val="both"/>
              <w:rPr>
                <w:rFonts w:ascii="Arial" w:hAnsi="Arial" w:cs="Arial"/>
                <w:sz w:val="22"/>
                <w:szCs w:val="22"/>
                <w:lang w:val="en-IN" w:eastAsia="en-IN" w:bidi="hi-IN"/>
              </w:rPr>
            </w:pPr>
            <w:r w:rsidRPr="00A538EB">
              <w:rPr>
                <w:rFonts w:ascii="Arial" w:hAnsi="Arial" w:cs="Arial"/>
                <w:sz w:val="22"/>
                <w:szCs w:val="22"/>
                <w:lang w:val="en-IN" w:eastAsia="en-IN" w:bidi="hi-IN"/>
              </w:rPr>
              <w:t>1993,</w:t>
            </w:r>
            <w:r w:rsidRPr="00A538EB">
              <w:rPr>
                <w:rFonts w:ascii="Arial" w:eastAsia="Calibri" w:hAnsi="Arial" w:cs="Arial"/>
                <w:sz w:val="22"/>
                <w:szCs w:val="22"/>
                <w:lang w:bidi="hi-IN"/>
              </w:rPr>
              <w:t xml:space="preserve"> </w:t>
            </w:r>
            <w:r w:rsidRPr="00A538EB">
              <w:rPr>
                <w:rFonts w:ascii="Arial" w:hAnsi="Arial" w:cs="Arial"/>
                <w:sz w:val="22"/>
                <w:szCs w:val="22"/>
                <w:lang w:val="en-IN" w:eastAsia="en-IN" w:bidi="hi-IN"/>
              </w:rPr>
              <w:t xml:space="preserve">Circular no.  MRD/DoP/SE /Cir-11/2008 dated April 17, 2008, </w:t>
            </w:r>
            <w:r w:rsidRPr="00A538EB">
              <w:rPr>
                <w:rFonts w:eastAsia="Calibri"/>
                <w:sz w:val="22"/>
                <w:szCs w:val="22"/>
                <w:lang w:bidi="hi-IN"/>
              </w:rPr>
              <w:t xml:space="preserve">Section 12A(b) &amp; (c) of the SEBI Act, Regulation 3(a) (c)  and (d)  and  Regulation  4(1) &amp;  4(2)(m)   of  SEBI PFUTP Regulations, 2003, Regulation   9(b) and (f) of   the   SEBI (Stock Brokers and Sub-Brokers) Regulations, 1992.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4,65,00,000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Vayaa Builder and Developers Pvt.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Vayaa Builder and Developers Pvt. Ltd, Yogendra Bisay,</w:t>
            </w:r>
            <w:r w:rsidRPr="00A538EB">
              <w:rPr>
                <w:rFonts w:ascii="Calibri" w:eastAsia="Calibri" w:hAnsi="Calibri" w:cs="Mangal"/>
                <w:sz w:val="22"/>
                <w:szCs w:val="22"/>
                <w:lang w:bidi="hi-IN"/>
              </w:rPr>
              <w:t xml:space="preserve"> </w:t>
            </w:r>
            <w:r w:rsidRPr="00A538EB">
              <w:rPr>
                <w:rFonts w:eastAsia="Calibri"/>
                <w:sz w:val="22"/>
                <w:szCs w:val="22"/>
                <w:lang w:bidi="hi-IN"/>
              </w:rPr>
              <w:t xml:space="preserve">Jitendra Bisay.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12(1)(B) of the SEBI Act, 1992, Regulation 3 of CIS Regulation and 4(2)(t)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15,00,000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Speciality Paper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Speciality Paper Ltd, Nemchand J Gala. </w:t>
            </w:r>
          </w:p>
          <w:p w:rsidR="000E7AC9" w:rsidRPr="00A538EB" w:rsidRDefault="000E7AC9" w:rsidP="00A538EB">
            <w:pPr>
              <w:spacing w:after="160" w:line="259" w:lineRule="auto"/>
              <w:jc w:val="both"/>
              <w:rPr>
                <w:rFonts w:eastAsia="Calibri"/>
                <w:sz w:val="22"/>
                <w:szCs w:val="22"/>
                <w:lang w:bidi="hi-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Regulation     13(6)     of     SEBI  (PIT) regulations, 1992, Clause  47(a) , Section   21   of   Securities Contracts (Regulation) Act, 1956, Clause   3.2   of   Code   of   Corporate Disclosure  Practices, Schedule  II read  with  Regulation  12  (2)  of  SEBI (PIT) Regulations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5,00,000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Mindvision Capital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color w:val="000000"/>
                <w:sz w:val="22"/>
                <w:szCs w:val="22"/>
                <w:lang w:bidi="hi-IN"/>
              </w:rPr>
            </w:pPr>
            <w:r w:rsidRPr="00A538EB">
              <w:rPr>
                <w:rFonts w:eastAsia="Calibri"/>
                <w:color w:val="000000"/>
                <w:sz w:val="22"/>
                <w:szCs w:val="22"/>
                <w:lang w:bidi="hi-IN"/>
              </w:rPr>
              <w:t>Basiz Fund Services Pvt. Ltd, Dash Pharmaceuticals Pvt. Ltd, Mandvi Dyes &amp;Chemicals Co. Pvt. Ltd, Maxilla Financial Services Pvt. Ltd,</w:t>
            </w:r>
            <w:r w:rsidRPr="00A538EB">
              <w:rPr>
                <w:rFonts w:ascii="Calibri" w:eastAsia="Calibri" w:hAnsi="Calibri" w:cs="Mangal"/>
                <w:color w:val="000000"/>
                <w:sz w:val="22"/>
                <w:szCs w:val="22"/>
                <w:lang w:bidi="hi-IN"/>
              </w:rPr>
              <w:t xml:space="preserve"> </w:t>
            </w:r>
            <w:r w:rsidRPr="00A538EB">
              <w:rPr>
                <w:rFonts w:eastAsia="Calibri"/>
                <w:color w:val="000000"/>
                <w:sz w:val="22"/>
                <w:szCs w:val="22"/>
                <w:lang w:bidi="hi-IN"/>
              </w:rPr>
              <w:t>Parachit Sales &amp; Marketing (I) Pvt. Ltd,</w:t>
            </w:r>
            <w:r w:rsidRPr="00A538EB">
              <w:rPr>
                <w:rFonts w:ascii="Calibri" w:eastAsia="Calibri" w:hAnsi="Calibri" w:cs="Mangal"/>
                <w:color w:val="000000"/>
                <w:sz w:val="22"/>
                <w:szCs w:val="22"/>
                <w:lang w:bidi="hi-IN"/>
              </w:rPr>
              <w:t xml:space="preserve"> </w:t>
            </w:r>
            <w:r w:rsidRPr="00A538EB">
              <w:rPr>
                <w:rFonts w:eastAsia="Calibri"/>
                <w:color w:val="000000"/>
                <w:sz w:val="22"/>
                <w:szCs w:val="22"/>
                <w:lang w:bidi="hi-IN"/>
              </w:rPr>
              <w:t xml:space="preserve">Prime Dyes and Chemical Company Pvt. Ltd, Rajratan Trading Pvt. Ltd and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color w:val="000000"/>
                <w:sz w:val="22"/>
                <w:szCs w:val="22"/>
                <w:lang w:bidi="hi-IN"/>
              </w:rPr>
            </w:pPr>
            <w:r w:rsidRPr="00A538EB">
              <w:rPr>
                <w:rFonts w:eastAsia="Calibri"/>
                <w:color w:val="000000"/>
                <w:sz w:val="22"/>
                <w:szCs w:val="22"/>
                <w:lang w:bidi="hi-IN"/>
              </w:rPr>
              <w:t>Regulation 10, 11 (1) and 11 (2) of the SEBI (Substantial Acquisition of Shares and Takeovers) Regulations, 2011</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Margdarshak Financial Services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Margdarshak Financial Services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52(1)  of  SEBI (Listing Obligations and Disclosure Requirements)  Regulations 2015 (LODR Regulations), SEBI Circular no. CIR/IMD/DFI/69/2016 dated August 10, 2016.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Gluhend India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Gluhend India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Section 52(1) of SEBI (LODR) Regulations 2015.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1,00,000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39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JSR Dairies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JSR Dairies Ltd, Rajesh Khera, Rajesh Niranjan,</w:t>
            </w:r>
            <w:r w:rsidRPr="00A538EB">
              <w:rPr>
                <w:rFonts w:ascii="Calibri" w:eastAsia="Calibri" w:hAnsi="Calibri" w:cs="Mangal"/>
                <w:sz w:val="22"/>
                <w:szCs w:val="22"/>
                <w:lang w:bidi="hi-IN"/>
              </w:rPr>
              <w:t xml:space="preserve"> </w:t>
            </w:r>
            <w:r w:rsidRPr="00A538EB">
              <w:rPr>
                <w:rFonts w:eastAsia="Calibri"/>
                <w:sz w:val="22"/>
                <w:szCs w:val="22"/>
                <w:lang w:bidi="hi-IN"/>
              </w:rPr>
              <w:t xml:space="preserve">LalitKumar Arora, Parveen Kumar Sardana, Om Prakash Khurana.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3  of  SEBI (Collective Investment Schemes) Regulations, 1999 and section 12 (1B) of the SEBI Act.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8,00,000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40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Octant Interactive Technologies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Kishor V Gandhi HUF</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Section 3(a), (b), (c), (d), 4(1), 4(2)(a) and (g) of SEBI (PFUTP) Regulations, 2003.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2,00,000</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41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PMC Fincorp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Adjudication</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Economy Suppliers Pvt Ltd, Embassy Sales Pvt Ltd, Seabird Distributors Pvt Ltd, Seabird Vincon Pvt Ltd,</w:t>
            </w:r>
            <w:r w:rsidRPr="00A538EB">
              <w:rPr>
                <w:rFonts w:ascii="Calibri" w:eastAsia="Calibri" w:hAnsi="Calibri" w:cs="Mangal"/>
                <w:sz w:val="22"/>
                <w:szCs w:val="22"/>
                <w:lang w:bidi="hi-IN"/>
              </w:rPr>
              <w:t xml:space="preserve"> </w:t>
            </w:r>
            <w:r w:rsidRPr="00A538EB">
              <w:rPr>
                <w:rFonts w:eastAsia="Calibri"/>
                <w:sz w:val="22"/>
                <w:szCs w:val="22"/>
                <w:lang w:bidi="hi-IN"/>
              </w:rPr>
              <w:t>Seabird Retails Pvt Ltd,</w:t>
            </w:r>
            <w:r w:rsidRPr="00A538EB">
              <w:rPr>
                <w:rFonts w:ascii="Calibri" w:eastAsia="Calibri" w:hAnsi="Calibri" w:cs="Mangal"/>
                <w:sz w:val="22"/>
                <w:szCs w:val="22"/>
                <w:lang w:bidi="hi-IN"/>
              </w:rPr>
              <w:t xml:space="preserve"> </w:t>
            </w:r>
            <w:r w:rsidRPr="00A538EB">
              <w:rPr>
                <w:rFonts w:eastAsia="Calibri"/>
                <w:sz w:val="22"/>
                <w:szCs w:val="22"/>
                <w:lang w:bidi="hi-IN"/>
              </w:rPr>
              <w:t>Shivdarshan Sales Pvt Ltd, Famous Investment Consultants Pvt Ltd,</w:t>
            </w:r>
            <w:r w:rsidRPr="00A538EB">
              <w:rPr>
                <w:rFonts w:ascii="Calibri" w:eastAsia="Calibri" w:hAnsi="Calibri" w:cs="Mangal"/>
                <w:sz w:val="22"/>
                <w:szCs w:val="22"/>
                <w:lang w:bidi="hi-IN"/>
              </w:rPr>
              <w:t xml:space="preserve"> </w:t>
            </w:r>
            <w:r w:rsidRPr="00A538EB">
              <w:rPr>
                <w:rFonts w:eastAsia="Calibri"/>
                <w:sz w:val="22"/>
                <w:szCs w:val="22"/>
                <w:lang w:bidi="hi-IN"/>
              </w:rPr>
              <w:t xml:space="preserve">Rolex Vinimay Pvt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12A (a), (b), (c) of SEBI Act read with Regulation 3 (a), (b), (c), (d), 4 (1) and 4 (2) (a), (e)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80,00,000</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01/02/2021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National Stock Advisory Research </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National Stock Advisory Research, Neeraj S Lodhi</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Section 12(1) of SEBI Act r/w 3(1), of SEBI (Investment Advisor) Regulation, 2013</w:t>
            </w:r>
          </w:p>
          <w:p w:rsidR="000E7AC9" w:rsidRPr="00A538EB" w:rsidRDefault="000E7AC9" w:rsidP="00A538EB">
            <w:pPr>
              <w:shd w:val="clear" w:color="auto" w:fill="FFFFFF"/>
              <w:jc w:val="both"/>
              <w:rPr>
                <w:sz w:val="22"/>
                <w:szCs w:val="22"/>
                <w:lang w:val="en-IN" w:eastAsia="en-IN"/>
              </w:rPr>
            </w:pPr>
          </w:p>
          <w:p w:rsidR="000E7AC9" w:rsidRPr="00A538EB" w:rsidRDefault="000E7AC9" w:rsidP="00A538EB">
            <w:pPr>
              <w:shd w:val="clear" w:color="auto" w:fill="FFFFFF"/>
              <w:jc w:val="both"/>
              <w:rPr>
                <w:sz w:val="22"/>
                <w:szCs w:val="22"/>
                <w:lang w:val="en-IN" w:eastAsia="en-IN"/>
              </w:rPr>
            </w:pP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02/02/2021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Yalsco Real Estate Agro Farming Ltd.  </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Yalsco Real Estate Agro Farming Ltd.</w:t>
            </w:r>
          </w:p>
          <w:p w:rsidR="000E7AC9" w:rsidRPr="00A538EB" w:rsidRDefault="000E7AC9" w:rsidP="00A538EB">
            <w:pPr>
              <w:jc w:val="both"/>
              <w:rPr>
                <w:color w:val="000000"/>
                <w:sz w:val="22"/>
                <w:szCs w:val="22"/>
                <w:lang w:val="en-IN" w:eastAsia="en-IN" w:bidi="hi-IN"/>
              </w:rPr>
            </w:pP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Prem lal Dewangan,</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Mamta Dewangan,</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Nisha Dewangan  </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Section  12(1B)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of  the  SEBI  Act,  1992,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Regulation 3 of the SEBI (Collective Investment Scheme) Regulations, 1999  and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 xml:space="preserve">Regulation  4(2)(t)  of  the  SEBI  (Prohibition  of  Fraudulent  and  Unfair </w:t>
            </w: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Trade Practices relating to Securities Market) Regulations  2003</w:t>
            </w: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02/02/2021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 B Horticulture</w:t>
            </w:r>
          </w:p>
          <w:p w:rsidR="000E7AC9" w:rsidRPr="00A538EB" w:rsidRDefault="000E7AC9" w:rsidP="00A538EB">
            <w:pPr>
              <w:shd w:val="clear" w:color="auto" w:fill="FFFFFF"/>
              <w:rPr>
                <w:sz w:val="22"/>
                <w:szCs w:val="22"/>
                <w:lang w:val="en-IN" w:eastAsia="en-IN"/>
              </w:rPr>
            </w:pPr>
            <w:r w:rsidRPr="00A538EB">
              <w:rPr>
                <w:sz w:val="22"/>
                <w:szCs w:val="22"/>
                <w:lang w:val="en-IN" w:eastAsia="en-IN"/>
              </w:rPr>
              <w:t>and Animal</w:t>
            </w:r>
          </w:p>
          <w:p w:rsidR="000E7AC9" w:rsidRPr="00A538EB" w:rsidRDefault="000E7AC9" w:rsidP="00A538EB">
            <w:pPr>
              <w:shd w:val="clear" w:color="auto" w:fill="FFFFFF"/>
              <w:rPr>
                <w:sz w:val="22"/>
                <w:szCs w:val="22"/>
                <w:lang w:val="en-IN" w:eastAsia="en-IN"/>
              </w:rPr>
            </w:pPr>
            <w:r w:rsidRPr="00A538EB">
              <w:rPr>
                <w:sz w:val="22"/>
                <w:szCs w:val="22"/>
                <w:lang w:val="en-IN" w:eastAsia="en-IN"/>
              </w:rPr>
              <w:t>Project Limited</w:t>
            </w:r>
          </w:p>
          <w:p w:rsidR="000E7AC9" w:rsidRPr="00A538EB" w:rsidRDefault="000E7AC9" w:rsidP="00A538EB">
            <w:pPr>
              <w:jc w:val="both"/>
              <w:rPr>
                <w:color w:val="000000"/>
                <w:sz w:val="22"/>
                <w:szCs w:val="22"/>
                <w:lang w:val="en-IN" w:eastAsia="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 B Horticulture</w:t>
            </w:r>
          </w:p>
          <w:p w:rsidR="000E7AC9" w:rsidRPr="00A538EB" w:rsidRDefault="000E7AC9" w:rsidP="00A538EB">
            <w:pPr>
              <w:shd w:val="clear" w:color="auto" w:fill="FFFFFF"/>
              <w:rPr>
                <w:sz w:val="22"/>
                <w:szCs w:val="22"/>
                <w:lang w:val="en-IN" w:eastAsia="en-IN"/>
              </w:rPr>
            </w:pPr>
            <w:r w:rsidRPr="00A538EB">
              <w:rPr>
                <w:sz w:val="22"/>
                <w:szCs w:val="22"/>
                <w:lang w:val="en-IN" w:eastAsia="en-IN"/>
              </w:rPr>
              <w:t>and Animal</w:t>
            </w:r>
          </w:p>
          <w:p w:rsidR="000E7AC9" w:rsidRPr="00A538EB" w:rsidRDefault="000E7AC9" w:rsidP="00A538EB">
            <w:pPr>
              <w:shd w:val="clear" w:color="auto" w:fill="FFFFFF"/>
              <w:rPr>
                <w:sz w:val="22"/>
                <w:szCs w:val="22"/>
                <w:lang w:val="en-IN" w:eastAsia="en-IN"/>
              </w:rPr>
            </w:pPr>
            <w:r w:rsidRPr="00A538EB">
              <w:rPr>
                <w:sz w:val="22"/>
                <w:szCs w:val="22"/>
                <w:lang w:val="en-IN" w:eastAsia="en-IN"/>
              </w:rPr>
              <w:t>Project Limited;</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Ranjit Kumar Baidya, </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rPr>
                <w:sz w:val="22"/>
                <w:szCs w:val="22"/>
                <w:lang w:val="en-IN" w:eastAsia="en-IN"/>
              </w:rPr>
            </w:pPr>
            <w:r w:rsidRPr="00A538EB">
              <w:rPr>
                <w:sz w:val="22"/>
                <w:szCs w:val="22"/>
                <w:lang w:val="en-IN" w:eastAsia="en-IN"/>
              </w:rPr>
              <w:t>Sujit</w:t>
            </w:r>
          </w:p>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Baidya, </w:t>
            </w:r>
          </w:p>
          <w:p w:rsidR="000E7AC9" w:rsidRPr="00A538EB" w:rsidRDefault="000E7AC9" w:rsidP="00A538EB">
            <w:pPr>
              <w:shd w:val="clear" w:color="auto" w:fill="FFFFFF"/>
              <w:rPr>
                <w:sz w:val="22"/>
                <w:szCs w:val="22"/>
                <w:lang w:val="en-IN" w:eastAsia="en-IN"/>
              </w:rPr>
            </w:pPr>
          </w:p>
          <w:p w:rsidR="000E7AC9" w:rsidRPr="00A538EB" w:rsidRDefault="000E7AC9" w:rsidP="00A538EB">
            <w:pPr>
              <w:shd w:val="clear" w:color="auto" w:fill="FFFFFF"/>
              <w:rPr>
                <w:sz w:val="22"/>
                <w:szCs w:val="22"/>
                <w:lang w:val="en-IN" w:eastAsia="en-IN"/>
              </w:rPr>
            </w:pPr>
            <w:r w:rsidRPr="00A538EB">
              <w:rPr>
                <w:sz w:val="22"/>
                <w:szCs w:val="22"/>
                <w:lang w:val="en-IN" w:eastAsia="en-IN"/>
              </w:rPr>
              <w:t>Koushik Baidya</w:t>
            </w:r>
          </w:p>
          <w:p w:rsidR="000E7AC9" w:rsidRPr="00A538EB" w:rsidRDefault="000E7AC9" w:rsidP="00A538EB">
            <w:pPr>
              <w:shd w:val="clear" w:color="auto" w:fill="FFFFFF"/>
              <w:rPr>
                <w:sz w:val="22"/>
                <w:szCs w:val="22"/>
                <w:lang w:val="en-IN" w:eastAsia="en-IN"/>
              </w:rPr>
            </w:pPr>
          </w:p>
          <w:p w:rsidR="000E7AC9" w:rsidRPr="00A538EB" w:rsidRDefault="000E7AC9" w:rsidP="00A538EB">
            <w:pPr>
              <w:jc w:val="both"/>
              <w:rPr>
                <w:color w:val="000000"/>
                <w:sz w:val="22"/>
                <w:szCs w:val="22"/>
                <w:lang w:val="en-IN" w:eastAsia="en-IN" w:bidi="hi-IN"/>
              </w:rPr>
            </w:pPr>
            <w:r w:rsidRPr="00A538EB">
              <w:rPr>
                <w:sz w:val="22"/>
                <w:szCs w:val="22"/>
                <w:lang w:val="en-IN" w:eastAsia="en-IN"/>
              </w:rPr>
              <w:t xml:space="preserve"> Swapna Baidya</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Sections 56(1), 56 (3),2(36) r/w Sections  60 73(1), 73(2), 73(3) 73 (2) of the Companies Act, 1956, certain provisions of DIP guidelinesr/w Regulation 111 of SEBI (Issue of Capital and Disclosure requirements) Regulations, 2009</w:t>
            </w:r>
          </w:p>
          <w:p w:rsidR="000E7AC9" w:rsidRPr="00A538EB" w:rsidRDefault="000E7AC9" w:rsidP="00A538EB">
            <w:pPr>
              <w:shd w:val="clear" w:color="auto" w:fill="FFFFFF"/>
              <w:rPr>
                <w:sz w:val="22"/>
                <w:szCs w:val="22"/>
                <w:lang w:val="en-IN" w:eastAsia="en-IN"/>
              </w:rPr>
            </w:pP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03/02/2021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Future Retail Limited</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Future Corporate Resources Private Limited,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Kishore Biyani, </w:t>
            </w:r>
          </w:p>
          <w:p w:rsidR="000E7AC9" w:rsidRPr="00A538EB" w:rsidRDefault="000E7AC9" w:rsidP="00A538EB">
            <w:pPr>
              <w:shd w:val="clear" w:color="auto" w:fill="FFFFFF"/>
              <w:spacing w:after="160" w:line="259" w:lineRule="auto"/>
              <w:rPr>
                <w:sz w:val="22"/>
                <w:szCs w:val="22"/>
                <w:lang w:val="en-IN" w:eastAsia="en-IN"/>
              </w:rPr>
            </w:pPr>
            <w:r w:rsidRPr="00A538EB">
              <w:rPr>
                <w:sz w:val="22"/>
                <w:szCs w:val="22"/>
                <w:lang w:val="en-IN" w:eastAsia="en-IN"/>
              </w:rPr>
              <w:t xml:space="preserve">Anil Biyani,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FCRL Employee Welfare Trust ,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Rajesh Pathak, </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Rajkumar Pande,</w:t>
            </w:r>
          </w:p>
          <w:p w:rsidR="000E7AC9" w:rsidRPr="00A538EB" w:rsidRDefault="000E7AC9" w:rsidP="00A538EB">
            <w:pPr>
              <w:shd w:val="clear" w:color="auto" w:fill="FFFFFF"/>
              <w:spacing w:after="160" w:line="259" w:lineRule="auto"/>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 Virendra Samani,</w:t>
            </w:r>
          </w:p>
          <w:p w:rsidR="000E7AC9" w:rsidRPr="00A538EB" w:rsidRDefault="000E7AC9" w:rsidP="00A538EB">
            <w:pPr>
              <w:shd w:val="clear" w:color="auto" w:fill="FFFFFF"/>
              <w:spacing w:after="160" w:line="259" w:lineRule="auto"/>
              <w:rPr>
                <w:sz w:val="22"/>
                <w:szCs w:val="22"/>
                <w:lang w:val="en-IN" w:eastAsia="en-IN"/>
              </w:rPr>
            </w:pPr>
            <w:r w:rsidRPr="00A538EB">
              <w:rPr>
                <w:rFonts w:eastAsia="Calibri"/>
                <w:sz w:val="22"/>
                <w:szCs w:val="22"/>
                <w:shd w:val="clear" w:color="auto" w:fill="FFFFFF"/>
                <w:lang w:val="en-IN" w:bidi="hi-IN"/>
              </w:rPr>
              <w:t xml:space="preserve"> Arpit Maheshwari</w:t>
            </w:r>
          </w:p>
          <w:p w:rsidR="000E7AC9" w:rsidRPr="00A538EB" w:rsidRDefault="000E7AC9" w:rsidP="00A538EB">
            <w:pPr>
              <w:jc w:val="both"/>
              <w:rPr>
                <w:color w:val="000000"/>
                <w:sz w:val="22"/>
                <w:szCs w:val="22"/>
                <w:lang w:val="en-IN" w:eastAsia="en-IN" w:bidi="hi-IN"/>
              </w:rPr>
            </w:pP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 xml:space="preserve">Section  12A(d)  &amp;  (e) </w:t>
            </w:r>
            <w:r w:rsidRPr="00A538EB">
              <w:rPr>
                <w:color w:val="000000"/>
                <w:sz w:val="22"/>
                <w:szCs w:val="22"/>
                <w:lang w:val="en-IN" w:eastAsia="en-IN" w:bidi="hi-IN"/>
              </w:rPr>
              <w:t xml:space="preserve">Section 4(1) PIT (Prohibition of Insider Trading) Regulation, 2015. Section 15 (G), (J) SEBI Act, 1992. </w:t>
            </w: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FF0000"/>
                <w:sz w:val="22"/>
                <w:szCs w:val="22"/>
                <w:lang w:val="en-IN" w:eastAsia="en-IN" w:bidi="hi-IN"/>
              </w:rPr>
            </w:pPr>
          </w:p>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3,70,00,000</w:t>
            </w:r>
          </w:p>
          <w:p w:rsidR="000E7AC9" w:rsidRPr="00A538EB" w:rsidRDefault="000E7AC9" w:rsidP="006B79C9">
            <w:pPr>
              <w:jc w:val="both"/>
              <w:rPr>
                <w:color w:val="000000"/>
                <w:sz w:val="22"/>
                <w:szCs w:val="22"/>
                <w:lang w:val="en-IN" w:eastAsia="en-IN" w:bidi="hi-IN"/>
              </w:rPr>
            </w:pPr>
            <w:r w:rsidRPr="00A538EB">
              <w:rPr>
                <w:color w:val="000000"/>
                <w:sz w:val="22"/>
                <w:szCs w:val="22"/>
                <w:lang w:val="en-IN" w:eastAsia="en-IN" w:bidi="hi-IN"/>
              </w:rPr>
              <w:t>(Disgrogement - 20.54 crore)</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03/02/2021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Dezire</w:t>
            </w:r>
          </w:p>
          <w:p w:rsidR="000E7AC9" w:rsidRPr="00A538EB" w:rsidRDefault="000E7AC9" w:rsidP="00A538EB">
            <w:pPr>
              <w:shd w:val="clear" w:color="auto" w:fill="FFFFFF"/>
              <w:rPr>
                <w:sz w:val="22"/>
                <w:szCs w:val="22"/>
                <w:lang w:val="en-IN" w:eastAsia="en-IN"/>
              </w:rPr>
            </w:pPr>
            <w:r w:rsidRPr="00A538EB">
              <w:rPr>
                <w:sz w:val="22"/>
                <w:szCs w:val="22"/>
                <w:lang w:val="en-IN" w:eastAsia="en-IN"/>
              </w:rPr>
              <w:t>Research</w:t>
            </w:r>
          </w:p>
          <w:p w:rsidR="000E7AC9" w:rsidRPr="00A538EB" w:rsidRDefault="000E7AC9" w:rsidP="00A538EB">
            <w:pPr>
              <w:jc w:val="both"/>
              <w:rPr>
                <w:color w:val="000000"/>
                <w:sz w:val="22"/>
                <w:szCs w:val="22"/>
                <w:lang w:val="en-IN" w:eastAsia="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Proprietor  Nishant Chopra</w:t>
            </w:r>
          </w:p>
          <w:p w:rsidR="000E7AC9" w:rsidRPr="00A538EB" w:rsidRDefault="000E7AC9" w:rsidP="00A538EB">
            <w:pPr>
              <w:jc w:val="both"/>
              <w:rPr>
                <w:color w:val="000000"/>
                <w:sz w:val="22"/>
                <w:szCs w:val="22"/>
                <w:lang w:val="en-IN" w:eastAsia="en-IN" w:bidi="hi-IN"/>
              </w:rPr>
            </w:pP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rPr>
                <w:sz w:val="22"/>
                <w:szCs w:val="22"/>
                <w:lang w:val="en-IN" w:eastAsia="en-IN"/>
              </w:rPr>
            </w:pPr>
            <w:r w:rsidRPr="00A538EB">
              <w:rPr>
                <w:sz w:val="22"/>
                <w:szCs w:val="22"/>
                <w:lang w:val="en-IN" w:eastAsia="en-IN"/>
              </w:rPr>
              <w:t>Section 12A(a), (b) and (c) of the SEBI Act, 1992 and</w:t>
            </w:r>
          </w:p>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Regulations 3 (a), (b), (c) and (d) of the SEBI (</w:t>
            </w:r>
            <w:r w:rsidRPr="00A538EB">
              <w:rPr>
                <w:rFonts w:eastAsia="Calibri"/>
                <w:color w:val="202124"/>
                <w:sz w:val="22"/>
                <w:szCs w:val="22"/>
                <w:shd w:val="clear" w:color="auto" w:fill="FFFFFF"/>
                <w:lang w:val="en-IN" w:bidi="hi-IN"/>
              </w:rPr>
              <w:t>Prohibition of Fraudulent and Unfair Trade Practices relating to Securities Market)</w:t>
            </w:r>
          </w:p>
          <w:p w:rsidR="000E7AC9" w:rsidRPr="00A538EB" w:rsidRDefault="000E7AC9" w:rsidP="00A538EB">
            <w:pPr>
              <w:shd w:val="clear" w:color="auto" w:fill="FFFFFF"/>
              <w:rPr>
                <w:color w:val="000000"/>
                <w:sz w:val="22"/>
                <w:szCs w:val="22"/>
                <w:lang w:val="en-IN" w:eastAsia="en-IN" w:bidi="hi-IN"/>
              </w:rPr>
            </w:pPr>
            <w:r w:rsidRPr="00A538EB">
              <w:rPr>
                <w:sz w:val="22"/>
                <w:szCs w:val="22"/>
                <w:lang w:val="en-IN" w:eastAsia="en-IN"/>
              </w:rPr>
              <w:t>Regulations,2003</w:t>
            </w: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04/02/2021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Acropetal Technologies Ltd</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Acropetal Technologies Ltd. </w:t>
            </w:r>
          </w:p>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D. Ravi Kumar, </w:t>
            </w:r>
          </w:p>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R J Kamath,</w:t>
            </w:r>
          </w:p>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 Mathew J Manimala, </w:t>
            </w:r>
          </w:p>
          <w:p w:rsidR="000E7AC9" w:rsidRPr="00A538EB" w:rsidRDefault="000E7AC9" w:rsidP="00A538EB">
            <w:pPr>
              <w:jc w:val="both"/>
              <w:rPr>
                <w:rFonts w:eastAsia="Calibri"/>
                <w:sz w:val="22"/>
                <w:szCs w:val="22"/>
                <w:shd w:val="clear" w:color="auto" w:fill="FFFFFF"/>
                <w:lang w:val="en-IN" w:bidi="hi-IN"/>
              </w:rPr>
            </w:pPr>
            <w:r w:rsidRPr="00A538EB">
              <w:rPr>
                <w:rFonts w:eastAsia="Calibri"/>
                <w:sz w:val="22"/>
                <w:szCs w:val="22"/>
                <w:shd w:val="clear" w:color="auto" w:fill="FFFFFF"/>
                <w:lang w:val="en-IN" w:bidi="hi-IN"/>
              </w:rPr>
              <w:t xml:space="preserve">D K Subrahamanya Reddy, </w:t>
            </w:r>
          </w:p>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 xml:space="preserve">Mohan H Ramakrishna. </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rPr>
                <w:sz w:val="22"/>
                <w:szCs w:val="22"/>
                <w:lang w:val="en-IN" w:eastAsia="en-IN"/>
              </w:rPr>
            </w:pPr>
            <w:r w:rsidRPr="00A538EB">
              <w:rPr>
                <w:sz w:val="22"/>
                <w:szCs w:val="22"/>
                <w:lang w:val="en-IN" w:eastAsia="en-IN"/>
              </w:rPr>
              <w:t xml:space="preserve">Section 55A , </w:t>
            </w:r>
            <w:r w:rsidRPr="00A538EB">
              <w:rPr>
                <w:rFonts w:eastAsia="Calibri"/>
                <w:sz w:val="22"/>
                <w:szCs w:val="22"/>
                <w:shd w:val="clear" w:color="auto" w:fill="FFFFFF"/>
                <w:lang w:val="en-IN" w:bidi="hi-IN"/>
              </w:rPr>
              <w:t xml:space="preserve">205(1A) and 207 </w:t>
            </w:r>
            <w:r w:rsidRPr="00A538EB">
              <w:rPr>
                <w:sz w:val="22"/>
                <w:szCs w:val="22"/>
                <w:lang w:val="en-IN" w:eastAsia="en-IN"/>
              </w:rPr>
              <w:t xml:space="preserve">of </w:t>
            </w:r>
          </w:p>
          <w:p w:rsidR="000E7AC9" w:rsidRPr="00A538EB" w:rsidRDefault="000E7AC9" w:rsidP="00A538EB">
            <w:pPr>
              <w:shd w:val="clear" w:color="auto" w:fill="FFFFFF"/>
              <w:spacing w:after="160" w:line="259" w:lineRule="auto"/>
              <w:rPr>
                <w:sz w:val="22"/>
                <w:szCs w:val="22"/>
                <w:lang w:val="en-IN" w:eastAsia="en-IN"/>
              </w:rPr>
            </w:pPr>
            <w:r w:rsidRPr="00A538EB">
              <w:rPr>
                <w:sz w:val="22"/>
                <w:szCs w:val="22"/>
                <w:lang w:val="en-IN" w:eastAsia="en-IN"/>
              </w:rPr>
              <w:t>Companies Act, 1956. Section 24 of the Companies Act, 2013.</w:t>
            </w:r>
          </w:p>
          <w:p w:rsidR="000E7AC9" w:rsidRPr="00A538EB" w:rsidRDefault="000E7AC9" w:rsidP="00A538EB">
            <w:pPr>
              <w:shd w:val="clear" w:color="auto" w:fill="FFFFFF"/>
              <w:rPr>
                <w:sz w:val="22"/>
                <w:szCs w:val="22"/>
                <w:lang w:val="en-IN" w:eastAsia="en-IN"/>
              </w:rPr>
            </w:pP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05/02/2021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shd w:val="clear" w:color="auto" w:fill="FFFFFF"/>
              <w:rPr>
                <w:sz w:val="22"/>
                <w:szCs w:val="22"/>
                <w:lang w:val="en-IN" w:eastAsia="en-IN"/>
              </w:rPr>
            </w:pPr>
            <w:r w:rsidRPr="00A538EB">
              <w:rPr>
                <w:sz w:val="22"/>
                <w:szCs w:val="22"/>
                <w:lang w:val="en-IN" w:eastAsia="en-IN"/>
              </w:rPr>
              <w:t>Money Plus Research Advisory &amp; Financial</w:t>
            </w:r>
          </w:p>
          <w:p w:rsidR="000E7AC9" w:rsidRPr="00A538EB" w:rsidRDefault="000E7AC9" w:rsidP="00A538EB">
            <w:pPr>
              <w:shd w:val="clear" w:color="auto" w:fill="FFFFFF"/>
              <w:rPr>
                <w:sz w:val="22"/>
                <w:szCs w:val="22"/>
                <w:lang w:val="en-IN" w:eastAsia="en-IN"/>
              </w:rPr>
            </w:pPr>
            <w:r w:rsidRPr="00A538EB">
              <w:rPr>
                <w:sz w:val="22"/>
                <w:szCs w:val="22"/>
                <w:lang w:val="en-IN" w:eastAsia="en-IN"/>
              </w:rPr>
              <w:t>Services</w:t>
            </w:r>
          </w:p>
          <w:p w:rsidR="000E7AC9" w:rsidRPr="00A538EB" w:rsidRDefault="000E7AC9" w:rsidP="00A538EB">
            <w:pPr>
              <w:jc w:val="both"/>
              <w:rPr>
                <w:color w:val="000000"/>
                <w:sz w:val="22"/>
                <w:szCs w:val="22"/>
                <w:lang w:val="en-IN" w:eastAsia="en-IN" w:bidi="hi-IN"/>
              </w:rPr>
            </w:pP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Propritor Pravin Meshram</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shd w:val="clear" w:color="auto" w:fill="FFFFFF"/>
              <w:jc w:val="both"/>
              <w:rPr>
                <w:sz w:val="22"/>
                <w:szCs w:val="22"/>
                <w:lang w:val="en-IN" w:eastAsia="en-IN"/>
              </w:rPr>
            </w:pPr>
            <w:r w:rsidRPr="00A538EB">
              <w:rPr>
                <w:sz w:val="22"/>
                <w:szCs w:val="22"/>
                <w:lang w:val="en-IN" w:eastAsia="en-IN"/>
              </w:rPr>
              <w:t>Section 12A(c) of the SEBI Act, 1992 and regulations 3(d) and regulations 491) and 4(2)(k) of the SEBI (</w:t>
            </w:r>
            <w:r w:rsidRPr="00A538EB">
              <w:rPr>
                <w:rFonts w:eastAsia="Calibri"/>
                <w:color w:val="202124"/>
                <w:sz w:val="22"/>
                <w:szCs w:val="22"/>
                <w:shd w:val="clear" w:color="auto" w:fill="FFFFFF"/>
                <w:lang w:val="en-IN" w:bidi="hi-IN"/>
              </w:rPr>
              <w:t>Prohibition of Fraudulent and Unfair Trade Practices relating to Securities Market)</w:t>
            </w:r>
          </w:p>
          <w:p w:rsidR="000E7AC9" w:rsidRPr="00A538EB" w:rsidRDefault="000E7AC9" w:rsidP="00A538EB">
            <w:pPr>
              <w:shd w:val="clear" w:color="auto" w:fill="FFFFFF"/>
              <w:rPr>
                <w:sz w:val="22"/>
                <w:szCs w:val="22"/>
                <w:lang w:val="en-IN" w:eastAsia="en-IN"/>
              </w:rPr>
            </w:pPr>
            <w:r w:rsidRPr="00A538EB">
              <w:rPr>
                <w:sz w:val="22"/>
                <w:szCs w:val="22"/>
                <w:lang w:val="en-IN" w:eastAsia="en-IN"/>
              </w:rPr>
              <w:t>Regulations,2003; Section 12(1)  of SEBI Act, 1992r/w</w:t>
            </w:r>
          </w:p>
          <w:p w:rsidR="000E7AC9" w:rsidRPr="00A538EB" w:rsidRDefault="000E7AC9" w:rsidP="00A538EB">
            <w:pPr>
              <w:shd w:val="clear" w:color="auto" w:fill="FFFFFF"/>
              <w:rPr>
                <w:sz w:val="22"/>
                <w:szCs w:val="22"/>
                <w:lang w:val="en-IN" w:eastAsia="en-IN"/>
              </w:rPr>
            </w:pPr>
            <w:r w:rsidRPr="00A538EB">
              <w:rPr>
                <w:sz w:val="22"/>
                <w:szCs w:val="22"/>
                <w:lang w:val="en-IN" w:eastAsia="en-IN"/>
              </w:rPr>
              <w:t>Regulation 3(1) of the SEBI (Investment Advisers) Regulations, 2013</w:t>
            </w:r>
          </w:p>
          <w:p w:rsidR="000E7AC9" w:rsidRPr="00A538EB" w:rsidRDefault="000E7AC9" w:rsidP="00A538EB">
            <w:pPr>
              <w:jc w:val="both"/>
              <w:rPr>
                <w:color w:val="000000"/>
                <w:sz w:val="22"/>
                <w:szCs w:val="22"/>
                <w:lang w:val="en-IN" w:eastAsia="en-IN" w:bidi="hi-IN"/>
              </w:rPr>
            </w:pP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jc w:val="both"/>
              <w:rPr>
                <w:color w:val="000000"/>
                <w:sz w:val="22"/>
                <w:szCs w:val="22"/>
                <w:lang w:val="en-IN" w:eastAsia="en-IN" w:bidi="hi-IN"/>
              </w:rPr>
            </w:pPr>
            <w:r>
              <w:rPr>
                <w:color w:val="000000"/>
                <w:sz w:val="22"/>
                <w:szCs w:val="22"/>
                <w:lang w:val="en-IN" w:eastAsia="en-IN" w:bidi="hi-IN"/>
              </w:rPr>
              <w:t>49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05/02/2021</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Stock Indication</w:t>
            </w:r>
          </w:p>
        </w:tc>
        <w:tc>
          <w:tcPr>
            <w:tcW w:w="1418"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11B</w:t>
            </w:r>
          </w:p>
        </w:tc>
        <w:tc>
          <w:tcPr>
            <w:tcW w:w="2126"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rFonts w:eastAsia="Calibri"/>
                <w:sz w:val="22"/>
                <w:szCs w:val="22"/>
                <w:shd w:val="clear" w:color="auto" w:fill="FFFFFF"/>
                <w:lang w:val="en-IN" w:bidi="hi-IN"/>
              </w:rPr>
              <w:t xml:space="preserve"> Stock Indication, Mohd. Tanveer Ahmed, Sunny Gupta.</w:t>
            </w:r>
          </w:p>
        </w:tc>
        <w:tc>
          <w:tcPr>
            <w:tcW w:w="2268" w:type="dxa"/>
            <w:tcBorders>
              <w:top w:val="single" w:sz="4" w:space="0" w:color="auto"/>
              <w:left w:val="nil"/>
              <w:bottom w:val="single" w:sz="4" w:space="0" w:color="auto"/>
              <w:right w:val="single" w:sz="4" w:space="0" w:color="auto"/>
            </w:tcBorders>
            <w:shd w:val="clear" w:color="auto" w:fill="auto"/>
          </w:tcPr>
          <w:p w:rsidR="000E7AC9" w:rsidRPr="00A538EB" w:rsidRDefault="000E7AC9" w:rsidP="00A538EB">
            <w:pPr>
              <w:jc w:val="both"/>
              <w:rPr>
                <w:color w:val="000000"/>
                <w:sz w:val="22"/>
                <w:szCs w:val="22"/>
                <w:lang w:val="en-IN" w:eastAsia="en-IN" w:bidi="hi-IN"/>
              </w:rPr>
            </w:pPr>
            <w:r w:rsidRPr="00A538EB">
              <w:rPr>
                <w:sz w:val="22"/>
                <w:szCs w:val="22"/>
                <w:lang w:val="en-IN" w:eastAsia="en-IN"/>
              </w:rPr>
              <w:t xml:space="preserve">Section 12(1) of </w:t>
            </w:r>
            <w:r w:rsidRPr="00A538EB">
              <w:rPr>
                <w:rFonts w:eastAsia="Calibri"/>
                <w:sz w:val="22"/>
                <w:szCs w:val="22"/>
                <w:shd w:val="clear" w:color="auto" w:fill="FFFFFF"/>
                <w:lang w:val="en-IN" w:bidi="hi-IN"/>
              </w:rPr>
              <w:t>SEBI Act, 1992 and the  SEBI (Investment Advisers) Regulations, 2013</w:t>
            </w:r>
          </w:p>
        </w:tc>
        <w:tc>
          <w:tcPr>
            <w:tcW w:w="1559" w:type="dxa"/>
            <w:tcBorders>
              <w:top w:val="single" w:sz="4" w:space="0" w:color="auto"/>
              <w:left w:val="nil"/>
              <w:bottom w:val="single" w:sz="4" w:space="0" w:color="auto"/>
              <w:right w:val="single" w:sz="4" w:space="0" w:color="auto"/>
            </w:tcBorders>
            <w:shd w:val="clear" w:color="auto" w:fill="auto"/>
            <w:noWrap/>
          </w:tcPr>
          <w:p w:rsidR="000E7AC9" w:rsidRPr="00A538EB" w:rsidRDefault="000E7AC9" w:rsidP="00A538EB">
            <w:pPr>
              <w:jc w:val="both"/>
              <w:rPr>
                <w:color w:val="000000"/>
                <w:sz w:val="22"/>
                <w:szCs w:val="22"/>
                <w:lang w:val="en-IN" w:eastAsia="en-IN" w:bidi="hi-IN"/>
              </w:rPr>
            </w:pPr>
            <w:r w:rsidRPr="00A538EB">
              <w:rPr>
                <w:color w:val="000000"/>
                <w:sz w:val="22"/>
                <w:szCs w:val="22"/>
                <w:lang w:val="en-IN" w:eastAsia="en-IN"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08/02/2021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Capitalaim Financial Advisory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Capitalaim Financial Advisory Private Ltd, Abhijeet Bajpai, Anant Tiwari, Debabrata Bhattacharjee, Sheetal Foujdar,</w:t>
            </w:r>
            <w:r w:rsidRPr="00A538EB">
              <w:rPr>
                <w:rFonts w:ascii="Calibri" w:eastAsia="Calibri" w:hAnsi="Calibri" w:cs="Mangal"/>
                <w:sz w:val="22"/>
                <w:szCs w:val="22"/>
                <w:lang w:bidi="hi-IN"/>
              </w:rPr>
              <w:t xml:space="preserve"> </w:t>
            </w:r>
            <w:r w:rsidRPr="00A538EB">
              <w:rPr>
                <w:rFonts w:eastAsia="Calibri"/>
                <w:sz w:val="22"/>
                <w:szCs w:val="22"/>
                <w:lang w:bidi="hi-IN"/>
              </w:rPr>
              <w:t xml:space="preserve">AbhilashaVerma.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 xml:space="preserve">Clauses 1 and 2 of Code of Conduct as mentioned in Schedule III read with regulation 15(9) of IA Regulations; Regulation 15(1) and Regulation 17 of </w:t>
            </w:r>
            <w:r w:rsidRPr="00A538EB">
              <w:rPr>
                <w:rFonts w:eastAsia="Calibri"/>
                <w:sz w:val="22"/>
                <w:szCs w:val="22"/>
                <w:lang w:bidi="hi-IN"/>
              </w:rPr>
              <w:t>SEBI (Investment Advisers) Regulations, 2013.</w:t>
            </w:r>
          </w:p>
          <w:p w:rsidR="000E7AC9" w:rsidRPr="00A538EB" w:rsidRDefault="000E7AC9" w:rsidP="00A538EB">
            <w:pPr>
              <w:spacing w:after="160" w:line="259" w:lineRule="auto"/>
              <w:rPr>
                <w:rFonts w:eastAsia="Calibri"/>
                <w:sz w:val="22"/>
                <w:szCs w:val="22"/>
                <w:lang w:bidi="hi-IN"/>
              </w:rPr>
            </w:pPr>
            <w:r w:rsidRPr="00A538EB">
              <w:rPr>
                <w:sz w:val="22"/>
                <w:szCs w:val="22"/>
                <w:lang w:val="en-IN" w:eastAsia="en-IN" w:bidi="hi-IN"/>
              </w:rPr>
              <w:t xml:space="preserve">Regulation 17(a) and clause 1, of Code of Conduct as mentioned in Schedule III read with regulation 15(9) of </w:t>
            </w:r>
            <w:r w:rsidRPr="00A538EB">
              <w:rPr>
                <w:rFonts w:eastAsia="Calibri"/>
                <w:sz w:val="22"/>
                <w:szCs w:val="22"/>
                <w:lang w:bidi="hi-IN"/>
              </w:rPr>
              <w:t>SEBI (Investment Advisers) Regulations, 2013.</w:t>
            </w:r>
          </w:p>
          <w:p w:rsidR="000E7AC9" w:rsidRPr="00A538EB" w:rsidRDefault="000E7AC9" w:rsidP="00A538EB">
            <w:pPr>
              <w:spacing w:after="160" w:line="259" w:lineRule="auto"/>
              <w:rPr>
                <w:rFonts w:eastAsia="Calibri"/>
                <w:sz w:val="22"/>
                <w:szCs w:val="22"/>
                <w:lang w:bidi="hi-IN"/>
              </w:rPr>
            </w:pPr>
          </w:p>
          <w:p w:rsidR="000E7AC9" w:rsidRPr="00A538EB" w:rsidRDefault="000E7AC9" w:rsidP="00A538EB">
            <w:pPr>
              <w:shd w:val="clear" w:color="auto" w:fill="FFFFFF"/>
              <w:rPr>
                <w:sz w:val="22"/>
                <w:szCs w:val="22"/>
                <w:lang w:val="en-IN" w:eastAsia="en-IN" w:bidi="hi-IN"/>
              </w:rPr>
            </w:pPr>
            <w:r w:rsidRPr="00A538EB">
              <w:rPr>
                <w:sz w:val="22"/>
                <w:szCs w:val="22"/>
                <w:lang w:val="en-IN" w:eastAsia="en-IN" w:bidi="hi-IN"/>
              </w:rPr>
              <w:t>Section 12A(a), (b) and (c) of the SEBI Act, 1992 and Regulations 3 (a), (b), (c) and (d)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08/02/2021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Soma Textiles &amp; Industries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Soma Textiles &amp; Industries Ltd, Whiteview Trading Corporation, S. K. Somany, A. K. Somany, Prafull Anubhai, P. Bandopadhyay, Sunil Patel.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sz w:val="22"/>
                <w:szCs w:val="22"/>
                <w:lang w:val="en-IN" w:eastAsia="en-IN" w:bidi="hi-IN"/>
              </w:rPr>
              <w:t>Section 12A(a), (b) and (c) of the SEBI Act, 1992 and Regulations 3 (a), (b), (c) and (d) of the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Midfield Industries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Midfield Industries Ltd, Madan Mohan Reddy, Ashok Sagar Mudumba,</w:t>
            </w:r>
            <w:r w:rsidRPr="00A538EB">
              <w:rPr>
                <w:rFonts w:ascii="Calibri" w:eastAsia="Calibri" w:hAnsi="Calibri" w:cs="Mangal"/>
                <w:sz w:val="22"/>
                <w:szCs w:val="22"/>
                <w:lang w:bidi="hi-IN"/>
              </w:rPr>
              <w:t xml:space="preserve"> </w:t>
            </w:r>
            <w:r w:rsidRPr="00A538EB">
              <w:rPr>
                <w:rFonts w:eastAsia="Calibri"/>
                <w:sz w:val="22"/>
                <w:szCs w:val="22"/>
                <w:lang w:bidi="hi-IN"/>
              </w:rPr>
              <w:t>Ashok Kumar Kolla, Raja Raju Kothapalli, Kamlesh Kumar Bhargava,</w:t>
            </w:r>
            <w:r w:rsidRPr="00A538EB">
              <w:rPr>
                <w:rFonts w:ascii="Calibri" w:eastAsia="Calibri" w:hAnsi="Calibri" w:cs="Mangal"/>
                <w:sz w:val="22"/>
                <w:szCs w:val="22"/>
                <w:lang w:bidi="hi-IN"/>
              </w:rPr>
              <w:t xml:space="preserve"> </w:t>
            </w:r>
            <w:r w:rsidRPr="00A538EB">
              <w:rPr>
                <w:rFonts w:eastAsia="Calibri"/>
                <w:sz w:val="22"/>
                <w:szCs w:val="22"/>
                <w:lang w:bidi="hi-IN"/>
              </w:rPr>
              <w:t xml:space="preserve">Vegulla Gopala Krishna Rao.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 xml:space="preserve">Section 205 (1A) and 207 of Companies Act, 1956.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09/02/2021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Sai Proficient Research Investment Advisory</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Meeshika Vishwakarma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Regulation 15(1), clauses 1 and 2 of Code of Conduct as mentioned in Schedule III read with regulation 15(9) of IA Regulations</w:t>
            </w:r>
          </w:p>
          <w:p w:rsidR="000E7AC9" w:rsidRPr="00A538EB" w:rsidRDefault="000E7AC9" w:rsidP="00A538EB">
            <w:pPr>
              <w:spacing w:after="160" w:line="259" w:lineRule="auto"/>
              <w:rPr>
                <w:rFonts w:eastAsia="Calibri"/>
                <w:sz w:val="22"/>
                <w:szCs w:val="22"/>
                <w:lang w:bidi="hi-IN"/>
              </w:rPr>
            </w:pPr>
            <w:r w:rsidRPr="00A538EB">
              <w:rPr>
                <w:sz w:val="22"/>
                <w:szCs w:val="22"/>
                <w:lang w:val="en-IN" w:eastAsia="en-IN" w:bidi="hi-IN"/>
              </w:rPr>
              <w:t xml:space="preserve">Regulations 13(a), 25(i) and (ii) of IA Regulations read with clause 8 of Code of Conduct for IA as mentioned in Schedule III read with regulation 15(9) of IA Regulations </w:t>
            </w:r>
          </w:p>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Section 12A(a),(b)and(c) of SEBI Act,1992 and Regulations 3(a),(b),(c)and(d)of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Thomas Cook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Thomas Cook (India)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rFonts w:eastAsia="Calibri"/>
                <w:sz w:val="22"/>
                <w:szCs w:val="22"/>
                <w:lang w:bidi="hi-IN"/>
              </w:rPr>
            </w:pPr>
            <w:r w:rsidRPr="00A538EB">
              <w:rPr>
                <w:sz w:val="22"/>
                <w:szCs w:val="22"/>
                <w:lang w:val="en-IN" w:eastAsia="en-IN" w:bidi="hi-IN"/>
              </w:rPr>
              <w:t xml:space="preserve">Regulation 5(ii) of the  Buy – back Regulations, 2018 and Section 68 of the Companies Act 2013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Shukul Wealth Advisory, Shukul Wealth Creator LLP and Money Founder Advisory</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Shukul</w:t>
            </w:r>
          </w:p>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Wealth</w:t>
            </w:r>
          </w:p>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Advisory; Shukul</w:t>
            </w:r>
          </w:p>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Wealth</w:t>
            </w:r>
          </w:p>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Creator</w:t>
            </w:r>
          </w:p>
          <w:p w:rsidR="000E7AC9" w:rsidRPr="00A538EB" w:rsidRDefault="000E7AC9" w:rsidP="00A538EB">
            <w:pPr>
              <w:spacing w:line="259" w:lineRule="auto"/>
              <w:rPr>
                <w:rFonts w:eastAsia="Calibri"/>
                <w:sz w:val="22"/>
                <w:szCs w:val="22"/>
                <w:lang w:bidi="hi-IN"/>
              </w:rPr>
            </w:pPr>
            <w:r w:rsidRPr="00A538EB">
              <w:rPr>
                <w:rFonts w:eastAsia="Calibri"/>
                <w:sz w:val="22"/>
                <w:szCs w:val="22"/>
                <w:lang w:bidi="hi-IN"/>
              </w:rPr>
              <w:t>LLP, and 4 others</w:t>
            </w:r>
          </w:p>
          <w:p w:rsidR="000E7AC9" w:rsidRPr="00A538EB" w:rsidRDefault="000E7AC9" w:rsidP="00A538EB">
            <w:pPr>
              <w:spacing w:after="160" w:line="259" w:lineRule="auto"/>
              <w:rPr>
                <w:rFonts w:eastAsia="Calibri"/>
                <w:sz w:val="22"/>
                <w:szCs w:val="22"/>
                <w:lang w:bidi="hi-I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 xml:space="preserve">Section12(1B) of the SEBI Act Section12(1) of SEBI Act read with Regulation 3(1) of the IA Regulations </w:t>
            </w:r>
          </w:p>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Sections12A(a),(b),(c) of SEBI Act and Regulations 3(a),(b),(c),(d) and Regulations4(1) and 4(2)(k)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spacing w:after="160" w:line="259" w:lineRule="auto"/>
              <w:rPr>
                <w:rFonts w:eastAsia="Calibri"/>
                <w:sz w:val="22"/>
                <w:szCs w:val="22"/>
                <w:lang w:bidi="hi-IN"/>
              </w:rPr>
            </w:pPr>
            <w:r>
              <w:rPr>
                <w:rFonts w:eastAsia="Calibri"/>
                <w:sz w:val="22"/>
                <w:szCs w:val="22"/>
                <w:lang w:bidi="hi-IN"/>
              </w:rPr>
              <w:t>56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12/02/2021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LRN Finance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rPr>
                <w:rFonts w:eastAsia="Calibri"/>
                <w:sz w:val="22"/>
                <w:szCs w:val="22"/>
                <w:lang w:bidi="hi-IN"/>
              </w:rPr>
            </w:pPr>
            <w:r w:rsidRPr="00A538EB">
              <w:rPr>
                <w:rFonts w:eastAsia="Calibri"/>
                <w:sz w:val="22"/>
                <w:szCs w:val="22"/>
                <w:lang w:bidi="hi-IN"/>
              </w:rPr>
              <w:t>Manoranjan Roy</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SEBI (Issue and  Listing  of  Debt  Securities)</w:t>
            </w:r>
          </w:p>
          <w:p w:rsidR="000E7AC9" w:rsidRPr="00A538EB" w:rsidRDefault="000E7AC9" w:rsidP="00A538EB">
            <w:pPr>
              <w:spacing w:after="160" w:line="259" w:lineRule="auto"/>
              <w:rPr>
                <w:sz w:val="22"/>
                <w:szCs w:val="22"/>
                <w:lang w:val="en-IN" w:eastAsia="en-IN" w:bidi="hi-IN"/>
              </w:rPr>
            </w:pPr>
            <w:r w:rsidRPr="00A538EB">
              <w:rPr>
                <w:sz w:val="22"/>
                <w:szCs w:val="22"/>
                <w:lang w:val="en-IN" w:eastAsia="en-IN" w:bidi="hi-IN"/>
              </w:rPr>
              <w:t>Regulations, 2008, SEBI Act, 1992</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spacing w:after="160" w:line="259" w:lineRule="auto"/>
              <w:ind w:left="720"/>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57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Fin Brains Securities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Fin Brains Securities (India)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Section12(3), 19 of SEBI Act,1992. Regulations 23, 27(5) of SEBI (Intermediaries) Regulations, 2008.</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58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Sun Edison Infrastructure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Sun Edison Infrastructure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  30,  31  and  32 of  SEBI  (Listing  Obligations  and Disclosure  Requirements)  Regulations, 2015</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59</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Crazy Infotech Limited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Narendra Prabodh Ganatra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Section  12A  (a),  (b)  and  (c)  of SEBI  Act,  1992, regulations  3  (a),  (b),  (c)  and  (d),  of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60</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Rutron International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HS Tradecom Pvt Ltd, Dhanlakshmi Brokers Pvt Ltd, Padma Impex Pvt Ltd, Manju Khandelia, Ranisati Dealer Pvt Ltd,</w:t>
            </w:r>
            <w:r w:rsidRPr="00A538EB">
              <w:rPr>
                <w:rFonts w:ascii="Calibri" w:eastAsia="Calibri" w:hAnsi="Calibri" w:cs="Mangal"/>
                <w:sz w:val="22"/>
                <w:szCs w:val="22"/>
                <w:lang w:bidi="hi-IN"/>
              </w:rPr>
              <w:t xml:space="preserve"> </w:t>
            </w:r>
            <w:r w:rsidRPr="00A538EB">
              <w:rPr>
                <w:rFonts w:eastAsia="Calibri"/>
                <w:sz w:val="22"/>
                <w:szCs w:val="22"/>
                <w:lang w:bidi="hi-IN"/>
              </w:rPr>
              <w:t xml:space="preserve">Ramdut Infraprojects Pvt Ltd,  Astabhuja Construction Pvt Ltd and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Regulations 3(a), (b), (c), (d), Regulations 4(1), 4(2) (a) and 4(2) (e)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61</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15/02/2021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Voltaire Leasing &amp; Finance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Harivallabh Mundra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Regulations 3(b), (c), (d), and Regulations 4(1), 4(2)(a) and 4(2)(e) of the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62</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18/02/2021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Kolar Sharex Private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Kolar Sharex Private Ltd</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 xml:space="preserve">Section 12(3)   of  the  SEBI  Act,  1992,  read  with   Regulation  s  27(i),  (viii),  (xv)  and  (xvii)  of  the   SEBI (Stock   Brokers)   Regulations, 1992 and Regulation 24(1) of the SEBI (Intermediaries) Regulations, 2008    Clauses A(1),  (2),  (3),  (4)  and  (5)  of  the  Code  of  Conduct  for  Stock  Brokers   prescribed under Schedule II of the Stock Brokers  Regulations.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A538EB"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63</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18/02/2021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Rajkumar C. Basantani (Stock Broker)</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12(3) Cancellation of Registration Certificate</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Rajkumar C. Basantani (Stock Broker)</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rPr>
                <w:rFonts w:eastAsia="Calibri"/>
                <w:sz w:val="22"/>
                <w:szCs w:val="22"/>
                <w:lang w:bidi="hi-IN"/>
              </w:rPr>
            </w:pPr>
            <w:r w:rsidRPr="00A538EB">
              <w:rPr>
                <w:rFonts w:eastAsia="Calibri"/>
                <w:sz w:val="22"/>
                <w:szCs w:val="22"/>
                <w:lang w:bidi="hi-IN"/>
              </w:rPr>
              <w:t>Regulation 9(d), (f), 5(e), 27  (iv),  (xv)  &amp;  (xvii) Schedule II, Stock Brokers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64</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23/02/2021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Tata Communications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Exemption from Complying with Takeover Code</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Target Company- Tata Communications Ltd, Proposed Acquirer- Pantone Finvest Ltd.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Exemption from Complying with requirements of Regulation 3(2)  r/w Regulation 10(1)(a) (ii) of Takeover  Regulations 2011 </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65</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Indira Trading Company</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Indira Trading Company, Pankaj Seth, Vishal Anaji Girkar,</w:t>
            </w:r>
            <w:r w:rsidRPr="00A538EB">
              <w:rPr>
                <w:rFonts w:ascii="Calibri" w:eastAsia="Calibri" w:hAnsi="Calibri" w:cs="Mangal"/>
                <w:sz w:val="22"/>
                <w:szCs w:val="22"/>
                <w:lang w:bidi="hi-IN"/>
              </w:rPr>
              <w:t xml:space="preserve"> </w:t>
            </w:r>
            <w:r w:rsidRPr="00A538EB">
              <w:rPr>
                <w:rFonts w:eastAsia="Calibri"/>
                <w:sz w:val="22"/>
                <w:szCs w:val="22"/>
                <w:lang w:bidi="hi-IN"/>
              </w:rPr>
              <w:t>Mohd. Zaid Siddique, Joheph Chand Malikshaikh, Girish Srichand Valecha, Niwas A Kamble, Jagdish Lalmani Gupta.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 12(1) of SEBI Act and 3(1)of the SEBI (Investment Advisors) Regulations, 2013 and 3(1) of  SEBI (Research Analyst) Regulations, 2014</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66</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shd w:val="clear" w:color="auto" w:fill="FFFFFF"/>
                <w:lang w:bidi="hi-IN"/>
              </w:rPr>
              <w:t>Chetan  Yashwant Shukla</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shd w:val="clear" w:color="auto" w:fill="FFFFFF"/>
                <w:lang w:bidi="hi-IN"/>
              </w:rPr>
              <w:t>Chetan  Yashwant Shukla</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 xml:space="preserve">Section 12(1) of SEBI Act,  1992 read  with  Regulation  3(1)  of  the  IA  Regulations, </w:t>
            </w:r>
          </w:p>
          <w:p w:rsidR="000E7AC9" w:rsidRPr="00A538EB" w:rsidRDefault="000E7AC9" w:rsidP="00A538EB">
            <w:pPr>
              <w:jc w:val="both"/>
              <w:rPr>
                <w:rFonts w:eastAsia="Calibri"/>
                <w:sz w:val="22"/>
                <w:szCs w:val="22"/>
                <w:lang w:bidi="hi-IN"/>
              </w:rPr>
            </w:pPr>
            <w:r w:rsidRPr="00A538EB">
              <w:rPr>
                <w:rFonts w:eastAsia="Calibri"/>
                <w:sz w:val="22"/>
                <w:szCs w:val="22"/>
                <w:lang w:bidi="hi-IN"/>
              </w:rPr>
              <w:t>2013</w:t>
            </w:r>
          </w:p>
          <w:p w:rsidR="000E7AC9" w:rsidRPr="00A538EB" w:rsidRDefault="000E7AC9" w:rsidP="00A538EB">
            <w:pPr>
              <w:jc w:val="both"/>
              <w:rPr>
                <w:rFonts w:eastAsia="Calibri"/>
                <w:sz w:val="22"/>
                <w:szCs w:val="22"/>
                <w:lang w:bidi="hi-IN"/>
              </w:rPr>
            </w:pPr>
          </w:p>
          <w:p w:rsidR="000E7AC9" w:rsidRPr="00A538EB" w:rsidRDefault="000E7AC9" w:rsidP="00A538EB">
            <w:pPr>
              <w:jc w:val="both"/>
              <w:rPr>
                <w:rFonts w:eastAsia="Calibri"/>
                <w:sz w:val="22"/>
                <w:szCs w:val="22"/>
                <w:lang w:bidi="hi-IN"/>
              </w:rPr>
            </w:pPr>
            <w:r w:rsidRPr="00A538EB">
              <w:rPr>
                <w:rFonts w:eastAsia="Calibri"/>
                <w:sz w:val="22"/>
                <w:szCs w:val="22"/>
                <w:lang w:bidi="hi-IN"/>
              </w:rPr>
              <w:t>Sections 12A (c), (b), (c) of  SEBI Act,  1992 , Regulations 3 (a), and (d) and 4(1) and 4(2)(k) of SEBI PFUTP Regulations, 2003</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67</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Nikki Global Finance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Santosh Kumar Agarwal, Kamta Prasad Pandey, Success Vyapar Private Ltd, Raj Kumar Agarwal, Anant Fin Consultancy Pvt. Ltd, Sanjay Jain,</w:t>
            </w:r>
            <w:r w:rsidRPr="00A538EB">
              <w:rPr>
                <w:rFonts w:ascii="Calibri" w:eastAsia="Calibri" w:hAnsi="Calibri" w:cs="Mangal"/>
                <w:sz w:val="22"/>
                <w:szCs w:val="22"/>
                <w:lang w:bidi="hi-IN"/>
              </w:rPr>
              <w:t xml:space="preserve"> </w:t>
            </w:r>
            <w:r w:rsidRPr="00A538EB">
              <w:rPr>
                <w:rFonts w:eastAsia="Calibri"/>
                <w:sz w:val="22"/>
                <w:szCs w:val="22"/>
                <w:lang w:bidi="hi-IN"/>
              </w:rPr>
              <w:t xml:space="preserve">Anurag Khandelwal and others.  </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Regulation  3(a),  3(b),  3(c),  3(d),  4(1),  4(2)(a)  and  4(2)(e)  of  PFUTP Regulations.</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r w:rsidR="000E7AC9" w:rsidRPr="00B83873" w:rsidTr="000E7AC9">
        <w:trPr>
          <w:trHeight w:val="300"/>
        </w:trPr>
        <w:tc>
          <w:tcPr>
            <w:tcW w:w="567" w:type="dxa"/>
            <w:tcBorders>
              <w:top w:val="single" w:sz="4" w:space="0" w:color="auto"/>
              <w:left w:val="single" w:sz="4" w:space="0" w:color="auto"/>
              <w:bottom w:val="single" w:sz="4" w:space="0" w:color="auto"/>
              <w:right w:val="single" w:sz="4" w:space="0" w:color="auto"/>
            </w:tcBorders>
          </w:tcPr>
          <w:p w:rsidR="000E7AC9" w:rsidRPr="00A538EB" w:rsidRDefault="000E7AC9" w:rsidP="00A538EB">
            <w:pPr>
              <w:rPr>
                <w:rFonts w:eastAsia="Calibri"/>
                <w:sz w:val="22"/>
                <w:szCs w:val="22"/>
                <w:lang w:bidi="hi-IN"/>
              </w:rPr>
            </w:pPr>
            <w:r>
              <w:rPr>
                <w:rFonts w:eastAsia="Calibri"/>
                <w:sz w:val="22"/>
                <w:szCs w:val="22"/>
                <w:lang w:bidi="hi-IN"/>
              </w:rPr>
              <w:t>68</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26/02/2021</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Falkon Industries India Ltd</w:t>
            </w:r>
          </w:p>
        </w:tc>
        <w:tc>
          <w:tcPr>
            <w:tcW w:w="1418"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rPr>
                <w:rFonts w:eastAsia="Calibri"/>
                <w:sz w:val="22"/>
                <w:szCs w:val="22"/>
                <w:lang w:bidi="hi-IN"/>
              </w:rPr>
            </w:pPr>
            <w:r w:rsidRPr="00A538EB">
              <w:rPr>
                <w:rFonts w:eastAsia="Calibri"/>
                <w:sz w:val="22"/>
                <w:szCs w:val="22"/>
                <w:lang w:bidi="hi-IN"/>
              </w:rPr>
              <w:t>11B</w:t>
            </w:r>
          </w:p>
        </w:tc>
        <w:tc>
          <w:tcPr>
            <w:tcW w:w="2126"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both"/>
              <w:rPr>
                <w:rFonts w:eastAsia="Calibri"/>
                <w:sz w:val="22"/>
                <w:szCs w:val="22"/>
                <w:lang w:bidi="hi-IN"/>
              </w:rPr>
            </w:pPr>
            <w:r w:rsidRPr="00A538EB">
              <w:rPr>
                <w:rFonts w:eastAsia="Calibri"/>
                <w:sz w:val="22"/>
                <w:szCs w:val="22"/>
                <w:lang w:bidi="hi-IN"/>
              </w:rPr>
              <w:t>Akmal Sekh</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0E7AC9" w:rsidRPr="00A538EB" w:rsidRDefault="000E7AC9" w:rsidP="00A538EB">
            <w:pPr>
              <w:jc w:val="both"/>
              <w:rPr>
                <w:rFonts w:eastAsia="Calibri"/>
                <w:sz w:val="22"/>
                <w:szCs w:val="22"/>
                <w:lang w:bidi="hi-IN"/>
              </w:rPr>
            </w:pPr>
            <w:r w:rsidRPr="00A538EB">
              <w:rPr>
                <w:rFonts w:eastAsia="Calibri"/>
                <w:sz w:val="22"/>
                <w:szCs w:val="22"/>
                <w:lang w:bidi="hi-IN"/>
              </w:rPr>
              <w:t>Sections 56 (1), 56 (3), 2(36) r/w and Sections 60,</w:t>
            </w:r>
            <w:r w:rsidRPr="00A538EB">
              <w:rPr>
                <w:rFonts w:ascii="Calibri" w:eastAsia="Calibri" w:hAnsi="Calibri" w:cs="Mangal"/>
                <w:sz w:val="22"/>
                <w:szCs w:val="22"/>
                <w:lang w:bidi="hi-IN"/>
              </w:rPr>
              <w:t xml:space="preserve"> </w:t>
            </w:r>
            <w:r w:rsidRPr="00A538EB">
              <w:rPr>
                <w:rFonts w:eastAsia="Calibri"/>
                <w:sz w:val="22"/>
                <w:szCs w:val="22"/>
                <w:lang w:bidi="hi-IN"/>
              </w:rPr>
              <w:t>73(1), 73(2), 73(3)  of the Companies Act, 1956</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rsidR="000E7AC9" w:rsidRPr="00A538EB" w:rsidRDefault="000E7AC9" w:rsidP="00A538EB">
            <w:pPr>
              <w:jc w:val="right"/>
              <w:rPr>
                <w:rFonts w:eastAsia="Calibri"/>
                <w:sz w:val="22"/>
                <w:szCs w:val="22"/>
                <w:lang w:bidi="hi-IN"/>
              </w:rPr>
            </w:pPr>
            <w:r w:rsidRPr="00A538EB">
              <w:rPr>
                <w:rFonts w:eastAsia="Calibri"/>
                <w:sz w:val="22"/>
                <w:szCs w:val="22"/>
                <w:lang w:bidi="hi-IN"/>
              </w:rPr>
              <w:t>-</w:t>
            </w:r>
          </w:p>
        </w:tc>
      </w:tr>
    </w:tbl>
    <w:p w:rsidR="00272724" w:rsidRDefault="00272724" w:rsidP="00272724">
      <w:pPr>
        <w:pStyle w:val="ListParagraph"/>
        <w:rPr>
          <w:rFonts w:ascii="Garamond" w:hAnsi="Garamond"/>
          <w:sz w:val="24"/>
          <w:szCs w:val="24"/>
        </w:rPr>
      </w:pPr>
    </w:p>
    <w:p w:rsidR="00272724" w:rsidRPr="00E71481" w:rsidRDefault="00272724" w:rsidP="00272724">
      <w:pPr>
        <w:spacing w:after="120"/>
        <w:rPr>
          <w:rFonts w:ascii="Garamond" w:hAnsi="Garamond"/>
          <w:i/>
          <w:color w:val="0000FF"/>
          <w:sz w:val="18"/>
          <w:u w:val="single"/>
        </w:rPr>
      </w:pPr>
      <w:r>
        <w:rPr>
          <w:rFonts w:ascii="Garamond" w:hAnsi="Garamond" w:cs="Arial"/>
          <w:i/>
          <w:szCs w:val="32"/>
        </w:rPr>
        <w:t xml:space="preserve">Disclaimer: </w:t>
      </w:r>
      <w:r w:rsidR="00D22F0B">
        <w:rPr>
          <w:rFonts w:ascii="Garamond" w:hAnsi="Garamond" w:cs="Arial"/>
          <w:i/>
          <w:szCs w:val="32"/>
        </w:rPr>
        <w:t xml:space="preserve">Regulatory actions consist of orders passed by Whole Time Member/Adjudication Officer.  Please refer SEBI website for exhaustive list.  </w:t>
      </w:r>
      <w:r>
        <w:rPr>
          <w:rFonts w:ascii="Garamond" w:hAnsi="Garamond" w:cs="Arial"/>
          <w:i/>
          <w:szCs w:val="32"/>
        </w:rPr>
        <w:t>The summary has been prepared for the convenience of readers. In case of any ambiguity, please refer to the original order</w:t>
      </w:r>
      <w:r w:rsidRPr="00E71481">
        <w:rPr>
          <w:rFonts w:ascii="Garamond" w:hAnsi="Garamond" w:cs="Arial"/>
          <w:i/>
          <w:szCs w:val="32"/>
        </w:rPr>
        <w:t>.</w:t>
      </w:r>
    </w:p>
    <w:p w:rsidR="00272724" w:rsidRPr="006F32FA" w:rsidRDefault="00272724" w:rsidP="00272724">
      <w:pPr>
        <w:spacing w:after="120"/>
        <w:rPr>
          <w:rStyle w:val="Hyperlink"/>
          <w:rFonts w:ascii="Garamond" w:hAnsi="Garamond"/>
          <w:i/>
          <w:sz w:val="18"/>
        </w:rPr>
      </w:pPr>
    </w:p>
    <w:p w:rsidR="006F32FA" w:rsidRPr="006F32FA" w:rsidRDefault="006F32FA" w:rsidP="00272724">
      <w:pPr>
        <w:shd w:val="clear" w:color="auto" w:fill="FFFFFF"/>
        <w:spacing w:line="276" w:lineRule="auto"/>
        <w:jc w:val="both"/>
        <w:textAlignment w:val="baseline"/>
        <w:rPr>
          <w:rStyle w:val="Hyperlink"/>
          <w:rFonts w:ascii="Garamond" w:hAnsi="Garamond"/>
          <w:i/>
          <w:sz w:val="18"/>
        </w:rPr>
      </w:pPr>
    </w:p>
    <w:sectPr w:rsidR="006F32FA" w:rsidRPr="006F32FA" w:rsidSect="00332F86">
      <w:headerReference w:type="even" r:id="rId48"/>
      <w:headerReference w:type="default" r:id="rId49"/>
      <w:footerReference w:type="even" r:id="rId50"/>
      <w:footerReference w:type="default" r:id="rId51"/>
      <w:pgSz w:w="11906" w:h="16838" w:code="9"/>
      <w:pgMar w:top="578" w:right="1009" w:bottom="578" w:left="1009"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451C" w:rsidRDefault="0019451C" w:rsidP="00E07645">
      <w:r>
        <w:separator/>
      </w:r>
    </w:p>
  </w:endnote>
  <w:endnote w:type="continuationSeparator" w:id="0">
    <w:p w:rsidR="0019451C" w:rsidRDefault="0019451C"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Rupee Foradian">
    <w:panose1 w:val="020B0603030804020204"/>
    <w:charset w:val="00"/>
    <w:family w:val="swiss"/>
    <w:pitch w:val="variable"/>
    <w:sig w:usb0="800000AF" w:usb1="1000204A" w:usb2="00000000" w:usb3="00000000" w:csb0="00000001" w:csb1="00000000"/>
  </w:font>
  <w:font w:name="Rupee">
    <w:altName w:val="Times New Roman"/>
    <w:panose1 w:val="00000000000000000000"/>
    <w:charset w:val="00"/>
    <w:family w:val="roman"/>
    <w:notTrueType/>
    <w:pitch w:val="default"/>
  </w:font>
  <w:font w:name="SymbolMT">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19451C">
    <w:pPr>
      <w:pStyle w:val="Footer"/>
    </w:pPr>
  </w:p>
  <w:p w:rsidR="0019451C" w:rsidRDefault="0019451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P="0019451C" w:rsidRDefault="0019451C">
    <w:pPr>
      <w:pStyle w:val="Footer"/>
      <w:pBdr>
        <w:top w:val="single" w:color="D9D9D9" w:sz="4" w:space="1"/>
      </w:pBdr>
      <w:jc w:val="right"/>
    </w:pPr>
    <w:r>
      <w:fldChar w:fldCharType="begin"/>
    </w:r>
    <w:r>
      <w:instrText xml:space="preserve"> PAGE   \* MERGEFORMAT </w:instrText>
    </w:r>
    <w:r>
      <w:fldChar w:fldCharType="separate"/>
    </w:r>
    <w:r w:rsidR="00852BDF">
      <w:rPr>
        <w:noProof/>
      </w:rPr>
      <w:t>42</w:t>
    </w:r>
    <w:r>
      <w:rPr>
        <w:noProof/>
      </w:rPr>
      <w:fldChar w:fldCharType="end"/>
    </w:r>
    <w:r>
      <w:t xml:space="preserve"> | </w:t>
    </w:r>
    <w:r w:rsidRPr="00601592">
      <w:rPr>
        <w:color w:val="7F7F7F"/>
        <w:spacing w:val="60"/>
      </w:rPr>
      <w:t>Page</w:t>
    </w:r>
  </w:p>
  <w:p w:rsidR="0019451C" w:rsidRDefault="0019451C">
    <w:pPr>
      <w:pStyle w:val="Footer"/>
    </w:pPr>
  </w:p>
  <w:p w:rsidR="0019451C" w:rsidRDefault="0019451C"/>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19451C">
    <w:pPr>
      <w:pStyle w:val="Footer"/>
    </w:pPr>
  </w:p>
  <w:p w:rsidR="0019451C" w:rsidRDefault="0019451C"/>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19451C" w:rsidRDefault="0019451C">
        <w:pPr>
          <w:pStyle w:val="Footer"/>
          <w:pBdr>
            <w:top w:val="single" w:color="D9D9D9" w:themeColor="background1" w:themeShade="D9" w:sz="4" w:space="1"/>
          </w:pBdr>
          <w:jc w:val="right"/>
        </w:pPr>
        <w:r>
          <w:fldChar w:fldCharType="begin"/>
        </w:r>
        <w:r>
          <w:instrText xml:space="preserve"> PAGE   \* MERGEFORMAT </w:instrText>
        </w:r>
        <w:r>
          <w:fldChar w:fldCharType="separate"/>
        </w:r>
        <w:r w:rsidR="00852BDF">
          <w:rPr>
            <w:noProof/>
          </w:rPr>
          <w:t>77</w:t>
        </w:r>
        <w:r>
          <w:rPr>
            <w:noProof/>
          </w:rPr>
          <w:fldChar w:fldCharType="end"/>
        </w:r>
        <w:r>
          <w:t xml:space="preserve"> | </w:t>
        </w:r>
        <w:r>
          <w:rPr>
            <w:color w:val="7F7F7F" w:themeColor="background1" w:themeShade="7F"/>
            <w:spacing w:val="60"/>
          </w:rPr>
          <w:t>Page</w:t>
        </w:r>
      </w:p>
    </w:sdtContent>
  </w:sdt>
  <w:p w:rsidR="0019451C" w:rsidRDefault="0019451C">
    <w:pPr>
      <w:pStyle w:val="Footer"/>
    </w:pPr>
  </w:p>
  <w:p w:rsidR="0019451C" w:rsidRDefault="0019451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451C" w:rsidRDefault="0019451C" w:rsidP="00E07645">
      <w:r>
        <w:separator/>
      </w:r>
    </w:p>
  </w:footnote>
  <w:footnote w:type="continuationSeparator" w:id="0">
    <w:p w:rsidR="0019451C" w:rsidRDefault="0019451C" w:rsidP="00E07645">
      <w:r>
        <w:continuationSeparator/>
      </w:r>
    </w:p>
  </w:footnote>
  <w:footnote w:id="1">
    <w:p w:rsidR="0019451C" w:rsidRPr="005B5517" w:rsidRDefault="0019451C" w:rsidP="00E940C3">
      <w:pPr>
        <w:pStyle w:val="FootnoteText"/>
        <w:rPr>
          <w:rFonts w:ascii="Palatino Linotype" w:hAnsi="Palatino Linotype"/>
          <w:i/>
          <w:lang w:val="en-IN"/>
        </w:rPr>
      </w:pPr>
      <w:r w:rsidRPr="005B5517">
        <w:rPr>
          <w:rStyle w:val="FootnoteReference"/>
          <w:rFonts w:ascii="Palatino Linotype" w:hAnsi="Palatino Linotype"/>
          <w:i/>
        </w:rPr>
        <w:footnoteRef/>
      </w:r>
      <w:r w:rsidRPr="005B5517">
        <w:rPr>
          <w:rFonts w:ascii="Palatino Linotype" w:hAnsi="Palatino Linotype"/>
          <w:i/>
        </w:rPr>
        <w:t xml:space="preserve"> In case of close ended schemes, at the time of maturity, AMC repurchases it units.</w:t>
      </w:r>
    </w:p>
  </w:footnote>
  <w:footnote w:id="2">
    <w:p w:rsidR="0019451C" w:rsidRDefault="0019451C" w:rsidP="002C1136">
      <w:pPr>
        <w:pStyle w:val="FootnoteText"/>
      </w:pPr>
      <w:r>
        <w:rPr>
          <w:rStyle w:val="FootnoteReference"/>
        </w:rPr>
        <w:footnoteRef/>
      </w:r>
      <w:r>
        <w:t xml:space="preserve"> Based on data available on World Federation of Exchanges as on 15 March 2021. BSE data from WFE has not been included as BSE is no longer providing data to WFE since June 2019.</w:t>
      </w:r>
    </w:p>
  </w:footnote>
  <w:footnote w:id="3">
    <w:p w:rsidR="0019451C" w:rsidRDefault="0019451C" w:rsidP="002C1136">
      <w:pPr>
        <w:pStyle w:val="FootnoteText"/>
      </w:pPr>
      <w:r>
        <w:rPr>
          <w:rStyle w:val="FootnoteReference"/>
        </w:rPr>
        <w:footnoteRef/>
      </w:r>
      <w:r>
        <w:t xml:space="preserve"> </w:t>
      </w:r>
      <w:r w:rsidRPr="000D159E">
        <w:t>Brazil, Russia, India, India, China, South Africa, USA, USA, France, Germany, UK, Hong Kong</w:t>
      </w:r>
      <w:r>
        <w:t>, South Korea, Japan, Singapore and</w:t>
      </w:r>
      <w:r w:rsidRPr="000D159E">
        <w:t xml:space="preserve"> Taiwan</w:t>
      </w:r>
    </w:p>
  </w:footnote>
  <w:footnote w:id="4">
    <w:p w:rsidR="0019451C" w:rsidRDefault="0019451C" w:rsidP="002C1136">
      <w:pPr>
        <w:pStyle w:val="FootnoteText"/>
      </w:pPr>
      <w:r>
        <w:rPr>
          <w:rStyle w:val="FootnoteReference"/>
        </w:rPr>
        <w:footnoteRef/>
      </w:r>
      <w:r>
        <w:t xml:space="preserve"> Germany, Spain, USA, UK, Japan, India, China, Brazil and Russia.</w:t>
      </w:r>
    </w:p>
  </w:footnote>
  <w:footnote w:id="5">
    <w:p w:rsidR="0019451C" w:rsidRDefault="0019451C" w:rsidP="002C1136">
      <w:pPr>
        <w:pStyle w:val="FootnoteText"/>
      </w:pPr>
      <w:r>
        <w:rPr>
          <w:rStyle w:val="FootnoteReference"/>
        </w:rPr>
        <w:footnoteRef/>
      </w:r>
      <w:r>
        <w:t xml:space="preserve"> Data available on as on 15 March 2021 on WFE as submitted by exchanges which are members of WFE,</w:t>
      </w:r>
    </w:p>
  </w:footnote>
  <w:footnote w:id="6">
    <w:p w:rsidR="0019451C" w:rsidRDefault="0019451C" w:rsidP="002C1136">
      <w:pPr>
        <w:pStyle w:val="FootnoteText"/>
      </w:pPr>
      <w:r>
        <w:rPr>
          <w:rStyle w:val="FootnoteReference"/>
        </w:rPr>
        <w:footnoteRef/>
      </w:r>
      <w:r>
        <w:t xml:space="preserve"> USA, UK, Germany, France, Japan, Singapore, Hong Kong, China, Russia, India, S. Korea and Australia.</w:t>
      </w:r>
    </w:p>
  </w:footnote>
  <w:footnote w:id="7">
    <w:p w:rsidR="0019451C" w:rsidRDefault="0019451C" w:rsidP="002C1136">
      <w:pPr>
        <w:pStyle w:val="FootnoteText"/>
      </w:pPr>
      <w:r>
        <w:rPr>
          <w:rStyle w:val="FootnoteReference"/>
        </w:rPr>
        <w:footnoteRef/>
      </w:r>
      <w:r>
        <w:t xml:space="preserve"> </w:t>
      </w:r>
      <w:r w:rsidRPr="003D2887">
        <w:t>Real, Rouble, Rupee, Renminbi, Rand, Won, Pound, Euro, Yen, Franc</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19451C">
    <w:pPr>
      <w:pStyle w:val="Header"/>
    </w:pPr>
  </w:p>
  <w:p w:rsidR="0019451C" w:rsidRDefault="0019451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4C1381">
    <w:pPr>
      <w:pStyle w:val="Header"/>
    </w:pPr>
    <w:r>
      <w:rPr>
        <w:noProof/>
        <w:lang w:val="en-IN" w:eastAsia="en-IN" w:bidi="hi-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xpertsource_watermark" style="position:absolute;margin-left:0;margin-top:0;width:406.1pt;height:270.7pt;rotation:315;z-index:251659264;mso-position-horizontal:center;mso-position-horizontal-relative:margin;mso-position-vertical:center;mso-position-vertical-relative:margin" o:spid="_x0000_s4098" fillcolor="silver" stroked="f" type="#_x0000_t136">
          <v:fill opacity=".5"/>
          <v:stroke o:title="" r:id="rId1"/>
          <v:shadow color="#868686"/>
          <v:textpath style="font-family:&quot;Times New Roman&quot;;font-size:1pt;v-text-kern:t" fitpath="true" trim="true" string="SEBI-INTERNAL"/>
          <o:lock v:ext="edit" aspectratio="t"/>
          <w10:wrap anchorx="margin" anchory="margin"/>
        </v:shape>
      </w:pict>
    </w:r>
  </w:p>
  <w:p w:rsidR="0019451C" w:rsidRDefault="0019451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19451C">
    <w:pPr>
      <w:pStyle w:val="Header"/>
    </w:pPr>
  </w:p>
  <w:p w:rsidR="0019451C" w:rsidRDefault="0019451C"/>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51C" w:rsidRDefault="0019451C">
    <w:pPr>
      <w:pStyle w:val="Header"/>
    </w:pPr>
  </w:p>
  <w:p w:rsidR="0019451C" w:rsidRDefault="0019451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19"/>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22"/>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2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A423FA"/>
    <w:multiLevelType w:val="hybridMultilevel"/>
    <w:tmpl w:val="C50E4F3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C45371"/>
    <w:multiLevelType w:val="multilevel"/>
    <w:tmpl w:val="9B824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FD16E1"/>
    <w:multiLevelType w:val="multilevel"/>
    <w:tmpl w:val="B80076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9F24B6"/>
    <w:multiLevelType w:val="hybridMultilevel"/>
    <w:tmpl w:val="D6144B70"/>
    <w:lvl w:ilvl="0" w:tplc="D73CC0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9B3CCF"/>
    <w:multiLevelType w:val="hybridMultilevel"/>
    <w:tmpl w:val="3A3EA64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51B4F68"/>
    <w:multiLevelType w:val="hybridMultilevel"/>
    <w:tmpl w:val="CF104D4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5331BD"/>
    <w:multiLevelType w:val="hybridMultilevel"/>
    <w:tmpl w:val="61067A92"/>
    <w:lvl w:ilvl="0" w:tplc="A2BA30F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E427DF"/>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B45C15"/>
    <w:multiLevelType w:val="hybridMultilevel"/>
    <w:tmpl w:val="26D085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2D7D95"/>
    <w:multiLevelType w:val="hybridMultilevel"/>
    <w:tmpl w:val="CCCE71AA"/>
    <w:lvl w:ilvl="0" w:tplc="1DBAE696">
      <w:start w:val="1"/>
      <w:numFmt w:val="decimal"/>
      <w:lvlText w:val="%1."/>
      <w:lvlJc w:val="left"/>
      <w:pPr>
        <w:ind w:left="502" w:hanging="360"/>
      </w:pPr>
      <w:rPr>
        <w:b w:val="0"/>
        <w:bCs/>
        <w:strike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E9D1BCD"/>
    <w:multiLevelType w:val="hybridMultilevel"/>
    <w:tmpl w:val="82E074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4D0D03"/>
    <w:multiLevelType w:val="hybridMultilevel"/>
    <w:tmpl w:val="D0EA3526"/>
    <w:lvl w:ilvl="0" w:tplc="59E898A2">
      <w:start w:val="1"/>
      <w:numFmt w:val="low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1420D67"/>
    <w:multiLevelType w:val="multilevel"/>
    <w:tmpl w:val="B7105E1C"/>
    <w:lvl w:ilvl="0">
      <w:start w:val="1"/>
      <w:numFmt w:val="upperLetter"/>
      <w:lvlText w:val="%1."/>
      <w:lvlJc w:val="left"/>
      <w:pPr>
        <w:ind w:left="360" w:hanging="360"/>
      </w:pPr>
      <w:rPr>
        <w:color w:val="000000"/>
      </w:r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6F5447C"/>
    <w:multiLevelType w:val="hybridMultilevel"/>
    <w:tmpl w:val="20AA9B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DE67C3"/>
    <w:multiLevelType w:val="hybridMultilevel"/>
    <w:tmpl w:val="DB027F3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9" w15:restartNumberingAfterBreak="0">
    <w:nsid w:val="2F731302"/>
    <w:multiLevelType w:val="hybridMultilevel"/>
    <w:tmpl w:val="D4DEE720"/>
    <w:lvl w:ilvl="0" w:tplc="6470B0AA">
      <w:numFmt w:val="bullet"/>
      <w:lvlText w:val="-"/>
      <w:lvlJc w:val="left"/>
      <w:pPr>
        <w:ind w:left="720" w:hanging="360"/>
      </w:pPr>
      <w:rPr>
        <w:rFonts w:ascii="Palatino Linotype" w:eastAsiaTheme="minorHAnsi" w:hAnsi="Palatino Linotype"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07359CF"/>
    <w:multiLevelType w:val="hybridMultilevel"/>
    <w:tmpl w:val="2F2E6D9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8B5376B"/>
    <w:multiLevelType w:val="hybridMultilevel"/>
    <w:tmpl w:val="778A83C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377632"/>
    <w:multiLevelType w:val="hybridMultilevel"/>
    <w:tmpl w:val="58589D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597F73"/>
    <w:multiLevelType w:val="hybridMultilevel"/>
    <w:tmpl w:val="B4C0D452"/>
    <w:lvl w:ilvl="0" w:tplc="FB188760">
      <w:start w:val="1"/>
      <w:numFmt w:val="upperLetter"/>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9B5C91"/>
    <w:multiLevelType w:val="hybridMultilevel"/>
    <w:tmpl w:val="F2EA9876"/>
    <w:lvl w:ilvl="0" w:tplc="7A30186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B529E0"/>
    <w:multiLevelType w:val="hybridMultilevel"/>
    <w:tmpl w:val="3F9A4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54895"/>
    <w:multiLevelType w:val="hybridMultilevel"/>
    <w:tmpl w:val="5F444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7B0595"/>
    <w:multiLevelType w:val="hybridMultilevel"/>
    <w:tmpl w:val="9C1AF802"/>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8" w15:restartNumberingAfterBreak="0">
    <w:nsid w:val="59F84AD1"/>
    <w:multiLevelType w:val="hybridMultilevel"/>
    <w:tmpl w:val="E47C2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062FF1"/>
    <w:multiLevelType w:val="hybridMultilevel"/>
    <w:tmpl w:val="3F306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4E711A"/>
    <w:multiLevelType w:val="multilevel"/>
    <w:tmpl w:val="A6741A6C"/>
    <w:lvl w:ilvl="0">
      <w:start w:val="1"/>
      <w:numFmt w:val="upperRoman"/>
      <w:lvlText w:val="%1."/>
      <w:lvlJc w:val="righ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F74141"/>
    <w:multiLevelType w:val="hybridMultilevel"/>
    <w:tmpl w:val="23501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E037EA"/>
    <w:multiLevelType w:val="hybridMultilevel"/>
    <w:tmpl w:val="A2B6A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30"/>
  </w:num>
  <w:num w:numId="3">
    <w:abstractNumId w:val="6"/>
  </w:num>
  <w:num w:numId="4">
    <w:abstractNumId w:val="16"/>
  </w:num>
  <w:num w:numId="5">
    <w:abstractNumId w:val="3"/>
  </w:num>
  <w:num w:numId="6">
    <w:abstractNumId w:val="1"/>
  </w:num>
  <w:num w:numId="7">
    <w:abstractNumId w:val="2"/>
  </w:num>
  <w:num w:numId="8">
    <w:abstractNumId w:val="0"/>
  </w:num>
  <w:num w:numId="9">
    <w:abstractNumId w:val="10"/>
  </w:num>
  <w:num w:numId="10">
    <w:abstractNumId w:val="11"/>
  </w:num>
  <w:num w:numId="11">
    <w:abstractNumId w:val="19"/>
  </w:num>
  <w:num w:numId="12">
    <w:abstractNumId w:val="13"/>
  </w:num>
  <w:num w:numId="13">
    <w:abstractNumId w:val="8"/>
  </w:num>
  <w:num w:numId="14">
    <w:abstractNumId w:val="17"/>
  </w:num>
  <w:num w:numId="15">
    <w:abstractNumId w:val="15"/>
  </w:num>
  <w:num w:numId="16">
    <w:abstractNumId w:val="9"/>
  </w:num>
  <w:num w:numId="17">
    <w:abstractNumId w:val="24"/>
  </w:num>
  <w:num w:numId="18">
    <w:abstractNumId w:val="31"/>
  </w:num>
  <w:num w:numId="19">
    <w:abstractNumId w:val="22"/>
  </w:num>
  <w:num w:numId="20">
    <w:abstractNumId w:val="4"/>
  </w:num>
  <w:num w:numId="21">
    <w:abstractNumId w:val="20"/>
  </w:num>
  <w:num w:numId="22">
    <w:abstractNumId w:val="21"/>
  </w:num>
  <w:num w:numId="23">
    <w:abstractNumId w:val="26"/>
  </w:num>
  <w:num w:numId="24">
    <w:abstractNumId w:val="7"/>
  </w:num>
  <w:num w:numId="25">
    <w:abstractNumId w:val="14"/>
  </w:num>
  <w:num w:numId="26">
    <w:abstractNumId w:val="32"/>
  </w:num>
  <w:num w:numId="27">
    <w:abstractNumId w:val="28"/>
  </w:num>
  <w:num w:numId="28">
    <w:abstractNumId w:val="23"/>
  </w:num>
  <w:num w:numId="29">
    <w:abstractNumId w:val="12"/>
  </w:num>
  <w:num w:numId="30">
    <w:abstractNumId w:val="29"/>
  </w:num>
  <w:num w:numId="31">
    <w:abstractNumId w:val="18"/>
  </w:num>
  <w:num w:numId="32">
    <w:abstractNumId w:val="27"/>
  </w:num>
  <w:num w:numId="33">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hdrShapeDefaults>
    <o:shapedefaults v:ext="edit" spidmax="4099"/>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718"/>
    <w:rsid w:val="00000F02"/>
    <w:rsid w:val="00001102"/>
    <w:rsid w:val="000012F5"/>
    <w:rsid w:val="0000238B"/>
    <w:rsid w:val="00002F15"/>
    <w:rsid w:val="000052BB"/>
    <w:rsid w:val="00005830"/>
    <w:rsid w:val="000129F5"/>
    <w:rsid w:val="00012FAA"/>
    <w:rsid w:val="000133EA"/>
    <w:rsid w:val="00013A01"/>
    <w:rsid w:val="000145C6"/>
    <w:rsid w:val="000161B3"/>
    <w:rsid w:val="000174DC"/>
    <w:rsid w:val="000211A2"/>
    <w:rsid w:val="00022868"/>
    <w:rsid w:val="000243DB"/>
    <w:rsid w:val="000243E1"/>
    <w:rsid w:val="000254CD"/>
    <w:rsid w:val="00026D29"/>
    <w:rsid w:val="0003061B"/>
    <w:rsid w:val="000346B6"/>
    <w:rsid w:val="00034DE0"/>
    <w:rsid w:val="00035307"/>
    <w:rsid w:val="00035948"/>
    <w:rsid w:val="00035951"/>
    <w:rsid w:val="0003625D"/>
    <w:rsid w:val="00041693"/>
    <w:rsid w:val="00043C9A"/>
    <w:rsid w:val="00043F40"/>
    <w:rsid w:val="00045903"/>
    <w:rsid w:val="00045B3E"/>
    <w:rsid w:val="00046401"/>
    <w:rsid w:val="00047715"/>
    <w:rsid w:val="000507E2"/>
    <w:rsid w:val="00050DB7"/>
    <w:rsid w:val="00053B79"/>
    <w:rsid w:val="00055162"/>
    <w:rsid w:val="00057D3C"/>
    <w:rsid w:val="00062D7C"/>
    <w:rsid w:val="00062F4A"/>
    <w:rsid w:val="00063FF5"/>
    <w:rsid w:val="00065CF0"/>
    <w:rsid w:val="00066531"/>
    <w:rsid w:val="000702D1"/>
    <w:rsid w:val="00071658"/>
    <w:rsid w:val="0007274D"/>
    <w:rsid w:val="000730EC"/>
    <w:rsid w:val="0007312C"/>
    <w:rsid w:val="00073DF2"/>
    <w:rsid w:val="00074803"/>
    <w:rsid w:val="00074BD8"/>
    <w:rsid w:val="00075391"/>
    <w:rsid w:val="0007759D"/>
    <w:rsid w:val="00077C1C"/>
    <w:rsid w:val="00080500"/>
    <w:rsid w:val="00081D7A"/>
    <w:rsid w:val="00082028"/>
    <w:rsid w:val="00082CA8"/>
    <w:rsid w:val="00084083"/>
    <w:rsid w:val="0008421C"/>
    <w:rsid w:val="000847BB"/>
    <w:rsid w:val="00084FB3"/>
    <w:rsid w:val="000859EF"/>
    <w:rsid w:val="00085A8E"/>
    <w:rsid w:val="0008687B"/>
    <w:rsid w:val="00086BF6"/>
    <w:rsid w:val="00087B33"/>
    <w:rsid w:val="00090A9B"/>
    <w:rsid w:val="00090DEF"/>
    <w:rsid w:val="00091168"/>
    <w:rsid w:val="00091E37"/>
    <w:rsid w:val="000920E5"/>
    <w:rsid w:val="00092887"/>
    <w:rsid w:val="000946C2"/>
    <w:rsid w:val="000960B9"/>
    <w:rsid w:val="0009614C"/>
    <w:rsid w:val="0009638E"/>
    <w:rsid w:val="000A047F"/>
    <w:rsid w:val="000A0816"/>
    <w:rsid w:val="000A142F"/>
    <w:rsid w:val="000A19FF"/>
    <w:rsid w:val="000A2F76"/>
    <w:rsid w:val="000A34B6"/>
    <w:rsid w:val="000A37CE"/>
    <w:rsid w:val="000A47E6"/>
    <w:rsid w:val="000A4D70"/>
    <w:rsid w:val="000A7141"/>
    <w:rsid w:val="000B0A37"/>
    <w:rsid w:val="000B0DD6"/>
    <w:rsid w:val="000B27CD"/>
    <w:rsid w:val="000B2BC5"/>
    <w:rsid w:val="000B4450"/>
    <w:rsid w:val="000B5449"/>
    <w:rsid w:val="000B5935"/>
    <w:rsid w:val="000B6B00"/>
    <w:rsid w:val="000B7BC0"/>
    <w:rsid w:val="000B7FBD"/>
    <w:rsid w:val="000C02A3"/>
    <w:rsid w:val="000C0C5B"/>
    <w:rsid w:val="000C1CD7"/>
    <w:rsid w:val="000C1D79"/>
    <w:rsid w:val="000C1EA0"/>
    <w:rsid w:val="000C23CE"/>
    <w:rsid w:val="000C3C7D"/>
    <w:rsid w:val="000C5949"/>
    <w:rsid w:val="000C5AA9"/>
    <w:rsid w:val="000C6063"/>
    <w:rsid w:val="000C677F"/>
    <w:rsid w:val="000C69C1"/>
    <w:rsid w:val="000D2FD5"/>
    <w:rsid w:val="000D4C7F"/>
    <w:rsid w:val="000D66B0"/>
    <w:rsid w:val="000E03A6"/>
    <w:rsid w:val="000E0833"/>
    <w:rsid w:val="000E0D86"/>
    <w:rsid w:val="000E125F"/>
    <w:rsid w:val="000E1FA1"/>
    <w:rsid w:val="000E2A6E"/>
    <w:rsid w:val="000E33A1"/>
    <w:rsid w:val="000E3746"/>
    <w:rsid w:val="000E3A95"/>
    <w:rsid w:val="000E46BB"/>
    <w:rsid w:val="000E4795"/>
    <w:rsid w:val="000E4C9B"/>
    <w:rsid w:val="000E7329"/>
    <w:rsid w:val="000E76D0"/>
    <w:rsid w:val="000E76FF"/>
    <w:rsid w:val="000E777A"/>
    <w:rsid w:val="000E7AC9"/>
    <w:rsid w:val="000F02FB"/>
    <w:rsid w:val="000F0612"/>
    <w:rsid w:val="000F0BF4"/>
    <w:rsid w:val="000F17E5"/>
    <w:rsid w:val="000F236F"/>
    <w:rsid w:val="000F28BC"/>
    <w:rsid w:val="000F3F0C"/>
    <w:rsid w:val="000F4124"/>
    <w:rsid w:val="000F464D"/>
    <w:rsid w:val="000F55A8"/>
    <w:rsid w:val="000F5AAF"/>
    <w:rsid w:val="000F6775"/>
    <w:rsid w:val="000F7372"/>
    <w:rsid w:val="000F7C8D"/>
    <w:rsid w:val="000F7F35"/>
    <w:rsid w:val="00100264"/>
    <w:rsid w:val="00100655"/>
    <w:rsid w:val="00100F24"/>
    <w:rsid w:val="00102392"/>
    <w:rsid w:val="001032F6"/>
    <w:rsid w:val="00104045"/>
    <w:rsid w:val="001041E6"/>
    <w:rsid w:val="0010444E"/>
    <w:rsid w:val="001048AC"/>
    <w:rsid w:val="0010536E"/>
    <w:rsid w:val="00106806"/>
    <w:rsid w:val="00107440"/>
    <w:rsid w:val="00107643"/>
    <w:rsid w:val="0011004C"/>
    <w:rsid w:val="0011033C"/>
    <w:rsid w:val="00110766"/>
    <w:rsid w:val="00112036"/>
    <w:rsid w:val="00112407"/>
    <w:rsid w:val="00113363"/>
    <w:rsid w:val="00113380"/>
    <w:rsid w:val="00114AC5"/>
    <w:rsid w:val="00114B6F"/>
    <w:rsid w:val="00114C90"/>
    <w:rsid w:val="001155EB"/>
    <w:rsid w:val="001164CA"/>
    <w:rsid w:val="0011654B"/>
    <w:rsid w:val="001212CB"/>
    <w:rsid w:val="00123543"/>
    <w:rsid w:val="0012367A"/>
    <w:rsid w:val="00124B1E"/>
    <w:rsid w:val="001254B4"/>
    <w:rsid w:val="00125AF5"/>
    <w:rsid w:val="0012648B"/>
    <w:rsid w:val="00126726"/>
    <w:rsid w:val="001279AE"/>
    <w:rsid w:val="00130027"/>
    <w:rsid w:val="00130306"/>
    <w:rsid w:val="00130BC0"/>
    <w:rsid w:val="00132024"/>
    <w:rsid w:val="00132568"/>
    <w:rsid w:val="00134BC1"/>
    <w:rsid w:val="00135041"/>
    <w:rsid w:val="001357A7"/>
    <w:rsid w:val="00135EF6"/>
    <w:rsid w:val="001363E8"/>
    <w:rsid w:val="001376EC"/>
    <w:rsid w:val="00137E4B"/>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0E47"/>
    <w:rsid w:val="0016116C"/>
    <w:rsid w:val="0016171E"/>
    <w:rsid w:val="00162443"/>
    <w:rsid w:val="00163595"/>
    <w:rsid w:val="00164B80"/>
    <w:rsid w:val="001662DE"/>
    <w:rsid w:val="0016654B"/>
    <w:rsid w:val="001667BE"/>
    <w:rsid w:val="00166B5E"/>
    <w:rsid w:val="00170534"/>
    <w:rsid w:val="0017198F"/>
    <w:rsid w:val="001720CD"/>
    <w:rsid w:val="0017288A"/>
    <w:rsid w:val="00175031"/>
    <w:rsid w:val="00175977"/>
    <w:rsid w:val="00175A49"/>
    <w:rsid w:val="00175C02"/>
    <w:rsid w:val="00177824"/>
    <w:rsid w:val="00177BD1"/>
    <w:rsid w:val="00177C4A"/>
    <w:rsid w:val="0018049A"/>
    <w:rsid w:val="001816BF"/>
    <w:rsid w:val="0018197C"/>
    <w:rsid w:val="00182965"/>
    <w:rsid w:val="0018378C"/>
    <w:rsid w:val="00183E80"/>
    <w:rsid w:val="001847A1"/>
    <w:rsid w:val="00184C5B"/>
    <w:rsid w:val="00184D09"/>
    <w:rsid w:val="0018502D"/>
    <w:rsid w:val="001868D6"/>
    <w:rsid w:val="00186E61"/>
    <w:rsid w:val="001912C3"/>
    <w:rsid w:val="00191B9C"/>
    <w:rsid w:val="0019305B"/>
    <w:rsid w:val="001932A2"/>
    <w:rsid w:val="00193EFB"/>
    <w:rsid w:val="0019451C"/>
    <w:rsid w:val="00194F88"/>
    <w:rsid w:val="001961E8"/>
    <w:rsid w:val="00196267"/>
    <w:rsid w:val="0019787A"/>
    <w:rsid w:val="001A054F"/>
    <w:rsid w:val="001A0B06"/>
    <w:rsid w:val="001A2361"/>
    <w:rsid w:val="001A3018"/>
    <w:rsid w:val="001A3156"/>
    <w:rsid w:val="001A375B"/>
    <w:rsid w:val="001A42AC"/>
    <w:rsid w:val="001A5A37"/>
    <w:rsid w:val="001A5E17"/>
    <w:rsid w:val="001A61B6"/>
    <w:rsid w:val="001A6439"/>
    <w:rsid w:val="001A697A"/>
    <w:rsid w:val="001A7D69"/>
    <w:rsid w:val="001A7DC2"/>
    <w:rsid w:val="001B1D3E"/>
    <w:rsid w:val="001B2693"/>
    <w:rsid w:val="001B279D"/>
    <w:rsid w:val="001B44E2"/>
    <w:rsid w:val="001B4C10"/>
    <w:rsid w:val="001B5B2F"/>
    <w:rsid w:val="001B5BFF"/>
    <w:rsid w:val="001B7218"/>
    <w:rsid w:val="001B7FD3"/>
    <w:rsid w:val="001C0933"/>
    <w:rsid w:val="001C0BB1"/>
    <w:rsid w:val="001C0BDA"/>
    <w:rsid w:val="001C2441"/>
    <w:rsid w:val="001C3230"/>
    <w:rsid w:val="001C4EE9"/>
    <w:rsid w:val="001C5DA4"/>
    <w:rsid w:val="001C637A"/>
    <w:rsid w:val="001C7B26"/>
    <w:rsid w:val="001C7B28"/>
    <w:rsid w:val="001D04F5"/>
    <w:rsid w:val="001D093A"/>
    <w:rsid w:val="001D0BCA"/>
    <w:rsid w:val="001D1729"/>
    <w:rsid w:val="001D2CA3"/>
    <w:rsid w:val="001D4801"/>
    <w:rsid w:val="001D4880"/>
    <w:rsid w:val="001D52A6"/>
    <w:rsid w:val="001D5BBC"/>
    <w:rsid w:val="001D68DB"/>
    <w:rsid w:val="001D7AA4"/>
    <w:rsid w:val="001D7B80"/>
    <w:rsid w:val="001E0BB4"/>
    <w:rsid w:val="001E1254"/>
    <w:rsid w:val="001E2A24"/>
    <w:rsid w:val="001E3F5F"/>
    <w:rsid w:val="001E4032"/>
    <w:rsid w:val="001E4F7E"/>
    <w:rsid w:val="001E5152"/>
    <w:rsid w:val="001E51C8"/>
    <w:rsid w:val="001E722D"/>
    <w:rsid w:val="001E79D3"/>
    <w:rsid w:val="001E7A6D"/>
    <w:rsid w:val="001F078D"/>
    <w:rsid w:val="001F19F8"/>
    <w:rsid w:val="001F3CB6"/>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6B5D"/>
    <w:rsid w:val="00207133"/>
    <w:rsid w:val="00207654"/>
    <w:rsid w:val="002101C9"/>
    <w:rsid w:val="00210EF0"/>
    <w:rsid w:val="00212565"/>
    <w:rsid w:val="002135D8"/>
    <w:rsid w:val="002140C5"/>
    <w:rsid w:val="0021539B"/>
    <w:rsid w:val="00217822"/>
    <w:rsid w:val="0022096F"/>
    <w:rsid w:val="00220AB1"/>
    <w:rsid w:val="00220C24"/>
    <w:rsid w:val="00220D54"/>
    <w:rsid w:val="00222713"/>
    <w:rsid w:val="00223671"/>
    <w:rsid w:val="002240ED"/>
    <w:rsid w:val="002245EC"/>
    <w:rsid w:val="00224F9F"/>
    <w:rsid w:val="002252C5"/>
    <w:rsid w:val="00225F3F"/>
    <w:rsid w:val="0022662A"/>
    <w:rsid w:val="00226BF6"/>
    <w:rsid w:val="002271C2"/>
    <w:rsid w:val="00227328"/>
    <w:rsid w:val="00227721"/>
    <w:rsid w:val="00227EA4"/>
    <w:rsid w:val="0023129A"/>
    <w:rsid w:val="002319FF"/>
    <w:rsid w:val="002322F9"/>
    <w:rsid w:val="002325B0"/>
    <w:rsid w:val="002334AB"/>
    <w:rsid w:val="00233575"/>
    <w:rsid w:val="00233585"/>
    <w:rsid w:val="00234E67"/>
    <w:rsid w:val="002354B2"/>
    <w:rsid w:val="00235B23"/>
    <w:rsid w:val="002361F1"/>
    <w:rsid w:val="00236346"/>
    <w:rsid w:val="00236954"/>
    <w:rsid w:val="0023700B"/>
    <w:rsid w:val="00237509"/>
    <w:rsid w:val="002405F0"/>
    <w:rsid w:val="00240828"/>
    <w:rsid w:val="00240D60"/>
    <w:rsid w:val="00241B89"/>
    <w:rsid w:val="0024216A"/>
    <w:rsid w:val="002421DD"/>
    <w:rsid w:val="00243068"/>
    <w:rsid w:val="0024330D"/>
    <w:rsid w:val="00243434"/>
    <w:rsid w:val="002447CE"/>
    <w:rsid w:val="00244EAF"/>
    <w:rsid w:val="0024500A"/>
    <w:rsid w:val="002450DA"/>
    <w:rsid w:val="00245553"/>
    <w:rsid w:val="002467B3"/>
    <w:rsid w:val="002468DB"/>
    <w:rsid w:val="00247214"/>
    <w:rsid w:val="002479A0"/>
    <w:rsid w:val="00247B4A"/>
    <w:rsid w:val="00250D94"/>
    <w:rsid w:val="00250FFA"/>
    <w:rsid w:val="00251FF1"/>
    <w:rsid w:val="002520EA"/>
    <w:rsid w:val="002541C6"/>
    <w:rsid w:val="0025439E"/>
    <w:rsid w:val="00255D90"/>
    <w:rsid w:val="00256242"/>
    <w:rsid w:val="002576F1"/>
    <w:rsid w:val="00261986"/>
    <w:rsid w:val="002647AE"/>
    <w:rsid w:val="00265D83"/>
    <w:rsid w:val="002664D0"/>
    <w:rsid w:val="00266B8C"/>
    <w:rsid w:val="00267A7C"/>
    <w:rsid w:val="00271F75"/>
    <w:rsid w:val="002721CB"/>
    <w:rsid w:val="0027231F"/>
    <w:rsid w:val="00272724"/>
    <w:rsid w:val="00272D3E"/>
    <w:rsid w:val="00272F12"/>
    <w:rsid w:val="00273612"/>
    <w:rsid w:val="00275078"/>
    <w:rsid w:val="00275096"/>
    <w:rsid w:val="0027517B"/>
    <w:rsid w:val="00275929"/>
    <w:rsid w:val="002770A6"/>
    <w:rsid w:val="002776BE"/>
    <w:rsid w:val="00280CFD"/>
    <w:rsid w:val="002818A0"/>
    <w:rsid w:val="002818B2"/>
    <w:rsid w:val="00283974"/>
    <w:rsid w:val="00284BC2"/>
    <w:rsid w:val="002852AB"/>
    <w:rsid w:val="00285F0C"/>
    <w:rsid w:val="00286614"/>
    <w:rsid w:val="00287B4A"/>
    <w:rsid w:val="002911AB"/>
    <w:rsid w:val="00291F28"/>
    <w:rsid w:val="00294843"/>
    <w:rsid w:val="00294B3E"/>
    <w:rsid w:val="002959F3"/>
    <w:rsid w:val="00295C58"/>
    <w:rsid w:val="00295F4F"/>
    <w:rsid w:val="00296BD4"/>
    <w:rsid w:val="00297ABE"/>
    <w:rsid w:val="002A0261"/>
    <w:rsid w:val="002A1CAB"/>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082"/>
    <w:rsid w:val="002C0CF3"/>
    <w:rsid w:val="002C1136"/>
    <w:rsid w:val="002C1200"/>
    <w:rsid w:val="002C2400"/>
    <w:rsid w:val="002C2CFE"/>
    <w:rsid w:val="002C3645"/>
    <w:rsid w:val="002C4936"/>
    <w:rsid w:val="002C4D20"/>
    <w:rsid w:val="002C4ED2"/>
    <w:rsid w:val="002C54CA"/>
    <w:rsid w:val="002C6429"/>
    <w:rsid w:val="002C6CCB"/>
    <w:rsid w:val="002C6FCE"/>
    <w:rsid w:val="002C7A76"/>
    <w:rsid w:val="002C7D3D"/>
    <w:rsid w:val="002D09D6"/>
    <w:rsid w:val="002D0AE7"/>
    <w:rsid w:val="002D2DC8"/>
    <w:rsid w:val="002D3E7C"/>
    <w:rsid w:val="002D42CB"/>
    <w:rsid w:val="002D432D"/>
    <w:rsid w:val="002D6708"/>
    <w:rsid w:val="002E006D"/>
    <w:rsid w:val="002E0F21"/>
    <w:rsid w:val="002E11AF"/>
    <w:rsid w:val="002E1534"/>
    <w:rsid w:val="002E154E"/>
    <w:rsid w:val="002E1620"/>
    <w:rsid w:val="002E18B1"/>
    <w:rsid w:val="002E20EC"/>
    <w:rsid w:val="002E2589"/>
    <w:rsid w:val="002E26CF"/>
    <w:rsid w:val="002E2C31"/>
    <w:rsid w:val="002E3090"/>
    <w:rsid w:val="002E41FF"/>
    <w:rsid w:val="002E4D3E"/>
    <w:rsid w:val="002E627C"/>
    <w:rsid w:val="002E687D"/>
    <w:rsid w:val="002E7C98"/>
    <w:rsid w:val="002E7F52"/>
    <w:rsid w:val="002F2903"/>
    <w:rsid w:val="002F2F21"/>
    <w:rsid w:val="002F3AF7"/>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A33"/>
    <w:rsid w:val="00310D4F"/>
    <w:rsid w:val="00312489"/>
    <w:rsid w:val="00312D42"/>
    <w:rsid w:val="0031379C"/>
    <w:rsid w:val="00313F0E"/>
    <w:rsid w:val="00314402"/>
    <w:rsid w:val="00314ED5"/>
    <w:rsid w:val="00315CB7"/>
    <w:rsid w:val="0031610E"/>
    <w:rsid w:val="003162C3"/>
    <w:rsid w:val="00316405"/>
    <w:rsid w:val="00317D01"/>
    <w:rsid w:val="0032036A"/>
    <w:rsid w:val="00321324"/>
    <w:rsid w:val="003219BE"/>
    <w:rsid w:val="0032394B"/>
    <w:rsid w:val="00325395"/>
    <w:rsid w:val="00326A7E"/>
    <w:rsid w:val="0033096F"/>
    <w:rsid w:val="00331382"/>
    <w:rsid w:val="00332050"/>
    <w:rsid w:val="00332124"/>
    <w:rsid w:val="003321CF"/>
    <w:rsid w:val="003323BA"/>
    <w:rsid w:val="003327D8"/>
    <w:rsid w:val="00332F86"/>
    <w:rsid w:val="00333281"/>
    <w:rsid w:val="00334455"/>
    <w:rsid w:val="00334516"/>
    <w:rsid w:val="00334B83"/>
    <w:rsid w:val="00335F32"/>
    <w:rsid w:val="003364B9"/>
    <w:rsid w:val="00336FC3"/>
    <w:rsid w:val="0034014E"/>
    <w:rsid w:val="00341FCF"/>
    <w:rsid w:val="003423FE"/>
    <w:rsid w:val="00342BD1"/>
    <w:rsid w:val="0034368F"/>
    <w:rsid w:val="0034385B"/>
    <w:rsid w:val="003456FD"/>
    <w:rsid w:val="00345A4F"/>
    <w:rsid w:val="00346D6C"/>
    <w:rsid w:val="00351582"/>
    <w:rsid w:val="003515BE"/>
    <w:rsid w:val="003516D9"/>
    <w:rsid w:val="00352307"/>
    <w:rsid w:val="00352AD5"/>
    <w:rsid w:val="003557AC"/>
    <w:rsid w:val="00356067"/>
    <w:rsid w:val="003570AD"/>
    <w:rsid w:val="003576D8"/>
    <w:rsid w:val="0035797F"/>
    <w:rsid w:val="00357F0F"/>
    <w:rsid w:val="00360032"/>
    <w:rsid w:val="00360BE5"/>
    <w:rsid w:val="00360FA1"/>
    <w:rsid w:val="0036332D"/>
    <w:rsid w:val="003656FA"/>
    <w:rsid w:val="003671F5"/>
    <w:rsid w:val="00371E4B"/>
    <w:rsid w:val="00372242"/>
    <w:rsid w:val="00373978"/>
    <w:rsid w:val="00373B39"/>
    <w:rsid w:val="0037442E"/>
    <w:rsid w:val="003745A0"/>
    <w:rsid w:val="00374E1A"/>
    <w:rsid w:val="00375172"/>
    <w:rsid w:val="003755CB"/>
    <w:rsid w:val="003761AC"/>
    <w:rsid w:val="003769B7"/>
    <w:rsid w:val="00376E21"/>
    <w:rsid w:val="00381D19"/>
    <w:rsid w:val="00383DBF"/>
    <w:rsid w:val="00383FFB"/>
    <w:rsid w:val="00384E16"/>
    <w:rsid w:val="00385837"/>
    <w:rsid w:val="0038592C"/>
    <w:rsid w:val="00387126"/>
    <w:rsid w:val="003873FD"/>
    <w:rsid w:val="00387426"/>
    <w:rsid w:val="0038777E"/>
    <w:rsid w:val="003903F3"/>
    <w:rsid w:val="003909F6"/>
    <w:rsid w:val="00390F23"/>
    <w:rsid w:val="003913C8"/>
    <w:rsid w:val="00391EC4"/>
    <w:rsid w:val="00391F48"/>
    <w:rsid w:val="0039243F"/>
    <w:rsid w:val="00395300"/>
    <w:rsid w:val="003959B8"/>
    <w:rsid w:val="00395B40"/>
    <w:rsid w:val="00396038"/>
    <w:rsid w:val="00396049"/>
    <w:rsid w:val="0039654D"/>
    <w:rsid w:val="0039732B"/>
    <w:rsid w:val="00397E98"/>
    <w:rsid w:val="003A17FF"/>
    <w:rsid w:val="003A21E5"/>
    <w:rsid w:val="003A297D"/>
    <w:rsid w:val="003A2BF9"/>
    <w:rsid w:val="003A331B"/>
    <w:rsid w:val="003A3BEA"/>
    <w:rsid w:val="003A48C5"/>
    <w:rsid w:val="003A4AC6"/>
    <w:rsid w:val="003A4BE3"/>
    <w:rsid w:val="003A5FB5"/>
    <w:rsid w:val="003B0D0B"/>
    <w:rsid w:val="003B1065"/>
    <w:rsid w:val="003B1DAD"/>
    <w:rsid w:val="003B2AA2"/>
    <w:rsid w:val="003B2FD2"/>
    <w:rsid w:val="003B5D3E"/>
    <w:rsid w:val="003B6169"/>
    <w:rsid w:val="003B6B7F"/>
    <w:rsid w:val="003B6CA4"/>
    <w:rsid w:val="003B7137"/>
    <w:rsid w:val="003C0053"/>
    <w:rsid w:val="003C03E0"/>
    <w:rsid w:val="003C05C5"/>
    <w:rsid w:val="003C1892"/>
    <w:rsid w:val="003C2CFF"/>
    <w:rsid w:val="003C2E75"/>
    <w:rsid w:val="003C2E80"/>
    <w:rsid w:val="003C3AA0"/>
    <w:rsid w:val="003C3DD7"/>
    <w:rsid w:val="003C4496"/>
    <w:rsid w:val="003C51EB"/>
    <w:rsid w:val="003C6A4A"/>
    <w:rsid w:val="003C70B1"/>
    <w:rsid w:val="003C728F"/>
    <w:rsid w:val="003D15FC"/>
    <w:rsid w:val="003D192D"/>
    <w:rsid w:val="003D1C08"/>
    <w:rsid w:val="003D1EB4"/>
    <w:rsid w:val="003D2B66"/>
    <w:rsid w:val="003D31FD"/>
    <w:rsid w:val="003D3C28"/>
    <w:rsid w:val="003D3F72"/>
    <w:rsid w:val="003D42E3"/>
    <w:rsid w:val="003D5C27"/>
    <w:rsid w:val="003D77FA"/>
    <w:rsid w:val="003D7F47"/>
    <w:rsid w:val="003E0D79"/>
    <w:rsid w:val="003E0F9F"/>
    <w:rsid w:val="003E14ED"/>
    <w:rsid w:val="003E1821"/>
    <w:rsid w:val="003E1929"/>
    <w:rsid w:val="003E5A8A"/>
    <w:rsid w:val="003E5D13"/>
    <w:rsid w:val="003E61D3"/>
    <w:rsid w:val="003E63F8"/>
    <w:rsid w:val="003E6B8D"/>
    <w:rsid w:val="003E70CB"/>
    <w:rsid w:val="003E71C8"/>
    <w:rsid w:val="003F0D78"/>
    <w:rsid w:val="003F139B"/>
    <w:rsid w:val="003F1FB2"/>
    <w:rsid w:val="003F2F76"/>
    <w:rsid w:val="003F384D"/>
    <w:rsid w:val="003F3A95"/>
    <w:rsid w:val="003F3BBB"/>
    <w:rsid w:val="003F537A"/>
    <w:rsid w:val="003F5475"/>
    <w:rsid w:val="003F560E"/>
    <w:rsid w:val="003F5A24"/>
    <w:rsid w:val="003F5BB2"/>
    <w:rsid w:val="003F5EDA"/>
    <w:rsid w:val="003F62E0"/>
    <w:rsid w:val="003F643D"/>
    <w:rsid w:val="003F653C"/>
    <w:rsid w:val="003F6E33"/>
    <w:rsid w:val="003F71F4"/>
    <w:rsid w:val="00400590"/>
    <w:rsid w:val="00400691"/>
    <w:rsid w:val="00400A9A"/>
    <w:rsid w:val="004018C7"/>
    <w:rsid w:val="00401C57"/>
    <w:rsid w:val="004028D9"/>
    <w:rsid w:val="00404CDD"/>
    <w:rsid w:val="004066A2"/>
    <w:rsid w:val="00406C29"/>
    <w:rsid w:val="00406CA1"/>
    <w:rsid w:val="0041013E"/>
    <w:rsid w:val="00410C67"/>
    <w:rsid w:val="0041126A"/>
    <w:rsid w:val="00411783"/>
    <w:rsid w:val="00411A91"/>
    <w:rsid w:val="0041286F"/>
    <w:rsid w:val="004139A3"/>
    <w:rsid w:val="0041405E"/>
    <w:rsid w:val="0041477F"/>
    <w:rsid w:val="0041487F"/>
    <w:rsid w:val="00414991"/>
    <w:rsid w:val="00414E7A"/>
    <w:rsid w:val="00416135"/>
    <w:rsid w:val="00416ED9"/>
    <w:rsid w:val="004173B2"/>
    <w:rsid w:val="004205AB"/>
    <w:rsid w:val="00421135"/>
    <w:rsid w:val="00421794"/>
    <w:rsid w:val="004225E9"/>
    <w:rsid w:val="00423D86"/>
    <w:rsid w:val="00424C9E"/>
    <w:rsid w:val="004255B6"/>
    <w:rsid w:val="0042605C"/>
    <w:rsid w:val="00427912"/>
    <w:rsid w:val="00430234"/>
    <w:rsid w:val="00430948"/>
    <w:rsid w:val="004312D0"/>
    <w:rsid w:val="00431AF3"/>
    <w:rsid w:val="00432A89"/>
    <w:rsid w:val="00432CD0"/>
    <w:rsid w:val="004333ED"/>
    <w:rsid w:val="004338FC"/>
    <w:rsid w:val="00433C37"/>
    <w:rsid w:val="0043444E"/>
    <w:rsid w:val="00434487"/>
    <w:rsid w:val="004354AF"/>
    <w:rsid w:val="00436B9A"/>
    <w:rsid w:val="0044161F"/>
    <w:rsid w:val="0044362C"/>
    <w:rsid w:val="00444544"/>
    <w:rsid w:val="00444D4B"/>
    <w:rsid w:val="00445C99"/>
    <w:rsid w:val="00445CDF"/>
    <w:rsid w:val="00446060"/>
    <w:rsid w:val="00450AC4"/>
    <w:rsid w:val="00450C02"/>
    <w:rsid w:val="00451057"/>
    <w:rsid w:val="004517B1"/>
    <w:rsid w:val="00451CE6"/>
    <w:rsid w:val="004531B5"/>
    <w:rsid w:val="0045332B"/>
    <w:rsid w:val="004539CC"/>
    <w:rsid w:val="00453B3B"/>
    <w:rsid w:val="00453EDC"/>
    <w:rsid w:val="00454200"/>
    <w:rsid w:val="00454BBE"/>
    <w:rsid w:val="00455CC2"/>
    <w:rsid w:val="00457A73"/>
    <w:rsid w:val="00460B5A"/>
    <w:rsid w:val="00462BB7"/>
    <w:rsid w:val="0046376B"/>
    <w:rsid w:val="00465207"/>
    <w:rsid w:val="0046520C"/>
    <w:rsid w:val="00467125"/>
    <w:rsid w:val="00470C37"/>
    <w:rsid w:val="00470E75"/>
    <w:rsid w:val="00471819"/>
    <w:rsid w:val="00471C73"/>
    <w:rsid w:val="00473AB6"/>
    <w:rsid w:val="00474CDF"/>
    <w:rsid w:val="00474EEE"/>
    <w:rsid w:val="00475B6F"/>
    <w:rsid w:val="00475EA5"/>
    <w:rsid w:val="00476049"/>
    <w:rsid w:val="00476DC3"/>
    <w:rsid w:val="00477023"/>
    <w:rsid w:val="00481088"/>
    <w:rsid w:val="00481126"/>
    <w:rsid w:val="00481554"/>
    <w:rsid w:val="00485AC3"/>
    <w:rsid w:val="004877E5"/>
    <w:rsid w:val="00490058"/>
    <w:rsid w:val="00490858"/>
    <w:rsid w:val="004910FA"/>
    <w:rsid w:val="0049159A"/>
    <w:rsid w:val="004917C8"/>
    <w:rsid w:val="0049180F"/>
    <w:rsid w:val="004918D4"/>
    <w:rsid w:val="004925AA"/>
    <w:rsid w:val="00492688"/>
    <w:rsid w:val="004928B5"/>
    <w:rsid w:val="00493257"/>
    <w:rsid w:val="00493829"/>
    <w:rsid w:val="00493C95"/>
    <w:rsid w:val="004948A0"/>
    <w:rsid w:val="00495295"/>
    <w:rsid w:val="00495CD8"/>
    <w:rsid w:val="004965FA"/>
    <w:rsid w:val="004A0A89"/>
    <w:rsid w:val="004A0AA0"/>
    <w:rsid w:val="004A2B0F"/>
    <w:rsid w:val="004A2F1E"/>
    <w:rsid w:val="004A4106"/>
    <w:rsid w:val="004A4D62"/>
    <w:rsid w:val="004A5CBC"/>
    <w:rsid w:val="004A77AF"/>
    <w:rsid w:val="004B1561"/>
    <w:rsid w:val="004B37FD"/>
    <w:rsid w:val="004B50FF"/>
    <w:rsid w:val="004B52CF"/>
    <w:rsid w:val="004B58D5"/>
    <w:rsid w:val="004B68FB"/>
    <w:rsid w:val="004B74FC"/>
    <w:rsid w:val="004B75B3"/>
    <w:rsid w:val="004B7B6E"/>
    <w:rsid w:val="004B7DF7"/>
    <w:rsid w:val="004B7E75"/>
    <w:rsid w:val="004C06B8"/>
    <w:rsid w:val="004C1507"/>
    <w:rsid w:val="004C342F"/>
    <w:rsid w:val="004C41AD"/>
    <w:rsid w:val="004C5AAA"/>
    <w:rsid w:val="004C5B13"/>
    <w:rsid w:val="004C5CDD"/>
    <w:rsid w:val="004C671E"/>
    <w:rsid w:val="004C6C55"/>
    <w:rsid w:val="004C755E"/>
    <w:rsid w:val="004D03BA"/>
    <w:rsid w:val="004D20E5"/>
    <w:rsid w:val="004D2766"/>
    <w:rsid w:val="004D4942"/>
    <w:rsid w:val="004D5075"/>
    <w:rsid w:val="004D681F"/>
    <w:rsid w:val="004D77F7"/>
    <w:rsid w:val="004E1212"/>
    <w:rsid w:val="004E18EB"/>
    <w:rsid w:val="004E1A56"/>
    <w:rsid w:val="004E204B"/>
    <w:rsid w:val="004E2725"/>
    <w:rsid w:val="004E44D7"/>
    <w:rsid w:val="004E4666"/>
    <w:rsid w:val="004E4D44"/>
    <w:rsid w:val="004E4F2A"/>
    <w:rsid w:val="004E4FF9"/>
    <w:rsid w:val="004E59E1"/>
    <w:rsid w:val="004E68D9"/>
    <w:rsid w:val="004E6A68"/>
    <w:rsid w:val="004F092E"/>
    <w:rsid w:val="004F0E2C"/>
    <w:rsid w:val="004F1BBB"/>
    <w:rsid w:val="004F328A"/>
    <w:rsid w:val="004F4B1D"/>
    <w:rsid w:val="004F4FDA"/>
    <w:rsid w:val="004F560A"/>
    <w:rsid w:val="004F6E2D"/>
    <w:rsid w:val="00500AEE"/>
    <w:rsid w:val="00501CB2"/>
    <w:rsid w:val="005021A7"/>
    <w:rsid w:val="005023F9"/>
    <w:rsid w:val="005029BF"/>
    <w:rsid w:val="00503572"/>
    <w:rsid w:val="00503C46"/>
    <w:rsid w:val="00506ADA"/>
    <w:rsid w:val="00506DC6"/>
    <w:rsid w:val="0051010F"/>
    <w:rsid w:val="0051191E"/>
    <w:rsid w:val="00512441"/>
    <w:rsid w:val="00512785"/>
    <w:rsid w:val="00513E19"/>
    <w:rsid w:val="0051508B"/>
    <w:rsid w:val="00515FF5"/>
    <w:rsid w:val="005179F5"/>
    <w:rsid w:val="00517AB4"/>
    <w:rsid w:val="00520349"/>
    <w:rsid w:val="005209F9"/>
    <w:rsid w:val="0052276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08A"/>
    <w:rsid w:val="00544A10"/>
    <w:rsid w:val="00544EE7"/>
    <w:rsid w:val="005456C0"/>
    <w:rsid w:val="00546F34"/>
    <w:rsid w:val="005473DC"/>
    <w:rsid w:val="00547CB1"/>
    <w:rsid w:val="00550718"/>
    <w:rsid w:val="00550730"/>
    <w:rsid w:val="005508F9"/>
    <w:rsid w:val="00550AAC"/>
    <w:rsid w:val="0055100E"/>
    <w:rsid w:val="005511B9"/>
    <w:rsid w:val="005512F9"/>
    <w:rsid w:val="00551F25"/>
    <w:rsid w:val="0055272B"/>
    <w:rsid w:val="00553199"/>
    <w:rsid w:val="005537D2"/>
    <w:rsid w:val="00553A93"/>
    <w:rsid w:val="00554852"/>
    <w:rsid w:val="00554FE9"/>
    <w:rsid w:val="005553B4"/>
    <w:rsid w:val="005553E9"/>
    <w:rsid w:val="005560D4"/>
    <w:rsid w:val="0055674D"/>
    <w:rsid w:val="00556A8C"/>
    <w:rsid w:val="00557075"/>
    <w:rsid w:val="00557F61"/>
    <w:rsid w:val="005609FB"/>
    <w:rsid w:val="00561B4E"/>
    <w:rsid w:val="00561BB9"/>
    <w:rsid w:val="00562052"/>
    <w:rsid w:val="00562448"/>
    <w:rsid w:val="00562529"/>
    <w:rsid w:val="005628AE"/>
    <w:rsid w:val="00562BBD"/>
    <w:rsid w:val="00563C6B"/>
    <w:rsid w:val="00564999"/>
    <w:rsid w:val="00566E49"/>
    <w:rsid w:val="00566F45"/>
    <w:rsid w:val="005675F7"/>
    <w:rsid w:val="005676F5"/>
    <w:rsid w:val="005678B7"/>
    <w:rsid w:val="00567B61"/>
    <w:rsid w:val="00571F07"/>
    <w:rsid w:val="00573059"/>
    <w:rsid w:val="00574D67"/>
    <w:rsid w:val="00575F0D"/>
    <w:rsid w:val="005762E0"/>
    <w:rsid w:val="00576EC5"/>
    <w:rsid w:val="0058047E"/>
    <w:rsid w:val="00580563"/>
    <w:rsid w:val="005805C0"/>
    <w:rsid w:val="00580980"/>
    <w:rsid w:val="00580E45"/>
    <w:rsid w:val="0058176C"/>
    <w:rsid w:val="00582027"/>
    <w:rsid w:val="005822ED"/>
    <w:rsid w:val="00582803"/>
    <w:rsid w:val="0058376D"/>
    <w:rsid w:val="00583ADF"/>
    <w:rsid w:val="00583B02"/>
    <w:rsid w:val="00584C53"/>
    <w:rsid w:val="00586AF5"/>
    <w:rsid w:val="00586C1B"/>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704"/>
    <w:rsid w:val="005A1BA3"/>
    <w:rsid w:val="005A1FFE"/>
    <w:rsid w:val="005A282D"/>
    <w:rsid w:val="005A3028"/>
    <w:rsid w:val="005A3CBE"/>
    <w:rsid w:val="005A3F7D"/>
    <w:rsid w:val="005A40A3"/>
    <w:rsid w:val="005A4316"/>
    <w:rsid w:val="005A4D17"/>
    <w:rsid w:val="005A5AC8"/>
    <w:rsid w:val="005A765A"/>
    <w:rsid w:val="005A7FA8"/>
    <w:rsid w:val="005B05E6"/>
    <w:rsid w:val="005B0C69"/>
    <w:rsid w:val="005B1031"/>
    <w:rsid w:val="005B1872"/>
    <w:rsid w:val="005B22A2"/>
    <w:rsid w:val="005B240B"/>
    <w:rsid w:val="005B325C"/>
    <w:rsid w:val="005B3403"/>
    <w:rsid w:val="005B500E"/>
    <w:rsid w:val="005B5428"/>
    <w:rsid w:val="005B5BF1"/>
    <w:rsid w:val="005B5C45"/>
    <w:rsid w:val="005B7799"/>
    <w:rsid w:val="005C0936"/>
    <w:rsid w:val="005C0C45"/>
    <w:rsid w:val="005C1A9B"/>
    <w:rsid w:val="005C1AF4"/>
    <w:rsid w:val="005C375D"/>
    <w:rsid w:val="005C4914"/>
    <w:rsid w:val="005C5303"/>
    <w:rsid w:val="005C5499"/>
    <w:rsid w:val="005C6219"/>
    <w:rsid w:val="005C6540"/>
    <w:rsid w:val="005C7FB6"/>
    <w:rsid w:val="005D07CE"/>
    <w:rsid w:val="005D10C7"/>
    <w:rsid w:val="005D397F"/>
    <w:rsid w:val="005D5970"/>
    <w:rsid w:val="005D7224"/>
    <w:rsid w:val="005D738E"/>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73B"/>
    <w:rsid w:val="005F3B5C"/>
    <w:rsid w:val="005F3D2C"/>
    <w:rsid w:val="005F443A"/>
    <w:rsid w:val="005F4FFF"/>
    <w:rsid w:val="005F527E"/>
    <w:rsid w:val="005F53D0"/>
    <w:rsid w:val="005F5CDF"/>
    <w:rsid w:val="005F5DCF"/>
    <w:rsid w:val="005F5E77"/>
    <w:rsid w:val="005F6797"/>
    <w:rsid w:val="006004A3"/>
    <w:rsid w:val="00601046"/>
    <w:rsid w:val="006014E5"/>
    <w:rsid w:val="006015D9"/>
    <w:rsid w:val="00601A5D"/>
    <w:rsid w:val="00602902"/>
    <w:rsid w:val="0060354C"/>
    <w:rsid w:val="00605018"/>
    <w:rsid w:val="006056C6"/>
    <w:rsid w:val="00605A24"/>
    <w:rsid w:val="00605DA3"/>
    <w:rsid w:val="00606E35"/>
    <w:rsid w:val="006100DD"/>
    <w:rsid w:val="0061099B"/>
    <w:rsid w:val="00610CFC"/>
    <w:rsid w:val="006116C3"/>
    <w:rsid w:val="00612E2F"/>
    <w:rsid w:val="00612E44"/>
    <w:rsid w:val="00613959"/>
    <w:rsid w:val="00614BDD"/>
    <w:rsid w:val="00614D29"/>
    <w:rsid w:val="00615563"/>
    <w:rsid w:val="00615BAE"/>
    <w:rsid w:val="00615DB4"/>
    <w:rsid w:val="00615F62"/>
    <w:rsid w:val="00620BE6"/>
    <w:rsid w:val="00620D83"/>
    <w:rsid w:val="006212DC"/>
    <w:rsid w:val="00621E66"/>
    <w:rsid w:val="0062348C"/>
    <w:rsid w:val="00623736"/>
    <w:rsid w:val="00623D21"/>
    <w:rsid w:val="006250FD"/>
    <w:rsid w:val="0062626C"/>
    <w:rsid w:val="00627C67"/>
    <w:rsid w:val="00634228"/>
    <w:rsid w:val="006346B2"/>
    <w:rsid w:val="00634B83"/>
    <w:rsid w:val="006371D1"/>
    <w:rsid w:val="006372C3"/>
    <w:rsid w:val="006374DA"/>
    <w:rsid w:val="00637931"/>
    <w:rsid w:val="0064028C"/>
    <w:rsid w:val="00640D34"/>
    <w:rsid w:val="0064110C"/>
    <w:rsid w:val="006411A7"/>
    <w:rsid w:val="00641DEA"/>
    <w:rsid w:val="00642EB0"/>
    <w:rsid w:val="00642FAF"/>
    <w:rsid w:val="00643350"/>
    <w:rsid w:val="0064380B"/>
    <w:rsid w:val="006446D3"/>
    <w:rsid w:val="006450C2"/>
    <w:rsid w:val="00645482"/>
    <w:rsid w:val="006464B0"/>
    <w:rsid w:val="00646589"/>
    <w:rsid w:val="006479A5"/>
    <w:rsid w:val="00647DF8"/>
    <w:rsid w:val="00650B2A"/>
    <w:rsid w:val="006514AD"/>
    <w:rsid w:val="00651A1A"/>
    <w:rsid w:val="006529AC"/>
    <w:rsid w:val="00652D24"/>
    <w:rsid w:val="006531B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6C0A"/>
    <w:rsid w:val="006770F9"/>
    <w:rsid w:val="006772CA"/>
    <w:rsid w:val="00677A80"/>
    <w:rsid w:val="00677E70"/>
    <w:rsid w:val="00682024"/>
    <w:rsid w:val="00682378"/>
    <w:rsid w:val="006826F4"/>
    <w:rsid w:val="0068361F"/>
    <w:rsid w:val="0068366D"/>
    <w:rsid w:val="006849C4"/>
    <w:rsid w:val="00684B64"/>
    <w:rsid w:val="00684D9D"/>
    <w:rsid w:val="00687751"/>
    <w:rsid w:val="006902D1"/>
    <w:rsid w:val="00690A86"/>
    <w:rsid w:val="00690B95"/>
    <w:rsid w:val="00691339"/>
    <w:rsid w:val="00692DA4"/>
    <w:rsid w:val="00694264"/>
    <w:rsid w:val="00694899"/>
    <w:rsid w:val="00695284"/>
    <w:rsid w:val="0069528D"/>
    <w:rsid w:val="00695903"/>
    <w:rsid w:val="00697250"/>
    <w:rsid w:val="00697927"/>
    <w:rsid w:val="006A0BB3"/>
    <w:rsid w:val="006A2022"/>
    <w:rsid w:val="006A2452"/>
    <w:rsid w:val="006A285B"/>
    <w:rsid w:val="006A2996"/>
    <w:rsid w:val="006A3B50"/>
    <w:rsid w:val="006A3E37"/>
    <w:rsid w:val="006A4BB9"/>
    <w:rsid w:val="006A5020"/>
    <w:rsid w:val="006A566F"/>
    <w:rsid w:val="006A5E7D"/>
    <w:rsid w:val="006A5F6D"/>
    <w:rsid w:val="006B0DF3"/>
    <w:rsid w:val="006B2C0E"/>
    <w:rsid w:val="006B2C93"/>
    <w:rsid w:val="006B31E6"/>
    <w:rsid w:val="006B35F9"/>
    <w:rsid w:val="006B3750"/>
    <w:rsid w:val="006B3DAF"/>
    <w:rsid w:val="006B43CF"/>
    <w:rsid w:val="006B57F9"/>
    <w:rsid w:val="006B6A93"/>
    <w:rsid w:val="006B6B1A"/>
    <w:rsid w:val="006B717C"/>
    <w:rsid w:val="006B79C9"/>
    <w:rsid w:val="006C03D7"/>
    <w:rsid w:val="006C055D"/>
    <w:rsid w:val="006C0F90"/>
    <w:rsid w:val="006C2A89"/>
    <w:rsid w:val="006C2C41"/>
    <w:rsid w:val="006C37B5"/>
    <w:rsid w:val="006C3DFF"/>
    <w:rsid w:val="006C50BF"/>
    <w:rsid w:val="006C59F0"/>
    <w:rsid w:val="006C78AC"/>
    <w:rsid w:val="006D0305"/>
    <w:rsid w:val="006D1732"/>
    <w:rsid w:val="006D2165"/>
    <w:rsid w:val="006D3E43"/>
    <w:rsid w:val="006D430E"/>
    <w:rsid w:val="006D4CE3"/>
    <w:rsid w:val="006D681F"/>
    <w:rsid w:val="006D6E35"/>
    <w:rsid w:val="006D7B46"/>
    <w:rsid w:val="006E0546"/>
    <w:rsid w:val="006E0F44"/>
    <w:rsid w:val="006E5698"/>
    <w:rsid w:val="006E6B1B"/>
    <w:rsid w:val="006E6B6C"/>
    <w:rsid w:val="006E776E"/>
    <w:rsid w:val="006F00FA"/>
    <w:rsid w:val="006F0227"/>
    <w:rsid w:val="006F06C7"/>
    <w:rsid w:val="006F11EB"/>
    <w:rsid w:val="006F2F06"/>
    <w:rsid w:val="006F32FA"/>
    <w:rsid w:val="006F5696"/>
    <w:rsid w:val="006F587F"/>
    <w:rsid w:val="006F6807"/>
    <w:rsid w:val="007040D9"/>
    <w:rsid w:val="00705B35"/>
    <w:rsid w:val="00706036"/>
    <w:rsid w:val="00706CB2"/>
    <w:rsid w:val="00707D06"/>
    <w:rsid w:val="007105B1"/>
    <w:rsid w:val="00711718"/>
    <w:rsid w:val="00713267"/>
    <w:rsid w:val="00713E40"/>
    <w:rsid w:val="007147ED"/>
    <w:rsid w:val="00715C48"/>
    <w:rsid w:val="00715FE7"/>
    <w:rsid w:val="00717204"/>
    <w:rsid w:val="00720132"/>
    <w:rsid w:val="00720C83"/>
    <w:rsid w:val="007218DE"/>
    <w:rsid w:val="007225EE"/>
    <w:rsid w:val="00722972"/>
    <w:rsid w:val="007251BD"/>
    <w:rsid w:val="0072521F"/>
    <w:rsid w:val="00726493"/>
    <w:rsid w:val="00726C7B"/>
    <w:rsid w:val="007272D4"/>
    <w:rsid w:val="007273B9"/>
    <w:rsid w:val="00730CAE"/>
    <w:rsid w:val="0073287C"/>
    <w:rsid w:val="0073327C"/>
    <w:rsid w:val="0073377B"/>
    <w:rsid w:val="0073382E"/>
    <w:rsid w:val="00734548"/>
    <w:rsid w:val="00736735"/>
    <w:rsid w:val="007402CA"/>
    <w:rsid w:val="00740743"/>
    <w:rsid w:val="00740F0D"/>
    <w:rsid w:val="00740FD6"/>
    <w:rsid w:val="00741CA3"/>
    <w:rsid w:val="0074212F"/>
    <w:rsid w:val="007442FA"/>
    <w:rsid w:val="007448A6"/>
    <w:rsid w:val="00747B17"/>
    <w:rsid w:val="00747D9D"/>
    <w:rsid w:val="007500D2"/>
    <w:rsid w:val="007509C8"/>
    <w:rsid w:val="00750E6E"/>
    <w:rsid w:val="0075135A"/>
    <w:rsid w:val="007518D6"/>
    <w:rsid w:val="007522E5"/>
    <w:rsid w:val="0075259F"/>
    <w:rsid w:val="00753513"/>
    <w:rsid w:val="007547DA"/>
    <w:rsid w:val="00754CFA"/>
    <w:rsid w:val="007550EC"/>
    <w:rsid w:val="00756ED6"/>
    <w:rsid w:val="00757F21"/>
    <w:rsid w:val="0076135C"/>
    <w:rsid w:val="007617CE"/>
    <w:rsid w:val="00762299"/>
    <w:rsid w:val="0076574F"/>
    <w:rsid w:val="00765EB9"/>
    <w:rsid w:val="00766030"/>
    <w:rsid w:val="00766DB9"/>
    <w:rsid w:val="00770073"/>
    <w:rsid w:val="0077018F"/>
    <w:rsid w:val="00771E4F"/>
    <w:rsid w:val="0077298A"/>
    <w:rsid w:val="007737AA"/>
    <w:rsid w:val="00775564"/>
    <w:rsid w:val="00776955"/>
    <w:rsid w:val="0077710E"/>
    <w:rsid w:val="00777607"/>
    <w:rsid w:val="0077767C"/>
    <w:rsid w:val="00777A64"/>
    <w:rsid w:val="007806EA"/>
    <w:rsid w:val="00780D32"/>
    <w:rsid w:val="00781A7D"/>
    <w:rsid w:val="00781E09"/>
    <w:rsid w:val="00782843"/>
    <w:rsid w:val="00787D73"/>
    <w:rsid w:val="0079221D"/>
    <w:rsid w:val="00795793"/>
    <w:rsid w:val="00795D12"/>
    <w:rsid w:val="007978DE"/>
    <w:rsid w:val="007A291E"/>
    <w:rsid w:val="007A54BA"/>
    <w:rsid w:val="007A583C"/>
    <w:rsid w:val="007A6167"/>
    <w:rsid w:val="007A66D8"/>
    <w:rsid w:val="007A6867"/>
    <w:rsid w:val="007A7B9F"/>
    <w:rsid w:val="007B006B"/>
    <w:rsid w:val="007B01E7"/>
    <w:rsid w:val="007B053B"/>
    <w:rsid w:val="007B0791"/>
    <w:rsid w:val="007B0A17"/>
    <w:rsid w:val="007B2F25"/>
    <w:rsid w:val="007B3B8D"/>
    <w:rsid w:val="007B43DF"/>
    <w:rsid w:val="007B4C1C"/>
    <w:rsid w:val="007B4F50"/>
    <w:rsid w:val="007B50BE"/>
    <w:rsid w:val="007B58B1"/>
    <w:rsid w:val="007B5CBD"/>
    <w:rsid w:val="007B6607"/>
    <w:rsid w:val="007B72B2"/>
    <w:rsid w:val="007B7F5A"/>
    <w:rsid w:val="007C02AF"/>
    <w:rsid w:val="007C1332"/>
    <w:rsid w:val="007C18BF"/>
    <w:rsid w:val="007C27EF"/>
    <w:rsid w:val="007C2931"/>
    <w:rsid w:val="007C32C5"/>
    <w:rsid w:val="007C372B"/>
    <w:rsid w:val="007C52EA"/>
    <w:rsid w:val="007C5387"/>
    <w:rsid w:val="007C67D6"/>
    <w:rsid w:val="007C7A52"/>
    <w:rsid w:val="007C7C20"/>
    <w:rsid w:val="007D0F24"/>
    <w:rsid w:val="007D1402"/>
    <w:rsid w:val="007D2ED4"/>
    <w:rsid w:val="007D32EC"/>
    <w:rsid w:val="007D475A"/>
    <w:rsid w:val="007D5106"/>
    <w:rsid w:val="007D5625"/>
    <w:rsid w:val="007D6375"/>
    <w:rsid w:val="007D685F"/>
    <w:rsid w:val="007D7450"/>
    <w:rsid w:val="007D7570"/>
    <w:rsid w:val="007D7650"/>
    <w:rsid w:val="007E14FB"/>
    <w:rsid w:val="007E1A4F"/>
    <w:rsid w:val="007E1E9F"/>
    <w:rsid w:val="007E2FA7"/>
    <w:rsid w:val="007E3579"/>
    <w:rsid w:val="007E363D"/>
    <w:rsid w:val="007E41CF"/>
    <w:rsid w:val="007E42E3"/>
    <w:rsid w:val="007E5DD0"/>
    <w:rsid w:val="007E60FA"/>
    <w:rsid w:val="007E6F39"/>
    <w:rsid w:val="007E79B7"/>
    <w:rsid w:val="007F0EA2"/>
    <w:rsid w:val="007F2167"/>
    <w:rsid w:val="007F25C3"/>
    <w:rsid w:val="007F459D"/>
    <w:rsid w:val="007F7AF3"/>
    <w:rsid w:val="007F7DAE"/>
    <w:rsid w:val="00800A00"/>
    <w:rsid w:val="0080386F"/>
    <w:rsid w:val="0080448E"/>
    <w:rsid w:val="008056A1"/>
    <w:rsid w:val="00806B1F"/>
    <w:rsid w:val="00811DCD"/>
    <w:rsid w:val="00811E9F"/>
    <w:rsid w:val="00812A19"/>
    <w:rsid w:val="00813310"/>
    <w:rsid w:val="00813410"/>
    <w:rsid w:val="00814BBD"/>
    <w:rsid w:val="00815E00"/>
    <w:rsid w:val="00816081"/>
    <w:rsid w:val="0081622D"/>
    <w:rsid w:val="00816DF3"/>
    <w:rsid w:val="00816E4C"/>
    <w:rsid w:val="00817E79"/>
    <w:rsid w:val="00817F15"/>
    <w:rsid w:val="008204D8"/>
    <w:rsid w:val="00820DE7"/>
    <w:rsid w:val="008217CF"/>
    <w:rsid w:val="0082197C"/>
    <w:rsid w:val="00821A1D"/>
    <w:rsid w:val="00824E56"/>
    <w:rsid w:val="00826550"/>
    <w:rsid w:val="0082750D"/>
    <w:rsid w:val="00827CC3"/>
    <w:rsid w:val="008304EC"/>
    <w:rsid w:val="00830BBE"/>
    <w:rsid w:val="00831200"/>
    <w:rsid w:val="008316D5"/>
    <w:rsid w:val="00831989"/>
    <w:rsid w:val="00831AFC"/>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BDF"/>
    <w:rsid w:val="00852F62"/>
    <w:rsid w:val="00854774"/>
    <w:rsid w:val="008558A9"/>
    <w:rsid w:val="00855DD0"/>
    <w:rsid w:val="00856CD9"/>
    <w:rsid w:val="00857A1C"/>
    <w:rsid w:val="0086086A"/>
    <w:rsid w:val="00860BB0"/>
    <w:rsid w:val="00861EC4"/>
    <w:rsid w:val="0086293C"/>
    <w:rsid w:val="00862F07"/>
    <w:rsid w:val="008641C4"/>
    <w:rsid w:val="00864D1B"/>
    <w:rsid w:val="00864DA5"/>
    <w:rsid w:val="008668BB"/>
    <w:rsid w:val="00867558"/>
    <w:rsid w:val="008705B0"/>
    <w:rsid w:val="008714AA"/>
    <w:rsid w:val="00871B96"/>
    <w:rsid w:val="008745B5"/>
    <w:rsid w:val="00875D41"/>
    <w:rsid w:val="00876AA6"/>
    <w:rsid w:val="00876FF4"/>
    <w:rsid w:val="0087713E"/>
    <w:rsid w:val="00882232"/>
    <w:rsid w:val="0088276F"/>
    <w:rsid w:val="008835A9"/>
    <w:rsid w:val="008846F1"/>
    <w:rsid w:val="0088537A"/>
    <w:rsid w:val="0088584C"/>
    <w:rsid w:val="00886AD0"/>
    <w:rsid w:val="008904AD"/>
    <w:rsid w:val="00892E7D"/>
    <w:rsid w:val="00892FAD"/>
    <w:rsid w:val="008933EF"/>
    <w:rsid w:val="00893AB5"/>
    <w:rsid w:val="00895BEF"/>
    <w:rsid w:val="00895DB7"/>
    <w:rsid w:val="00896A80"/>
    <w:rsid w:val="00897679"/>
    <w:rsid w:val="008A3113"/>
    <w:rsid w:val="008A3A6D"/>
    <w:rsid w:val="008A4C21"/>
    <w:rsid w:val="008A54E3"/>
    <w:rsid w:val="008B0622"/>
    <w:rsid w:val="008B0809"/>
    <w:rsid w:val="008B1B74"/>
    <w:rsid w:val="008B20BD"/>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571E"/>
    <w:rsid w:val="008C70C7"/>
    <w:rsid w:val="008C772E"/>
    <w:rsid w:val="008C7C0B"/>
    <w:rsid w:val="008C7CE1"/>
    <w:rsid w:val="008D1225"/>
    <w:rsid w:val="008D1D0E"/>
    <w:rsid w:val="008D1F15"/>
    <w:rsid w:val="008D1F2B"/>
    <w:rsid w:val="008D3B96"/>
    <w:rsid w:val="008D5210"/>
    <w:rsid w:val="008D6416"/>
    <w:rsid w:val="008D652C"/>
    <w:rsid w:val="008D7F6B"/>
    <w:rsid w:val="008E05E9"/>
    <w:rsid w:val="008E0D37"/>
    <w:rsid w:val="008E2D53"/>
    <w:rsid w:val="008E4467"/>
    <w:rsid w:val="008E4CD7"/>
    <w:rsid w:val="008E641D"/>
    <w:rsid w:val="008E660D"/>
    <w:rsid w:val="008E66E5"/>
    <w:rsid w:val="008E7DD4"/>
    <w:rsid w:val="008F056F"/>
    <w:rsid w:val="008F21C1"/>
    <w:rsid w:val="008F305A"/>
    <w:rsid w:val="008F3154"/>
    <w:rsid w:val="008F3465"/>
    <w:rsid w:val="008F3512"/>
    <w:rsid w:val="008F371C"/>
    <w:rsid w:val="008F3D5F"/>
    <w:rsid w:val="008F438E"/>
    <w:rsid w:val="008F66BA"/>
    <w:rsid w:val="008F7D54"/>
    <w:rsid w:val="008F7DD2"/>
    <w:rsid w:val="009004F9"/>
    <w:rsid w:val="0090344A"/>
    <w:rsid w:val="0090383C"/>
    <w:rsid w:val="0090561B"/>
    <w:rsid w:val="009070E0"/>
    <w:rsid w:val="00910139"/>
    <w:rsid w:val="009112B1"/>
    <w:rsid w:val="00913261"/>
    <w:rsid w:val="00913B82"/>
    <w:rsid w:val="00914276"/>
    <w:rsid w:val="009158AA"/>
    <w:rsid w:val="00916549"/>
    <w:rsid w:val="00916DEB"/>
    <w:rsid w:val="00917022"/>
    <w:rsid w:val="00917485"/>
    <w:rsid w:val="00920C84"/>
    <w:rsid w:val="00920F02"/>
    <w:rsid w:val="00922591"/>
    <w:rsid w:val="00922A73"/>
    <w:rsid w:val="00922D02"/>
    <w:rsid w:val="00922E82"/>
    <w:rsid w:val="00926673"/>
    <w:rsid w:val="00926FCA"/>
    <w:rsid w:val="009271A2"/>
    <w:rsid w:val="0093027F"/>
    <w:rsid w:val="0093151B"/>
    <w:rsid w:val="00931738"/>
    <w:rsid w:val="00931B31"/>
    <w:rsid w:val="009325AE"/>
    <w:rsid w:val="00932FDF"/>
    <w:rsid w:val="009346E0"/>
    <w:rsid w:val="009349B5"/>
    <w:rsid w:val="0093602A"/>
    <w:rsid w:val="00940224"/>
    <w:rsid w:val="009402E0"/>
    <w:rsid w:val="009425A7"/>
    <w:rsid w:val="0094265B"/>
    <w:rsid w:val="00942CF7"/>
    <w:rsid w:val="00942E4C"/>
    <w:rsid w:val="00944900"/>
    <w:rsid w:val="00944EA3"/>
    <w:rsid w:val="0094583D"/>
    <w:rsid w:val="00945BCE"/>
    <w:rsid w:val="009474C1"/>
    <w:rsid w:val="00950947"/>
    <w:rsid w:val="009509BD"/>
    <w:rsid w:val="00950C0B"/>
    <w:rsid w:val="00951984"/>
    <w:rsid w:val="0095439B"/>
    <w:rsid w:val="00954EC8"/>
    <w:rsid w:val="009553FC"/>
    <w:rsid w:val="009554DD"/>
    <w:rsid w:val="00957E5D"/>
    <w:rsid w:val="0096009C"/>
    <w:rsid w:val="009624C2"/>
    <w:rsid w:val="0096374D"/>
    <w:rsid w:val="00966DA4"/>
    <w:rsid w:val="00970201"/>
    <w:rsid w:val="00971402"/>
    <w:rsid w:val="00971744"/>
    <w:rsid w:val="00971830"/>
    <w:rsid w:val="00971A5A"/>
    <w:rsid w:val="00972C2E"/>
    <w:rsid w:val="00972EB6"/>
    <w:rsid w:val="0097707B"/>
    <w:rsid w:val="00980A15"/>
    <w:rsid w:val="009846CF"/>
    <w:rsid w:val="00984BF8"/>
    <w:rsid w:val="009850BA"/>
    <w:rsid w:val="00985D75"/>
    <w:rsid w:val="00986146"/>
    <w:rsid w:val="00987534"/>
    <w:rsid w:val="00990E20"/>
    <w:rsid w:val="00990ED9"/>
    <w:rsid w:val="00992888"/>
    <w:rsid w:val="00992AA9"/>
    <w:rsid w:val="009947F1"/>
    <w:rsid w:val="009949CE"/>
    <w:rsid w:val="00994F03"/>
    <w:rsid w:val="009972B4"/>
    <w:rsid w:val="009A01F1"/>
    <w:rsid w:val="009A045C"/>
    <w:rsid w:val="009A081F"/>
    <w:rsid w:val="009A0EB3"/>
    <w:rsid w:val="009A1D3C"/>
    <w:rsid w:val="009A1E77"/>
    <w:rsid w:val="009A2123"/>
    <w:rsid w:val="009A43E6"/>
    <w:rsid w:val="009A47F0"/>
    <w:rsid w:val="009A5D78"/>
    <w:rsid w:val="009A6127"/>
    <w:rsid w:val="009A6C1F"/>
    <w:rsid w:val="009A77F3"/>
    <w:rsid w:val="009A7B25"/>
    <w:rsid w:val="009B05A6"/>
    <w:rsid w:val="009B0BA2"/>
    <w:rsid w:val="009B1322"/>
    <w:rsid w:val="009B2029"/>
    <w:rsid w:val="009B27DF"/>
    <w:rsid w:val="009B2ABB"/>
    <w:rsid w:val="009B3429"/>
    <w:rsid w:val="009B387F"/>
    <w:rsid w:val="009B5848"/>
    <w:rsid w:val="009B6103"/>
    <w:rsid w:val="009B6310"/>
    <w:rsid w:val="009B6859"/>
    <w:rsid w:val="009B6E90"/>
    <w:rsid w:val="009B7E61"/>
    <w:rsid w:val="009C0395"/>
    <w:rsid w:val="009C0670"/>
    <w:rsid w:val="009C0DB6"/>
    <w:rsid w:val="009C2D4D"/>
    <w:rsid w:val="009C3F50"/>
    <w:rsid w:val="009C4DDA"/>
    <w:rsid w:val="009C56B9"/>
    <w:rsid w:val="009C60FB"/>
    <w:rsid w:val="009C61D4"/>
    <w:rsid w:val="009C6A99"/>
    <w:rsid w:val="009C6D41"/>
    <w:rsid w:val="009C7432"/>
    <w:rsid w:val="009C750F"/>
    <w:rsid w:val="009C796D"/>
    <w:rsid w:val="009D18C6"/>
    <w:rsid w:val="009D1DA9"/>
    <w:rsid w:val="009D3922"/>
    <w:rsid w:val="009D4471"/>
    <w:rsid w:val="009D4775"/>
    <w:rsid w:val="009D4AE0"/>
    <w:rsid w:val="009D56BB"/>
    <w:rsid w:val="009D6DFE"/>
    <w:rsid w:val="009D771F"/>
    <w:rsid w:val="009E191B"/>
    <w:rsid w:val="009E2771"/>
    <w:rsid w:val="009E322F"/>
    <w:rsid w:val="009E4300"/>
    <w:rsid w:val="009E4DF6"/>
    <w:rsid w:val="009E58C7"/>
    <w:rsid w:val="009E6334"/>
    <w:rsid w:val="009E7251"/>
    <w:rsid w:val="009E7A57"/>
    <w:rsid w:val="009E7EE6"/>
    <w:rsid w:val="009F1542"/>
    <w:rsid w:val="009F1734"/>
    <w:rsid w:val="009F2E83"/>
    <w:rsid w:val="009F3B03"/>
    <w:rsid w:val="009F4E51"/>
    <w:rsid w:val="009F652E"/>
    <w:rsid w:val="009F669E"/>
    <w:rsid w:val="009F6ED1"/>
    <w:rsid w:val="009F7467"/>
    <w:rsid w:val="00A00155"/>
    <w:rsid w:val="00A01043"/>
    <w:rsid w:val="00A0126B"/>
    <w:rsid w:val="00A01720"/>
    <w:rsid w:val="00A02454"/>
    <w:rsid w:val="00A02548"/>
    <w:rsid w:val="00A02D52"/>
    <w:rsid w:val="00A03A7D"/>
    <w:rsid w:val="00A03B4A"/>
    <w:rsid w:val="00A04AA5"/>
    <w:rsid w:val="00A072C1"/>
    <w:rsid w:val="00A07B14"/>
    <w:rsid w:val="00A113B3"/>
    <w:rsid w:val="00A11694"/>
    <w:rsid w:val="00A12F12"/>
    <w:rsid w:val="00A134B2"/>
    <w:rsid w:val="00A139E6"/>
    <w:rsid w:val="00A14C28"/>
    <w:rsid w:val="00A16061"/>
    <w:rsid w:val="00A16582"/>
    <w:rsid w:val="00A16772"/>
    <w:rsid w:val="00A16E83"/>
    <w:rsid w:val="00A17085"/>
    <w:rsid w:val="00A2036F"/>
    <w:rsid w:val="00A21509"/>
    <w:rsid w:val="00A22BC9"/>
    <w:rsid w:val="00A24769"/>
    <w:rsid w:val="00A250DA"/>
    <w:rsid w:val="00A25620"/>
    <w:rsid w:val="00A2662F"/>
    <w:rsid w:val="00A26E55"/>
    <w:rsid w:val="00A27D3E"/>
    <w:rsid w:val="00A31EA1"/>
    <w:rsid w:val="00A31ED2"/>
    <w:rsid w:val="00A31F1F"/>
    <w:rsid w:val="00A32146"/>
    <w:rsid w:val="00A331B3"/>
    <w:rsid w:val="00A33C7F"/>
    <w:rsid w:val="00A33FE0"/>
    <w:rsid w:val="00A35768"/>
    <w:rsid w:val="00A36146"/>
    <w:rsid w:val="00A36D05"/>
    <w:rsid w:val="00A377EF"/>
    <w:rsid w:val="00A42017"/>
    <w:rsid w:val="00A4272C"/>
    <w:rsid w:val="00A428EA"/>
    <w:rsid w:val="00A43172"/>
    <w:rsid w:val="00A43A21"/>
    <w:rsid w:val="00A446B7"/>
    <w:rsid w:val="00A45306"/>
    <w:rsid w:val="00A45A73"/>
    <w:rsid w:val="00A46106"/>
    <w:rsid w:val="00A47E87"/>
    <w:rsid w:val="00A47ED7"/>
    <w:rsid w:val="00A47F97"/>
    <w:rsid w:val="00A5258C"/>
    <w:rsid w:val="00A526BF"/>
    <w:rsid w:val="00A538EB"/>
    <w:rsid w:val="00A541BE"/>
    <w:rsid w:val="00A57180"/>
    <w:rsid w:val="00A6060F"/>
    <w:rsid w:val="00A60BE4"/>
    <w:rsid w:val="00A6169A"/>
    <w:rsid w:val="00A628ED"/>
    <w:rsid w:val="00A65364"/>
    <w:rsid w:val="00A654C1"/>
    <w:rsid w:val="00A65A24"/>
    <w:rsid w:val="00A66322"/>
    <w:rsid w:val="00A6632D"/>
    <w:rsid w:val="00A67605"/>
    <w:rsid w:val="00A67CA0"/>
    <w:rsid w:val="00A70308"/>
    <w:rsid w:val="00A7097C"/>
    <w:rsid w:val="00A712FA"/>
    <w:rsid w:val="00A71A85"/>
    <w:rsid w:val="00A72138"/>
    <w:rsid w:val="00A7271F"/>
    <w:rsid w:val="00A7430F"/>
    <w:rsid w:val="00A756FC"/>
    <w:rsid w:val="00A763B2"/>
    <w:rsid w:val="00A77112"/>
    <w:rsid w:val="00A77A56"/>
    <w:rsid w:val="00A80438"/>
    <w:rsid w:val="00A818B5"/>
    <w:rsid w:val="00A81BA4"/>
    <w:rsid w:val="00A824FF"/>
    <w:rsid w:val="00A82FDB"/>
    <w:rsid w:val="00A839BC"/>
    <w:rsid w:val="00A841EE"/>
    <w:rsid w:val="00A843ED"/>
    <w:rsid w:val="00A85A0C"/>
    <w:rsid w:val="00A866D6"/>
    <w:rsid w:val="00A867D8"/>
    <w:rsid w:val="00A90878"/>
    <w:rsid w:val="00A92684"/>
    <w:rsid w:val="00A93C69"/>
    <w:rsid w:val="00A93EE1"/>
    <w:rsid w:val="00A94509"/>
    <w:rsid w:val="00A947BE"/>
    <w:rsid w:val="00A948B1"/>
    <w:rsid w:val="00A95790"/>
    <w:rsid w:val="00A969DE"/>
    <w:rsid w:val="00A97396"/>
    <w:rsid w:val="00A97565"/>
    <w:rsid w:val="00AA0D88"/>
    <w:rsid w:val="00AA1E13"/>
    <w:rsid w:val="00AA1FEB"/>
    <w:rsid w:val="00AA24CB"/>
    <w:rsid w:val="00AA4832"/>
    <w:rsid w:val="00AA52B4"/>
    <w:rsid w:val="00AA5A2D"/>
    <w:rsid w:val="00AA7982"/>
    <w:rsid w:val="00AB14E0"/>
    <w:rsid w:val="00AB1FF4"/>
    <w:rsid w:val="00AB3527"/>
    <w:rsid w:val="00AB38CA"/>
    <w:rsid w:val="00AB511C"/>
    <w:rsid w:val="00AB60E2"/>
    <w:rsid w:val="00AB6456"/>
    <w:rsid w:val="00AB6AEF"/>
    <w:rsid w:val="00AB7107"/>
    <w:rsid w:val="00AB7139"/>
    <w:rsid w:val="00AB7C34"/>
    <w:rsid w:val="00AC14D1"/>
    <w:rsid w:val="00AC22A0"/>
    <w:rsid w:val="00AC392D"/>
    <w:rsid w:val="00AC3C2E"/>
    <w:rsid w:val="00AC488B"/>
    <w:rsid w:val="00AC4CC9"/>
    <w:rsid w:val="00AC5D60"/>
    <w:rsid w:val="00AC6957"/>
    <w:rsid w:val="00AC76F5"/>
    <w:rsid w:val="00AD2869"/>
    <w:rsid w:val="00AD2B96"/>
    <w:rsid w:val="00AD478B"/>
    <w:rsid w:val="00AD5A34"/>
    <w:rsid w:val="00AD5F18"/>
    <w:rsid w:val="00AE0F11"/>
    <w:rsid w:val="00AE1C47"/>
    <w:rsid w:val="00AE1E2E"/>
    <w:rsid w:val="00AE2057"/>
    <w:rsid w:val="00AE2820"/>
    <w:rsid w:val="00AE2BAB"/>
    <w:rsid w:val="00AE33ED"/>
    <w:rsid w:val="00AE5BDE"/>
    <w:rsid w:val="00AF044A"/>
    <w:rsid w:val="00AF0FF7"/>
    <w:rsid w:val="00AF1F2F"/>
    <w:rsid w:val="00AF2E25"/>
    <w:rsid w:val="00AF42FD"/>
    <w:rsid w:val="00AF59E7"/>
    <w:rsid w:val="00AF6265"/>
    <w:rsid w:val="00AF6BB4"/>
    <w:rsid w:val="00AF7523"/>
    <w:rsid w:val="00B018BC"/>
    <w:rsid w:val="00B0260E"/>
    <w:rsid w:val="00B02A35"/>
    <w:rsid w:val="00B04C55"/>
    <w:rsid w:val="00B0682B"/>
    <w:rsid w:val="00B07CDD"/>
    <w:rsid w:val="00B07E11"/>
    <w:rsid w:val="00B113CC"/>
    <w:rsid w:val="00B11456"/>
    <w:rsid w:val="00B114A3"/>
    <w:rsid w:val="00B1195C"/>
    <w:rsid w:val="00B11981"/>
    <w:rsid w:val="00B11A9E"/>
    <w:rsid w:val="00B12D4D"/>
    <w:rsid w:val="00B13220"/>
    <w:rsid w:val="00B1431D"/>
    <w:rsid w:val="00B1679C"/>
    <w:rsid w:val="00B16EAB"/>
    <w:rsid w:val="00B16F27"/>
    <w:rsid w:val="00B1771C"/>
    <w:rsid w:val="00B17B88"/>
    <w:rsid w:val="00B20597"/>
    <w:rsid w:val="00B20ADD"/>
    <w:rsid w:val="00B20B1F"/>
    <w:rsid w:val="00B21A44"/>
    <w:rsid w:val="00B21A9F"/>
    <w:rsid w:val="00B21BF0"/>
    <w:rsid w:val="00B21BF2"/>
    <w:rsid w:val="00B227CC"/>
    <w:rsid w:val="00B239FA"/>
    <w:rsid w:val="00B23A59"/>
    <w:rsid w:val="00B23BDF"/>
    <w:rsid w:val="00B25705"/>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812"/>
    <w:rsid w:val="00B43F5D"/>
    <w:rsid w:val="00B44032"/>
    <w:rsid w:val="00B45E12"/>
    <w:rsid w:val="00B468AF"/>
    <w:rsid w:val="00B519C5"/>
    <w:rsid w:val="00B51B78"/>
    <w:rsid w:val="00B528CF"/>
    <w:rsid w:val="00B53C22"/>
    <w:rsid w:val="00B53F3F"/>
    <w:rsid w:val="00B540E7"/>
    <w:rsid w:val="00B541B9"/>
    <w:rsid w:val="00B55791"/>
    <w:rsid w:val="00B55BBD"/>
    <w:rsid w:val="00B56AC9"/>
    <w:rsid w:val="00B600D9"/>
    <w:rsid w:val="00B61465"/>
    <w:rsid w:val="00B6397D"/>
    <w:rsid w:val="00B6405A"/>
    <w:rsid w:val="00B64466"/>
    <w:rsid w:val="00B653BC"/>
    <w:rsid w:val="00B65763"/>
    <w:rsid w:val="00B66AB4"/>
    <w:rsid w:val="00B67AC9"/>
    <w:rsid w:val="00B67CFF"/>
    <w:rsid w:val="00B7072F"/>
    <w:rsid w:val="00B726BD"/>
    <w:rsid w:val="00B72966"/>
    <w:rsid w:val="00B745B1"/>
    <w:rsid w:val="00B77A7D"/>
    <w:rsid w:val="00B77D1D"/>
    <w:rsid w:val="00B80104"/>
    <w:rsid w:val="00B805E4"/>
    <w:rsid w:val="00B80DAE"/>
    <w:rsid w:val="00B811D6"/>
    <w:rsid w:val="00B814E7"/>
    <w:rsid w:val="00B82698"/>
    <w:rsid w:val="00B8272E"/>
    <w:rsid w:val="00B833BF"/>
    <w:rsid w:val="00B84B85"/>
    <w:rsid w:val="00B84C76"/>
    <w:rsid w:val="00B853DA"/>
    <w:rsid w:val="00B86576"/>
    <w:rsid w:val="00B86DCD"/>
    <w:rsid w:val="00B87BF6"/>
    <w:rsid w:val="00B87DCC"/>
    <w:rsid w:val="00B907DF"/>
    <w:rsid w:val="00B90804"/>
    <w:rsid w:val="00B92080"/>
    <w:rsid w:val="00B932C4"/>
    <w:rsid w:val="00B93856"/>
    <w:rsid w:val="00B94394"/>
    <w:rsid w:val="00B950AD"/>
    <w:rsid w:val="00B9607F"/>
    <w:rsid w:val="00B9731F"/>
    <w:rsid w:val="00BA0346"/>
    <w:rsid w:val="00BA0CCD"/>
    <w:rsid w:val="00BA18FE"/>
    <w:rsid w:val="00BA1DE7"/>
    <w:rsid w:val="00BA2435"/>
    <w:rsid w:val="00BA3742"/>
    <w:rsid w:val="00BA525E"/>
    <w:rsid w:val="00BA55C5"/>
    <w:rsid w:val="00BA6CC7"/>
    <w:rsid w:val="00BA6FDB"/>
    <w:rsid w:val="00BA7021"/>
    <w:rsid w:val="00BA7C2B"/>
    <w:rsid w:val="00BA7DA0"/>
    <w:rsid w:val="00BA7EC6"/>
    <w:rsid w:val="00BB0945"/>
    <w:rsid w:val="00BB43D3"/>
    <w:rsid w:val="00BB4A5F"/>
    <w:rsid w:val="00BB4D31"/>
    <w:rsid w:val="00BB662B"/>
    <w:rsid w:val="00BB7097"/>
    <w:rsid w:val="00BB7392"/>
    <w:rsid w:val="00BB7EF4"/>
    <w:rsid w:val="00BC079B"/>
    <w:rsid w:val="00BC1D50"/>
    <w:rsid w:val="00BC2298"/>
    <w:rsid w:val="00BC4B77"/>
    <w:rsid w:val="00BC4EB6"/>
    <w:rsid w:val="00BC4FB5"/>
    <w:rsid w:val="00BD0271"/>
    <w:rsid w:val="00BD13D6"/>
    <w:rsid w:val="00BD158F"/>
    <w:rsid w:val="00BD17AA"/>
    <w:rsid w:val="00BD1804"/>
    <w:rsid w:val="00BD21F3"/>
    <w:rsid w:val="00BD2401"/>
    <w:rsid w:val="00BD2932"/>
    <w:rsid w:val="00BD294F"/>
    <w:rsid w:val="00BD3A58"/>
    <w:rsid w:val="00BD3C74"/>
    <w:rsid w:val="00BD3EDC"/>
    <w:rsid w:val="00BD5205"/>
    <w:rsid w:val="00BD67C7"/>
    <w:rsid w:val="00BD739D"/>
    <w:rsid w:val="00BE0246"/>
    <w:rsid w:val="00BE10DD"/>
    <w:rsid w:val="00BE1824"/>
    <w:rsid w:val="00BE3B85"/>
    <w:rsid w:val="00BE423B"/>
    <w:rsid w:val="00BE465C"/>
    <w:rsid w:val="00BE4990"/>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1753B"/>
    <w:rsid w:val="00C20017"/>
    <w:rsid w:val="00C20615"/>
    <w:rsid w:val="00C22F62"/>
    <w:rsid w:val="00C23589"/>
    <w:rsid w:val="00C24C68"/>
    <w:rsid w:val="00C24F14"/>
    <w:rsid w:val="00C251B7"/>
    <w:rsid w:val="00C256D7"/>
    <w:rsid w:val="00C26BF6"/>
    <w:rsid w:val="00C27038"/>
    <w:rsid w:val="00C31BA5"/>
    <w:rsid w:val="00C3214A"/>
    <w:rsid w:val="00C32AA5"/>
    <w:rsid w:val="00C33426"/>
    <w:rsid w:val="00C34633"/>
    <w:rsid w:val="00C349E8"/>
    <w:rsid w:val="00C352EC"/>
    <w:rsid w:val="00C35459"/>
    <w:rsid w:val="00C36621"/>
    <w:rsid w:val="00C40F2B"/>
    <w:rsid w:val="00C42257"/>
    <w:rsid w:val="00C4247A"/>
    <w:rsid w:val="00C42505"/>
    <w:rsid w:val="00C44691"/>
    <w:rsid w:val="00C46101"/>
    <w:rsid w:val="00C46231"/>
    <w:rsid w:val="00C46887"/>
    <w:rsid w:val="00C47F3D"/>
    <w:rsid w:val="00C5255D"/>
    <w:rsid w:val="00C5270F"/>
    <w:rsid w:val="00C53BC6"/>
    <w:rsid w:val="00C54416"/>
    <w:rsid w:val="00C54DA6"/>
    <w:rsid w:val="00C55787"/>
    <w:rsid w:val="00C57059"/>
    <w:rsid w:val="00C609A5"/>
    <w:rsid w:val="00C61F15"/>
    <w:rsid w:val="00C620F4"/>
    <w:rsid w:val="00C62769"/>
    <w:rsid w:val="00C632A2"/>
    <w:rsid w:val="00C64A64"/>
    <w:rsid w:val="00C64FC7"/>
    <w:rsid w:val="00C654B8"/>
    <w:rsid w:val="00C655A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2D4"/>
    <w:rsid w:val="00C8560B"/>
    <w:rsid w:val="00C87E2D"/>
    <w:rsid w:val="00C908AE"/>
    <w:rsid w:val="00C909C0"/>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5F96"/>
    <w:rsid w:val="00CA637F"/>
    <w:rsid w:val="00CA6C44"/>
    <w:rsid w:val="00CA6DD5"/>
    <w:rsid w:val="00CA7170"/>
    <w:rsid w:val="00CA738A"/>
    <w:rsid w:val="00CA7753"/>
    <w:rsid w:val="00CA7E0E"/>
    <w:rsid w:val="00CB06AB"/>
    <w:rsid w:val="00CB0E75"/>
    <w:rsid w:val="00CB1504"/>
    <w:rsid w:val="00CB2742"/>
    <w:rsid w:val="00CB307D"/>
    <w:rsid w:val="00CB36B3"/>
    <w:rsid w:val="00CB387F"/>
    <w:rsid w:val="00CB5F69"/>
    <w:rsid w:val="00CB763B"/>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D7058"/>
    <w:rsid w:val="00CE02B0"/>
    <w:rsid w:val="00CE03CA"/>
    <w:rsid w:val="00CE0764"/>
    <w:rsid w:val="00CE1721"/>
    <w:rsid w:val="00CE2E5E"/>
    <w:rsid w:val="00CE3F98"/>
    <w:rsid w:val="00CE4A4A"/>
    <w:rsid w:val="00CE4B31"/>
    <w:rsid w:val="00CE5886"/>
    <w:rsid w:val="00CE701B"/>
    <w:rsid w:val="00CE7331"/>
    <w:rsid w:val="00CE7473"/>
    <w:rsid w:val="00CF0732"/>
    <w:rsid w:val="00CF1126"/>
    <w:rsid w:val="00CF24AD"/>
    <w:rsid w:val="00CF2FEF"/>
    <w:rsid w:val="00CF4273"/>
    <w:rsid w:val="00CF49C3"/>
    <w:rsid w:val="00CF5FBE"/>
    <w:rsid w:val="00CF6275"/>
    <w:rsid w:val="00CF7606"/>
    <w:rsid w:val="00CF77D6"/>
    <w:rsid w:val="00D00889"/>
    <w:rsid w:val="00D01238"/>
    <w:rsid w:val="00D01E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88"/>
    <w:rsid w:val="00D17DF9"/>
    <w:rsid w:val="00D2167C"/>
    <w:rsid w:val="00D2282C"/>
    <w:rsid w:val="00D22F0B"/>
    <w:rsid w:val="00D23D1F"/>
    <w:rsid w:val="00D24C21"/>
    <w:rsid w:val="00D26BBF"/>
    <w:rsid w:val="00D26E9C"/>
    <w:rsid w:val="00D27BC8"/>
    <w:rsid w:val="00D316FE"/>
    <w:rsid w:val="00D3262D"/>
    <w:rsid w:val="00D32A6A"/>
    <w:rsid w:val="00D34976"/>
    <w:rsid w:val="00D35EDA"/>
    <w:rsid w:val="00D36D16"/>
    <w:rsid w:val="00D379DA"/>
    <w:rsid w:val="00D41955"/>
    <w:rsid w:val="00D41CEF"/>
    <w:rsid w:val="00D42A9B"/>
    <w:rsid w:val="00D436B0"/>
    <w:rsid w:val="00D43EC5"/>
    <w:rsid w:val="00D44378"/>
    <w:rsid w:val="00D44C7A"/>
    <w:rsid w:val="00D44E9F"/>
    <w:rsid w:val="00D46528"/>
    <w:rsid w:val="00D47EDA"/>
    <w:rsid w:val="00D507E7"/>
    <w:rsid w:val="00D516BE"/>
    <w:rsid w:val="00D521CB"/>
    <w:rsid w:val="00D52596"/>
    <w:rsid w:val="00D53811"/>
    <w:rsid w:val="00D53DAE"/>
    <w:rsid w:val="00D543C1"/>
    <w:rsid w:val="00D54667"/>
    <w:rsid w:val="00D5516F"/>
    <w:rsid w:val="00D554B6"/>
    <w:rsid w:val="00D566D4"/>
    <w:rsid w:val="00D604C1"/>
    <w:rsid w:val="00D62698"/>
    <w:rsid w:val="00D62831"/>
    <w:rsid w:val="00D62DC1"/>
    <w:rsid w:val="00D641AA"/>
    <w:rsid w:val="00D64AD2"/>
    <w:rsid w:val="00D65F6E"/>
    <w:rsid w:val="00D702D2"/>
    <w:rsid w:val="00D7034F"/>
    <w:rsid w:val="00D70AD3"/>
    <w:rsid w:val="00D70DF4"/>
    <w:rsid w:val="00D72D6A"/>
    <w:rsid w:val="00D733A1"/>
    <w:rsid w:val="00D74300"/>
    <w:rsid w:val="00D75A3C"/>
    <w:rsid w:val="00D76680"/>
    <w:rsid w:val="00D802C2"/>
    <w:rsid w:val="00D803BC"/>
    <w:rsid w:val="00D81D55"/>
    <w:rsid w:val="00D81F28"/>
    <w:rsid w:val="00D8253A"/>
    <w:rsid w:val="00D82FC4"/>
    <w:rsid w:val="00D83FF9"/>
    <w:rsid w:val="00D849C0"/>
    <w:rsid w:val="00D84DBD"/>
    <w:rsid w:val="00D85988"/>
    <w:rsid w:val="00D860A8"/>
    <w:rsid w:val="00D86166"/>
    <w:rsid w:val="00D86C8B"/>
    <w:rsid w:val="00D8737F"/>
    <w:rsid w:val="00D87764"/>
    <w:rsid w:val="00D90E79"/>
    <w:rsid w:val="00D92B64"/>
    <w:rsid w:val="00D93E39"/>
    <w:rsid w:val="00D940CE"/>
    <w:rsid w:val="00D95A74"/>
    <w:rsid w:val="00D96803"/>
    <w:rsid w:val="00D96A40"/>
    <w:rsid w:val="00D96B14"/>
    <w:rsid w:val="00D96F38"/>
    <w:rsid w:val="00D97978"/>
    <w:rsid w:val="00DA0A08"/>
    <w:rsid w:val="00DA0CAA"/>
    <w:rsid w:val="00DA171F"/>
    <w:rsid w:val="00DA183F"/>
    <w:rsid w:val="00DA22E7"/>
    <w:rsid w:val="00DA2E0B"/>
    <w:rsid w:val="00DA347F"/>
    <w:rsid w:val="00DA445D"/>
    <w:rsid w:val="00DA701D"/>
    <w:rsid w:val="00DB0890"/>
    <w:rsid w:val="00DB0B04"/>
    <w:rsid w:val="00DB2049"/>
    <w:rsid w:val="00DB2710"/>
    <w:rsid w:val="00DB32C8"/>
    <w:rsid w:val="00DB348A"/>
    <w:rsid w:val="00DB3916"/>
    <w:rsid w:val="00DB3B2C"/>
    <w:rsid w:val="00DB5405"/>
    <w:rsid w:val="00DB548B"/>
    <w:rsid w:val="00DB59BA"/>
    <w:rsid w:val="00DB689E"/>
    <w:rsid w:val="00DB751D"/>
    <w:rsid w:val="00DC0491"/>
    <w:rsid w:val="00DC09E2"/>
    <w:rsid w:val="00DC23E3"/>
    <w:rsid w:val="00DC3596"/>
    <w:rsid w:val="00DC5559"/>
    <w:rsid w:val="00DC5BE7"/>
    <w:rsid w:val="00DC5EAF"/>
    <w:rsid w:val="00DD19FE"/>
    <w:rsid w:val="00DD203D"/>
    <w:rsid w:val="00DD216E"/>
    <w:rsid w:val="00DD2D22"/>
    <w:rsid w:val="00DD463B"/>
    <w:rsid w:val="00DD5E88"/>
    <w:rsid w:val="00DD6531"/>
    <w:rsid w:val="00DD68D0"/>
    <w:rsid w:val="00DD7BA3"/>
    <w:rsid w:val="00DE0003"/>
    <w:rsid w:val="00DE0119"/>
    <w:rsid w:val="00DE05C2"/>
    <w:rsid w:val="00DE0E79"/>
    <w:rsid w:val="00DE1CCB"/>
    <w:rsid w:val="00DE2AF3"/>
    <w:rsid w:val="00DE4B3D"/>
    <w:rsid w:val="00DE7027"/>
    <w:rsid w:val="00DE7B3D"/>
    <w:rsid w:val="00DF2C51"/>
    <w:rsid w:val="00DF4282"/>
    <w:rsid w:val="00DF4DB1"/>
    <w:rsid w:val="00DF4F75"/>
    <w:rsid w:val="00DF61AF"/>
    <w:rsid w:val="00DF7E39"/>
    <w:rsid w:val="00E00787"/>
    <w:rsid w:val="00E00B96"/>
    <w:rsid w:val="00E010D2"/>
    <w:rsid w:val="00E021D8"/>
    <w:rsid w:val="00E0264D"/>
    <w:rsid w:val="00E03B3D"/>
    <w:rsid w:val="00E04240"/>
    <w:rsid w:val="00E05C6B"/>
    <w:rsid w:val="00E07645"/>
    <w:rsid w:val="00E10C48"/>
    <w:rsid w:val="00E10EB8"/>
    <w:rsid w:val="00E11027"/>
    <w:rsid w:val="00E118E0"/>
    <w:rsid w:val="00E12966"/>
    <w:rsid w:val="00E129DE"/>
    <w:rsid w:val="00E13C8B"/>
    <w:rsid w:val="00E14292"/>
    <w:rsid w:val="00E14BDC"/>
    <w:rsid w:val="00E14E4F"/>
    <w:rsid w:val="00E150CB"/>
    <w:rsid w:val="00E15476"/>
    <w:rsid w:val="00E15592"/>
    <w:rsid w:val="00E1563B"/>
    <w:rsid w:val="00E15721"/>
    <w:rsid w:val="00E15C7D"/>
    <w:rsid w:val="00E15ED5"/>
    <w:rsid w:val="00E16038"/>
    <w:rsid w:val="00E1633B"/>
    <w:rsid w:val="00E167E1"/>
    <w:rsid w:val="00E17832"/>
    <w:rsid w:val="00E21C48"/>
    <w:rsid w:val="00E23764"/>
    <w:rsid w:val="00E25497"/>
    <w:rsid w:val="00E25BD9"/>
    <w:rsid w:val="00E26147"/>
    <w:rsid w:val="00E263F0"/>
    <w:rsid w:val="00E2730C"/>
    <w:rsid w:val="00E32479"/>
    <w:rsid w:val="00E324A0"/>
    <w:rsid w:val="00E32E2A"/>
    <w:rsid w:val="00E3342C"/>
    <w:rsid w:val="00E34D03"/>
    <w:rsid w:val="00E35D00"/>
    <w:rsid w:val="00E3666B"/>
    <w:rsid w:val="00E36952"/>
    <w:rsid w:val="00E36DE6"/>
    <w:rsid w:val="00E372B5"/>
    <w:rsid w:val="00E37C9E"/>
    <w:rsid w:val="00E40337"/>
    <w:rsid w:val="00E40635"/>
    <w:rsid w:val="00E41BE8"/>
    <w:rsid w:val="00E41D55"/>
    <w:rsid w:val="00E43350"/>
    <w:rsid w:val="00E43737"/>
    <w:rsid w:val="00E43C55"/>
    <w:rsid w:val="00E441FD"/>
    <w:rsid w:val="00E4439E"/>
    <w:rsid w:val="00E46542"/>
    <w:rsid w:val="00E508E3"/>
    <w:rsid w:val="00E5093C"/>
    <w:rsid w:val="00E50983"/>
    <w:rsid w:val="00E51B1F"/>
    <w:rsid w:val="00E532C7"/>
    <w:rsid w:val="00E54E86"/>
    <w:rsid w:val="00E54F09"/>
    <w:rsid w:val="00E54F6F"/>
    <w:rsid w:val="00E5538C"/>
    <w:rsid w:val="00E55F04"/>
    <w:rsid w:val="00E56258"/>
    <w:rsid w:val="00E601E4"/>
    <w:rsid w:val="00E60723"/>
    <w:rsid w:val="00E61427"/>
    <w:rsid w:val="00E62521"/>
    <w:rsid w:val="00E637E6"/>
    <w:rsid w:val="00E63C9C"/>
    <w:rsid w:val="00E63DEB"/>
    <w:rsid w:val="00E6408C"/>
    <w:rsid w:val="00E64BDE"/>
    <w:rsid w:val="00E667F5"/>
    <w:rsid w:val="00E66862"/>
    <w:rsid w:val="00E675E5"/>
    <w:rsid w:val="00E67B51"/>
    <w:rsid w:val="00E70C9E"/>
    <w:rsid w:val="00E71481"/>
    <w:rsid w:val="00E7279F"/>
    <w:rsid w:val="00E736B1"/>
    <w:rsid w:val="00E74803"/>
    <w:rsid w:val="00E74C42"/>
    <w:rsid w:val="00E75332"/>
    <w:rsid w:val="00E7624D"/>
    <w:rsid w:val="00E8001E"/>
    <w:rsid w:val="00E808D0"/>
    <w:rsid w:val="00E80A7D"/>
    <w:rsid w:val="00E8251D"/>
    <w:rsid w:val="00E8490D"/>
    <w:rsid w:val="00E85B1B"/>
    <w:rsid w:val="00E86EA2"/>
    <w:rsid w:val="00E87E37"/>
    <w:rsid w:val="00E90138"/>
    <w:rsid w:val="00E92CFD"/>
    <w:rsid w:val="00E933DC"/>
    <w:rsid w:val="00E940C3"/>
    <w:rsid w:val="00E94C05"/>
    <w:rsid w:val="00E94CA0"/>
    <w:rsid w:val="00E9744A"/>
    <w:rsid w:val="00E974CF"/>
    <w:rsid w:val="00E97AE2"/>
    <w:rsid w:val="00EA169B"/>
    <w:rsid w:val="00EA2012"/>
    <w:rsid w:val="00EA26A1"/>
    <w:rsid w:val="00EA4711"/>
    <w:rsid w:val="00EA538F"/>
    <w:rsid w:val="00EA5938"/>
    <w:rsid w:val="00EA5A39"/>
    <w:rsid w:val="00EA5B35"/>
    <w:rsid w:val="00EA5BCF"/>
    <w:rsid w:val="00EA5E9F"/>
    <w:rsid w:val="00EA6A83"/>
    <w:rsid w:val="00EA7E15"/>
    <w:rsid w:val="00EB1612"/>
    <w:rsid w:val="00EB1B35"/>
    <w:rsid w:val="00EB492A"/>
    <w:rsid w:val="00EB52C5"/>
    <w:rsid w:val="00EB5843"/>
    <w:rsid w:val="00EB5DE7"/>
    <w:rsid w:val="00EB5E79"/>
    <w:rsid w:val="00EB6589"/>
    <w:rsid w:val="00EB761E"/>
    <w:rsid w:val="00EB7C1E"/>
    <w:rsid w:val="00EC1BCB"/>
    <w:rsid w:val="00EC1F33"/>
    <w:rsid w:val="00EC2021"/>
    <w:rsid w:val="00EC2701"/>
    <w:rsid w:val="00EC37D2"/>
    <w:rsid w:val="00EC4D59"/>
    <w:rsid w:val="00EC53F2"/>
    <w:rsid w:val="00EC55C4"/>
    <w:rsid w:val="00EC5795"/>
    <w:rsid w:val="00ED0571"/>
    <w:rsid w:val="00ED094A"/>
    <w:rsid w:val="00ED205C"/>
    <w:rsid w:val="00ED7314"/>
    <w:rsid w:val="00ED7B8B"/>
    <w:rsid w:val="00EE0808"/>
    <w:rsid w:val="00EE3B17"/>
    <w:rsid w:val="00EE481C"/>
    <w:rsid w:val="00EE48F1"/>
    <w:rsid w:val="00EE4A2D"/>
    <w:rsid w:val="00EE544C"/>
    <w:rsid w:val="00EE66E6"/>
    <w:rsid w:val="00EE7A5F"/>
    <w:rsid w:val="00EF13E6"/>
    <w:rsid w:val="00EF14C9"/>
    <w:rsid w:val="00EF2ED7"/>
    <w:rsid w:val="00EF3888"/>
    <w:rsid w:val="00EF3DC1"/>
    <w:rsid w:val="00EF502A"/>
    <w:rsid w:val="00EF5055"/>
    <w:rsid w:val="00EF5967"/>
    <w:rsid w:val="00EF72F8"/>
    <w:rsid w:val="00EF7C44"/>
    <w:rsid w:val="00EF7CD4"/>
    <w:rsid w:val="00F01695"/>
    <w:rsid w:val="00F040C8"/>
    <w:rsid w:val="00F058C4"/>
    <w:rsid w:val="00F059D2"/>
    <w:rsid w:val="00F05BA8"/>
    <w:rsid w:val="00F073AA"/>
    <w:rsid w:val="00F0747C"/>
    <w:rsid w:val="00F07A38"/>
    <w:rsid w:val="00F07BF2"/>
    <w:rsid w:val="00F11DCA"/>
    <w:rsid w:val="00F12D1C"/>
    <w:rsid w:val="00F1593A"/>
    <w:rsid w:val="00F170C8"/>
    <w:rsid w:val="00F17823"/>
    <w:rsid w:val="00F21D4A"/>
    <w:rsid w:val="00F2303C"/>
    <w:rsid w:val="00F23074"/>
    <w:rsid w:val="00F23FDB"/>
    <w:rsid w:val="00F252C0"/>
    <w:rsid w:val="00F25C19"/>
    <w:rsid w:val="00F2607A"/>
    <w:rsid w:val="00F261AF"/>
    <w:rsid w:val="00F31F13"/>
    <w:rsid w:val="00F3519E"/>
    <w:rsid w:val="00F359B1"/>
    <w:rsid w:val="00F368EA"/>
    <w:rsid w:val="00F378C2"/>
    <w:rsid w:val="00F37BB4"/>
    <w:rsid w:val="00F42930"/>
    <w:rsid w:val="00F42B5D"/>
    <w:rsid w:val="00F42F9E"/>
    <w:rsid w:val="00F437A5"/>
    <w:rsid w:val="00F43DB2"/>
    <w:rsid w:val="00F45A36"/>
    <w:rsid w:val="00F461C7"/>
    <w:rsid w:val="00F4639C"/>
    <w:rsid w:val="00F47CE2"/>
    <w:rsid w:val="00F5223F"/>
    <w:rsid w:val="00F5250B"/>
    <w:rsid w:val="00F526F5"/>
    <w:rsid w:val="00F530DB"/>
    <w:rsid w:val="00F53ED3"/>
    <w:rsid w:val="00F5403B"/>
    <w:rsid w:val="00F54D42"/>
    <w:rsid w:val="00F56183"/>
    <w:rsid w:val="00F565E0"/>
    <w:rsid w:val="00F567DC"/>
    <w:rsid w:val="00F573F8"/>
    <w:rsid w:val="00F60173"/>
    <w:rsid w:val="00F609DC"/>
    <w:rsid w:val="00F62756"/>
    <w:rsid w:val="00F632C5"/>
    <w:rsid w:val="00F63616"/>
    <w:rsid w:val="00F636D1"/>
    <w:rsid w:val="00F643FD"/>
    <w:rsid w:val="00F64404"/>
    <w:rsid w:val="00F64F3C"/>
    <w:rsid w:val="00F656C4"/>
    <w:rsid w:val="00F657B2"/>
    <w:rsid w:val="00F65EF3"/>
    <w:rsid w:val="00F66C9B"/>
    <w:rsid w:val="00F67296"/>
    <w:rsid w:val="00F67B34"/>
    <w:rsid w:val="00F67EFB"/>
    <w:rsid w:val="00F70EDA"/>
    <w:rsid w:val="00F717DA"/>
    <w:rsid w:val="00F72439"/>
    <w:rsid w:val="00F73A36"/>
    <w:rsid w:val="00F74216"/>
    <w:rsid w:val="00F74453"/>
    <w:rsid w:val="00F76095"/>
    <w:rsid w:val="00F769E0"/>
    <w:rsid w:val="00F7745F"/>
    <w:rsid w:val="00F777C1"/>
    <w:rsid w:val="00F77DE8"/>
    <w:rsid w:val="00F80E82"/>
    <w:rsid w:val="00F81232"/>
    <w:rsid w:val="00F8142A"/>
    <w:rsid w:val="00F81CC6"/>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47C"/>
    <w:rsid w:val="00F979CA"/>
    <w:rsid w:val="00FA0EBD"/>
    <w:rsid w:val="00FA13ED"/>
    <w:rsid w:val="00FA1A7B"/>
    <w:rsid w:val="00FA1DD2"/>
    <w:rsid w:val="00FA4546"/>
    <w:rsid w:val="00FA4878"/>
    <w:rsid w:val="00FA504E"/>
    <w:rsid w:val="00FA5150"/>
    <w:rsid w:val="00FB2E1D"/>
    <w:rsid w:val="00FB365C"/>
    <w:rsid w:val="00FB4843"/>
    <w:rsid w:val="00FB5B4E"/>
    <w:rsid w:val="00FB5F3F"/>
    <w:rsid w:val="00FB6D7A"/>
    <w:rsid w:val="00FB7313"/>
    <w:rsid w:val="00FC0A85"/>
    <w:rsid w:val="00FC0F39"/>
    <w:rsid w:val="00FC1063"/>
    <w:rsid w:val="00FC1AD5"/>
    <w:rsid w:val="00FC1D6F"/>
    <w:rsid w:val="00FC2E6C"/>
    <w:rsid w:val="00FC2FA1"/>
    <w:rsid w:val="00FC2FF6"/>
    <w:rsid w:val="00FC3171"/>
    <w:rsid w:val="00FC57AE"/>
    <w:rsid w:val="00FC5D27"/>
    <w:rsid w:val="00FC5E32"/>
    <w:rsid w:val="00FC60B4"/>
    <w:rsid w:val="00FC7502"/>
    <w:rsid w:val="00FD152A"/>
    <w:rsid w:val="00FD1851"/>
    <w:rsid w:val="00FD1D35"/>
    <w:rsid w:val="00FD3615"/>
    <w:rsid w:val="00FD3F0E"/>
    <w:rsid w:val="00FD4EB6"/>
    <w:rsid w:val="00FD564D"/>
    <w:rsid w:val="00FD571E"/>
    <w:rsid w:val="00FD6AB7"/>
    <w:rsid w:val="00FD6C2B"/>
    <w:rsid w:val="00FD712F"/>
    <w:rsid w:val="00FD76B5"/>
    <w:rsid w:val="00FD7D6D"/>
    <w:rsid w:val="00FE16B3"/>
    <w:rsid w:val="00FE369E"/>
    <w:rsid w:val="00FE3EE5"/>
    <w:rsid w:val="00FE4404"/>
    <w:rsid w:val="00FE4C68"/>
    <w:rsid w:val="00FE5BEC"/>
    <w:rsid w:val="00FE6B74"/>
    <w:rsid w:val="00FE6BD4"/>
    <w:rsid w:val="00FE74AD"/>
    <w:rsid w:val="00FE772F"/>
    <w:rsid w:val="00FE77E0"/>
    <w:rsid w:val="00FE79FA"/>
    <w:rsid w:val="00FE7EFC"/>
    <w:rsid w:val="00FF15D2"/>
    <w:rsid w:val="00FF19D9"/>
    <w:rsid w:val="00FF48F5"/>
    <w:rsid w:val="00FF539D"/>
    <w:rsid w:val="00FF5443"/>
    <w:rsid w:val="00FF5CF5"/>
    <w:rsid w:val="00FF6563"/>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Equipment,Figure_name,List Paragraph Char Char,List Paragraph1,List Paragraph11,List Paragraph2,List_TIS,Normal Sentence,Number_1,Numbered Indented Text,Ref,SGLText List Paragraph,TOC style,new,Amex_bullet,ListPar1,d_bodyb,L"/>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rsid w:val="00C9597C"/>
    <w:rPr>
      <w:rFonts w:ascii="Calibri" w:eastAsia="Calibri" w:hAnsi="Calibri"/>
      <w:b/>
      <w:bCs/>
      <w:sz w:val="20"/>
      <w:szCs w:val="20"/>
      <w:lang w:val="en-US"/>
    </w:rPr>
  </w:style>
  <w:style w:type="character" w:customStyle="1" w:styleId="BalloonTextChar1">
    <w:name w:val="Balloon Text Char1"/>
    <w:uiPriority w:val="99"/>
    <w:rsid w:val="00C9597C"/>
    <w:rPr>
      <w:rFonts w:ascii="Tahoma" w:hAnsi="Tahoma" w:cs="Tahoma"/>
      <w:sz w:val="16"/>
      <w:szCs w:val="16"/>
      <w:lang w:val="en-GB"/>
    </w:rPr>
  </w:style>
  <w:style w:type="character" w:customStyle="1" w:styleId="CommentTextChar1">
    <w:name w:val="Comment Text Char1"/>
    <w:uiPriority w:val="99"/>
    <w:rsid w:val="00C9597C"/>
    <w:rPr>
      <w:sz w:val="20"/>
      <w:szCs w:val="20"/>
      <w:lang w:val="en-GB"/>
    </w:rPr>
  </w:style>
  <w:style w:type="character" w:customStyle="1" w:styleId="CommentSubjectChar1">
    <w:name w:val="Comment Subject Char1"/>
    <w:uiPriority w:val="99"/>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Equipment Char,Figure_name Char,List Paragraph Char Char Char,List Paragraph1 Char,List Paragraph11 Char,List Paragraph2 Char,List_TIS Char,Normal Sentence Char,Number_1 Char,Numbered Indented Text Char,Ref Char"/>
    <w:link w:val="ListParagraph"/>
    <w:uiPriority w:val="34"/>
    <w:qFormat/>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rsid w:val="00C9597C"/>
    <w:rPr>
      <w:rFonts w:ascii="Calibri" w:eastAsia="Calibri" w:hAnsi="Calibri"/>
      <w:sz w:val="22"/>
      <w:szCs w:val="22"/>
      <w:lang w:val="en-US"/>
    </w:rPr>
  </w:style>
  <w:style w:type="numbering" w:customStyle="1" w:styleId="NoList2">
    <w:name w:val="No List2"/>
    <w:next w:val="NoList"/>
    <w:uiPriority w:val="99"/>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unhideWhenUsed/>
    <w:rsid w:val="00C9597C"/>
  </w:style>
  <w:style w:type="numbering" w:customStyle="1" w:styleId="NoList23">
    <w:name w:val="No List23"/>
    <w:next w:val="NoList"/>
    <w:uiPriority w:val="99"/>
    <w:unhideWhenUsed/>
    <w:rsid w:val="00C9597C"/>
  </w:style>
  <w:style w:type="numbering" w:customStyle="1" w:styleId="NoList33">
    <w:name w:val="No List33"/>
    <w:next w:val="NoList"/>
    <w:uiPriority w:val="99"/>
    <w:unhideWhenUsed/>
    <w:rsid w:val="00C9597C"/>
  </w:style>
  <w:style w:type="numbering" w:customStyle="1" w:styleId="NoList7">
    <w:name w:val="No List7"/>
    <w:next w:val="NoList"/>
    <w:uiPriority w:val="99"/>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unhideWhenUsed/>
    <w:rsid w:val="00C9597C"/>
  </w:style>
  <w:style w:type="numbering" w:customStyle="1" w:styleId="NoList221">
    <w:name w:val="No List221"/>
    <w:next w:val="NoList"/>
    <w:uiPriority w:val="99"/>
    <w:unhideWhenUsed/>
    <w:rsid w:val="00C9597C"/>
  </w:style>
  <w:style w:type="numbering" w:customStyle="1" w:styleId="NoList321">
    <w:name w:val="No List321"/>
    <w:next w:val="NoList"/>
    <w:uiPriority w:val="99"/>
    <w:unhideWhenUsed/>
    <w:rsid w:val="00C9597C"/>
  </w:style>
  <w:style w:type="numbering" w:customStyle="1" w:styleId="NoList61">
    <w:name w:val="No List61"/>
    <w:next w:val="NoList"/>
    <w:uiPriority w:val="99"/>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unhideWhenUsed/>
    <w:rsid w:val="00C9597C"/>
  </w:style>
  <w:style w:type="numbering" w:customStyle="1" w:styleId="NoList231">
    <w:name w:val="No List231"/>
    <w:next w:val="NoList"/>
    <w:uiPriority w:val="99"/>
    <w:unhideWhenUsed/>
    <w:rsid w:val="00C9597C"/>
  </w:style>
  <w:style w:type="numbering" w:customStyle="1" w:styleId="NoList331">
    <w:name w:val="No List331"/>
    <w:next w:val="NoList"/>
    <w:uiPriority w:val="99"/>
    <w:unhideWhenUsed/>
    <w:rsid w:val="00C9597C"/>
  </w:style>
  <w:style w:type="numbering" w:customStyle="1" w:styleId="NoList8">
    <w:name w:val="No List8"/>
    <w:next w:val="NoList"/>
    <w:uiPriority w:val="99"/>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unhideWhenUsed/>
    <w:rsid w:val="00C9597C"/>
  </w:style>
  <w:style w:type="numbering" w:customStyle="1" w:styleId="NoList222">
    <w:name w:val="No List222"/>
    <w:next w:val="NoList"/>
    <w:uiPriority w:val="99"/>
    <w:unhideWhenUsed/>
    <w:rsid w:val="00C9597C"/>
  </w:style>
  <w:style w:type="numbering" w:customStyle="1" w:styleId="NoList322">
    <w:name w:val="No List322"/>
    <w:next w:val="NoList"/>
    <w:uiPriority w:val="99"/>
    <w:unhideWhenUsed/>
    <w:rsid w:val="00C9597C"/>
  </w:style>
  <w:style w:type="numbering" w:customStyle="1" w:styleId="NoList62">
    <w:name w:val="No List62"/>
    <w:next w:val="NoList"/>
    <w:uiPriority w:val="99"/>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unhideWhenUsed/>
    <w:rsid w:val="00C9597C"/>
  </w:style>
  <w:style w:type="numbering" w:customStyle="1" w:styleId="NoList232">
    <w:name w:val="No List232"/>
    <w:next w:val="NoList"/>
    <w:uiPriority w:val="99"/>
    <w:unhideWhenUsed/>
    <w:rsid w:val="00C9597C"/>
  </w:style>
  <w:style w:type="numbering" w:customStyle="1" w:styleId="NoList332">
    <w:name w:val="No List332"/>
    <w:next w:val="NoList"/>
    <w:uiPriority w:val="99"/>
    <w:unhideWhenUsed/>
    <w:rsid w:val="00C9597C"/>
  </w:style>
  <w:style w:type="numbering" w:customStyle="1" w:styleId="NoList9">
    <w:name w:val="No List9"/>
    <w:next w:val="NoList"/>
    <w:uiPriority w:val="99"/>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unhideWhenUsed/>
    <w:rsid w:val="00C9597C"/>
  </w:style>
  <w:style w:type="numbering" w:customStyle="1" w:styleId="NoList223">
    <w:name w:val="No List223"/>
    <w:next w:val="NoList"/>
    <w:uiPriority w:val="99"/>
    <w:unhideWhenUsed/>
    <w:rsid w:val="00C9597C"/>
  </w:style>
  <w:style w:type="numbering" w:customStyle="1" w:styleId="NoList323">
    <w:name w:val="No List323"/>
    <w:next w:val="NoList"/>
    <w:uiPriority w:val="99"/>
    <w:unhideWhenUsed/>
    <w:rsid w:val="00C9597C"/>
  </w:style>
  <w:style w:type="numbering" w:customStyle="1" w:styleId="NoList63">
    <w:name w:val="No List63"/>
    <w:next w:val="NoList"/>
    <w:uiPriority w:val="99"/>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unhideWhenUsed/>
    <w:rsid w:val="00C9597C"/>
  </w:style>
  <w:style w:type="numbering" w:customStyle="1" w:styleId="NoList233">
    <w:name w:val="No List233"/>
    <w:next w:val="NoList"/>
    <w:uiPriority w:val="99"/>
    <w:unhideWhenUsed/>
    <w:rsid w:val="00C9597C"/>
  </w:style>
  <w:style w:type="numbering" w:customStyle="1" w:styleId="NoList333">
    <w:name w:val="No List333"/>
    <w:next w:val="NoList"/>
    <w:uiPriority w:val="99"/>
    <w:unhideWhenUsed/>
    <w:rsid w:val="00C9597C"/>
  </w:style>
  <w:style w:type="numbering" w:customStyle="1" w:styleId="NoList10">
    <w:name w:val="No List10"/>
    <w:next w:val="NoList"/>
    <w:uiPriority w:val="99"/>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unhideWhenUsed/>
    <w:rsid w:val="00C9597C"/>
  </w:style>
  <w:style w:type="numbering" w:customStyle="1" w:styleId="NoList224">
    <w:name w:val="No List224"/>
    <w:next w:val="NoList"/>
    <w:uiPriority w:val="99"/>
    <w:unhideWhenUsed/>
    <w:rsid w:val="00C9597C"/>
  </w:style>
  <w:style w:type="numbering" w:customStyle="1" w:styleId="NoList324">
    <w:name w:val="No List324"/>
    <w:next w:val="NoList"/>
    <w:uiPriority w:val="99"/>
    <w:unhideWhenUsed/>
    <w:rsid w:val="00C9597C"/>
  </w:style>
  <w:style w:type="numbering" w:customStyle="1" w:styleId="NoList64">
    <w:name w:val="No List64"/>
    <w:next w:val="NoList"/>
    <w:uiPriority w:val="99"/>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unhideWhenUsed/>
    <w:rsid w:val="00C9597C"/>
  </w:style>
  <w:style w:type="numbering" w:customStyle="1" w:styleId="NoList234">
    <w:name w:val="No List234"/>
    <w:next w:val="NoList"/>
    <w:uiPriority w:val="99"/>
    <w:unhideWhenUsed/>
    <w:rsid w:val="00C9597C"/>
  </w:style>
  <w:style w:type="numbering" w:customStyle="1" w:styleId="NoList334">
    <w:name w:val="No List334"/>
    <w:next w:val="NoList"/>
    <w:uiPriority w:val="99"/>
    <w:unhideWhenUsed/>
    <w:rsid w:val="00C9597C"/>
  </w:style>
  <w:style w:type="numbering" w:customStyle="1" w:styleId="NoList18">
    <w:name w:val="No List18"/>
    <w:next w:val="NoList"/>
    <w:uiPriority w:val="99"/>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unhideWhenUsed/>
    <w:rsid w:val="00C9597C"/>
  </w:style>
  <w:style w:type="numbering" w:customStyle="1" w:styleId="NoList225">
    <w:name w:val="No List225"/>
    <w:next w:val="NoList"/>
    <w:uiPriority w:val="99"/>
    <w:unhideWhenUsed/>
    <w:rsid w:val="00C9597C"/>
  </w:style>
  <w:style w:type="numbering" w:customStyle="1" w:styleId="NoList325">
    <w:name w:val="No List325"/>
    <w:next w:val="NoList"/>
    <w:uiPriority w:val="99"/>
    <w:unhideWhenUsed/>
    <w:rsid w:val="00C9597C"/>
  </w:style>
  <w:style w:type="numbering" w:customStyle="1" w:styleId="NoList65">
    <w:name w:val="No List65"/>
    <w:next w:val="NoList"/>
    <w:uiPriority w:val="99"/>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unhideWhenUsed/>
    <w:rsid w:val="00C9597C"/>
  </w:style>
  <w:style w:type="numbering" w:customStyle="1" w:styleId="NoList235">
    <w:name w:val="No List235"/>
    <w:next w:val="NoList"/>
    <w:uiPriority w:val="99"/>
    <w:unhideWhenUsed/>
    <w:rsid w:val="00C9597C"/>
  </w:style>
  <w:style w:type="numbering" w:customStyle="1" w:styleId="NoList335">
    <w:name w:val="No List335"/>
    <w:next w:val="NoList"/>
    <w:uiPriority w:val="99"/>
    <w:unhideWhenUsed/>
    <w:rsid w:val="00C9597C"/>
  </w:style>
  <w:style w:type="numbering" w:customStyle="1" w:styleId="NoList20">
    <w:name w:val="No List20"/>
    <w:next w:val="NoList"/>
    <w:uiPriority w:val="99"/>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unhideWhenUsed/>
    <w:rsid w:val="00C9597C"/>
  </w:style>
  <w:style w:type="numbering" w:customStyle="1" w:styleId="NoList236">
    <w:name w:val="No List236"/>
    <w:next w:val="NoList"/>
    <w:uiPriority w:val="99"/>
    <w:unhideWhenUsed/>
    <w:rsid w:val="00C9597C"/>
  </w:style>
  <w:style w:type="numbering" w:customStyle="1" w:styleId="NoList336">
    <w:name w:val="No List336"/>
    <w:next w:val="NoList"/>
    <w:uiPriority w:val="99"/>
    <w:unhideWhenUsed/>
    <w:rsid w:val="00C9597C"/>
  </w:style>
  <w:style w:type="numbering" w:customStyle="1" w:styleId="NoList71">
    <w:name w:val="No List71"/>
    <w:next w:val="NoList"/>
    <w:uiPriority w:val="99"/>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unhideWhenUsed/>
    <w:rsid w:val="00C9597C"/>
  </w:style>
  <w:style w:type="numbering" w:customStyle="1" w:styleId="NoList2211">
    <w:name w:val="No List2211"/>
    <w:next w:val="NoList"/>
    <w:uiPriority w:val="99"/>
    <w:unhideWhenUsed/>
    <w:rsid w:val="00C9597C"/>
  </w:style>
  <w:style w:type="numbering" w:customStyle="1" w:styleId="NoList3211">
    <w:name w:val="No List3211"/>
    <w:next w:val="NoList"/>
    <w:uiPriority w:val="99"/>
    <w:unhideWhenUsed/>
    <w:rsid w:val="00C9597C"/>
  </w:style>
  <w:style w:type="numbering" w:customStyle="1" w:styleId="NoList611">
    <w:name w:val="No List611"/>
    <w:next w:val="NoList"/>
    <w:uiPriority w:val="99"/>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unhideWhenUsed/>
    <w:rsid w:val="00C9597C"/>
  </w:style>
  <w:style w:type="numbering" w:customStyle="1" w:styleId="NoList2311">
    <w:name w:val="No List2311"/>
    <w:next w:val="NoList"/>
    <w:uiPriority w:val="99"/>
    <w:unhideWhenUsed/>
    <w:rsid w:val="00C9597C"/>
  </w:style>
  <w:style w:type="numbering" w:customStyle="1" w:styleId="NoList3311">
    <w:name w:val="No List3311"/>
    <w:next w:val="NoList"/>
    <w:uiPriority w:val="99"/>
    <w:unhideWhenUsed/>
    <w:rsid w:val="00C9597C"/>
  </w:style>
  <w:style w:type="numbering" w:customStyle="1" w:styleId="NoList81">
    <w:name w:val="No List81"/>
    <w:next w:val="NoList"/>
    <w:uiPriority w:val="99"/>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unhideWhenUsed/>
    <w:rsid w:val="00C9597C"/>
  </w:style>
  <w:style w:type="numbering" w:customStyle="1" w:styleId="NoList2221">
    <w:name w:val="No List2221"/>
    <w:next w:val="NoList"/>
    <w:uiPriority w:val="99"/>
    <w:unhideWhenUsed/>
    <w:rsid w:val="00C9597C"/>
  </w:style>
  <w:style w:type="numbering" w:customStyle="1" w:styleId="NoList3221">
    <w:name w:val="No List3221"/>
    <w:next w:val="NoList"/>
    <w:uiPriority w:val="99"/>
    <w:unhideWhenUsed/>
    <w:rsid w:val="00C9597C"/>
  </w:style>
  <w:style w:type="numbering" w:customStyle="1" w:styleId="NoList621">
    <w:name w:val="No List621"/>
    <w:next w:val="NoList"/>
    <w:uiPriority w:val="99"/>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unhideWhenUsed/>
    <w:rsid w:val="00C9597C"/>
  </w:style>
  <w:style w:type="numbering" w:customStyle="1" w:styleId="NoList2321">
    <w:name w:val="No List2321"/>
    <w:next w:val="NoList"/>
    <w:uiPriority w:val="99"/>
    <w:unhideWhenUsed/>
    <w:rsid w:val="00C9597C"/>
  </w:style>
  <w:style w:type="numbering" w:customStyle="1" w:styleId="NoList3321">
    <w:name w:val="No List3321"/>
    <w:next w:val="NoList"/>
    <w:uiPriority w:val="99"/>
    <w:unhideWhenUsed/>
    <w:rsid w:val="00C9597C"/>
  </w:style>
  <w:style w:type="numbering" w:customStyle="1" w:styleId="NoList91">
    <w:name w:val="No List91"/>
    <w:next w:val="NoList"/>
    <w:uiPriority w:val="99"/>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unhideWhenUsed/>
    <w:rsid w:val="00C9597C"/>
  </w:style>
  <w:style w:type="numbering" w:customStyle="1" w:styleId="NoList2231">
    <w:name w:val="No List2231"/>
    <w:next w:val="NoList"/>
    <w:uiPriority w:val="99"/>
    <w:unhideWhenUsed/>
    <w:rsid w:val="00C9597C"/>
  </w:style>
  <w:style w:type="numbering" w:customStyle="1" w:styleId="NoList3231">
    <w:name w:val="No List3231"/>
    <w:next w:val="NoList"/>
    <w:uiPriority w:val="99"/>
    <w:unhideWhenUsed/>
    <w:rsid w:val="00C9597C"/>
  </w:style>
  <w:style w:type="numbering" w:customStyle="1" w:styleId="NoList631">
    <w:name w:val="No List631"/>
    <w:next w:val="NoList"/>
    <w:uiPriority w:val="99"/>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unhideWhenUsed/>
    <w:rsid w:val="00C9597C"/>
  </w:style>
  <w:style w:type="numbering" w:customStyle="1" w:styleId="NoList2331">
    <w:name w:val="No List2331"/>
    <w:next w:val="NoList"/>
    <w:uiPriority w:val="99"/>
    <w:unhideWhenUsed/>
    <w:rsid w:val="00C9597C"/>
  </w:style>
  <w:style w:type="numbering" w:customStyle="1" w:styleId="NoList3331">
    <w:name w:val="No List3331"/>
    <w:next w:val="NoList"/>
    <w:uiPriority w:val="99"/>
    <w:unhideWhenUsed/>
    <w:rsid w:val="00C9597C"/>
  </w:style>
  <w:style w:type="numbering" w:customStyle="1" w:styleId="NoList101">
    <w:name w:val="No List101"/>
    <w:next w:val="NoList"/>
    <w:uiPriority w:val="99"/>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unhideWhenUsed/>
    <w:rsid w:val="00C9597C"/>
  </w:style>
  <w:style w:type="numbering" w:customStyle="1" w:styleId="NoList2241">
    <w:name w:val="No List2241"/>
    <w:next w:val="NoList"/>
    <w:uiPriority w:val="99"/>
    <w:unhideWhenUsed/>
    <w:rsid w:val="00C9597C"/>
  </w:style>
  <w:style w:type="numbering" w:customStyle="1" w:styleId="NoList3241">
    <w:name w:val="No List3241"/>
    <w:next w:val="NoList"/>
    <w:uiPriority w:val="99"/>
    <w:unhideWhenUsed/>
    <w:rsid w:val="00C9597C"/>
  </w:style>
  <w:style w:type="numbering" w:customStyle="1" w:styleId="NoList641">
    <w:name w:val="No List641"/>
    <w:next w:val="NoList"/>
    <w:uiPriority w:val="99"/>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unhideWhenUsed/>
    <w:rsid w:val="00C9597C"/>
  </w:style>
  <w:style w:type="numbering" w:customStyle="1" w:styleId="NoList2341">
    <w:name w:val="No List2341"/>
    <w:next w:val="NoList"/>
    <w:uiPriority w:val="99"/>
    <w:unhideWhenUsed/>
    <w:rsid w:val="00C9597C"/>
  </w:style>
  <w:style w:type="numbering" w:customStyle="1" w:styleId="NoList3341">
    <w:name w:val="No List3341"/>
    <w:next w:val="NoList"/>
    <w:uiPriority w:val="99"/>
    <w:unhideWhenUsed/>
    <w:rsid w:val="00C9597C"/>
  </w:style>
  <w:style w:type="numbering" w:customStyle="1" w:styleId="NoList181">
    <w:name w:val="No List181"/>
    <w:next w:val="NoList"/>
    <w:uiPriority w:val="99"/>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unhideWhenUsed/>
    <w:rsid w:val="00C9597C"/>
  </w:style>
  <w:style w:type="numbering" w:customStyle="1" w:styleId="NoList2251">
    <w:name w:val="No List2251"/>
    <w:next w:val="NoList"/>
    <w:uiPriority w:val="99"/>
    <w:unhideWhenUsed/>
    <w:rsid w:val="00C9597C"/>
  </w:style>
  <w:style w:type="numbering" w:customStyle="1" w:styleId="NoList3251">
    <w:name w:val="No List3251"/>
    <w:next w:val="NoList"/>
    <w:uiPriority w:val="99"/>
    <w:unhideWhenUsed/>
    <w:rsid w:val="00C9597C"/>
  </w:style>
  <w:style w:type="numbering" w:customStyle="1" w:styleId="NoList651">
    <w:name w:val="No List651"/>
    <w:next w:val="NoList"/>
    <w:uiPriority w:val="99"/>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unhideWhenUsed/>
    <w:rsid w:val="00C9597C"/>
  </w:style>
  <w:style w:type="numbering" w:customStyle="1" w:styleId="NoList2351">
    <w:name w:val="No List2351"/>
    <w:next w:val="NoList"/>
    <w:uiPriority w:val="99"/>
    <w:unhideWhenUsed/>
    <w:rsid w:val="00C9597C"/>
  </w:style>
  <w:style w:type="numbering" w:customStyle="1" w:styleId="NoList3351">
    <w:name w:val="No List3351"/>
    <w:next w:val="NoList"/>
    <w:uiPriority w:val="99"/>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unhideWhenUsed/>
    <w:rsid w:val="00C64FC7"/>
  </w:style>
  <w:style w:type="numbering" w:customStyle="1" w:styleId="NoList237">
    <w:name w:val="No List237"/>
    <w:next w:val="NoList"/>
    <w:uiPriority w:val="99"/>
    <w:unhideWhenUsed/>
    <w:rsid w:val="00C64FC7"/>
  </w:style>
  <w:style w:type="numbering" w:customStyle="1" w:styleId="NoList337">
    <w:name w:val="No List337"/>
    <w:next w:val="NoList"/>
    <w:uiPriority w:val="99"/>
    <w:unhideWhenUsed/>
    <w:rsid w:val="00C64FC7"/>
  </w:style>
  <w:style w:type="numbering" w:customStyle="1" w:styleId="NoList72">
    <w:name w:val="No List72"/>
    <w:next w:val="NoList"/>
    <w:uiPriority w:val="99"/>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unhideWhenUsed/>
    <w:rsid w:val="00C64FC7"/>
  </w:style>
  <w:style w:type="numbering" w:customStyle="1" w:styleId="NoList2212">
    <w:name w:val="No List2212"/>
    <w:next w:val="NoList"/>
    <w:uiPriority w:val="99"/>
    <w:unhideWhenUsed/>
    <w:rsid w:val="00C64FC7"/>
  </w:style>
  <w:style w:type="numbering" w:customStyle="1" w:styleId="NoList3212">
    <w:name w:val="No List3212"/>
    <w:next w:val="NoList"/>
    <w:uiPriority w:val="99"/>
    <w:unhideWhenUsed/>
    <w:rsid w:val="00C64FC7"/>
  </w:style>
  <w:style w:type="numbering" w:customStyle="1" w:styleId="NoList612">
    <w:name w:val="No List612"/>
    <w:next w:val="NoList"/>
    <w:uiPriority w:val="99"/>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unhideWhenUsed/>
    <w:rsid w:val="00C64FC7"/>
  </w:style>
  <w:style w:type="numbering" w:customStyle="1" w:styleId="NoList2312">
    <w:name w:val="No List2312"/>
    <w:next w:val="NoList"/>
    <w:uiPriority w:val="99"/>
    <w:unhideWhenUsed/>
    <w:rsid w:val="00C64FC7"/>
  </w:style>
  <w:style w:type="numbering" w:customStyle="1" w:styleId="NoList3312">
    <w:name w:val="No List3312"/>
    <w:next w:val="NoList"/>
    <w:uiPriority w:val="99"/>
    <w:unhideWhenUsed/>
    <w:rsid w:val="00C64FC7"/>
  </w:style>
  <w:style w:type="numbering" w:customStyle="1" w:styleId="NoList82">
    <w:name w:val="No List82"/>
    <w:next w:val="NoList"/>
    <w:uiPriority w:val="99"/>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unhideWhenUsed/>
    <w:rsid w:val="00C64FC7"/>
  </w:style>
  <w:style w:type="numbering" w:customStyle="1" w:styleId="NoList2222">
    <w:name w:val="No List2222"/>
    <w:next w:val="NoList"/>
    <w:uiPriority w:val="99"/>
    <w:unhideWhenUsed/>
    <w:rsid w:val="00C64FC7"/>
  </w:style>
  <w:style w:type="numbering" w:customStyle="1" w:styleId="NoList3222">
    <w:name w:val="No List3222"/>
    <w:next w:val="NoList"/>
    <w:uiPriority w:val="99"/>
    <w:unhideWhenUsed/>
    <w:rsid w:val="00C64FC7"/>
  </w:style>
  <w:style w:type="numbering" w:customStyle="1" w:styleId="NoList622">
    <w:name w:val="No List622"/>
    <w:next w:val="NoList"/>
    <w:uiPriority w:val="99"/>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unhideWhenUsed/>
    <w:rsid w:val="00C64FC7"/>
  </w:style>
  <w:style w:type="numbering" w:customStyle="1" w:styleId="NoList2322">
    <w:name w:val="No List2322"/>
    <w:next w:val="NoList"/>
    <w:uiPriority w:val="99"/>
    <w:unhideWhenUsed/>
    <w:rsid w:val="00C64FC7"/>
  </w:style>
  <w:style w:type="numbering" w:customStyle="1" w:styleId="NoList3322">
    <w:name w:val="No List3322"/>
    <w:next w:val="NoList"/>
    <w:uiPriority w:val="99"/>
    <w:unhideWhenUsed/>
    <w:rsid w:val="00C64FC7"/>
  </w:style>
  <w:style w:type="numbering" w:customStyle="1" w:styleId="NoList92">
    <w:name w:val="No List92"/>
    <w:next w:val="NoList"/>
    <w:uiPriority w:val="99"/>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unhideWhenUsed/>
    <w:rsid w:val="00C64FC7"/>
  </w:style>
  <w:style w:type="numbering" w:customStyle="1" w:styleId="NoList2232">
    <w:name w:val="No List2232"/>
    <w:next w:val="NoList"/>
    <w:uiPriority w:val="99"/>
    <w:unhideWhenUsed/>
    <w:rsid w:val="00C64FC7"/>
  </w:style>
  <w:style w:type="numbering" w:customStyle="1" w:styleId="NoList3232">
    <w:name w:val="No List3232"/>
    <w:next w:val="NoList"/>
    <w:uiPriority w:val="99"/>
    <w:unhideWhenUsed/>
    <w:rsid w:val="00C64FC7"/>
  </w:style>
  <w:style w:type="numbering" w:customStyle="1" w:styleId="NoList632">
    <w:name w:val="No List632"/>
    <w:next w:val="NoList"/>
    <w:uiPriority w:val="99"/>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unhideWhenUsed/>
    <w:rsid w:val="00C64FC7"/>
  </w:style>
  <w:style w:type="numbering" w:customStyle="1" w:styleId="NoList2332">
    <w:name w:val="No List2332"/>
    <w:next w:val="NoList"/>
    <w:uiPriority w:val="99"/>
    <w:unhideWhenUsed/>
    <w:rsid w:val="00C64FC7"/>
  </w:style>
  <w:style w:type="numbering" w:customStyle="1" w:styleId="NoList3332">
    <w:name w:val="No List3332"/>
    <w:next w:val="NoList"/>
    <w:uiPriority w:val="99"/>
    <w:unhideWhenUsed/>
    <w:rsid w:val="00C64FC7"/>
  </w:style>
  <w:style w:type="numbering" w:customStyle="1" w:styleId="NoList102">
    <w:name w:val="No List102"/>
    <w:next w:val="NoList"/>
    <w:uiPriority w:val="99"/>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unhideWhenUsed/>
    <w:rsid w:val="00C64FC7"/>
  </w:style>
  <w:style w:type="numbering" w:customStyle="1" w:styleId="NoList2242">
    <w:name w:val="No List2242"/>
    <w:next w:val="NoList"/>
    <w:uiPriority w:val="99"/>
    <w:unhideWhenUsed/>
    <w:rsid w:val="00C64FC7"/>
  </w:style>
  <w:style w:type="numbering" w:customStyle="1" w:styleId="NoList3242">
    <w:name w:val="No List3242"/>
    <w:next w:val="NoList"/>
    <w:uiPriority w:val="99"/>
    <w:unhideWhenUsed/>
    <w:rsid w:val="00C64FC7"/>
  </w:style>
  <w:style w:type="numbering" w:customStyle="1" w:styleId="NoList642">
    <w:name w:val="No List642"/>
    <w:next w:val="NoList"/>
    <w:uiPriority w:val="99"/>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unhideWhenUsed/>
    <w:rsid w:val="00C64FC7"/>
  </w:style>
  <w:style w:type="numbering" w:customStyle="1" w:styleId="NoList2342">
    <w:name w:val="No List2342"/>
    <w:next w:val="NoList"/>
    <w:uiPriority w:val="99"/>
    <w:unhideWhenUsed/>
    <w:rsid w:val="00C64FC7"/>
  </w:style>
  <w:style w:type="numbering" w:customStyle="1" w:styleId="NoList3342">
    <w:name w:val="No List3342"/>
    <w:next w:val="NoList"/>
    <w:uiPriority w:val="99"/>
    <w:unhideWhenUsed/>
    <w:rsid w:val="00C64FC7"/>
  </w:style>
  <w:style w:type="numbering" w:customStyle="1" w:styleId="NoList182">
    <w:name w:val="No List182"/>
    <w:next w:val="NoList"/>
    <w:uiPriority w:val="99"/>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unhideWhenUsed/>
    <w:rsid w:val="00C64FC7"/>
  </w:style>
  <w:style w:type="numbering" w:customStyle="1" w:styleId="NoList2252">
    <w:name w:val="No List2252"/>
    <w:next w:val="NoList"/>
    <w:uiPriority w:val="99"/>
    <w:unhideWhenUsed/>
    <w:rsid w:val="00C64FC7"/>
  </w:style>
  <w:style w:type="numbering" w:customStyle="1" w:styleId="NoList3252">
    <w:name w:val="No List3252"/>
    <w:next w:val="NoList"/>
    <w:uiPriority w:val="99"/>
    <w:unhideWhenUsed/>
    <w:rsid w:val="00C64FC7"/>
  </w:style>
  <w:style w:type="numbering" w:customStyle="1" w:styleId="NoList652">
    <w:name w:val="No List652"/>
    <w:next w:val="NoList"/>
    <w:uiPriority w:val="99"/>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unhideWhenUsed/>
    <w:rsid w:val="00C64FC7"/>
  </w:style>
  <w:style w:type="numbering" w:customStyle="1" w:styleId="NoList2352">
    <w:name w:val="No List2352"/>
    <w:next w:val="NoList"/>
    <w:uiPriority w:val="99"/>
    <w:unhideWhenUsed/>
    <w:rsid w:val="00C64FC7"/>
  </w:style>
  <w:style w:type="numbering" w:customStyle="1" w:styleId="NoList3352">
    <w:name w:val="No List3352"/>
    <w:next w:val="NoList"/>
    <w:uiPriority w:val="99"/>
    <w:unhideWhenUsed/>
    <w:rsid w:val="00C64FC7"/>
  </w:style>
  <w:style w:type="numbering" w:customStyle="1" w:styleId="NoList201">
    <w:name w:val="No List201"/>
    <w:next w:val="NoList"/>
    <w:uiPriority w:val="99"/>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unhideWhenUsed/>
    <w:rsid w:val="00C64FC7"/>
  </w:style>
  <w:style w:type="numbering" w:customStyle="1" w:styleId="NoList2361">
    <w:name w:val="No List2361"/>
    <w:next w:val="NoList"/>
    <w:uiPriority w:val="99"/>
    <w:unhideWhenUsed/>
    <w:rsid w:val="00C64FC7"/>
  </w:style>
  <w:style w:type="numbering" w:customStyle="1" w:styleId="NoList3361">
    <w:name w:val="No List3361"/>
    <w:next w:val="NoList"/>
    <w:uiPriority w:val="99"/>
    <w:unhideWhenUsed/>
    <w:rsid w:val="00C64FC7"/>
  </w:style>
  <w:style w:type="numbering" w:customStyle="1" w:styleId="NoList711">
    <w:name w:val="No List711"/>
    <w:next w:val="NoList"/>
    <w:uiPriority w:val="99"/>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unhideWhenUsed/>
    <w:rsid w:val="00C64FC7"/>
  </w:style>
  <w:style w:type="numbering" w:customStyle="1" w:styleId="NoList22111">
    <w:name w:val="No List22111"/>
    <w:next w:val="NoList"/>
    <w:uiPriority w:val="99"/>
    <w:unhideWhenUsed/>
    <w:rsid w:val="00C64FC7"/>
  </w:style>
  <w:style w:type="numbering" w:customStyle="1" w:styleId="NoList32111">
    <w:name w:val="No List32111"/>
    <w:next w:val="NoList"/>
    <w:uiPriority w:val="99"/>
    <w:unhideWhenUsed/>
    <w:rsid w:val="00C64FC7"/>
  </w:style>
  <w:style w:type="numbering" w:customStyle="1" w:styleId="NoList6111">
    <w:name w:val="No List6111"/>
    <w:next w:val="NoList"/>
    <w:uiPriority w:val="99"/>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unhideWhenUsed/>
    <w:rsid w:val="00C64FC7"/>
  </w:style>
  <w:style w:type="numbering" w:customStyle="1" w:styleId="NoList23111">
    <w:name w:val="No List23111"/>
    <w:next w:val="NoList"/>
    <w:uiPriority w:val="99"/>
    <w:unhideWhenUsed/>
    <w:rsid w:val="00C64FC7"/>
  </w:style>
  <w:style w:type="numbering" w:customStyle="1" w:styleId="NoList33111">
    <w:name w:val="No List33111"/>
    <w:next w:val="NoList"/>
    <w:uiPriority w:val="99"/>
    <w:unhideWhenUsed/>
    <w:rsid w:val="00C64FC7"/>
  </w:style>
  <w:style w:type="numbering" w:customStyle="1" w:styleId="NoList811">
    <w:name w:val="No List811"/>
    <w:next w:val="NoList"/>
    <w:uiPriority w:val="99"/>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unhideWhenUsed/>
    <w:rsid w:val="00C64FC7"/>
  </w:style>
  <w:style w:type="numbering" w:customStyle="1" w:styleId="NoList22211">
    <w:name w:val="No List22211"/>
    <w:next w:val="NoList"/>
    <w:uiPriority w:val="99"/>
    <w:unhideWhenUsed/>
    <w:rsid w:val="00C64FC7"/>
  </w:style>
  <w:style w:type="numbering" w:customStyle="1" w:styleId="NoList32211">
    <w:name w:val="No List32211"/>
    <w:next w:val="NoList"/>
    <w:uiPriority w:val="99"/>
    <w:unhideWhenUsed/>
    <w:rsid w:val="00C64FC7"/>
  </w:style>
  <w:style w:type="numbering" w:customStyle="1" w:styleId="NoList6211">
    <w:name w:val="No List6211"/>
    <w:next w:val="NoList"/>
    <w:uiPriority w:val="99"/>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unhideWhenUsed/>
    <w:rsid w:val="00C64FC7"/>
  </w:style>
  <w:style w:type="numbering" w:customStyle="1" w:styleId="NoList23211">
    <w:name w:val="No List23211"/>
    <w:next w:val="NoList"/>
    <w:uiPriority w:val="99"/>
    <w:unhideWhenUsed/>
    <w:rsid w:val="00C64FC7"/>
  </w:style>
  <w:style w:type="numbering" w:customStyle="1" w:styleId="NoList33211">
    <w:name w:val="No List33211"/>
    <w:next w:val="NoList"/>
    <w:uiPriority w:val="99"/>
    <w:unhideWhenUsed/>
    <w:rsid w:val="00C64FC7"/>
  </w:style>
  <w:style w:type="numbering" w:customStyle="1" w:styleId="NoList911">
    <w:name w:val="No List911"/>
    <w:next w:val="NoList"/>
    <w:uiPriority w:val="99"/>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unhideWhenUsed/>
    <w:rsid w:val="00C64FC7"/>
  </w:style>
  <w:style w:type="numbering" w:customStyle="1" w:styleId="NoList22311">
    <w:name w:val="No List22311"/>
    <w:next w:val="NoList"/>
    <w:uiPriority w:val="99"/>
    <w:unhideWhenUsed/>
    <w:rsid w:val="00C64FC7"/>
  </w:style>
  <w:style w:type="numbering" w:customStyle="1" w:styleId="NoList32311">
    <w:name w:val="No List32311"/>
    <w:next w:val="NoList"/>
    <w:uiPriority w:val="99"/>
    <w:unhideWhenUsed/>
    <w:rsid w:val="00C64FC7"/>
  </w:style>
  <w:style w:type="numbering" w:customStyle="1" w:styleId="NoList6311">
    <w:name w:val="No List6311"/>
    <w:next w:val="NoList"/>
    <w:uiPriority w:val="99"/>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unhideWhenUsed/>
    <w:rsid w:val="00C64FC7"/>
  </w:style>
  <w:style w:type="numbering" w:customStyle="1" w:styleId="NoList23311">
    <w:name w:val="No List23311"/>
    <w:next w:val="NoList"/>
    <w:uiPriority w:val="99"/>
    <w:unhideWhenUsed/>
    <w:rsid w:val="00C64FC7"/>
  </w:style>
  <w:style w:type="numbering" w:customStyle="1" w:styleId="NoList33311">
    <w:name w:val="No List33311"/>
    <w:next w:val="NoList"/>
    <w:uiPriority w:val="99"/>
    <w:unhideWhenUsed/>
    <w:rsid w:val="00C64FC7"/>
  </w:style>
  <w:style w:type="numbering" w:customStyle="1" w:styleId="NoList1011">
    <w:name w:val="No List1011"/>
    <w:next w:val="NoList"/>
    <w:uiPriority w:val="99"/>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unhideWhenUsed/>
    <w:rsid w:val="00C64FC7"/>
  </w:style>
  <w:style w:type="numbering" w:customStyle="1" w:styleId="NoList22411">
    <w:name w:val="No List22411"/>
    <w:next w:val="NoList"/>
    <w:uiPriority w:val="99"/>
    <w:unhideWhenUsed/>
    <w:rsid w:val="00C64FC7"/>
  </w:style>
  <w:style w:type="numbering" w:customStyle="1" w:styleId="NoList32411">
    <w:name w:val="No List32411"/>
    <w:next w:val="NoList"/>
    <w:uiPriority w:val="99"/>
    <w:unhideWhenUsed/>
    <w:rsid w:val="00C64FC7"/>
  </w:style>
  <w:style w:type="numbering" w:customStyle="1" w:styleId="NoList6411">
    <w:name w:val="No List6411"/>
    <w:next w:val="NoList"/>
    <w:uiPriority w:val="99"/>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unhideWhenUsed/>
    <w:rsid w:val="00C64FC7"/>
  </w:style>
  <w:style w:type="numbering" w:customStyle="1" w:styleId="NoList23411">
    <w:name w:val="No List23411"/>
    <w:next w:val="NoList"/>
    <w:uiPriority w:val="99"/>
    <w:unhideWhenUsed/>
    <w:rsid w:val="00C64FC7"/>
  </w:style>
  <w:style w:type="numbering" w:customStyle="1" w:styleId="NoList33411">
    <w:name w:val="No List33411"/>
    <w:next w:val="NoList"/>
    <w:uiPriority w:val="99"/>
    <w:unhideWhenUsed/>
    <w:rsid w:val="00C64FC7"/>
  </w:style>
  <w:style w:type="numbering" w:customStyle="1" w:styleId="NoList1811">
    <w:name w:val="No List1811"/>
    <w:next w:val="NoList"/>
    <w:uiPriority w:val="99"/>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unhideWhenUsed/>
    <w:rsid w:val="00C64FC7"/>
  </w:style>
  <w:style w:type="numbering" w:customStyle="1" w:styleId="NoList22511">
    <w:name w:val="No List22511"/>
    <w:next w:val="NoList"/>
    <w:uiPriority w:val="99"/>
    <w:unhideWhenUsed/>
    <w:rsid w:val="00C64FC7"/>
  </w:style>
  <w:style w:type="numbering" w:customStyle="1" w:styleId="NoList32511">
    <w:name w:val="No List32511"/>
    <w:next w:val="NoList"/>
    <w:uiPriority w:val="99"/>
    <w:unhideWhenUsed/>
    <w:rsid w:val="00C64FC7"/>
  </w:style>
  <w:style w:type="numbering" w:customStyle="1" w:styleId="NoList6511">
    <w:name w:val="No List6511"/>
    <w:next w:val="NoList"/>
    <w:uiPriority w:val="99"/>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unhideWhenUsed/>
    <w:rsid w:val="00C64FC7"/>
  </w:style>
  <w:style w:type="numbering" w:customStyle="1" w:styleId="NoList23511">
    <w:name w:val="No List23511"/>
    <w:next w:val="NoList"/>
    <w:uiPriority w:val="99"/>
    <w:unhideWhenUsed/>
    <w:rsid w:val="00C64FC7"/>
  </w:style>
  <w:style w:type="numbering" w:customStyle="1" w:styleId="NoList33511">
    <w:name w:val="No List33511"/>
    <w:next w:val="NoList"/>
    <w:uiPriority w:val="99"/>
    <w:unhideWhenUsed/>
    <w:rsid w:val="00C64FC7"/>
  </w:style>
  <w:style w:type="numbering" w:customStyle="1" w:styleId="NoList40">
    <w:name w:val="No List40"/>
    <w:next w:val="NoList"/>
    <w:uiPriority w:val="99"/>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unhideWhenUsed/>
    <w:rsid w:val="00C64FC7"/>
  </w:style>
  <w:style w:type="numbering" w:customStyle="1" w:styleId="NoList238">
    <w:name w:val="No List238"/>
    <w:next w:val="NoList"/>
    <w:uiPriority w:val="99"/>
    <w:unhideWhenUsed/>
    <w:rsid w:val="00C64FC7"/>
  </w:style>
  <w:style w:type="numbering" w:customStyle="1" w:styleId="NoList338">
    <w:name w:val="No List338"/>
    <w:next w:val="NoList"/>
    <w:uiPriority w:val="99"/>
    <w:unhideWhenUsed/>
    <w:rsid w:val="00C64FC7"/>
  </w:style>
  <w:style w:type="numbering" w:customStyle="1" w:styleId="NoList73">
    <w:name w:val="No List73"/>
    <w:next w:val="NoList"/>
    <w:uiPriority w:val="99"/>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unhideWhenUsed/>
    <w:rsid w:val="00C64FC7"/>
  </w:style>
  <w:style w:type="numbering" w:customStyle="1" w:styleId="NoList2213">
    <w:name w:val="No List2213"/>
    <w:next w:val="NoList"/>
    <w:uiPriority w:val="99"/>
    <w:unhideWhenUsed/>
    <w:rsid w:val="00C64FC7"/>
  </w:style>
  <w:style w:type="numbering" w:customStyle="1" w:styleId="NoList3213">
    <w:name w:val="No List3213"/>
    <w:next w:val="NoList"/>
    <w:uiPriority w:val="99"/>
    <w:unhideWhenUsed/>
    <w:rsid w:val="00C64FC7"/>
  </w:style>
  <w:style w:type="numbering" w:customStyle="1" w:styleId="NoList613">
    <w:name w:val="No List613"/>
    <w:next w:val="NoList"/>
    <w:uiPriority w:val="99"/>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unhideWhenUsed/>
    <w:rsid w:val="00C64FC7"/>
  </w:style>
  <w:style w:type="numbering" w:customStyle="1" w:styleId="NoList2313">
    <w:name w:val="No List2313"/>
    <w:next w:val="NoList"/>
    <w:uiPriority w:val="99"/>
    <w:unhideWhenUsed/>
    <w:rsid w:val="00C64FC7"/>
  </w:style>
  <w:style w:type="numbering" w:customStyle="1" w:styleId="NoList3313">
    <w:name w:val="No List3313"/>
    <w:next w:val="NoList"/>
    <w:uiPriority w:val="99"/>
    <w:unhideWhenUsed/>
    <w:rsid w:val="00C64FC7"/>
  </w:style>
  <w:style w:type="numbering" w:customStyle="1" w:styleId="NoList83">
    <w:name w:val="No List83"/>
    <w:next w:val="NoList"/>
    <w:uiPriority w:val="99"/>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unhideWhenUsed/>
    <w:rsid w:val="00C64FC7"/>
  </w:style>
  <w:style w:type="numbering" w:customStyle="1" w:styleId="NoList2223">
    <w:name w:val="No List2223"/>
    <w:next w:val="NoList"/>
    <w:uiPriority w:val="99"/>
    <w:unhideWhenUsed/>
    <w:rsid w:val="00C64FC7"/>
  </w:style>
  <w:style w:type="numbering" w:customStyle="1" w:styleId="NoList3223">
    <w:name w:val="No List3223"/>
    <w:next w:val="NoList"/>
    <w:uiPriority w:val="99"/>
    <w:unhideWhenUsed/>
    <w:rsid w:val="00C64FC7"/>
  </w:style>
  <w:style w:type="numbering" w:customStyle="1" w:styleId="NoList623">
    <w:name w:val="No List623"/>
    <w:next w:val="NoList"/>
    <w:uiPriority w:val="99"/>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unhideWhenUsed/>
    <w:rsid w:val="00C64FC7"/>
  </w:style>
  <w:style w:type="numbering" w:customStyle="1" w:styleId="NoList2323">
    <w:name w:val="No List2323"/>
    <w:next w:val="NoList"/>
    <w:uiPriority w:val="99"/>
    <w:unhideWhenUsed/>
    <w:rsid w:val="00C64FC7"/>
  </w:style>
  <w:style w:type="numbering" w:customStyle="1" w:styleId="NoList3323">
    <w:name w:val="No List3323"/>
    <w:next w:val="NoList"/>
    <w:uiPriority w:val="99"/>
    <w:unhideWhenUsed/>
    <w:rsid w:val="00C64FC7"/>
  </w:style>
  <w:style w:type="numbering" w:customStyle="1" w:styleId="NoList93">
    <w:name w:val="No List93"/>
    <w:next w:val="NoList"/>
    <w:uiPriority w:val="99"/>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unhideWhenUsed/>
    <w:rsid w:val="00C64FC7"/>
  </w:style>
  <w:style w:type="numbering" w:customStyle="1" w:styleId="NoList2233">
    <w:name w:val="No List2233"/>
    <w:next w:val="NoList"/>
    <w:uiPriority w:val="99"/>
    <w:unhideWhenUsed/>
    <w:rsid w:val="00C64FC7"/>
  </w:style>
  <w:style w:type="numbering" w:customStyle="1" w:styleId="NoList3233">
    <w:name w:val="No List3233"/>
    <w:next w:val="NoList"/>
    <w:uiPriority w:val="99"/>
    <w:unhideWhenUsed/>
    <w:rsid w:val="00C64FC7"/>
  </w:style>
  <w:style w:type="numbering" w:customStyle="1" w:styleId="NoList633">
    <w:name w:val="No List633"/>
    <w:next w:val="NoList"/>
    <w:uiPriority w:val="99"/>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unhideWhenUsed/>
    <w:rsid w:val="00C64FC7"/>
  </w:style>
  <w:style w:type="numbering" w:customStyle="1" w:styleId="NoList2333">
    <w:name w:val="No List2333"/>
    <w:next w:val="NoList"/>
    <w:uiPriority w:val="99"/>
    <w:unhideWhenUsed/>
    <w:rsid w:val="00C64FC7"/>
  </w:style>
  <w:style w:type="numbering" w:customStyle="1" w:styleId="NoList3333">
    <w:name w:val="No List3333"/>
    <w:next w:val="NoList"/>
    <w:uiPriority w:val="99"/>
    <w:unhideWhenUsed/>
    <w:rsid w:val="00C64FC7"/>
  </w:style>
  <w:style w:type="numbering" w:customStyle="1" w:styleId="NoList103">
    <w:name w:val="No List103"/>
    <w:next w:val="NoList"/>
    <w:uiPriority w:val="99"/>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unhideWhenUsed/>
    <w:rsid w:val="00C64FC7"/>
  </w:style>
  <w:style w:type="numbering" w:customStyle="1" w:styleId="NoList2243">
    <w:name w:val="No List2243"/>
    <w:next w:val="NoList"/>
    <w:uiPriority w:val="99"/>
    <w:unhideWhenUsed/>
    <w:rsid w:val="00C64FC7"/>
  </w:style>
  <w:style w:type="numbering" w:customStyle="1" w:styleId="NoList3243">
    <w:name w:val="No List3243"/>
    <w:next w:val="NoList"/>
    <w:uiPriority w:val="99"/>
    <w:unhideWhenUsed/>
    <w:rsid w:val="00C64FC7"/>
  </w:style>
  <w:style w:type="numbering" w:customStyle="1" w:styleId="NoList643">
    <w:name w:val="No List643"/>
    <w:next w:val="NoList"/>
    <w:uiPriority w:val="99"/>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unhideWhenUsed/>
    <w:rsid w:val="00C64FC7"/>
  </w:style>
  <w:style w:type="numbering" w:customStyle="1" w:styleId="NoList2343">
    <w:name w:val="No List2343"/>
    <w:next w:val="NoList"/>
    <w:uiPriority w:val="99"/>
    <w:unhideWhenUsed/>
    <w:rsid w:val="00C64FC7"/>
  </w:style>
  <w:style w:type="numbering" w:customStyle="1" w:styleId="NoList3343">
    <w:name w:val="No List3343"/>
    <w:next w:val="NoList"/>
    <w:uiPriority w:val="99"/>
    <w:unhideWhenUsed/>
    <w:rsid w:val="00C64FC7"/>
  </w:style>
  <w:style w:type="numbering" w:customStyle="1" w:styleId="NoList183">
    <w:name w:val="No List183"/>
    <w:next w:val="NoList"/>
    <w:uiPriority w:val="99"/>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unhideWhenUsed/>
    <w:rsid w:val="00C64FC7"/>
  </w:style>
  <w:style w:type="numbering" w:customStyle="1" w:styleId="NoList2253">
    <w:name w:val="No List2253"/>
    <w:next w:val="NoList"/>
    <w:uiPriority w:val="99"/>
    <w:unhideWhenUsed/>
    <w:rsid w:val="00C64FC7"/>
  </w:style>
  <w:style w:type="numbering" w:customStyle="1" w:styleId="NoList3253">
    <w:name w:val="No List3253"/>
    <w:next w:val="NoList"/>
    <w:uiPriority w:val="99"/>
    <w:unhideWhenUsed/>
    <w:rsid w:val="00C64FC7"/>
  </w:style>
  <w:style w:type="numbering" w:customStyle="1" w:styleId="NoList653">
    <w:name w:val="No List653"/>
    <w:next w:val="NoList"/>
    <w:uiPriority w:val="99"/>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unhideWhenUsed/>
    <w:rsid w:val="00C64FC7"/>
  </w:style>
  <w:style w:type="numbering" w:customStyle="1" w:styleId="NoList2353">
    <w:name w:val="No List2353"/>
    <w:next w:val="NoList"/>
    <w:uiPriority w:val="99"/>
    <w:unhideWhenUsed/>
    <w:rsid w:val="00C64FC7"/>
  </w:style>
  <w:style w:type="numbering" w:customStyle="1" w:styleId="NoList3353">
    <w:name w:val="No List3353"/>
    <w:next w:val="NoList"/>
    <w:uiPriority w:val="99"/>
    <w:unhideWhenUsed/>
    <w:rsid w:val="00C64FC7"/>
  </w:style>
  <w:style w:type="numbering" w:customStyle="1" w:styleId="NoList202">
    <w:name w:val="No List202"/>
    <w:next w:val="NoList"/>
    <w:uiPriority w:val="99"/>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unhideWhenUsed/>
    <w:rsid w:val="00C64FC7"/>
  </w:style>
  <w:style w:type="numbering" w:customStyle="1" w:styleId="NoList2362">
    <w:name w:val="No List2362"/>
    <w:next w:val="NoList"/>
    <w:uiPriority w:val="99"/>
    <w:unhideWhenUsed/>
    <w:rsid w:val="00C64FC7"/>
  </w:style>
  <w:style w:type="numbering" w:customStyle="1" w:styleId="NoList3362">
    <w:name w:val="No List3362"/>
    <w:next w:val="NoList"/>
    <w:uiPriority w:val="99"/>
    <w:unhideWhenUsed/>
    <w:rsid w:val="00C64FC7"/>
  </w:style>
  <w:style w:type="numbering" w:customStyle="1" w:styleId="NoList712">
    <w:name w:val="No List712"/>
    <w:next w:val="NoList"/>
    <w:uiPriority w:val="99"/>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unhideWhenUsed/>
    <w:rsid w:val="00C64FC7"/>
  </w:style>
  <w:style w:type="numbering" w:customStyle="1" w:styleId="NoList22112">
    <w:name w:val="No List22112"/>
    <w:next w:val="NoList"/>
    <w:uiPriority w:val="99"/>
    <w:unhideWhenUsed/>
    <w:rsid w:val="00C64FC7"/>
  </w:style>
  <w:style w:type="numbering" w:customStyle="1" w:styleId="NoList32112">
    <w:name w:val="No List32112"/>
    <w:next w:val="NoList"/>
    <w:uiPriority w:val="99"/>
    <w:unhideWhenUsed/>
    <w:rsid w:val="00C64FC7"/>
  </w:style>
  <w:style w:type="numbering" w:customStyle="1" w:styleId="NoList6112">
    <w:name w:val="No List6112"/>
    <w:next w:val="NoList"/>
    <w:uiPriority w:val="99"/>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unhideWhenUsed/>
    <w:rsid w:val="00C64FC7"/>
  </w:style>
  <w:style w:type="numbering" w:customStyle="1" w:styleId="NoList23112">
    <w:name w:val="No List23112"/>
    <w:next w:val="NoList"/>
    <w:uiPriority w:val="99"/>
    <w:unhideWhenUsed/>
    <w:rsid w:val="00C64FC7"/>
  </w:style>
  <w:style w:type="numbering" w:customStyle="1" w:styleId="NoList33112">
    <w:name w:val="No List33112"/>
    <w:next w:val="NoList"/>
    <w:uiPriority w:val="99"/>
    <w:unhideWhenUsed/>
    <w:rsid w:val="00C64FC7"/>
  </w:style>
  <w:style w:type="numbering" w:customStyle="1" w:styleId="NoList812">
    <w:name w:val="No List812"/>
    <w:next w:val="NoList"/>
    <w:uiPriority w:val="99"/>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unhideWhenUsed/>
    <w:rsid w:val="00C64FC7"/>
  </w:style>
  <w:style w:type="numbering" w:customStyle="1" w:styleId="NoList22212">
    <w:name w:val="No List22212"/>
    <w:next w:val="NoList"/>
    <w:uiPriority w:val="99"/>
    <w:unhideWhenUsed/>
    <w:rsid w:val="00C64FC7"/>
  </w:style>
  <w:style w:type="numbering" w:customStyle="1" w:styleId="NoList32212">
    <w:name w:val="No List32212"/>
    <w:next w:val="NoList"/>
    <w:uiPriority w:val="99"/>
    <w:unhideWhenUsed/>
    <w:rsid w:val="00C64FC7"/>
  </w:style>
  <w:style w:type="numbering" w:customStyle="1" w:styleId="NoList6212">
    <w:name w:val="No List6212"/>
    <w:next w:val="NoList"/>
    <w:uiPriority w:val="99"/>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unhideWhenUsed/>
    <w:rsid w:val="00C64FC7"/>
  </w:style>
  <w:style w:type="numbering" w:customStyle="1" w:styleId="NoList23212">
    <w:name w:val="No List23212"/>
    <w:next w:val="NoList"/>
    <w:uiPriority w:val="99"/>
    <w:unhideWhenUsed/>
    <w:rsid w:val="00C64FC7"/>
  </w:style>
  <w:style w:type="numbering" w:customStyle="1" w:styleId="NoList33212">
    <w:name w:val="No List33212"/>
    <w:next w:val="NoList"/>
    <w:uiPriority w:val="99"/>
    <w:unhideWhenUsed/>
    <w:rsid w:val="00C64FC7"/>
  </w:style>
  <w:style w:type="numbering" w:customStyle="1" w:styleId="NoList912">
    <w:name w:val="No List912"/>
    <w:next w:val="NoList"/>
    <w:uiPriority w:val="99"/>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unhideWhenUsed/>
    <w:rsid w:val="00C64FC7"/>
  </w:style>
  <w:style w:type="numbering" w:customStyle="1" w:styleId="NoList22312">
    <w:name w:val="No List22312"/>
    <w:next w:val="NoList"/>
    <w:uiPriority w:val="99"/>
    <w:unhideWhenUsed/>
    <w:rsid w:val="00C64FC7"/>
  </w:style>
  <w:style w:type="numbering" w:customStyle="1" w:styleId="NoList32312">
    <w:name w:val="No List32312"/>
    <w:next w:val="NoList"/>
    <w:uiPriority w:val="99"/>
    <w:unhideWhenUsed/>
    <w:rsid w:val="00C64FC7"/>
  </w:style>
  <w:style w:type="numbering" w:customStyle="1" w:styleId="NoList6312">
    <w:name w:val="No List6312"/>
    <w:next w:val="NoList"/>
    <w:uiPriority w:val="99"/>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unhideWhenUsed/>
    <w:rsid w:val="00C64FC7"/>
  </w:style>
  <w:style w:type="numbering" w:customStyle="1" w:styleId="NoList23312">
    <w:name w:val="No List23312"/>
    <w:next w:val="NoList"/>
    <w:uiPriority w:val="99"/>
    <w:unhideWhenUsed/>
    <w:rsid w:val="00C64FC7"/>
  </w:style>
  <w:style w:type="numbering" w:customStyle="1" w:styleId="NoList33312">
    <w:name w:val="No List33312"/>
    <w:next w:val="NoList"/>
    <w:uiPriority w:val="99"/>
    <w:unhideWhenUsed/>
    <w:rsid w:val="00C64FC7"/>
  </w:style>
  <w:style w:type="numbering" w:customStyle="1" w:styleId="NoList1012">
    <w:name w:val="No List1012"/>
    <w:next w:val="NoList"/>
    <w:uiPriority w:val="99"/>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3315537">
      <w:bodyDiv w:val="1"/>
      <w:marLeft w:val="0"/>
      <w:marRight w:val="0"/>
      <w:marTop w:val="0"/>
      <w:marBottom w:val="0"/>
      <w:divBdr>
        <w:top w:val="none" w:sz="0" w:space="0" w:color="auto"/>
        <w:left w:val="none" w:sz="0" w:space="0" w:color="auto"/>
        <w:bottom w:val="none" w:sz="0" w:space="0" w:color="auto"/>
        <w:right w:val="none" w:sz="0" w:space="0" w:color="auto"/>
      </w:divBdr>
      <w:divsChild>
        <w:div w:id="1843623163">
          <w:marLeft w:val="0"/>
          <w:marRight w:val="0"/>
          <w:marTop w:val="0"/>
          <w:marBottom w:val="0"/>
          <w:divBdr>
            <w:top w:val="none" w:sz="0" w:space="0" w:color="auto"/>
            <w:left w:val="none" w:sz="0" w:space="0" w:color="auto"/>
            <w:bottom w:val="none" w:sz="0" w:space="0" w:color="auto"/>
            <w:right w:val="none" w:sz="0" w:space="0" w:color="auto"/>
          </w:divBdr>
        </w:div>
        <w:div w:id="1726680702">
          <w:marLeft w:val="0"/>
          <w:marRight w:val="0"/>
          <w:marTop w:val="0"/>
          <w:marBottom w:val="0"/>
          <w:divBdr>
            <w:top w:val="none" w:sz="0" w:space="0" w:color="auto"/>
            <w:left w:val="none" w:sz="0" w:space="0" w:color="auto"/>
            <w:bottom w:val="none" w:sz="0" w:space="0" w:color="auto"/>
            <w:right w:val="none" w:sz="0" w:space="0" w:color="auto"/>
          </w:divBdr>
        </w:div>
        <w:div w:id="1944070104">
          <w:marLeft w:val="0"/>
          <w:marRight w:val="0"/>
          <w:marTop w:val="0"/>
          <w:marBottom w:val="0"/>
          <w:divBdr>
            <w:top w:val="none" w:sz="0" w:space="0" w:color="auto"/>
            <w:left w:val="none" w:sz="0" w:space="0" w:color="auto"/>
            <w:bottom w:val="none" w:sz="0" w:space="0" w:color="auto"/>
            <w:right w:val="none" w:sz="0" w:space="0" w:color="auto"/>
          </w:divBdr>
        </w:div>
        <w:div w:id="413475020">
          <w:marLeft w:val="0"/>
          <w:marRight w:val="0"/>
          <w:marTop w:val="0"/>
          <w:marBottom w:val="0"/>
          <w:divBdr>
            <w:top w:val="none" w:sz="0" w:space="0" w:color="auto"/>
            <w:left w:val="none" w:sz="0" w:space="0" w:color="auto"/>
            <w:bottom w:val="none" w:sz="0" w:space="0" w:color="auto"/>
            <w:right w:val="none" w:sz="0" w:space="0" w:color="auto"/>
          </w:divBdr>
        </w:div>
        <w:div w:id="1132092421">
          <w:marLeft w:val="0"/>
          <w:marRight w:val="0"/>
          <w:marTop w:val="0"/>
          <w:marBottom w:val="0"/>
          <w:divBdr>
            <w:top w:val="none" w:sz="0" w:space="0" w:color="auto"/>
            <w:left w:val="none" w:sz="0" w:space="0" w:color="auto"/>
            <w:bottom w:val="none" w:sz="0" w:space="0" w:color="auto"/>
            <w:right w:val="none" w:sz="0" w:space="0" w:color="auto"/>
          </w:divBdr>
        </w:div>
        <w:div w:id="1569459871">
          <w:marLeft w:val="0"/>
          <w:marRight w:val="0"/>
          <w:marTop w:val="0"/>
          <w:marBottom w:val="0"/>
          <w:divBdr>
            <w:top w:val="none" w:sz="0" w:space="0" w:color="auto"/>
            <w:left w:val="none" w:sz="0" w:space="0" w:color="auto"/>
            <w:bottom w:val="none" w:sz="0" w:space="0" w:color="auto"/>
            <w:right w:val="none" w:sz="0" w:space="0" w:color="auto"/>
          </w:divBdr>
        </w:div>
        <w:div w:id="2123573788">
          <w:marLeft w:val="0"/>
          <w:marRight w:val="0"/>
          <w:marTop w:val="0"/>
          <w:marBottom w:val="0"/>
          <w:divBdr>
            <w:top w:val="none" w:sz="0" w:space="0" w:color="auto"/>
            <w:left w:val="none" w:sz="0" w:space="0" w:color="auto"/>
            <w:bottom w:val="none" w:sz="0" w:space="0" w:color="auto"/>
            <w:right w:val="none" w:sz="0" w:space="0" w:color="auto"/>
          </w:divBdr>
        </w:div>
        <w:div w:id="463542758">
          <w:marLeft w:val="0"/>
          <w:marRight w:val="0"/>
          <w:marTop w:val="0"/>
          <w:marBottom w:val="0"/>
          <w:divBdr>
            <w:top w:val="none" w:sz="0" w:space="0" w:color="auto"/>
            <w:left w:val="none" w:sz="0" w:space="0" w:color="auto"/>
            <w:bottom w:val="none" w:sz="0" w:space="0" w:color="auto"/>
            <w:right w:val="none" w:sz="0" w:space="0" w:color="auto"/>
          </w:divBdr>
        </w:div>
        <w:div w:id="767821550">
          <w:marLeft w:val="0"/>
          <w:marRight w:val="0"/>
          <w:marTop w:val="0"/>
          <w:marBottom w:val="0"/>
          <w:divBdr>
            <w:top w:val="none" w:sz="0" w:space="0" w:color="auto"/>
            <w:left w:val="none" w:sz="0" w:space="0" w:color="auto"/>
            <w:bottom w:val="none" w:sz="0" w:space="0" w:color="auto"/>
            <w:right w:val="none" w:sz="0" w:space="0" w:color="auto"/>
          </w:divBdr>
        </w:div>
        <w:div w:id="1386640956">
          <w:marLeft w:val="0"/>
          <w:marRight w:val="0"/>
          <w:marTop w:val="0"/>
          <w:marBottom w:val="0"/>
          <w:divBdr>
            <w:top w:val="none" w:sz="0" w:space="0" w:color="auto"/>
            <w:left w:val="none" w:sz="0" w:space="0" w:color="auto"/>
            <w:bottom w:val="none" w:sz="0" w:space="0" w:color="auto"/>
            <w:right w:val="none" w:sz="0" w:space="0" w:color="auto"/>
          </w:divBdr>
        </w:div>
        <w:div w:id="304824829">
          <w:marLeft w:val="0"/>
          <w:marRight w:val="0"/>
          <w:marTop w:val="0"/>
          <w:marBottom w:val="0"/>
          <w:divBdr>
            <w:top w:val="none" w:sz="0" w:space="0" w:color="auto"/>
            <w:left w:val="none" w:sz="0" w:space="0" w:color="auto"/>
            <w:bottom w:val="none" w:sz="0" w:space="0" w:color="auto"/>
            <w:right w:val="none" w:sz="0" w:space="0" w:color="auto"/>
          </w:divBdr>
        </w:div>
        <w:div w:id="764770610">
          <w:marLeft w:val="0"/>
          <w:marRight w:val="0"/>
          <w:marTop w:val="0"/>
          <w:marBottom w:val="0"/>
          <w:divBdr>
            <w:top w:val="none" w:sz="0" w:space="0" w:color="auto"/>
            <w:left w:val="none" w:sz="0" w:space="0" w:color="auto"/>
            <w:bottom w:val="none" w:sz="0" w:space="0" w:color="auto"/>
            <w:right w:val="none" w:sz="0" w:space="0" w:color="auto"/>
          </w:divBdr>
        </w:div>
        <w:div w:id="847597016">
          <w:marLeft w:val="0"/>
          <w:marRight w:val="0"/>
          <w:marTop w:val="0"/>
          <w:marBottom w:val="0"/>
          <w:divBdr>
            <w:top w:val="none" w:sz="0" w:space="0" w:color="auto"/>
            <w:left w:val="none" w:sz="0" w:space="0" w:color="auto"/>
            <w:bottom w:val="none" w:sz="0" w:space="0" w:color="auto"/>
            <w:right w:val="none" w:sz="0" w:space="0" w:color="auto"/>
          </w:divBdr>
        </w:div>
        <w:div w:id="2015722103">
          <w:marLeft w:val="0"/>
          <w:marRight w:val="0"/>
          <w:marTop w:val="0"/>
          <w:marBottom w:val="0"/>
          <w:divBdr>
            <w:top w:val="none" w:sz="0" w:space="0" w:color="auto"/>
            <w:left w:val="none" w:sz="0" w:space="0" w:color="auto"/>
            <w:bottom w:val="none" w:sz="0" w:space="0" w:color="auto"/>
            <w:right w:val="none" w:sz="0" w:space="0" w:color="auto"/>
          </w:divBdr>
        </w:div>
        <w:div w:id="1180465105">
          <w:marLeft w:val="0"/>
          <w:marRight w:val="0"/>
          <w:marTop w:val="0"/>
          <w:marBottom w:val="0"/>
          <w:divBdr>
            <w:top w:val="none" w:sz="0" w:space="0" w:color="auto"/>
            <w:left w:val="none" w:sz="0" w:space="0" w:color="auto"/>
            <w:bottom w:val="none" w:sz="0" w:space="0" w:color="auto"/>
            <w:right w:val="none" w:sz="0" w:space="0" w:color="auto"/>
          </w:divBdr>
        </w:div>
        <w:div w:id="827667789">
          <w:marLeft w:val="0"/>
          <w:marRight w:val="0"/>
          <w:marTop w:val="0"/>
          <w:marBottom w:val="0"/>
          <w:divBdr>
            <w:top w:val="none" w:sz="0" w:space="0" w:color="auto"/>
            <w:left w:val="none" w:sz="0" w:space="0" w:color="auto"/>
            <w:bottom w:val="none" w:sz="0" w:space="0" w:color="auto"/>
            <w:right w:val="none" w:sz="0" w:space="0" w:color="auto"/>
          </w:divBdr>
        </w:div>
        <w:div w:id="1385062433">
          <w:marLeft w:val="0"/>
          <w:marRight w:val="0"/>
          <w:marTop w:val="0"/>
          <w:marBottom w:val="0"/>
          <w:divBdr>
            <w:top w:val="none" w:sz="0" w:space="0" w:color="auto"/>
            <w:left w:val="none" w:sz="0" w:space="0" w:color="auto"/>
            <w:bottom w:val="none" w:sz="0" w:space="0" w:color="auto"/>
            <w:right w:val="none" w:sz="0" w:space="0" w:color="auto"/>
          </w:divBdr>
        </w:div>
        <w:div w:id="1688943621">
          <w:marLeft w:val="0"/>
          <w:marRight w:val="0"/>
          <w:marTop w:val="0"/>
          <w:marBottom w:val="0"/>
          <w:divBdr>
            <w:top w:val="none" w:sz="0" w:space="0" w:color="auto"/>
            <w:left w:val="none" w:sz="0" w:space="0" w:color="auto"/>
            <w:bottom w:val="none" w:sz="0" w:space="0" w:color="auto"/>
            <w:right w:val="none" w:sz="0" w:space="0" w:color="auto"/>
          </w:divBdr>
        </w:div>
        <w:div w:id="831024916">
          <w:marLeft w:val="0"/>
          <w:marRight w:val="0"/>
          <w:marTop w:val="0"/>
          <w:marBottom w:val="0"/>
          <w:divBdr>
            <w:top w:val="none" w:sz="0" w:space="0" w:color="auto"/>
            <w:left w:val="none" w:sz="0" w:space="0" w:color="auto"/>
            <w:bottom w:val="none" w:sz="0" w:space="0" w:color="auto"/>
            <w:right w:val="none" w:sz="0" w:space="0" w:color="auto"/>
          </w:divBdr>
        </w:div>
        <w:div w:id="58554659">
          <w:marLeft w:val="0"/>
          <w:marRight w:val="0"/>
          <w:marTop w:val="0"/>
          <w:marBottom w:val="0"/>
          <w:divBdr>
            <w:top w:val="none" w:sz="0" w:space="0" w:color="auto"/>
            <w:left w:val="none" w:sz="0" w:space="0" w:color="auto"/>
            <w:bottom w:val="none" w:sz="0" w:space="0" w:color="auto"/>
            <w:right w:val="none" w:sz="0" w:space="0" w:color="auto"/>
          </w:divBdr>
        </w:div>
        <w:div w:id="1780366795">
          <w:marLeft w:val="0"/>
          <w:marRight w:val="0"/>
          <w:marTop w:val="0"/>
          <w:marBottom w:val="0"/>
          <w:divBdr>
            <w:top w:val="none" w:sz="0" w:space="0" w:color="auto"/>
            <w:left w:val="none" w:sz="0" w:space="0" w:color="auto"/>
            <w:bottom w:val="none" w:sz="0" w:space="0" w:color="auto"/>
            <w:right w:val="none" w:sz="0" w:space="0" w:color="auto"/>
          </w:divBdr>
        </w:div>
        <w:div w:id="670988903">
          <w:marLeft w:val="0"/>
          <w:marRight w:val="0"/>
          <w:marTop w:val="0"/>
          <w:marBottom w:val="0"/>
          <w:divBdr>
            <w:top w:val="none" w:sz="0" w:space="0" w:color="auto"/>
            <w:left w:val="none" w:sz="0" w:space="0" w:color="auto"/>
            <w:bottom w:val="none" w:sz="0" w:space="0" w:color="auto"/>
            <w:right w:val="none" w:sz="0" w:space="0" w:color="auto"/>
          </w:divBdr>
        </w:div>
        <w:div w:id="1650010697">
          <w:marLeft w:val="0"/>
          <w:marRight w:val="0"/>
          <w:marTop w:val="0"/>
          <w:marBottom w:val="0"/>
          <w:divBdr>
            <w:top w:val="none" w:sz="0" w:space="0" w:color="auto"/>
            <w:left w:val="none" w:sz="0" w:space="0" w:color="auto"/>
            <w:bottom w:val="none" w:sz="0" w:space="0" w:color="auto"/>
            <w:right w:val="none" w:sz="0" w:space="0" w:color="auto"/>
          </w:divBdr>
        </w:div>
        <w:div w:id="1285037378">
          <w:marLeft w:val="0"/>
          <w:marRight w:val="0"/>
          <w:marTop w:val="0"/>
          <w:marBottom w:val="0"/>
          <w:divBdr>
            <w:top w:val="none" w:sz="0" w:space="0" w:color="auto"/>
            <w:left w:val="none" w:sz="0" w:space="0" w:color="auto"/>
            <w:bottom w:val="none" w:sz="0" w:space="0" w:color="auto"/>
            <w:right w:val="none" w:sz="0" w:space="0" w:color="auto"/>
          </w:divBdr>
        </w:div>
      </w:divsChild>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57279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1195577">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1901644">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95370907">
      <w:bodyDiv w:val="1"/>
      <w:marLeft w:val="0"/>
      <w:marRight w:val="0"/>
      <w:marTop w:val="0"/>
      <w:marBottom w:val="0"/>
      <w:divBdr>
        <w:top w:val="none" w:sz="0" w:space="0" w:color="auto"/>
        <w:left w:val="none" w:sz="0" w:space="0" w:color="auto"/>
        <w:bottom w:val="none" w:sz="0" w:space="0" w:color="auto"/>
        <w:right w:val="none" w:sz="0" w:space="0" w:color="auto"/>
      </w:divBdr>
    </w:div>
    <w:div w:id="96216600">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4763259">
      <w:bodyDiv w:val="1"/>
      <w:marLeft w:val="0"/>
      <w:marRight w:val="0"/>
      <w:marTop w:val="0"/>
      <w:marBottom w:val="0"/>
      <w:divBdr>
        <w:top w:val="none" w:sz="0" w:space="0" w:color="auto"/>
        <w:left w:val="none" w:sz="0" w:space="0" w:color="auto"/>
        <w:bottom w:val="none" w:sz="0" w:space="0" w:color="auto"/>
        <w:right w:val="none" w:sz="0" w:space="0" w:color="auto"/>
      </w:divBdr>
      <w:divsChild>
        <w:div w:id="170611104">
          <w:marLeft w:val="0"/>
          <w:marRight w:val="83"/>
          <w:marTop w:val="0"/>
          <w:marBottom w:val="0"/>
          <w:divBdr>
            <w:top w:val="none" w:sz="0" w:space="0" w:color="auto"/>
            <w:left w:val="none" w:sz="0" w:space="0" w:color="auto"/>
            <w:bottom w:val="none" w:sz="0" w:space="0" w:color="auto"/>
            <w:right w:val="none" w:sz="0" w:space="0" w:color="auto"/>
          </w:divBdr>
        </w:div>
        <w:div w:id="1727146921">
          <w:marLeft w:val="0"/>
          <w:marRight w:val="0"/>
          <w:marTop w:val="0"/>
          <w:marBottom w:val="0"/>
          <w:divBdr>
            <w:top w:val="none" w:sz="0" w:space="0" w:color="auto"/>
            <w:left w:val="none" w:sz="0" w:space="0" w:color="auto"/>
            <w:bottom w:val="none" w:sz="0" w:space="0" w:color="auto"/>
            <w:right w:val="none" w:sz="0" w:space="0" w:color="auto"/>
          </w:divBdr>
          <w:divsChild>
            <w:div w:id="1770270629">
              <w:marLeft w:val="0"/>
              <w:marRight w:val="0"/>
              <w:marTop w:val="0"/>
              <w:marBottom w:val="0"/>
              <w:divBdr>
                <w:top w:val="none" w:sz="0" w:space="0" w:color="auto"/>
                <w:left w:val="none" w:sz="0" w:space="0" w:color="auto"/>
                <w:bottom w:val="none" w:sz="0" w:space="0" w:color="auto"/>
                <w:right w:val="none" w:sz="0" w:space="0" w:color="auto"/>
              </w:divBdr>
              <w:divsChild>
                <w:div w:id="1938443985">
                  <w:marLeft w:val="0"/>
                  <w:marRight w:val="0"/>
                  <w:marTop w:val="0"/>
                  <w:marBottom w:val="0"/>
                  <w:divBdr>
                    <w:top w:val="none" w:sz="0" w:space="0" w:color="auto"/>
                    <w:left w:val="none" w:sz="0" w:space="0" w:color="auto"/>
                    <w:bottom w:val="none" w:sz="0" w:space="0" w:color="auto"/>
                    <w:right w:val="none" w:sz="0" w:space="0" w:color="auto"/>
                  </w:divBdr>
                  <w:divsChild>
                    <w:div w:id="187302444">
                      <w:marLeft w:val="0"/>
                      <w:marRight w:val="0"/>
                      <w:marTop w:val="0"/>
                      <w:marBottom w:val="0"/>
                      <w:divBdr>
                        <w:top w:val="none" w:sz="0" w:space="0" w:color="auto"/>
                        <w:left w:val="none" w:sz="0" w:space="0" w:color="auto"/>
                        <w:bottom w:val="none" w:sz="0" w:space="0" w:color="auto"/>
                        <w:right w:val="none" w:sz="0" w:space="0" w:color="auto"/>
                      </w:divBdr>
                    </w:div>
                    <w:div w:id="1297759539">
                      <w:marLeft w:val="0"/>
                      <w:marRight w:val="0"/>
                      <w:marTop w:val="0"/>
                      <w:marBottom w:val="0"/>
                      <w:divBdr>
                        <w:top w:val="none" w:sz="0" w:space="0" w:color="auto"/>
                        <w:left w:val="none" w:sz="0" w:space="0" w:color="auto"/>
                        <w:bottom w:val="none" w:sz="0" w:space="0" w:color="auto"/>
                        <w:right w:val="none" w:sz="0" w:space="0" w:color="auto"/>
                      </w:divBdr>
                    </w:div>
                  </w:divsChild>
                </w:div>
                <w:div w:id="1221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8374425">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346049">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38373744">
      <w:bodyDiv w:val="1"/>
      <w:marLeft w:val="0"/>
      <w:marRight w:val="0"/>
      <w:marTop w:val="0"/>
      <w:marBottom w:val="0"/>
      <w:divBdr>
        <w:top w:val="none" w:sz="0" w:space="0" w:color="auto"/>
        <w:left w:val="none" w:sz="0" w:space="0" w:color="auto"/>
        <w:bottom w:val="none" w:sz="0" w:space="0" w:color="auto"/>
        <w:right w:val="none" w:sz="0" w:space="0" w:color="auto"/>
      </w:divBdr>
    </w:div>
    <w:div w:id="244808016">
      <w:bodyDiv w:val="1"/>
      <w:marLeft w:val="0"/>
      <w:marRight w:val="0"/>
      <w:marTop w:val="0"/>
      <w:marBottom w:val="0"/>
      <w:divBdr>
        <w:top w:val="none" w:sz="0" w:space="0" w:color="auto"/>
        <w:left w:val="none" w:sz="0" w:space="0" w:color="auto"/>
        <w:bottom w:val="none" w:sz="0" w:space="0" w:color="auto"/>
        <w:right w:val="none" w:sz="0" w:space="0" w:color="auto"/>
      </w:divBdr>
      <w:divsChild>
        <w:div w:id="1942032327">
          <w:marLeft w:val="0"/>
          <w:marRight w:val="0"/>
          <w:marTop w:val="0"/>
          <w:marBottom w:val="0"/>
          <w:divBdr>
            <w:top w:val="none" w:sz="0" w:space="0" w:color="auto"/>
            <w:left w:val="none" w:sz="0" w:space="0" w:color="auto"/>
            <w:bottom w:val="none" w:sz="0" w:space="0" w:color="auto"/>
            <w:right w:val="none" w:sz="0" w:space="0" w:color="auto"/>
          </w:divBdr>
        </w:div>
        <w:div w:id="1518231279">
          <w:marLeft w:val="0"/>
          <w:marRight w:val="0"/>
          <w:marTop w:val="0"/>
          <w:marBottom w:val="0"/>
          <w:divBdr>
            <w:top w:val="none" w:sz="0" w:space="0" w:color="auto"/>
            <w:left w:val="none" w:sz="0" w:space="0" w:color="auto"/>
            <w:bottom w:val="none" w:sz="0" w:space="0" w:color="auto"/>
            <w:right w:val="none" w:sz="0" w:space="0" w:color="auto"/>
          </w:divBdr>
          <w:divsChild>
            <w:div w:id="287704891">
              <w:marLeft w:val="0"/>
              <w:marRight w:val="0"/>
              <w:marTop w:val="0"/>
              <w:marBottom w:val="0"/>
              <w:divBdr>
                <w:top w:val="none" w:sz="0" w:space="0" w:color="auto"/>
                <w:left w:val="none" w:sz="0" w:space="0" w:color="auto"/>
                <w:bottom w:val="none" w:sz="0" w:space="0" w:color="auto"/>
                <w:right w:val="none" w:sz="0" w:space="0" w:color="auto"/>
              </w:divBdr>
              <w:divsChild>
                <w:div w:id="16266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5667258">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4482857">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16441346">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2719549">
      <w:bodyDiv w:val="1"/>
      <w:marLeft w:val="0"/>
      <w:marRight w:val="0"/>
      <w:marTop w:val="0"/>
      <w:marBottom w:val="0"/>
      <w:divBdr>
        <w:top w:val="none" w:sz="0" w:space="0" w:color="auto"/>
        <w:left w:val="none" w:sz="0" w:space="0" w:color="auto"/>
        <w:bottom w:val="none" w:sz="0" w:space="0" w:color="auto"/>
        <w:right w:val="none" w:sz="0" w:space="0" w:color="auto"/>
      </w:divBdr>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4199877">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3738575">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09488653">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16887666">
      <w:bodyDiv w:val="1"/>
      <w:marLeft w:val="0"/>
      <w:marRight w:val="0"/>
      <w:marTop w:val="0"/>
      <w:marBottom w:val="0"/>
      <w:divBdr>
        <w:top w:val="none" w:sz="0" w:space="0" w:color="auto"/>
        <w:left w:val="none" w:sz="0" w:space="0" w:color="auto"/>
        <w:bottom w:val="none" w:sz="0" w:space="0" w:color="auto"/>
        <w:right w:val="none" w:sz="0" w:space="0" w:color="auto"/>
      </w:divBdr>
    </w:div>
    <w:div w:id="521936552">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7958898">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6842089">
      <w:bodyDiv w:val="1"/>
      <w:marLeft w:val="0"/>
      <w:marRight w:val="0"/>
      <w:marTop w:val="0"/>
      <w:marBottom w:val="0"/>
      <w:divBdr>
        <w:top w:val="none" w:sz="0" w:space="0" w:color="auto"/>
        <w:left w:val="none" w:sz="0" w:space="0" w:color="auto"/>
        <w:bottom w:val="none" w:sz="0" w:space="0" w:color="auto"/>
        <w:right w:val="none" w:sz="0" w:space="0" w:color="auto"/>
      </w:divBdr>
      <w:divsChild>
        <w:div w:id="964963553">
          <w:marLeft w:val="0"/>
          <w:marRight w:val="83"/>
          <w:marTop w:val="0"/>
          <w:marBottom w:val="0"/>
          <w:divBdr>
            <w:top w:val="none" w:sz="0" w:space="0" w:color="auto"/>
            <w:left w:val="none" w:sz="0" w:space="0" w:color="auto"/>
            <w:bottom w:val="none" w:sz="0" w:space="0" w:color="auto"/>
            <w:right w:val="none" w:sz="0" w:space="0" w:color="auto"/>
          </w:divBdr>
        </w:div>
        <w:div w:id="385182808">
          <w:marLeft w:val="0"/>
          <w:marRight w:val="0"/>
          <w:marTop w:val="0"/>
          <w:marBottom w:val="0"/>
          <w:divBdr>
            <w:top w:val="none" w:sz="0" w:space="0" w:color="auto"/>
            <w:left w:val="none" w:sz="0" w:space="0" w:color="auto"/>
            <w:bottom w:val="none" w:sz="0" w:space="0" w:color="auto"/>
            <w:right w:val="none" w:sz="0" w:space="0" w:color="auto"/>
          </w:divBdr>
          <w:divsChild>
            <w:div w:id="440808192">
              <w:marLeft w:val="0"/>
              <w:marRight w:val="0"/>
              <w:marTop w:val="0"/>
              <w:marBottom w:val="0"/>
              <w:divBdr>
                <w:top w:val="none" w:sz="0" w:space="0" w:color="auto"/>
                <w:left w:val="none" w:sz="0" w:space="0" w:color="auto"/>
                <w:bottom w:val="none" w:sz="0" w:space="0" w:color="auto"/>
                <w:right w:val="none" w:sz="0" w:space="0" w:color="auto"/>
              </w:divBdr>
              <w:divsChild>
                <w:div w:id="270548660">
                  <w:marLeft w:val="0"/>
                  <w:marRight w:val="0"/>
                  <w:marTop w:val="0"/>
                  <w:marBottom w:val="0"/>
                  <w:divBdr>
                    <w:top w:val="none" w:sz="0" w:space="0" w:color="auto"/>
                    <w:left w:val="none" w:sz="0" w:space="0" w:color="auto"/>
                    <w:bottom w:val="none" w:sz="0" w:space="0" w:color="auto"/>
                    <w:right w:val="none" w:sz="0" w:space="0" w:color="auto"/>
                  </w:divBdr>
                  <w:divsChild>
                    <w:div w:id="1028918427">
                      <w:marLeft w:val="0"/>
                      <w:marRight w:val="0"/>
                      <w:marTop w:val="0"/>
                      <w:marBottom w:val="0"/>
                      <w:divBdr>
                        <w:top w:val="none" w:sz="0" w:space="0" w:color="auto"/>
                        <w:left w:val="none" w:sz="0" w:space="0" w:color="auto"/>
                        <w:bottom w:val="none" w:sz="0" w:space="0" w:color="auto"/>
                        <w:right w:val="none" w:sz="0" w:space="0" w:color="auto"/>
                      </w:divBdr>
                    </w:div>
                    <w:div w:id="384456507">
                      <w:marLeft w:val="0"/>
                      <w:marRight w:val="0"/>
                      <w:marTop w:val="0"/>
                      <w:marBottom w:val="0"/>
                      <w:divBdr>
                        <w:top w:val="none" w:sz="0" w:space="0" w:color="auto"/>
                        <w:left w:val="none" w:sz="0" w:space="0" w:color="auto"/>
                        <w:bottom w:val="none" w:sz="0" w:space="0" w:color="auto"/>
                        <w:right w:val="none" w:sz="0" w:space="0" w:color="auto"/>
                      </w:divBdr>
                    </w:div>
                  </w:divsChild>
                </w:div>
                <w:div w:id="2690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3933637">
      <w:bodyDiv w:val="1"/>
      <w:marLeft w:val="0"/>
      <w:marRight w:val="0"/>
      <w:marTop w:val="0"/>
      <w:marBottom w:val="0"/>
      <w:divBdr>
        <w:top w:val="none" w:sz="0" w:space="0" w:color="auto"/>
        <w:left w:val="none" w:sz="0" w:space="0" w:color="auto"/>
        <w:bottom w:val="none" w:sz="0" w:space="0" w:color="auto"/>
        <w:right w:val="none" w:sz="0" w:space="0" w:color="auto"/>
      </w:divBdr>
      <w:divsChild>
        <w:div w:id="617419825">
          <w:marLeft w:val="0"/>
          <w:marRight w:val="0"/>
          <w:marTop w:val="0"/>
          <w:marBottom w:val="0"/>
          <w:divBdr>
            <w:top w:val="none" w:sz="0" w:space="0" w:color="auto"/>
            <w:left w:val="none" w:sz="0" w:space="0" w:color="auto"/>
            <w:bottom w:val="none" w:sz="0" w:space="0" w:color="auto"/>
            <w:right w:val="none" w:sz="0" w:space="0" w:color="auto"/>
          </w:divBdr>
        </w:div>
      </w:divsChild>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54525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8662156">
      <w:bodyDiv w:val="1"/>
      <w:marLeft w:val="0"/>
      <w:marRight w:val="0"/>
      <w:marTop w:val="0"/>
      <w:marBottom w:val="0"/>
      <w:divBdr>
        <w:top w:val="none" w:sz="0" w:space="0" w:color="auto"/>
        <w:left w:val="none" w:sz="0" w:space="0" w:color="auto"/>
        <w:bottom w:val="none" w:sz="0" w:space="0" w:color="auto"/>
        <w:right w:val="none" w:sz="0" w:space="0" w:color="auto"/>
      </w:divBdr>
      <w:divsChild>
        <w:div w:id="2100329158">
          <w:marLeft w:val="0"/>
          <w:marRight w:val="0"/>
          <w:marTop w:val="0"/>
          <w:marBottom w:val="0"/>
          <w:divBdr>
            <w:top w:val="none" w:sz="0" w:space="0" w:color="auto"/>
            <w:left w:val="none" w:sz="0" w:space="0" w:color="auto"/>
            <w:bottom w:val="none" w:sz="0" w:space="0" w:color="auto"/>
            <w:right w:val="none" w:sz="0" w:space="0" w:color="auto"/>
          </w:divBdr>
        </w:div>
      </w:divsChild>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3687153">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592052598">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4068280">
      <w:bodyDiv w:val="1"/>
      <w:marLeft w:val="0"/>
      <w:marRight w:val="0"/>
      <w:marTop w:val="0"/>
      <w:marBottom w:val="0"/>
      <w:divBdr>
        <w:top w:val="none" w:sz="0" w:space="0" w:color="auto"/>
        <w:left w:val="none" w:sz="0" w:space="0" w:color="auto"/>
        <w:bottom w:val="none" w:sz="0" w:space="0" w:color="auto"/>
        <w:right w:val="none" w:sz="0" w:space="0" w:color="auto"/>
      </w:divBdr>
      <w:divsChild>
        <w:div w:id="678242144">
          <w:marLeft w:val="0"/>
          <w:marRight w:val="0"/>
          <w:marTop w:val="15"/>
          <w:marBottom w:val="0"/>
          <w:divBdr>
            <w:top w:val="none" w:sz="0" w:space="0" w:color="auto"/>
            <w:left w:val="none" w:sz="0" w:space="0" w:color="auto"/>
            <w:bottom w:val="none" w:sz="0" w:space="0" w:color="auto"/>
            <w:right w:val="none" w:sz="0" w:space="0" w:color="auto"/>
          </w:divBdr>
          <w:divsChild>
            <w:div w:id="1013916222">
              <w:marLeft w:val="0"/>
              <w:marRight w:val="0"/>
              <w:marTop w:val="0"/>
              <w:marBottom w:val="0"/>
              <w:divBdr>
                <w:top w:val="none" w:sz="0" w:space="0" w:color="auto"/>
                <w:left w:val="none" w:sz="0" w:space="0" w:color="auto"/>
                <w:bottom w:val="none" w:sz="0" w:space="0" w:color="auto"/>
                <w:right w:val="none" w:sz="0" w:space="0" w:color="auto"/>
              </w:divBdr>
              <w:divsChild>
                <w:div w:id="147789651">
                  <w:marLeft w:val="0"/>
                  <w:marRight w:val="0"/>
                  <w:marTop w:val="0"/>
                  <w:marBottom w:val="0"/>
                  <w:divBdr>
                    <w:top w:val="none" w:sz="0" w:space="0" w:color="auto"/>
                    <w:left w:val="none" w:sz="0" w:space="0" w:color="auto"/>
                    <w:bottom w:val="none" w:sz="0" w:space="0" w:color="auto"/>
                    <w:right w:val="none" w:sz="0" w:space="0" w:color="auto"/>
                  </w:divBdr>
                </w:div>
                <w:div w:id="1455178109">
                  <w:marLeft w:val="0"/>
                  <w:marRight w:val="0"/>
                  <w:marTop w:val="0"/>
                  <w:marBottom w:val="0"/>
                  <w:divBdr>
                    <w:top w:val="none" w:sz="0" w:space="0" w:color="auto"/>
                    <w:left w:val="none" w:sz="0" w:space="0" w:color="auto"/>
                    <w:bottom w:val="none" w:sz="0" w:space="0" w:color="auto"/>
                    <w:right w:val="none" w:sz="0" w:space="0" w:color="auto"/>
                  </w:divBdr>
                </w:div>
                <w:div w:id="1839611292">
                  <w:marLeft w:val="0"/>
                  <w:marRight w:val="0"/>
                  <w:marTop w:val="0"/>
                  <w:marBottom w:val="0"/>
                  <w:divBdr>
                    <w:top w:val="none" w:sz="0" w:space="0" w:color="auto"/>
                    <w:left w:val="none" w:sz="0" w:space="0" w:color="auto"/>
                    <w:bottom w:val="none" w:sz="0" w:space="0" w:color="auto"/>
                    <w:right w:val="none" w:sz="0" w:space="0" w:color="auto"/>
                  </w:divBdr>
                </w:div>
                <w:div w:id="479544844">
                  <w:marLeft w:val="0"/>
                  <w:marRight w:val="0"/>
                  <w:marTop w:val="0"/>
                  <w:marBottom w:val="0"/>
                  <w:divBdr>
                    <w:top w:val="none" w:sz="0" w:space="0" w:color="auto"/>
                    <w:left w:val="none" w:sz="0" w:space="0" w:color="auto"/>
                    <w:bottom w:val="none" w:sz="0" w:space="0" w:color="auto"/>
                    <w:right w:val="none" w:sz="0" w:space="0" w:color="auto"/>
                  </w:divBdr>
                </w:div>
                <w:div w:id="1534882941">
                  <w:marLeft w:val="0"/>
                  <w:marRight w:val="0"/>
                  <w:marTop w:val="0"/>
                  <w:marBottom w:val="0"/>
                  <w:divBdr>
                    <w:top w:val="none" w:sz="0" w:space="0" w:color="auto"/>
                    <w:left w:val="none" w:sz="0" w:space="0" w:color="auto"/>
                    <w:bottom w:val="none" w:sz="0" w:space="0" w:color="auto"/>
                    <w:right w:val="none" w:sz="0" w:space="0" w:color="auto"/>
                  </w:divBdr>
                </w:div>
                <w:div w:id="253322822">
                  <w:marLeft w:val="0"/>
                  <w:marRight w:val="0"/>
                  <w:marTop w:val="0"/>
                  <w:marBottom w:val="0"/>
                  <w:divBdr>
                    <w:top w:val="none" w:sz="0" w:space="0" w:color="auto"/>
                    <w:left w:val="none" w:sz="0" w:space="0" w:color="auto"/>
                    <w:bottom w:val="none" w:sz="0" w:space="0" w:color="auto"/>
                    <w:right w:val="none" w:sz="0" w:space="0" w:color="auto"/>
                  </w:divBdr>
                </w:div>
                <w:div w:id="677000141">
                  <w:marLeft w:val="0"/>
                  <w:marRight w:val="0"/>
                  <w:marTop w:val="0"/>
                  <w:marBottom w:val="0"/>
                  <w:divBdr>
                    <w:top w:val="none" w:sz="0" w:space="0" w:color="auto"/>
                    <w:left w:val="none" w:sz="0" w:space="0" w:color="auto"/>
                    <w:bottom w:val="none" w:sz="0" w:space="0" w:color="auto"/>
                    <w:right w:val="none" w:sz="0" w:space="0" w:color="auto"/>
                  </w:divBdr>
                </w:div>
                <w:div w:id="1572620362">
                  <w:marLeft w:val="0"/>
                  <w:marRight w:val="0"/>
                  <w:marTop w:val="0"/>
                  <w:marBottom w:val="0"/>
                  <w:divBdr>
                    <w:top w:val="none" w:sz="0" w:space="0" w:color="auto"/>
                    <w:left w:val="none" w:sz="0" w:space="0" w:color="auto"/>
                    <w:bottom w:val="none" w:sz="0" w:space="0" w:color="auto"/>
                    <w:right w:val="none" w:sz="0" w:space="0" w:color="auto"/>
                  </w:divBdr>
                </w:div>
                <w:div w:id="1639337835">
                  <w:marLeft w:val="0"/>
                  <w:marRight w:val="0"/>
                  <w:marTop w:val="0"/>
                  <w:marBottom w:val="0"/>
                  <w:divBdr>
                    <w:top w:val="none" w:sz="0" w:space="0" w:color="auto"/>
                    <w:left w:val="none" w:sz="0" w:space="0" w:color="auto"/>
                    <w:bottom w:val="none" w:sz="0" w:space="0" w:color="auto"/>
                    <w:right w:val="none" w:sz="0" w:space="0" w:color="auto"/>
                  </w:divBdr>
                </w:div>
                <w:div w:id="1822112048">
                  <w:marLeft w:val="0"/>
                  <w:marRight w:val="0"/>
                  <w:marTop w:val="0"/>
                  <w:marBottom w:val="0"/>
                  <w:divBdr>
                    <w:top w:val="none" w:sz="0" w:space="0" w:color="auto"/>
                    <w:left w:val="none" w:sz="0" w:space="0" w:color="auto"/>
                    <w:bottom w:val="none" w:sz="0" w:space="0" w:color="auto"/>
                    <w:right w:val="none" w:sz="0" w:space="0" w:color="auto"/>
                  </w:divBdr>
                </w:div>
                <w:div w:id="151067295">
                  <w:marLeft w:val="0"/>
                  <w:marRight w:val="0"/>
                  <w:marTop w:val="0"/>
                  <w:marBottom w:val="0"/>
                  <w:divBdr>
                    <w:top w:val="none" w:sz="0" w:space="0" w:color="auto"/>
                    <w:left w:val="none" w:sz="0" w:space="0" w:color="auto"/>
                    <w:bottom w:val="none" w:sz="0" w:space="0" w:color="auto"/>
                    <w:right w:val="none" w:sz="0" w:space="0" w:color="auto"/>
                  </w:divBdr>
                </w:div>
                <w:div w:id="1552645219">
                  <w:marLeft w:val="0"/>
                  <w:marRight w:val="0"/>
                  <w:marTop w:val="0"/>
                  <w:marBottom w:val="0"/>
                  <w:divBdr>
                    <w:top w:val="none" w:sz="0" w:space="0" w:color="auto"/>
                    <w:left w:val="none" w:sz="0" w:space="0" w:color="auto"/>
                    <w:bottom w:val="none" w:sz="0" w:space="0" w:color="auto"/>
                    <w:right w:val="none" w:sz="0" w:space="0" w:color="auto"/>
                  </w:divBdr>
                </w:div>
                <w:div w:id="206188249">
                  <w:marLeft w:val="0"/>
                  <w:marRight w:val="0"/>
                  <w:marTop w:val="0"/>
                  <w:marBottom w:val="0"/>
                  <w:divBdr>
                    <w:top w:val="none" w:sz="0" w:space="0" w:color="auto"/>
                    <w:left w:val="none" w:sz="0" w:space="0" w:color="auto"/>
                    <w:bottom w:val="none" w:sz="0" w:space="0" w:color="auto"/>
                    <w:right w:val="none" w:sz="0" w:space="0" w:color="auto"/>
                  </w:divBdr>
                </w:div>
                <w:div w:id="1434787786">
                  <w:marLeft w:val="0"/>
                  <w:marRight w:val="0"/>
                  <w:marTop w:val="0"/>
                  <w:marBottom w:val="0"/>
                  <w:divBdr>
                    <w:top w:val="none" w:sz="0" w:space="0" w:color="auto"/>
                    <w:left w:val="none" w:sz="0" w:space="0" w:color="auto"/>
                    <w:bottom w:val="none" w:sz="0" w:space="0" w:color="auto"/>
                    <w:right w:val="none" w:sz="0" w:space="0" w:color="auto"/>
                  </w:divBdr>
                </w:div>
                <w:div w:id="177431031">
                  <w:marLeft w:val="0"/>
                  <w:marRight w:val="0"/>
                  <w:marTop w:val="0"/>
                  <w:marBottom w:val="0"/>
                  <w:divBdr>
                    <w:top w:val="none" w:sz="0" w:space="0" w:color="auto"/>
                    <w:left w:val="none" w:sz="0" w:space="0" w:color="auto"/>
                    <w:bottom w:val="none" w:sz="0" w:space="0" w:color="auto"/>
                    <w:right w:val="none" w:sz="0" w:space="0" w:color="auto"/>
                  </w:divBdr>
                </w:div>
                <w:div w:id="1471751422">
                  <w:marLeft w:val="0"/>
                  <w:marRight w:val="0"/>
                  <w:marTop w:val="0"/>
                  <w:marBottom w:val="0"/>
                  <w:divBdr>
                    <w:top w:val="none" w:sz="0" w:space="0" w:color="auto"/>
                    <w:left w:val="none" w:sz="0" w:space="0" w:color="auto"/>
                    <w:bottom w:val="none" w:sz="0" w:space="0" w:color="auto"/>
                    <w:right w:val="none" w:sz="0" w:space="0" w:color="auto"/>
                  </w:divBdr>
                </w:div>
                <w:div w:id="823932285">
                  <w:marLeft w:val="0"/>
                  <w:marRight w:val="0"/>
                  <w:marTop w:val="0"/>
                  <w:marBottom w:val="0"/>
                  <w:divBdr>
                    <w:top w:val="none" w:sz="0" w:space="0" w:color="auto"/>
                    <w:left w:val="none" w:sz="0" w:space="0" w:color="auto"/>
                    <w:bottom w:val="none" w:sz="0" w:space="0" w:color="auto"/>
                    <w:right w:val="none" w:sz="0" w:space="0" w:color="auto"/>
                  </w:divBdr>
                </w:div>
                <w:div w:id="495344378">
                  <w:marLeft w:val="0"/>
                  <w:marRight w:val="0"/>
                  <w:marTop w:val="0"/>
                  <w:marBottom w:val="0"/>
                  <w:divBdr>
                    <w:top w:val="none" w:sz="0" w:space="0" w:color="auto"/>
                    <w:left w:val="none" w:sz="0" w:space="0" w:color="auto"/>
                    <w:bottom w:val="none" w:sz="0" w:space="0" w:color="auto"/>
                    <w:right w:val="none" w:sz="0" w:space="0" w:color="auto"/>
                  </w:divBdr>
                </w:div>
                <w:div w:id="1108038593">
                  <w:marLeft w:val="0"/>
                  <w:marRight w:val="0"/>
                  <w:marTop w:val="0"/>
                  <w:marBottom w:val="0"/>
                  <w:divBdr>
                    <w:top w:val="none" w:sz="0" w:space="0" w:color="auto"/>
                    <w:left w:val="none" w:sz="0" w:space="0" w:color="auto"/>
                    <w:bottom w:val="none" w:sz="0" w:space="0" w:color="auto"/>
                    <w:right w:val="none" w:sz="0" w:space="0" w:color="auto"/>
                  </w:divBdr>
                </w:div>
                <w:div w:id="1187674121">
                  <w:marLeft w:val="0"/>
                  <w:marRight w:val="0"/>
                  <w:marTop w:val="0"/>
                  <w:marBottom w:val="0"/>
                  <w:divBdr>
                    <w:top w:val="none" w:sz="0" w:space="0" w:color="auto"/>
                    <w:left w:val="none" w:sz="0" w:space="0" w:color="auto"/>
                    <w:bottom w:val="none" w:sz="0" w:space="0" w:color="auto"/>
                    <w:right w:val="none" w:sz="0" w:space="0" w:color="auto"/>
                  </w:divBdr>
                </w:div>
                <w:div w:id="330064562">
                  <w:marLeft w:val="0"/>
                  <w:marRight w:val="0"/>
                  <w:marTop w:val="0"/>
                  <w:marBottom w:val="0"/>
                  <w:divBdr>
                    <w:top w:val="none" w:sz="0" w:space="0" w:color="auto"/>
                    <w:left w:val="none" w:sz="0" w:space="0" w:color="auto"/>
                    <w:bottom w:val="none" w:sz="0" w:space="0" w:color="auto"/>
                    <w:right w:val="none" w:sz="0" w:space="0" w:color="auto"/>
                  </w:divBdr>
                </w:div>
                <w:div w:id="1631402818">
                  <w:marLeft w:val="0"/>
                  <w:marRight w:val="0"/>
                  <w:marTop w:val="0"/>
                  <w:marBottom w:val="0"/>
                  <w:divBdr>
                    <w:top w:val="none" w:sz="0" w:space="0" w:color="auto"/>
                    <w:left w:val="none" w:sz="0" w:space="0" w:color="auto"/>
                    <w:bottom w:val="none" w:sz="0" w:space="0" w:color="auto"/>
                    <w:right w:val="none" w:sz="0" w:space="0" w:color="auto"/>
                  </w:divBdr>
                </w:div>
                <w:div w:id="1828328619">
                  <w:marLeft w:val="0"/>
                  <w:marRight w:val="0"/>
                  <w:marTop w:val="0"/>
                  <w:marBottom w:val="0"/>
                  <w:divBdr>
                    <w:top w:val="none" w:sz="0" w:space="0" w:color="auto"/>
                    <w:left w:val="none" w:sz="0" w:space="0" w:color="auto"/>
                    <w:bottom w:val="none" w:sz="0" w:space="0" w:color="auto"/>
                    <w:right w:val="none" w:sz="0" w:space="0" w:color="auto"/>
                  </w:divBdr>
                </w:div>
                <w:div w:id="47464650">
                  <w:marLeft w:val="0"/>
                  <w:marRight w:val="0"/>
                  <w:marTop w:val="0"/>
                  <w:marBottom w:val="0"/>
                  <w:divBdr>
                    <w:top w:val="none" w:sz="0" w:space="0" w:color="auto"/>
                    <w:left w:val="none" w:sz="0" w:space="0" w:color="auto"/>
                    <w:bottom w:val="none" w:sz="0" w:space="0" w:color="auto"/>
                    <w:right w:val="none" w:sz="0" w:space="0" w:color="auto"/>
                  </w:divBdr>
                </w:div>
                <w:div w:id="762338758">
                  <w:marLeft w:val="0"/>
                  <w:marRight w:val="0"/>
                  <w:marTop w:val="0"/>
                  <w:marBottom w:val="0"/>
                  <w:divBdr>
                    <w:top w:val="none" w:sz="0" w:space="0" w:color="auto"/>
                    <w:left w:val="none" w:sz="0" w:space="0" w:color="auto"/>
                    <w:bottom w:val="none" w:sz="0" w:space="0" w:color="auto"/>
                    <w:right w:val="none" w:sz="0" w:space="0" w:color="auto"/>
                  </w:divBdr>
                </w:div>
                <w:div w:id="350495436">
                  <w:marLeft w:val="0"/>
                  <w:marRight w:val="0"/>
                  <w:marTop w:val="0"/>
                  <w:marBottom w:val="0"/>
                  <w:divBdr>
                    <w:top w:val="none" w:sz="0" w:space="0" w:color="auto"/>
                    <w:left w:val="none" w:sz="0" w:space="0" w:color="auto"/>
                    <w:bottom w:val="none" w:sz="0" w:space="0" w:color="auto"/>
                    <w:right w:val="none" w:sz="0" w:space="0" w:color="auto"/>
                  </w:divBdr>
                </w:div>
                <w:div w:id="1972007360">
                  <w:marLeft w:val="0"/>
                  <w:marRight w:val="0"/>
                  <w:marTop w:val="0"/>
                  <w:marBottom w:val="0"/>
                  <w:divBdr>
                    <w:top w:val="none" w:sz="0" w:space="0" w:color="auto"/>
                    <w:left w:val="none" w:sz="0" w:space="0" w:color="auto"/>
                    <w:bottom w:val="none" w:sz="0" w:space="0" w:color="auto"/>
                    <w:right w:val="none" w:sz="0" w:space="0" w:color="auto"/>
                  </w:divBdr>
                </w:div>
                <w:div w:id="1953199690">
                  <w:marLeft w:val="0"/>
                  <w:marRight w:val="0"/>
                  <w:marTop w:val="0"/>
                  <w:marBottom w:val="0"/>
                  <w:divBdr>
                    <w:top w:val="none" w:sz="0" w:space="0" w:color="auto"/>
                    <w:left w:val="none" w:sz="0" w:space="0" w:color="auto"/>
                    <w:bottom w:val="none" w:sz="0" w:space="0" w:color="auto"/>
                    <w:right w:val="none" w:sz="0" w:space="0" w:color="auto"/>
                  </w:divBdr>
                </w:div>
                <w:div w:id="7119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5791">
          <w:marLeft w:val="0"/>
          <w:marRight w:val="0"/>
          <w:marTop w:val="15"/>
          <w:marBottom w:val="0"/>
          <w:divBdr>
            <w:top w:val="none" w:sz="0" w:space="0" w:color="auto"/>
            <w:left w:val="none" w:sz="0" w:space="0" w:color="auto"/>
            <w:bottom w:val="none" w:sz="0" w:space="0" w:color="auto"/>
            <w:right w:val="none" w:sz="0" w:space="0" w:color="auto"/>
          </w:divBdr>
          <w:divsChild>
            <w:div w:id="586618962">
              <w:marLeft w:val="0"/>
              <w:marRight w:val="0"/>
              <w:marTop w:val="0"/>
              <w:marBottom w:val="0"/>
              <w:divBdr>
                <w:top w:val="none" w:sz="0" w:space="0" w:color="auto"/>
                <w:left w:val="none" w:sz="0" w:space="0" w:color="auto"/>
                <w:bottom w:val="none" w:sz="0" w:space="0" w:color="auto"/>
                <w:right w:val="none" w:sz="0" w:space="0" w:color="auto"/>
              </w:divBdr>
              <w:divsChild>
                <w:div w:id="450979554">
                  <w:marLeft w:val="0"/>
                  <w:marRight w:val="0"/>
                  <w:marTop w:val="0"/>
                  <w:marBottom w:val="0"/>
                  <w:divBdr>
                    <w:top w:val="none" w:sz="0" w:space="0" w:color="auto"/>
                    <w:left w:val="none" w:sz="0" w:space="0" w:color="auto"/>
                    <w:bottom w:val="none" w:sz="0" w:space="0" w:color="auto"/>
                    <w:right w:val="none" w:sz="0" w:space="0" w:color="auto"/>
                  </w:divBdr>
                </w:div>
                <w:div w:id="366561565">
                  <w:marLeft w:val="0"/>
                  <w:marRight w:val="0"/>
                  <w:marTop w:val="0"/>
                  <w:marBottom w:val="0"/>
                  <w:divBdr>
                    <w:top w:val="none" w:sz="0" w:space="0" w:color="auto"/>
                    <w:left w:val="none" w:sz="0" w:space="0" w:color="auto"/>
                    <w:bottom w:val="none" w:sz="0" w:space="0" w:color="auto"/>
                    <w:right w:val="none" w:sz="0" w:space="0" w:color="auto"/>
                  </w:divBdr>
                </w:div>
                <w:div w:id="147943483">
                  <w:marLeft w:val="0"/>
                  <w:marRight w:val="0"/>
                  <w:marTop w:val="0"/>
                  <w:marBottom w:val="0"/>
                  <w:divBdr>
                    <w:top w:val="none" w:sz="0" w:space="0" w:color="auto"/>
                    <w:left w:val="none" w:sz="0" w:space="0" w:color="auto"/>
                    <w:bottom w:val="none" w:sz="0" w:space="0" w:color="auto"/>
                    <w:right w:val="none" w:sz="0" w:space="0" w:color="auto"/>
                  </w:divBdr>
                </w:div>
                <w:div w:id="579290825">
                  <w:marLeft w:val="0"/>
                  <w:marRight w:val="0"/>
                  <w:marTop w:val="0"/>
                  <w:marBottom w:val="0"/>
                  <w:divBdr>
                    <w:top w:val="none" w:sz="0" w:space="0" w:color="auto"/>
                    <w:left w:val="none" w:sz="0" w:space="0" w:color="auto"/>
                    <w:bottom w:val="none" w:sz="0" w:space="0" w:color="auto"/>
                    <w:right w:val="none" w:sz="0" w:space="0" w:color="auto"/>
                  </w:divBdr>
                </w:div>
                <w:div w:id="981806497">
                  <w:marLeft w:val="0"/>
                  <w:marRight w:val="0"/>
                  <w:marTop w:val="0"/>
                  <w:marBottom w:val="0"/>
                  <w:divBdr>
                    <w:top w:val="none" w:sz="0" w:space="0" w:color="auto"/>
                    <w:left w:val="none" w:sz="0" w:space="0" w:color="auto"/>
                    <w:bottom w:val="none" w:sz="0" w:space="0" w:color="auto"/>
                    <w:right w:val="none" w:sz="0" w:space="0" w:color="auto"/>
                  </w:divBdr>
                </w:div>
                <w:div w:id="48841882">
                  <w:marLeft w:val="0"/>
                  <w:marRight w:val="0"/>
                  <w:marTop w:val="0"/>
                  <w:marBottom w:val="0"/>
                  <w:divBdr>
                    <w:top w:val="none" w:sz="0" w:space="0" w:color="auto"/>
                    <w:left w:val="none" w:sz="0" w:space="0" w:color="auto"/>
                    <w:bottom w:val="none" w:sz="0" w:space="0" w:color="auto"/>
                    <w:right w:val="none" w:sz="0" w:space="0" w:color="auto"/>
                  </w:divBdr>
                </w:div>
                <w:div w:id="1779250185">
                  <w:marLeft w:val="0"/>
                  <w:marRight w:val="0"/>
                  <w:marTop w:val="0"/>
                  <w:marBottom w:val="0"/>
                  <w:divBdr>
                    <w:top w:val="none" w:sz="0" w:space="0" w:color="auto"/>
                    <w:left w:val="none" w:sz="0" w:space="0" w:color="auto"/>
                    <w:bottom w:val="none" w:sz="0" w:space="0" w:color="auto"/>
                    <w:right w:val="none" w:sz="0" w:space="0" w:color="auto"/>
                  </w:divBdr>
                </w:div>
                <w:div w:id="1513104496">
                  <w:marLeft w:val="0"/>
                  <w:marRight w:val="0"/>
                  <w:marTop w:val="0"/>
                  <w:marBottom w:val="0"/>
                  <w:divBdr>
                    <w:top w:val="none" w:sz="0" w:space="0" w:color="auto"/>
                    <w:left w:val="none" w:sz="0" w:space="0" w:color="auto"/>
                    <w:bottom w:val="none" w:sz="0" w:space="0" w:color="auto"/>
                    <w:right w:val="none" w:sz="0" w:space="0" w:color="auto"/>
                  </w:divBdr>
                </w:div>
                <w:div w:id="1931427086">
                  <w:marLeft w:val="0"/>
                  <w:marRight w:val="0"/>
                  <w:marTop w:val="0"/>
                  <w:marBottom w:val="0"/>
                  <w:divBdr>
                    <w:top w:val="none" w:sz="0" w:space="0" w:color="auto"/>
                    <w:left w:val="none" w:sz="0" w:space="0" w:color="auto"/>
                    <w:bottom w:val="none" w:sz="0" w:space="0" w:color="auto"/>
                    <w:right w:val="none" w:sz="0" w:space="0" w:color="auto"/>
                  </w:divBdr>
                </w:div>
                <w:div w:id="1608468288">
                  <w:marLeft w:val="0"/>
                  <w:marRight w:val="0"/>
                  <w:marTop w:val="0"/>
                  <w:marBottom w:val="0"/>
                  <w:divBdr>
                    <w:top w:val="none" w:sz="0" w:space="0" w:color="auto"/>
                    <w:left w:val="none" w:sz="0" w:space="0" w:color="auto"/>
                    <w:bottom w:val="none" w:sz="0" w:space="0" w:color="auto"/>
                    <w:right w:val="none" w:sz="0" w:space="0" w:color="auto"/>
                  </w:divBdr>
                </w:div>
                <w:div w:id="30811187">
                  <w:marLeft w:val="0"/>
                  <w:marRight w:val="0"/>
                  <w:marTop w:val="0"/>
                  <w:marBottom w:val="0"/>
                  <w:divBdr>
                    <w:top w:val="none" w:sz="0" w:space="0" w:color="auto"/>
                    <w:left w:val="none" w:sz="0" w:space="0" w:color="auto"/>
                    <w:bottom w:val="none" w:sz="0" w:space="0" w:color="auto"/>
                    <w:right w:val="none" w:sz="0" w:space="0" w:color="auto"/>
                  </w:divBdr>
                </w:div>
                <w:div w:id="1269775970">
                  <w:marLeft w:val="0"/>
                  <w:marRight w:val="0"/>
                  <w:marTop w:val="0"/>
                  <w:marBottom w:val="0"/>
                  <w:divBdr>
                    <w:top w:val="none" w:sz="0" w:space="0" w:color="auto"/>
                    <w:left w:val="none" w:sz="0" w:space="0" w:color="auto"/>
                    <w:bottom w:val="none" w:sz="0" w:space="0" w:color="auto"/>
                    <w:right w:val="none" w:sz="0" w:space="0" w:color="auto"/>
                  </w:divBdr>
                </w:div>
                <w:div w:id="1363092173">
                  <w:marLeft w:val="0"/>
                  <w:marRight w:val="0"/>
                  <w:marTop w:val="0"/>
                  <w:marBottom w:val="0"/>
                  <w:divBdr>
                    <w:top w:val="none" w:sz="0" w:space="0" w:color="auto"/>
                    <w:left w:val="none" w:sz="0" w:space="0" w:color="auto"/>
                    <w:bottom w:val="none" w:sz="0" w:space="0" w:color="auto"/>
                    <w:right w:val="none" w:sz="0" w:space="0" w:color="auto"/>
                  </w:divBdr>
                </w:div>
                <w:div w:id="926615484">
                  <w:marLeft w:val="0"/>
                  <w:marRight w:val="0"/>
                  <w:marTop w:val="0"/>
                  <w:marBottom w:val="0"/>
                  <w:divBdr>
                    <w:top w:val="none" w:sz="0" w:space="0" w:color="auto"/>
                    <w:left w:val="none" w:sz="0" w:space="0" w:color="auto"/>
                    <w:bottom w:val="none" w:sz="0" w:space="0" w:color="auto"/>
                    <w:right w:val="none" w:sz="0" w:space="0" w:color="auto"/>
                  </w:divBdr>
                </w:div>
                <w:div w:id="1354838984">
                  <w:marLeft w:val="0"/>
                  <w:marRight w:val="0"/>
                  <w:marTop w:val="0"/>
                  <w:marBottom w:val="0"/>
                  <w:divBdr>
                    <w:top w:val="none" w:sz="0" w:space="0" w:color="auto"/>
                    <w:left w:val="none" w:sz="0" w:space="0" w:color="auto"/>
                    <w:bottom w:val="none" w:sz="0" w:space="0" w:color="auto"/>
                    <w:right w:val="none" w:sz="0" w:space="0" w:color="auto"/>
                  </w:divBdr>
                </w:div>
                <w:div w:id="387845432">
                  <w:marLeft w:val="0"/>
                  <w:marRight w:val="0"/>
                  <w:marTop w:val="0"/>
                  <w:marBottom w:val="0"/>
                  <w:divBdr>
                    <w:top w:val="none" w:sz="0" w:space="0" w:color="auto"/>
                    <w:left w:val="none" w:sz="0" w:space="0" w:color="auto"/>
                    <w:bottom w:val="none" w:sz="0" w:space="0" w:color="auto"/>
                    <w:right w:val="none" w:sz="0" w:space="0" w:color="auto"/>
                  </w:divBdr>
                </w:div>
                <w:div w:id="840387591">
                  <w:marLeft w:val="0"/>
                  <w:marRight w:val="0"/>
                  <w:marTop w:val="0"/>
                  <w:marBottom w:val="0"/>
                  <w:divBdr>
                    <w:top w:val="none" w:sz="0" w:space="0" w:color="auto"/>
                    <w:left w:val="none" w:sz="0" w:space="0" w:color="auto"/>
                    <w:bottom w:val="none" w:sz="0" w:space="0" w:color="auto"/>
                    <w:right w:val="none" w:sz="0" w:space="0" w:color="auto"/>
                  </w:divBdr>
                </w:div>
                <w:div w:id="1337659126">
                  <w:marLeft w:val="0"/>
                  <w:marRight w:val="0"/>
                  <w:marTop w:val="0"/>
                  <w:marBottom w:val="0"/>
                  <w:divBdr>
                    <w:top w:val="none" w:sz="0" w:space="0" w:color="auto"/>
                    <w:left w:val="none" w:sz="0" w:space="0" w:color="auto"/>
                    <w:bottom w:val="none" w:sz="0" w:space="0" w:color="auto"/>
                    <w:right w:val="none" w:sz="0" w:space="0" w:color="auto"/>
                  </w:divBdr>
                </w:div>
                <w:div w:id="188491852">
                  <w:marLeft w:val="0"/>
                  <w:marRight w:val="0"/>
                  <w:marTop w:val="0"/>
                  <w:marBottom w:val="0"/>
                  <w:divBdr>
                    <w:top w:val="none" w:sz="0" w:space="0" w:color="auto"/>
                    <w:left w:val="none" w:sz="0" w:space="0" w:color="auto"/>
                    <w:bottom w:val="none" w:sz="0" w:space="0" w:color="auto"/>
                    <w:right w:val="none" w:sz="0" w:space="0" w:color="auto"/>
                  </w:divBdr>
                </w:div>
                <w:div w:id="69272413">
                  <w:marLeft w:val="0"/>
                  <w:marRight w:val="0"/>
                  <w:marTop w:val="0"/>
                  <w:marBottom w:val="0"/>
                  <w:divBdr>
                    <w:top w:val="none" w:sz="0" w:space="0" w:color="auto"/>
                    <w:left w:val="none" w:sz="0" w:space="0" w:color="auto"/>
                    <w:bottom w:val="none" w:sz="0" w:space="0" w:color="auto"/>
                    <w:right w:val="none" w:sz="0" w:space="0" w:color="auto"/>
                  </w:divBdr>
                </w:div>
                <w:div w:id="2121949795">
                  <w:marLeft w:val="0"/>
                  <w:marRight w:val="0"/>
                  <w:marTop w:val="0"/>
                  <w:marBottom w:val="0"/>
                  <w:divBdr>
                    <w:top w:val="none" w:sz="0" w:space="0" w:color="auto"/>
                    <w:left w:val="none" w:sz="0" w:space="0" w:color="auto"/>
                    <w:bottom w:val="none" w:sz="0" w:space="0" w:color="auto"/>
                    <w:right w:val="none" w:sz="0" w:space="0" w:color="auto"/>
                  </w:divBdr>
                </w:div>
                <w:div w:id="591668497">
                  <w:marLeft w:val="0"/>
                  <w:marRight w:val="0"/>
                  <w:marTop w:val="0"/>
                  <w:marBottom w:val="0"/>
                  <w:divBdr>
                    <w:top w:val="none" w:sz="0" w:space="0" w:color="auto"/>
                    <w:left w:val="none" w:sz="0" w:space="0" w:color="auto"/>
                    <w:bottom w:val="none" w:sz="0" w:space="0" w:color="auto"/>
                    <w:right w:val="none" w:sz="0" w:space="0" w:color="auto"/>
                  </w:divBdr>
                </w:div>
                <w:div w:id="142739935">
                  <w:marLeft w:val="0"/>
                  <w:marRight w:val="0"/>
                  <w:marTop w:val="0"/>
                  <w:marBottom w:val="0"/>
                  <w:divBdr>
                    <w:top w:val="none" w:sz="0" w:space="0" w:color="auto"/>
                    <w:left w:val="none" w:sz="0" w:space="0" w:color="auto"/>
                    <w:bottom w:val="none" w:sz="0" w:space="0" w:color="auto"/>
                    <w:right w:val="none" w:sz="0" w:space="0" w:color="auto"/>
                  </w:divBdr>
                </w:div>
                <w:div w:id="1096098270">
                  <w:marLeft w:val="0"/>
                  <w:marRight w:val="0"/>
                  <w:marTop w:val="0"/>
                  <w:marBottom w:val="0"/>
                  <w:divBdr>
                    <w:top w:val="none" w:sz="0" w:space="0" w:color="auto"/>
                    <w:left w:val="none" w:sz="0" w:space="0" w:color="auto"/>
                    <w:bottom w:val="none" w:sz="0" w:space="0" w:color="auto"/>
                    <w:right w:val="none" w:sz="0" w:space="0" w:color="auto"/>
                  </w:divBdr>
                </w:div>
                <w:div w:id="1584413688">
                  <w:marLeft w:val="0"/>
                  <w:marRight w:val="0"/>
                  <w:marTop w:val="0"/>
                  <w:marBottom w:val="0"/>
                  <w:divBdr>
                    <w:top w:val="none" w:sz="0" w:space="0" w:color="auto"/>
                    <w:left w:val="none" w:sz="0" w:space="0" w:color="auto"/>
                    <w:bottom w:val="none" w:sz="0" w:space="0" w:color="auto"/>
                    <w:right w:val="none" w:sz="0" w:space="0" w:color="auto"/>
                  </w:divBdr>
                </w:div>
                <w:div w:id="897328391">
                  <w:marLeft w:val="0"/>
                  <w:marRight w:val="0"/>
                  <w:marTop w:val="0"/>
                  <w:marBottom w:val="0"/>
                  <w:divBdr>
                    <w:top w:val="none" w:sz="0" w:space="0" w:color="auto"/>
                    <w:left w:val="none" w:sz="0" w:space="0" w:color="auto"/>
                    <w:bottom w:val="none" w:sz="0" w:space="0" w:color="auto"/>
                    <w:right w:val="none" w:sz="0" w:space="0" w:color="auto"/>
                  </w:divBdr>
                </w:div>
                <w:div w:id="2582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84797">
          <w:marLeft w:val="0"/>
          <w:marRight w:val="0"/>
          <w:marTop w:val="15"/>
          <w:marBottom w:val="0"/>
          <w:divBdr>
            <w:top w:val="none" w:sz="0" w:space="0" w:color="auto"/>
            <w:left w:val="none" w:sz="0" w:space="0" w:color="auto"/>
            <w:bottom w:val="none" w:sz="0" w:space="0" w:color="auto"/>
            <w:right w:val="none" w:sz="0" w:space="0" w:color="auto"/>
          </w:divBdr>
          <w:divsChild>
            <w:div w:id="1783918785">
              <w:marLeft w:val="0"/>
              <w:marRight w:val="0"/>
              <w:marTop w:val="0"/>
              <w:marBottom w:val="0"/>
              <w:divBdr>
                <w:top w:val="none" w:sz="0" w:space="0" w:color="auto"/>
                <w:left w:val="none" w:sz="0" w:space="0" w:color="auto"/>
                <w:bottom w:val="none" w:sz="0" w:space="0" w:color="auto"/>
                <w:right w:val="none" w:sz="0" w:space="0" w:color="auto"/>
              </w:divBdr>
              <w:divsChild>
                <w:div w:id="1734280448">
                  <w:marLeft w:val="0"/>
                  <w:marRight w:val="0"/>
                  <w:marTop w:val="0"/>
                  <w:marBottom w:val="0"/>
                  <w:divBdr>
                    <w:top w:val="none" w:sz="0" w:space="0" w:color="auto"/>
                    <w:left w:val="none" w:sz="0" w:space="0" w:color="auto"/>
                    <w:bottom w:val="none" w:sz="0" w:space="0" w:color="auto"/>
                    <w:right w:val="none" w:sz="0" w:space="0" w:color="auto"/>
                  </w:divBdr>
                </w:div>
                <w:div w:id="1405641972">
                  <w:marLeft w:val="0"/>
                  <w:marRight w:val="0"/>
                  <w:marTop w:val="0"/>
                  <w:marBottom w:val="0"/>
                  <w:divBdr>
                    <w:top w:val="none" w:sz="0" w:space="0" w:color="auto"/>
                    <w:left w:val="none" w:sz="0" w:space="0" w:color="auto"/>
                    <w:bottom w:val="none" w:sz="0" w:space="0" w:color="auto"/>
                    <w:right w:val="none" w:sz="0" w:space="0" w:color="auto"/>
                  </w:divBdr>
                </w:div>
                <w:div w:id="362292321">
                  <w:marLeft w:val="0"/>
                  <w:marRight w:val="0"/>
                  <w:marTop w:val="0"/>
                  <w:marBottom w:val="0"/>
                  <w:divBdr>
                    <w:top w:val="none" w:sz="0" w:space="0" w:color="auto"/>
                    <w:left w:val="none" w:sz="0" w:space="0" w:color="auto"/>
                    <w:bottom w:val="none" w:sz="0" w:space="0" w:color="auto"/>
                    <w:right w:val="none" w:sz="0" w:space="0" w:color="auto"/>
                  </w:divBdr>
                </w:div>
                <w:div w:id="601688100">
                  <w:marLeft w:val="0"/>
                  <w:marRight w:val="0"/>
                  <w:marTop w:val="0"/>
                  <w:marBottom w:val="0"/>
                  <w:divBdr>
                    <w:top w:val="none" w:sz="0" w:space="0" w:color="auto"/>
                    <w:left w:val="none" w:sz="0" w:space="0" w:color="auto"/>
                    <w:bottom w:val="none" w:sz="0" w:space="0" w:color="auto"/>
                    <w:right w:val="none" w:sz="0" w:space="0" w:color="auto"/>
                  </w:divBdr>
                </w:div>
                <w:div w:id="1438914707">
                  <w:marLeft w:val="0"/>
                  <w:marRight w:val="0"/>
                  <w:marTop w:val="0"/>
                  <w:marBottom w:val="0"/>
                  <w:divBdr>
                    <w:top w:val="none" w:sz="0" w:space="0" w:color="auto"/>
                    <w:left w:val="none" w:sz="0" w:space="0" w:color="auto"/>
                    <w:bottom w:val="none" w:sz="0" w:space="0" w:color="auto"/>
                    <w:right w:val="none" w:sz="0" w:space="0" w:color="auto"/>
                  </w:divBdr>
                </w:div>
                <w:div w:id="1040015748">
                  <w:marLeft w:val="0"/>
                  <w:marRight w:val="0"/>
                  <w:marTop w:val="0"/>
                  <w:marBottom w:val="0"/>
                  <w:divBdr>
                    <w:top w:val="none" w:sz="0" w:space="0" w:color="auto"/>
                    <w:left w:val="none" w:sz="0" w:space="0" w:color="auto"/>
                    <w:bottom w:val="none" w:sz="0" w:space="0" w:color="auto"/>
                    <w:right w:val="none" w:sz="0" w:space="0" w:color="auto"/>
                  </w:divBdr>
                </w:div>
                <w:div w:id="454063908">
                  <w:marLeft w:val="0"/>
                  <w:marRight w:val="0"/>
                  <w:marTop w:val="0"/>
                  <w:marBottom w:val="0"/>
                  <w:divBdr>
                    <w:top w:val="none" w:sz="0" w:space="0" w:color="auto"/>
                    <w:left w:val="none" w:sz="0" w:space="0" w:color="auto"/>
                    <w:bottom w:val="none" w:sz="0" w:space="0" w:color="auto"/>
                    <w:right w:val="none" w:sz="0" w:space="0" w:color="auto"/>
                  </w:divBdr>
                </w:div>
                <w:div w:id="1139881054">
                  <w:marLeft w:val="0"/>
                  <w:marRight w:val="0"/>
                  <w:marTop w:val="0"/>
                  <w:marBottom w:val="0"/>
                  <w:divBdr>
                    <w:top w:val="none" w:sz="0" w:space="0" w:color="auto"/>
                    <w:left w:val="none" w:sz="0" w:space="0" w:color="auto"/>
                    <w:bottom w:val="none" w:sz="0" w:space="0" w:color="auto"/>
                    <w:right w:val="none" w:sz="0" w:space="0" w:color="auto"/>
                  </w:divBdr>
                </w:div>
                <w:div w:id="267860303">
                  <w:marLeft w:val="0"/>
                  <w:marRight w:val="0"/>
                  <w:marTop w:val="0"/>
                  <w:marBottom w:val="0"/>
                  <w:divBdr>
                    <w:top w:val="none" w:sz="0" w:space="0" w:color="auto"/>
                    <w:left w:val="none" w:sz="0" w:space="0" w:color="auto"/>
                    <w:bottom w:val="none" w:sz="0" w:space="0" w:color="auto"/>
                    <w:right w:val="none" w:sz="0" w:space="0" w:color="auto"/>
                  </w:divBdr>
                </w:div>
                <w:div w:id="356128148">
                  <w:marLeft w:val="0"/>
                  <w:marRight w:val="0"/>
                  <w:marTop w:val="0"/>
                  <w:marBottom w:val="0"/>
                  <w:divBdr>
                    <w:top w:val="none" w:sz="0" w:space="0" w:color="auto"/>
                    <w:left w:val="none" w:sz="0" w:space="0" w:color="auto"/>
                    <w:bottom w:val="none" w:sz="0" w:space="0" w:color="auto"/>
                    <w:right w:val="none" w:sz="0" w:space="0" w:color="auto"/>
                  </w:divBdr>
                </w:div>
                <w:div w:id="1281457123">
                  <w:marLeft w:val="0"/>
                  <w:marRight w:val="0"/>
                  <w:marTop w:val="0"/>
                  <w:marBottom w:val="0"/>
                  <w:divBdr>
                    <w:top w:val="none" w:sz="0" w:space="0" w:color="auto"/>
                    <w:left w:val="none" w:sz="0" w:space="0" w:color="auto"/>
                    <w:bottom w:val="none" w:sz="0" w:space="0" w:color="auto"/>
                    <w:right w:val="none" w:sz="0" w:space="0" w:color="auto"/>
                  </w:divBdr>
                </w:div>
                <w:div w:id="1579318249">
                  <w:marLeft w:val="0"/>
                  <w:marRight w:val="0"/>
                  <w:marTop w:val="0"/>
                  <w:marBottom w:val="0"/>
                  <w:divBdr>
                    <w:top w:val="none" w:sz="0" w:space="0" w:color="auto"/>
                    <w:left w:val="none" w:sz="0" w:space="0" w:color="auto"/>
                    <w:bottom w:val="none" w:sz="0" w:space="0" w:color="auto"/>
                    <w:right w:val="none" w:sz="0" w:space="0" w:color="auto"/>
                  </w:divBdr>
                </w:div>
                <w:div w:id="1306620819">
                  <w:marLeft w:val="0"/>
                  <w:marRight w:val="0"/>
                  <w:marTop w:val="0"/>
                  <w:marBottom w:val="0"/>
                  <w:divBdr>
                    <w:top w:val="none" w:sz="0" w:space="0" w:color="auto"/>
                    <w:left w:val="none" w:sz="0" w:space="0" w:color="auto"/>
                    <w:bottom w:val="none" w:sz="0" w:space="0" w:color="auto"/>
                    <w:right w:val="none" w:sz="0" w:space="0" w:color="auto"/>
                  </w:divBdr>
                </w:div>
                <w:div w:id="1741319918">
                  <w:marLeft w:val="0"/>
                  <w:marRight w:val="0"/>
                  <w:marTop w:val="0"/>
                  <w:marBottom w:val="0"/>
                  <w:divBdr>
                    <w:top w:val="none" w:sz="0" w:space="0" w:color="auto"/>
                    <w:left w:val="none" w:sz="0" w:space="0" w:color="auto"/>
                    <w:bottom w:val="none" w:sz="0" w:space="0" w:color="auto"/>
                    <w:right w:val="none" w:sz="0" w:space="0" w:color="auto"/>
                  </w:divBdr>
                </w:div>
                <w:div w:id="1265765697">
                  <w:marLeft w:val="0"/>
                  <w:marRight w:val="0"/>
                  <w:marTop w:val="0"/>
                  <w:marBottom w:val="0"/>
                  <w:divBdr>
                    <w:top w:val="none" w:sz="0" w:space="0" w:color="auto"/>
                    <w:left w:val="none" w:sz="0" w:space="0" w:color="auto"/>
                    <w:bottom w:val="none" w:sz="0" w:space="0" w:color="auto"/>
                    <w:right w:val="none" w:sz="0" w:space="0" w:color="auto"/>
                  </w:divBdr>
                </w:div>
                <w:div w:id="15350888">
                  <w:marLeft w:val="0"/>
                  <w:marRight w:val="0"/>
                  <w:marTop w:val="0"/>
                  <w:marBottom w:val="0"/>
                  <w:divBdr>
                    <w:top w:val="none" w:sz="0" w:space="0" w:color="auto"/>
                    <w:left w:val="none" w:sz="0" w:space="0" w:color="auto"/>
                    <w:bottom w:val="none" w:sz="0" w:space="0" w:color="auto"/>
                    <w:right w:val="none" w:sz="0" w:space="0" w:color="auto"/>
                  </w:divBdr>
                </w:div>
                <w:div w:id="2139490919">
                  <w:marLeft w:val="0"/>
                  <w:marRight w:val="0"/>
                  <w:marTop w:val="0"/>
                  <w:marBottom w:val="0"/>
                  <w:divBdr>
                    <w:top w:val="none" w:sz="0" w:space="0" w:color="auto"/>
                    <w:left w:val="none" w:sz="0" w:space="0" w:color="auto"/>
                    <w:bottom w:val="none" w:sz="0" w:space="0" w:color="auto"/>
                    <w:right w:val="none" w:sz="0" w:space="0" w:color="auto"/>
                  </w:divBdr>
                </w:div>
                <w:div w:id="628363626">
                  <w:marLeft w:val="0"/>
                  <w:marRight w:val="0"/>
                  <w:marTop w:val="0"/>
                  <w:marBottom w:val="0"/>
                  <w:divBdr>
                    <w:top w:val="none" w:sz="0" w:space="0" w:color="auto"/>
                    <w:left w:val="none" w:sz="0" w:space="0" w:color="auto"/>
                    <w:bottom w:val="none" w:sz="0" w:space="0" w:color="auto"/>
                    <w:right w:val="none" w:sz="0" w:space="0" w:color="auto"/>
                  </w:divBdr>
                </w:div>
                <w:div w:id="659775428">
                  <w:marLeft w:val="0"/>
                  <w:marRight w:val="0"/>
                  <w:marTop w:val="0"/>
                  <w:marBottom w:val="0"/>
                  <w:divBdr>
                    <w:top w:val="none" w:sz="0" w:space="0" w:color="auto"/>
                    <w:left w:val="none" w:sz="0" w:space="0" w:color="auto"/>
                    <w:bottom w:val="none" w:sz="0" w:space="0" w:color="auto"/>
                    <w:right w:val="none" w:sz="0" w:space="0" w:color="auto"/>
                  </w:divBdr>
                </w:div>
                <w:div w:id="351029646">
                  <w:marLeft w:val="0"/>
                  <w:marRight w:val="0"/>
                  <w:marTop w:val="0"/>
                  <w:marBottom w:val="0"/>
                  <w:divBdr>
                    <w:top w:val="none" w:sz="0" w:space="0" w:color="auto"/>
                    <w:left w:val="none" w:sz="0" w:space="0" w:color="auto"/>
                    <w:bottom w:val="none" w:sz="0" w:space="0" w:color="auto"/>
                    <w:right w:val="none" w:sz="0" w:space="0" w:color="auto"/>
                  </w:divBdr>
                </w:div>
                <w:div w:id="1566717686">
                  <w:marLeft w:val="0"/>
                  <w:marRight w:val="0"/>
                  <w:marTop w:val="0"/>
                  <w:marBottom w:val="0"/>
                  <w:divBdr>
                    <w:top w:val="none" w:sz="0" w:space="0" w:color="auto"/>
                    <w:left w:val="none" w:sz="0" w:space="0" w:color="auto"/>
                    <w:bottom w:val="none" w:sz="0" w:space="0" w:color="auto"/>
                    <w:right w:val="none" w:sz="0" w:space="0" w:color="auto"/>
                  </w:divBdr>
                </w:div>
                <w:div w:id="383866953">
                  <w:marLeft w:val="0"/>
                  <w:marRight w:val="0"/>
                  <w:marTop w:val="0"/>
                  <w:marBottom w:val="0"/>
                  <w:divBdr>
                    <w:top w:val="none" w:sz="0" w:space="0" w:color="auto"/>
                    <w:left w:val="none" w:sz="0" w:space="0" w:color="auto"/>
                    <w:bottom w:val="none" w:sz="0" w:space="0" w:color="auto"/>
                    <w:right w:val="none" w:sz="0" w:space="0" w:color="auto"/>
                  </w:divBdr>
                </w:div>
                <w:div w:id="451216572">
                  <w:marLeft w:val="0"/>
                  <w:marRight w:val="0"/>
                  <w:marTop w:val="0"/>
                  <w:marBottom w:val="0"/>
                  <w:divBdr>
                    <w:top w:val="none" w:sz="0" w:space="0" w:color="auto"/>
                    <w:left w:val="none" w:sz="0" w:space="0" w:color="auto"/>
                    <w:bottom w:val="none" w:sz="0" w:space="0" w:color="auto"/>
                    <w:right w:val="none" w:sz="0" w:space="0" w:color="auto"/>
                  </w:divBdr>
                </w:div>
                <w:div w:id="811018446">
                  <w:marLeft w:val="0"/>
                  <w:marRight w:val="0"/>
                  <w:marTop w:val="0"/>
                  <w:marBottom w:val="0"/>
                  <w:divBdr>
                    <w:top w:val="none" w:sz="0" w:space="0" w:color="auto"/>
                    <w:left w:val="none" w:sz="0" w:space="0" w:color="auto"/>
                    <w:bottom w:val="none" w:sz="0" w:space="0" w:color="auto"/>
                    <w:right w:val="none" w:sz="0" w:space="0" w:color="auto"/>
                  </w:divBdr>
                </w:div>
                <w:div w:id="70978271">
                  <w:marLeft w:val="0"/>
                  <w:marRight w:val="0"/>
                  <w:marTop w:val="0"/>
                  <w:marBottom w:val="0"/>
                  <w:divBdr>
                    <w:top w:val="none" w:sz="0" w:space="0" w:color="auto"/>
                    <w:left w:val="none" w:sz="0" w:space="0" w:color="auto"/>
                    <w:bottom w:val="none" w:sz="0" w:space="0" w:color="auto"/>
                    <w:right w:val="none" w:sz="0" w:space="0" w:color="auto"/>
                  </w:divBdr>
                </w:div>
                <w:div w:id="433132668">
                  <w:marLeft w:val="0"/>
                  <w:marRight w:val="0"/>
                  <w:marTop w:val="0"/>
                  <w:marBottom w:val="0"/>
                  <w:divBdr>
                    <w:top w:val="none" w:sz="0" w:space="0" w:color="auto"/>
                    <w:left w:val="none" w:sz="0" w:space="0" w:color="auto"/>
                    <w:bottom w:val="none" w:sz="0" w:space="0" w:color="auto"/>
                    <w:right w:val="none" w:sz="0" w:space="0" w:color="auto"/>
                  </w:divBdr>
                </w:div>
                <w:div w:id="16164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21174">
          <w:marLeft w:val="0"/>
          <w:marRight w:val="0"/>
          <w:marTop w:val="15"/>
          <w:marBottom w:val="0"/>
          <w:divBdr>
            <w:top w:val="none" w:sz="0" w:space="0" w:color="auto"/>
            <w:left w:val="none" w:sz="0" w:space="0" w:color="auto"/>
            <w:bottom w:val="none" w:sz="0" w:space="0" w:color="auto"/>
            <w:right w:val="none" w:sz="0" w:space="0" w:color="auto"/>
          </w:divBdr>
          <w:divsChild>
            <w:div w:id="1378629169">
              <w:marLeft w:val="0"/>
              <w:marRight w:val="0"/>
              <w:marTop w:val="0"/>
              <w:marBottom w:val="0"/>
              <w:divBdr>
                <w:top w:val="none" w:sz="0" w:space="0" w:color="auto"/>
                <w:left w:val="none" w:sz="0" w:space="0" w:color="auto"/>
                <w:bottom w:val="none" w:sz="0" w:space="0" w:color="auto"/>
                <w:right w:val="none" w:sz="0" w:space="0" w:color="auto"/>
              </w:divBdr>
              <w:divsChild>
                <w:div w:id="2027704512">
                  <w:marLeft w:val="0"/>
                  <w:marRight w:val="0"/>
                  <w:marTop w:val="0"/>
                  <w:marBottom w:val="0"/>
                  <w:divBdr>
                    <w:top w:val="none" w:sz="0" w:space="0" w:color="auto"/>
                    <w:left w:val="none" w:sz="0" w:space="0" w:color="auto"/>
                    <w:bottom w:val="none" w:sz="0" w:space="0" w:color="auto"/>
                    <w:right w:val="none" w:sz="0" w:space="0" w:color="auto"/>
                  </w:divBdr>
                </w:div>
                <w:div w:id="1664971891">
                  <w:marLeft w:val="0"/>
                  <w:marRight w:val="0"/>
                  <w:marTop w:val="0"/>
                  <w:marBottom w:val="0"/>
                  <w:divBdr>
                    <w:top w:val="none" w:sz="0" w:space="0" w:color="auto"/>
                    <w:left w:val="none" w:sz="0" w:space="0" w:color="auto"/>
                    <w:bottom w:val="none" w:sz="0" w:space="0" w:color="auto"/>
                    <w:right w:val="none" w:sz="0" w:space="0" w:color="auto"/>
                  </w:divBdr>
                </w:div>
                <w:div w:id="214699716">
                  <w:marLeft w:val="0"/>
                  <w:marRight w:val="0"/>
                  <w:marTop w:val="0"/>
                  <w:marBottom w:val="0"/>
                  <w:divBdr>
                    <w:top w:val="none" w:sz="0" w:space="0" w:color="auto"/>
                    <w:left w:val="none" w:sz="0" w:space="0" w:color="auto"/>
                    <w:bottom w:val="none" w:sz="0" w:space="0" w:color="auto"/>
                    <w:right w:val="none" w:sz="0" w:space="0" w:color="auto"/>
                  </w:divBdr>
                </w:div>
                <w:div w:id="2119257107">
                  <w:marLeft w:val="0"/>
                  <w:marRight w:val="0"/>
                  <w:marTop w:val="0"/>
                  <w:marBottom w:val="0"/>
                  <w:divBdr>
                    <w:top w:val="none" w:sz="0" w:space="0" w:color="auto"/>
                    <w:left w:val="none" w:sz="0" w:space="0" w:color="auto"/>
                    <w:bottom w:val="none" w:sz="0" w:space="0" w:color="auto"/>
                    <w:right w:val="none" w:sz="0" w:space="0" w:color="auto"/>
                  </w:divBdr>
                </w:div>
                <w:div w:id="291522786">
                  <w:marLeft w:val="0"/>
                  <w:marRight w:val="0"/>
                  <w:marTop w:val="0"/>
                  <w:marBottom w:val="0"/>
                  <w:divBdr>
                    <w:top w:val="none" w:sz="0" w:space="0" w:color="auto"/>
                    <w:left w:val="none" w:sz="0" w:space="0" w:color="auto"/>
                    <w:bottom w:val="none" w:sz="0" w:space="0" w:color="auto"/>
                    <w:right w:val="none" w:sz="0" w:space="0" w:color="auto"/>
                  </w:divBdr>
                </w:div>
                <w:div w:id="879710176">
                  <w:marLeft w:val="0"/>
                  <w:marRight w:val="0"/>
                  <w:marTop w:val="0"/>
                  <w:marBottom w:val="0"/>
                  <w:divBdr>
                    <w:top w:val="none" w:sz="0" w:space="0" w:color="auto"/>
                    <w:left w:val="none" w:sz="0" w:space="0" w:color="auto"/>
                    <w:bottom w:val="none" w:sz="0" w:space="0" w:color="auto"/>
                    <w:right w:val="none" w:sz="0" w:space="0" w:color="auto"/>
                  </w:divBdr>
                </w:div>
                <w:div w:id="1766851062">
                  <w:marLeft w:val="0"/>
                  <w:marRight w:val="0"/>
                  <w:marTop w:val="0"/>
                  <w:marBottom w:val="0"/>
                  <w:divBdr>
                    <w:top w:val="none" w:sz="0" w:space="0" w:color="auto"/>
                    <w:left w:val="none" w:sz="0" w:space="0" w:color="auto"/>
                    <w:bottom w:val="none" w:sz="0" w:space="0" w:color="auto"/>
                    <w:right w:val="none" w:sz="0" w:space="0" w:color="auto"/>
                  </w:divBdr>
                </w:div>
                <w:div w:id="803162465">
                  <w:marLeft w:val="0"/>
                  <w:marRight w:val="0"/>
                  <w:marTop w:val="0"/>
                  <w:marBottom w:val="0"/>
                  <w:divBdr>
                    <w:top w:val="none" w:sz="0" w:space="0" w:color="auto"/>
                    <w:left w:val="none" w:sz="0" w:space="0" w:color="auto"/>
                    <w:bottom w:val="none" w:sz="0" w:space="0" w:color="auto"/>
                    <w:right w:val="none" w:sz="0" w:space="0" w:color="auto"/>
                  </w:divBdr>
                </w:div>
                <w:div w:id="986134310">
                  <w:marLeft w:val="0"/>
                  <w:marRight w:val="0"/>
                  <w:marTop w:val="0"/>
                  <w:marBottom w:val="0"/>
                  <w:divBdr>
                    <w:top w:val="none" w:sz="0" w:space="0" w:color="auto"/>
                    <w:left w:val="none" w:sz="0" w:space="0" w:color="auto"/>
                    <w:bottom w:val="none" w:sz="0" w:space="0" w:color="auto"/>
                    <w:right w:val="none" w:sz="0" w:space="0" w:color="auto"/>
                  </w:divBdr>
                </w:div>
                <w:div w:id="1170800709">
                  <w:marLeft w:val="0"/>
                  <w:marRight w:val="0"/>
                  <w:marTop w:val="0"/>
                  <w:marBottom w:val="0"/>
                  <w:divBdr>
                    <w:top w:val="none" w:sz="0" w:space="0" w:color="auto"/>
                    <w:left w:val="none" w:sz="0" w:space="0" w:color="auto"/>
                    <w:bottom w:val="none" w:sz="0" w:space="0" w:color="auto"/>
                    <w:right w:val="none" w:sz="0" w:space="0" w:color="auto"/>
                  </w:divBdr>
                </w:div>
                <w:div w:id="1832063556">
                  <w:marLeft w:val="0"/>
                  <w:marRight w:val="0"/>
                  <w:marTop w:val="0"/>
                  <w:marBottom w:val="0"/>
                  <w:divBdr>
                    <w:top w:val="none" w:sz="0" w:space="0" w:color="auto"/>
                    <w:left w:val="none" w:sz="0" w:space="0" w:color="auto"/>
                    <w:bottom w:val="none" w:sz="0" w:space="0" w:color="auto"/>
                    <w:right w:val="none" w:sz="0" w:space="0" w:color="auto"/>
                  </w:divBdr>
                </w:div>
                <w:div w:id="1226650038">
                  <w:marLeft w:val="0"/>
                  <w:marRight w:val="0"/>
                  <w:marTop w:val="0"/>
                  <w:marBottom w:val="0"/>
                  <w:divBdr>
                    <w:top w:val="none" w:sz="0" w:space="0" w:color="auto"/>
                    <w:left w:val="none" w:sz="0" w:space="0" w:color="auto"/>
                    <w:bottom w:val="none" w:sz="0" w:space="0" w:color="auto"/>
                    <w:right w:val="none" w:sz="0" w:space="0" w:color="auto"/>
                  </w:divBdr>
                </w:div>
                <w:div w:id="525876230">
                  <w:marLeft w:val="0"/>
                  <w:marRight w:val="0"/>
                  <w:marTop w:val="0"/>
                  <w:marBottom w:val="0"/>
                  <w:divBdr>
                    <w:top w:val="none" w:sz="0" w:space="0" w:color="auto"/>
                    <w:left w:val="none" w:sz="0" w:space="0" w:color="auto"/>
                    <w:bottom w:val="none" w:sz="0" w:space="0" w:color="auto"/>
                    <w:right w:val="none" w:sz="0" w:space="0" w:color="auto"/>
                  </w:divBdr>
                </w:div>
                <w:div w:id="1099638795">
                  <w:marLeft w:val="0"/>
                  <w:marRight w:val="0"/>
                  <w:marTop w:val="0"/>
                  <w:marBottom w:val="0"/>
                  <w:divBdr>
                    <w:top w:val="none" w:sz="0" w:space="0" w:color="auto"/>
                    <w:left w:val="none" w:sz="0" w:space="0" w:color="auto"/>
                    <w:bottom w:val="none" w:sz="0" w:space="0" w:color="auto"/>
                    <w:right w:val="none" w:sz="0" w:space="0" w:color="auto"/>
                  </w:divBdr>
                </w:div>
                <w:div w:id="1420982549">
                  <w:marLeft w:val="0"/>
                  <w:marRight w:val="0"/>
                  <w:marTop w:val="0"/>
                  <w:marBottom w:val="0"/>
                  <w:divBdr>
                    <w:top w:val="none" w:sz="0" w:space="0" w:color="auto"/>
                    <w:left w:val="none" w:sz="0" w:space="0" w:color="auto"/>
                    <w:bottom w:val="none" w:sz="0" w:space="0" w:color="auto"/>
                    <w:right w:val="none" w:sz="0" w:space="0" w:color="auto"/>
                  </w:divBdr>
                </w:div>
                <w:div w:id="999501497">
                  <w:marLeft w:val="0"/>
                  <w:marRight w:val="0"/>
                  <w:marTop w:val="0"/>
                  <w:marBottom w:val="0"/>
                  <w:divBdr>
                    <w:top w:val="none" w:sz="0" w:space="0" w:color="auto"/>
                    <w:left w:val="none" w:sz="0" w:space="0" w:color="auto"/>
                    <w:bottom w:val="none" w:sz="0" w:space="0" w:color="auto"/>
                    <w:right w:val="none" w:sz="0" w:space="0" w:color="auto"/>
                  </w:divBdr>
                </w:div>
                <w:div w:id="184560430">
                  <w:marLeft w:val="0"/>
                  <w:marRight w:val="0"/>
                  <w:marTop w:val="0"/>
                  <w:marBottom w:val="0"/>
                  <w:divBdr>
                    <w:top w:val="none" w:sz="0" w:space="0" w:color="auto"/>
                    <w:left w:val="none" w:sz="0" w:space="0" w:color="auto"/>
                    <w:bottom w:val="none" w:sz="0" w:space="0" w:color="auto"/>
                    <w:right w:val="none" w:sz="0" w:space="0" w:color="auto"/>
                  </w:divBdr>
                </w:div>
                <w:div w:id="695009668">
                  <w:marLeft w:val="0"/>
                  <w:marRight w:val="0"/>
                  <w:marTop w:val="0"/>
                  <w:marBottom w:val="0"/>
                  <w:divBdr>
                    <w:top w:val="none" w:sz="0" w:space="0" w:color="auto"/>
                    <w:left w:val="none" w:sz="0" w:space="0" w:color="auto"/>
                    <w:bottom w:val="none" w:sz="0" w:space="0" w:color="auto"/>
                    <w:right w:val="none" w:sz="0" w:space="0" w:color="auto"/>
                  </w:divBdr>
                </w:div>
                <w:div w:id="943153755">
                  <w:marLeft w:val="0"/>
                  <w:marRight w:val="0"/>
                  <w:marTop w:val="0"/>
                  <w:marBottom w:val="0"/>
                  <w:divBdr>
                    <w:top w:val="none" w:sz="0" w:space="0" w:color="auto"/>
                    <w:left w:val="none" w:sz="0" w:space="0" w:color="auto"/>
                    <w:bottom w:val="none" w:sz="0" w:space="0" w:color="auto"/>
                    <w:right w:val="none" w:sz="0" w:space="0" w:color="auto"/>
                  </w:divBdr>
                </w:div>
                <w:div w:id="1416046749">
                  <w:marLeft w:val="0"/>
                  <w:marRight w:val="0"/>
                  <w:marTop w:val="0"/>
                  <w:marBottom w:val="0"/>
                  <w:divBdr>
                    <w:top w:val="none" w:sz="0" w:space="0" w:color="auto"/>
                    <w:left w:val="none" w:sz="0" w:space="0" w:color="auto"/>
                    <w:bottom w:val="none" w:sz="0" w:space="0" w:color="auto"/>
                    <w:right w:val="none" w:sz="0" w:space="0" w:color="auto"/>
                  </w:divBdr>
                </w:div>
                <w:div w:id="645668171">
                  <w:marLeft w:val="0"/>
                  <w:marRight w:val="0"/>
                  <w:marTop w:val="0"/>
                  <w:marBottom w:val="0"/>
                  <w:divBdr>
                    <w:top w:val="none" w:sz="0" w:space="0" w:color="auto"/>
                    <w:left w:val="none" w:sz="0" w:space="0" w:color="auto"/>
                    <w:bottom w:val="none" w:sz="0" w:space="0" w:color="auto"/>
                    <w:right w:val="none" w:sz="0" w:space="0" w:color="auto"/>
                  </w:divBdr>
                </w:div>
                <w:div w:id="1521043030">
                  <w:marLeft w:val="0"/>
                  <w:marRight w:val="0"/>
                  <w:marTop w:val="0"/>
                  <w:marBottom w:val="0"/>
                  <w:divBdr>
                    <w:top w:val="none" w:sz="0" w:space="0" w:color="auto"/>
                    <w:left w:val="none" w:sz="0" w:space="0" w:color="auto"/>
                    <w:bottom w:val="none" w:sz="0" w:space="0" w:color="auto"/>
                    <w:right w:val="none" w:sz="0" w:space="0" w:color="auto"/>
                  </w:divBdr>
                </w:div>
                <w:div w:id="2057582535">
                  <w:marLeft w:val="0"/>
                  <w:marRight w:val="0"/>
                  <w:marTop w:val="0"/>
                  <w:marBottom w:val="0"/>
                  <w:divBdr>
                    <w:top w:val="none" w:sz="0" w:space="0" w:color="auto"/>
                    <w:left w:val="none" w:sz="0" w:space="0" w:color="auto"/>
                    <w:bottom w:val="none" w:sz="0" w:space="0" w:color="auto"/>
                    <w:right w:val="none" w:sz="0" w:space="0" w:color="auto"/>
                  </w:divBdr>
                </w:div>
                <w:div w:id="1944150375">
                  <w:marLeft w:val="0"/>
                  <w:marRight w:val="0"/>
                  <w:marTop w:val="0"/>
                  <w:marBottom w:val="0"/>
                  <w:divBdr>
                    <w:top w:val="none" w:sz="0" w:space="0" w:color="auto"/>
                    <w:left w:val="none" w:sz="0" w:space="0" w:color="auto"/>
                    <w:bottom w:val="none" w:sz="0" w:space="0" w:color="auto"/>
                    <w:right w:val="none" w:sz="0" w:space="0" w:color="auto"/>
                  </w:divBdr>
                </w:div>
                <w:div w:id="1216236534">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452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49970">
          <w:marLeft w:val="0"/>
          <w:marRight w:val="0"/>
          <w:marTop w:val="15"/>
          <w:marBottom w:val="0"/>
          <w:divBdr>
            <w:top w:val="none" w:sz="0" w:space="0" w:color="auto"/>
            <w:left w:val="none" w:sz="0" w:space="0" w:color="auto"/>
            <w:bottom w:val="none" w:sz="0" w:space="0" w:color="auto"/>
            <w:right w:val="none" w:sz="0" w:space="0" w:color="auto"/>
          </w:divBdr>
          <w:divsChild>
            <w:div w:id="95178880">
              <w:marLeft w:val="0"/>
              <w:marRight w:val="0"/>
              <w:marTop w:val="0"/>
              <w:marBottom w:val="0"/>
              <w:divBdr>
                <w:top w:val="none" w:sz="0" w:space="0" w:color="auto"/>
                <w:left w:val="none" w:sz="0" w:space="0" w:color="auto"/>
                <w:bottom w:val="none" w:sz="0" w:space="0" w:color="auto"/>
                <w:right w:val="none" w:sz="0" w:space="0" w:color="auto"/>
              </w:divBdr>
              <w:divsChild>
                <w:div w:id="1879319389">
                  <w:marLeft w:val="0"/>
                  <w:marRight w:val="0"/>
                  <w:marTop w:val="0"/>
                  <w:marBottom w:val="0"/>
                  <w:divBdr>
                    <w:top w:val="none" w:sz="0" w:space="0" w:color="auto"/>
                    <w:left w:val="none" w:sz="0" w:space="0" w:color="auto"/>
                    <w:bottom w:val="none" w:sz="0" w:space="0" w:color="auto"/>
                    <w:right w:val="none" w:sz="0" w:space="0" w:color="auto"/>
                  </w:divBdr>
                </w:div>
                <w:div w:id="968121625">
                  <w:marLeft w:val="0"/>
                  <w:marRight w:val="0"/>
                  <w:marTop w:val="0"/>
                  <w:marBottom w:val="0"/>
                  <w:divBdr>
                    <w:top w:val="none" w:sz="0" w:space="0" w:color="auto"/>
                    <w:left w:val="none" w:sz="0" w:space="0" w:color="auto"/>
                    <w:bottom w:val="none" w:sz="0" w:space="0" w:color="auto"/>
                    <w:right w:val="none" w:sz="0" w:space="0" w:color="auto"/>
                  </w:divBdr>
                </w:div>
                <w:div w:id="589894860">
                  <w:marLeft w:val="0"/>
                  <w:marRight w:val="0"/>
                  <w:marTop w:val="0"/>
                  <w:marBottom w:val="0"/>
                  <w:divBdr>
                    <w:top w:val="none" w:sz="0" w:space="0" w:color="auto"/>
                    <w:left w:val="none" w:sz="0" w:space="0" w:color="auto"/>
                    <w:bottom w:val="none" w:sz="0" w:space="0" w:color="auto"/>
                    <w:right w:val="none" w:sz="0" w:space="0" w:color="auto"/>
                  </w:divBdr>
                </w:div>
                <w:div w:id="1697580529">
                  <w:marLeft w:val="0"/>
                  <w:marRight w:val="0"/>
                  <w:marTop w:val="0"/>
                  <w:marBottom w:val="0"/>
                  <w:divBdr>
                    <w:top w:val="none" w:sz="0" w:space="0" w:color="auto"/>
                    <w:left w:val="none" w:sz="0" w:space="0" w:color="auto"/>
                    <w:bottom w:val="none" w:sz="0" w:space="0" w:color="auto"/>
                    <w:right w:val="none" w:sz="0" w:space="0" w:color="auto"/>
                  </w:divBdr>
                </w:div>
                <w:div w:id="2088569277">
                  <w:marLeft w:val="0"/>
                  <w:marRight w:val="0"/>
                  <w:marTop w:val="0"/>
                  <w:marBottom w:val="0"/>
                  <w:divBdr>
                    <w:top w:val="none" w:sz="0" w:space="0" w:color="auto"/>
                    <w:left w:val="none" w:sz="0" w:space="0" w:color="auto"/>
                    <w:bottom w:val="none" w:sz="0" w:space="0" w:color="auto"/>
                    <w:right w:val="none" w:sz="0" w:space="0" w:color="auto"/>
                  </w:divBdr>
                </w:div>
                <w:div w:id="858474209">
                  <w:marLeft w:val="0"/>
                  <w:marRight w:val="0"/>
                  <w:marTop w:val="0"/>
                  <w:marBottom w:val="0"/>
                  <w:divBdr>
                    <w:top w:val="none" w:sz="0" w:space="0" w:color="auto"/>
                    <w:left w:val="none" w:sz="0" w:space="0" w:color="auto"/>
                    <w:bottom w:val="none" w:sz="0" w:space="0" w:color="auto"/>
                    <w:right w:val="none" w:sz="0" w:space="0" w:color="auto"/>
                  </w:divBdr>
                </w:div>
                <w:div w:id="1001737240">
                  <w:marLeft w:val="0"/>
                  <w:marRight w:val="0"/>
                  <w:marTop w:val="0"/>
                  <w:marBottom w:val="0"/>
                  <w:divBdr>
                    <w:top w:val="none" w:sz="0" w:space="0" w:color="auto"/>
                    <w:left w:val="none" w:sz="0" w:space="0" w:color="auto"/>
                    <w:bottom w:val="none" w:sz="0" w:space="0" w:color="auto"/>
                    <w:right w:val="none" w:sz="0" w:space="0" w:color="auto"/>
                  </w:divBdr>
                </w:div>
                <w:div w:id="1235356770">
                  <w:marLeft w:val="0"/>
                  <w:marRight w:val="0"/>
                  <w:marTop w:val="0"/>
                  <w:marBottom w:val="0"/>
                  <w:divBdr>
                    <w:top w:val="none" w:sz="0" w:space="0" w:color="auto"/>
                    <w:left w:val="none" w:sz="0" w:space="0" w:color="auto"/>
                    <w:bottom w:val="none" w:sz="0" w:space="0" w:color="auto"/>
                    <w:right w:val="none" w:sz="0" w:space="0" w:color="auto"/>
                  </w:divBdr>
                </w:div>
                <w:div w:id="304354092">
                  <w:marLeft w:val="0"/>
                  <w:marRight w:val="0"/>
                  <w:marTop w:val="0"/>
                  <w:marBottom w:val="0"/>
                  <w:divBdr>
                    <w:top w:val="none" w:sz="0" w:space="0" w:color="auto"/>
                    <w:left w:val="none" w:sz="0" w:space="0" w:color="auto"/>
                    <w:bottom w:val="none" w:sz="0" w:space="0" w:color="auto"/>
                    <w:right w:val="none" w:sz="0" w:space="0" w:color="auto"/>
                  </w:divBdr>
                </w:div>
                <w:div w:id="2041977291">
                  <w:marLeft w:val="0"/>
                  <w:marRight w:val="0"/>
                  <w:marTop w:val="0"/>
                  <w:marBottom w:val="0"/>
                  <w:divBdr>
                    <w:top w:val="none" w:sz="0" w:space="0" w:color="auto"/>
                    <w:left w:val="none" w:sz="0" w:space="0" w:color="auto"/>
                    <w:bottom w:val="none" w:sz="0" w:space="0" w:color="auto"/>
                    <w:right w:val="none" w:sz="0" w:space="0" w:color="auto"/>
                  </w:divBdr>
                </w:div>
                <w:div w:id="261423887">
                  <w:marLeft w:val="0"/>
                  <w:marRight w:val="0"/>
                  <w:marTop w:val="0"/>
                  <w:marBottom w:val="0"/>
                  <w:divBdr>
                    <w:top w:val="none" w:sz="0" w:space="0" w:color="auto"/>
                    <w:left w:val="none" w:sz="0" w:space="0" w:color="auto"/>
                    <w:bottom w:val="none" w:sz="0" w:space="0" w:color="auto"/>
                    <w:right w:val="none" w:sz="0" w:space="0" w:color="auto"/>
                  </w:divBdr>
                </w:div>
                <w:div w:id="1467233105">
                  <w:marLeft w:val="0"/>
                  <w:marRight w:val="0"/>
                  <w:marTop w:val="0"/>
                  <w:marBottom w:val="0"/>
                  <w:divBdr>
                    <w:top w:val="none" w:sz="0" w:space="0" w:color="auto"/>
                    <w:left w:val="none" w:sz="0" w:space="0" w:color="auto"/>
                    <w:bottom w:val="none" w:sz="0" w:space="0" w:color="auto"/>
                    <w:right w:val="none" w:sz="0" w:space="0" w:color="auto"/>
                  </w:divBdr>
                </w:div>
                <w:div w:id="1216619303">
                  <w:marLeft w:val="0"/>
                  <w:marRight w:val="0"/>
                  <w:marTop w:val="0"/>
                  <w:marBottom w:val="0"/>
                  <w:divBdr>
                    <w:top w:val="none" w:sz="0" w:space="0" w:color="auto"/>
                    <w:left w:val="none" w:sz="0" w:space="0" w:color="auto"/>
                    <w:bottom w:val="none" w:sz="0" w:space="0" w:color="auto"/>
                    <w:right w:val="none" w:sz="0" w:space="0" w:color="auto"/>
                  </w:divBdr>
                </w:div>
                <w:div w:id="596987591">
                  <w:marLeft w:val="0"/>
                  <w:marRight w:val="0"/>
                  <w:marTop w:val="0"/>
                  <w:marBottom w:val="0"/>
                  <w:divBdr>
                    <w:top w:val="none" w:sz="0" w:space="0" w:color="auto"/>
                    <w:left w:val="none" w:sz="0" w:space="0" w:color="auto"/>
                    <w:bottom w:val="none" w:sz="0" w:space="0" w:color="auto"/>
                    <w:right w:val="none" w:sz="0" w:space="0" w:color="auto"/>
                  </w:divBdr>
                </w:div>
                <w:div w:id="1211768635">
                  <w:marLeft w:val="0"/>
                  <w:marRight w:val="0"/>
                  <w:marTop w:val="0"/>
                  <w:marBottom w:val="0"/>
                  <w:divBdr>
                    <w:top w:val="none" w:sz="0" w:space="0" w:color="auto"/>
                    <w:left w:val="none" w:sz="0" w:space="0" w:color="auto"/>
                    <w:bottom w:val="none" w:sz="0" w:space="0" w:color="auto"/>
                    <w:right w:val="none" w:sz="0" w:space="0" w:color="auto"/>
                  </w:divBdr>
                </w:div>
                <w:div w:id="771316776">
                  <w:marLeft w:val="0"/>
                  <w:marRight w:val="0"/>
                  <w:marTop w:val="0"/>
                  <w:marBottom w:val="0"/>
                  <w:divBdr>
                    <w:top w:val="none" w:sz="0" w:space="0" w:color="auto"/>
                    <w:left w:val="none" w:sz="0" w:space="0" w:color="auto"/>
                    <w:bottom w:val="none" w:sz="0" w:space="0" w:color="auto"/>
                    <w:right w:val="none" w:sz="0" w:space="0" w:color="auto"/>
                  </w:divBdr>
                </w:div>
                <w:div w:id="101926158">
                  <w:marLeft w:val="0"/>
                  <w:marRight w:val="0"/>
                  <w:marTop w:val="0"/>
                  <w:marBottom w:val="0"/>
                  <w:divBdr>
                    <w:top w:val="none" w:sz="0" w:space="0" w:color="auto"/>
                    <w:left w:val="none" w:sz="0" w:space="0" w:color="auto"/>
                    <w:bottom w:val="none" w:sz="0" w:space="0" w:color="auto"/>
                    <w:right w:val="none" w:sz="0" w:space="0" w:color="auto"/>
                  </w:divBdr>
                </w:div>
                <w:div w:id="956059191">
                  <w:marLeft w:val="0"/>
                  <w:marRight w:val="0"/>
                  <w:marTop w:val="0"/>
                  <w:marBottom w:val="0"/>
                  <w:divBdr>
                    <w:top w:val="none" w:sz="0" w:space="0" w:color="auto"/>
                    <w:left w:val="none" w:sz="0" w:space="0" w:color="auto"/>
                    <w:bottom w:val="none" w:sz="0" w:space="0" w:color="auto"/>
                    <w:right w:val="none" w:sz="0" w:space="0" w:color="auto"/>
                  </w:divBdr>
                </w:div>
                <w:div w:id="786898676">
                  <w:marLeft w:val="0"/>
                  <w:marRight w:val="0"/>
                  <w:marTop w:val="0"/>
                  <w:marBottom w:val="0"/>
                  <w:divBdr>
                    <w:top w:val="none" w:sz="0" w:space="0" w:color="auto"/>
                    <w:left w:val="none" w:sz="0" w:space="0" w:color="auto"/>
                    <w:bottom w:val="none" w:sz="0" w:space="0" w:color="auto"/>
                    <w:right w:val="none" w:sz="0" w:space="0" w:color="auto"/>
                  </w:divBdr>
                </w:div>
                <w:div w:id="320541821">
                  <w:marLeft w:val="0"/>
                  <w:marRight w:val="0"/>
                  <w:marTop w:val="0"/>
                  <w:marBottom w:val="0"/>
                  <w:divBdr>
                    <w:top w:val="none" w:sz="0" w:space="0" w:color="auto"/>
                    <w:left w:val="none" w:sz="0" w:space="0" w:color="auto"/>
                    <w:bottom w:val="none" w:sz="0" w:space="0" w:color="auto"/>
                    <w:right w:val="none" w:sz="0" w:space="0" w:color="auto"/>
                  </w:divBdr>
                </w:div>
                <w:div w:id="366293814">
                  <w:marLeft w:val="0"/>
                  <w:marRight w:val="0"/>
                  <w:marTop w:val="0"/>
                  <w:marBottom w:val="0"/>
                  <w:divBdr>
                    <w:top w:val="none" w:sz="0" w:space="0" w:color="auto"/>
                    <w:left w:val="none" w:sz="0" w:space="0" w:color="auto"/>
                    <w:bottom w:val="none" w:sz="0" w:space="0" w:color="auto"/>
                    <w:right w:val="none" w:sz="0" w:space="0" w:color="auto"/>
                  </w:divBdr>
                </w:div>
                <w:div w:id="653609563">
                  <w:marLeft w:val="0"/>
                  <w:marRight w:val="0"/>
                  <w:marTop w:val="0"/>
                  <w:marBottom w:val="0"/>
                  <w:divBdr>
                    <w:top w:val="none" w:sz="0" w:space="0" w:color="auto"/>
                    <w:left w:val="none" w:sz="0" w:space="0" w:color="auto"/>
                    <w:bottom w:val="none" w:sz="0" w:space="0" w:color="auto"/>
                    <w:right w:val="none" w:sz="0" w:space="0" w:color="auto"/>
                  </w:divBdr>
                </w:div>
                <w:div w:id="604535358">
                  <w:marLeft w:val="0"/>
                  <w:marRight w:val="0"/>
                  <w:marTop w:val="0"/>
                  <w:marBottom w:val="0"/>
                  <w:divBdr>
                    <w:top w:val="none" w:sz="0" w:space="0" w:color="auto"/>
                    <w:left w:val="none" w:sz="0" w:space="0" w:color="auto"/>
                    <w:bottom w:val="none" w:sz="0" w:space="0" w:color="auto"/>
                    <w:right w:val="none" w:sz="0" w:space="0" w:color="auto"/>
                  </w:divBdr>
                </w:div>
                <w:div w:id="1090589978">
                  <w:marLeft w:val="0"/>
                  <w:marRight w:val="0"/>
                  <w:marTop w:val="0"/>
                  <w:marBottom w:val="0"/>
                  <w:divBdr>
                    <w:top w:val="none" w:sz="0" w:space="0" w:color="auto"/>
                    <w:left w:val="none" w:sz="0" w:space="0" w:color="auto"/>
                    <w:bottom w:val="none" w:sz="0" w:space="0" w:color="auto"/>
                    <w:right w:val="none" w:sz="0" w:space="0" w:color="auto"/>
                  </w:divBdr>
                </w:div>
                <w:div w:id="545685148">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 w:id="5693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5546">
          <w:marLeft w:val="0"/>
          <w:marRight w:val="0"/>
          <w:marTop w:val="15"/>
          <w:marBottom w:val="0"/>
          <w:divBdr>
            <w:top w:val="none" w:sz="0" w:space="0" w:color="auto"/>
            <w:left w:val="none" w:sz="0" w:space="0" w:color="auto"/>
            <w:bottom w:val="none" w:sz="0" w:space="0" w:color="auto"/>
            <w:right w:val="none" w:sz="0" w:space="0" w:color="auto"/>
          </w:divBdr>
          <w:divsChild>
            <w:div w:id="1978367330">
              <w:marLeft w:val="0"/>
              <w:marRight w:val="0"/>
              <w:marTop w:val="0"/>
              <w:marBottom w:val="0"/>
              <w:divBdr>
                <w:top w:val="none" w:sz="0" w:space="0" w:color="auto"/>
                <w:left w:val="none" w:sz="0" w:space="0" w:color="auto"/>
                <w:bottom w:val="none" w:sz="0" w:space="0" w:color="auto"/>
                <w:right w:val="none" w:sz="0" w:space="0" w:color="auto"/>
              </w:divBdr>
              <w:divsChild>
                <w:div w:id="1648048802">
                  <w:marLeft w:val="0"/>
                  <w:marRight w:val="0"/>
                  <w:marTop w:val="0"/>
                  <w:marBottom w:val="0"/>
                  <w:divBdr>
                    <w:top w:val="none" w:sz="0" w:space="0" w:color="auto"/>
                    <w:left w:val="none" w:sz="0" w:space="0" w:color="auto"/>
                    <w:bottom w:val="none" w:sz="0" w:space="0" w:color="auto"/>
                    <w:right w:val="none" w:sz="0" w:space="0" w:color="auto"/>
                  </w:divBdr>
                </w:div>
                <w:div w:id="1770200312">
                  <w:marLeft w:val="0"/>
                  <w:marRight w:val="0"/>
                  <w:marTop w:val="0"/>
                  <w:marBottom w:val="0"/>
                  <w:divBdr>
                    <w:top w:val="none" w:sz="0" w:space="0" w:color="auto"/>
                    <w:left w:val="none" w:sz="0" w:space="0" w:color="auto"/>
                    <w:bottom w:val="none" w:sz="0" w:space="0" w:color="auto"/>
                    <w:right w:val="none" w:sz="0" w:space="0" w:color="auto"/>
                  </w:divBdr>
                </w:div>
                <w:div w:id="1635135052">
                  <w:marLeft w:val="0"/>
                  <w:marRight w:val="0"/>
                  <w:marTop w:val="0"/>
                  <w:marBottom w:val="0"/>
                  <w:divBdr>
                    <w:top w:val="none" w:sz="0" w:space="0" w:color="auto"/>
                    <w:left w:val="none" w:sz="0" w:space="0" w:color="auto"/>
                    <w:bottom w:val="none" w:sz="0" w:space="0" w:color="auto"/>
                    <w:right w:val="none" w:sz="0" w:space="0" w:color="auto"/>
                  </w:divBdr>
                </w:div>
                <w:div w:id="859274877">
                  <w:marLeft w:val="0"/>
                  <w:marRight w:val="0"/>
                  <w:marTop w:val="0"/>
                  <w:marBottom w:val="0"/>
                  <w:divBdr>
                    <w:top w:val="none" w:sz="0" w:space="0" w:color="auto"/>
                    <w:left w:val="none" w:sz="0" w:space="0" w:color="auto"/>
                    <w:bottom w:val="none" w:sz="0" w:space="0" w:color="auto"/>
                    <w:right w:val="none" w:sz="0" w:space="0" w:color="auto"/>
                  </w:divBdr>
                </w:div>
                <w:div w:id="1031420194">
                  <w:marLeft w:val="0"/>
                  <w:marRight w:val="0"/>
                  <w:marTop w:val="0"/>
                  <w:marBottom w:val="0"/>
                  <w:divBdr>
                    <w:top w:val="none" w:sz="0" w:space="0" w:color="auto"/>
                    <w:left w:val="none" w:sz="0" w:space="0" w:color="auto"/>
                    <w:bottom w:val="none" w:sz="0" w:space="0" w:color="auto"/>
                    <w:right w:val="none" w:sz="0" w:space="0" w:color="auto"/>
                  </w:divBdr>
                </w:div>
                <w:div w:id="1903980022">
                  <w:marLeft w:val="0"/>
                  <w:marRight w:val="0"/>
                  <w:marTop w:val="0"/>
                  <w:marBottom w:val="0"/>
                  <w:divBdr>
                    <w:top w:val="none" w:sz="0" w:space="0" w:color="auto"/>
                    <w:left w:val="none" w:sz="0" w:space="0" w:color="auto"/>
                    <w:bottom w:val="none" w:sz="0" w:space="0" w:color="auto"/>
                    <w:right w:val="none" w:sz="0" w:space="0" w:color="auto"/>
                  </w:divBdr>
                </w:div>
                <w:div w:id="517695247">
                  <w:marLeft w:val="0"/>
                  <w:marRight w:val="0"/>
                  <w:marTop w:val="0"/>
                  <w:marBottom w:val="0"/>
                  <w:divBdr>
                    <w:top w:val="none" w:sz="0" w:space="0" w:color="auto"/>
                    <w:left w:val="none" w:sz="0" w:space="0" w:color="auto"/>
                    <w:bottom w:val="none" w:sz="0" w:space="0" w:color="auto"/>
                    <w:right w:val="none" w:sz="0" w:space="0" w:color="auto"/>
                  </w:divBdr>
                </w:div>
                <w:div w:id="1660965699">
                  <w:marLeft w:val="0"/>
                  <w:marRight w:val="0"/>
                  <w:marTop w:val="0"/>
                  <w:marBottom w:val="0"/>
                  <w:divBdr>
                    <w:top w:val="none" w:sz="0" w:space="0" w:color="auto"/>
                    <w:left w:val="none" w:sz="0" w:space="0" w:color="auto"/>
                    <w:bottom w:val="none" w:sz="0" w:space="0" w:color="auto"/>
                    <w:right w:val="none" w:sz="0" w:space="0" w:color="auto"/>
                  </w:divBdr>
                </w:div>
                <w:div w:id="1659503311">
                  <w:marLeft w:val="0"/>
                  <w:marRight w:val="0"/>
                  <w:marTop w:val="0"/>
                  <w:marBottom w:val="0"/>
                  <w:divBdr>
                    <w:top w:val="none" w:sz="0" w:space="0" w:color="auto"/>
                    <w:left w:val="none" w:sz="0" w:space="0" w:color="auto"/>
                    <w:bottom w:val="none" w:sz="0" w:space="0" w:color="auto"/>
                    <w:right w:val="none" w:sz="0" w:space="0" w:color="auto"/>
                  </w:divBdr>
                </w:div>
                <w:div w:id="977223538">
                  <w:marLeft w:val="0"/>
                  <w:marRight w:val="0"/>
                  <w:marTop w:val="0"/>
                  <w:marBottom w:val="0"/>
                  <w:divBdr>
                    <w:top w:val="none" w:sz="0" w:space="0" w:color="auto"/>
                    <w:left w:val="none" w:sz="0" w:space="0" w:color="auto"/>
                    <w:bottom w:val="none" w:sz="0" w:space="0" w:color="auto"/>
                    <w:right w:val="none" w:sz="0" w:space="0" w:color="auto"/>
                  </w:divBdr>
                </w:div>
                <w:div w:id="526023318">
                  <w:marLeft w:val="0"/>
                  <w:marRight w:val="0"/>
                  <w:marTop w:val="0"/>
                  <w:marBottom w:val="0"/>
                  <w:divBdr>
                    <w:top w:val="none" w:sz="0" w:space="0" w:color="auto"/>
                    <w:left w:val="none" w:sz="0" w:space="0" w:color="auto"/>
                    <w:bottom w:val="none" w:sz="0" w:space="0" w:color="auto"/>
                    <w:right w:val="none" w:sz="0" w:space="0" w:color="auto"/>
                  </w:divBdr>
                </w:div>
                <w:div w:id="2043820869">
                  <w:marLeft w:val="0"/>
                  <w:marRight w:val="0"/>
                  <w:marTop w:val="0"/>
                  <w:marBottom w:val="0"/>
                  <w:divBdr>
                    <w:top w:val="none" w:sz="0" w:space="0" w:color="auto"/>
                    <w:left w:val="none" w:sz="0" w:space="0" w:color="auto"/>
                    <w:bottom w:val="none" w:sz="0" w:space="0" w:color="auto"/>
                    <w:right w:val="none" w:sz="0" w:space="0" w:color="auto"/>
                  </w:divBdr>
                </w:div>
                <w:div w:id="1397438267">
                  <w:marLeft w:val="0"/>
                  <w:marRight w:val="0"/>
                  <w:marTop w:val="0"/>
                  <w:marBottom w:val="0"/>
                  <w:divBdr>
                    <w:top w:val="none" w:sz="0" w:space="0" w:color="auto"/>
                    <w:left w:val="none" w:sz="0" w:space="0" w:color="auto"/>
                    <w:bottom w:val="none" w:sz="0" w:space="0" w:color="auto"/>
                    <w:right w:val="none" w:sz="0" w:space="0" w:color="auto"/>
                  </w:divBdr>
                </w:div>
                <w:div w:id="1607543916">
                  <w:marLeft w:val="0"/>
                  <w:marRight w:val="0"/>
                  <w:marTop w:val="0"/>
                  <w:marBottom w:val="0"/>
                  <w:divBdr>
                    <w:top w:val="none" w:sz="0" w:space="0" w:color="auto"/>
                    <w:left w:val="none" w:sz="0" w:space="0" w:color="auto"/>
                    <w:bottom w:val="none" w:sz="0" w:space="0" w:color="auto"/>
                    <w:right w:val="none" w:sz="0" w:space="0" w:color="auto"/>
                  </w:divBdr>
                </w:div>
                <w:div w:id="1276326776">
                  <w:marLeft w:val="0"/>
                  <w:marRight w:val="0"/>
                  <w:marTop w:val="0"/>
                  <w:marBottom w:val="0"/>
                  <w:divBdr>
                    <w:top w:val="none" w:sz="0" w:space="0" w:color="auto"/>
                    <w:left w:val="none" w:sz="0" w:space="0" w:color="auto"/>
                    <w:bottom w:val="none" w:sz="0" w:space="0" w:color="auto"/>
                    <w:right w:val="none" w:sz="0" w:space="0" w:color="auto"/>
                  </w:divBdr>
                </w:div>
                <w:div w:id="394354344">
                  <w:marLeft w:val="0"/>
                  <w:marRight w:val="0"/>
                  <w:marTop w:val="0"/>
                  <w:marBottom w:val="0"/>
                  <w:divBdr>
                    <w:top w:val="none" w:sz="0" w:space="0" w:color="auto"/>
                    <w:left w:val="none" w:sz="0" w:space="0" w:color="auto"/>
                    <w:bottom w:val="none" w:sz="0" w:space="0" w:color="auto"/>
                    <w:right w:val="none" w:sz="0" w:space="0" w:color="auto"/>
                  </w:divBdr>
                </w:div>
                <w:div w:id="14236478">
                  <w:marLeft w:val="0"/>
                  <w:marRight w:val="0"/>
                  <w:marTop w:val="0"/>
                  <w:marBottom w:val="0"/>
                  <w:divBdr>
                    <w:top w:val="none" w:sz="0" w:space="0" w:color="auto"/>
                    <w:left w:val="none" w:sz="0" w:space="0" w:color="auto"/>
                    <w:bottom w:val="none" w:sz="0" w:space="0" w:color="auto"/>
                    <w:right w:val="none" w:sz="0" w:space="0" w:color="auto"/>
                  </w:divBdr>
                </w:div>
                <w:div w:id="1387021945">
                  <w:marLeft w:val="0"/>
                  <w:marRight w:val="0"/>
                  <w:marTop w:val="0"/>
                  <w:marBottom w:val="0"/>
                  <w:divBdr>
                    <w:top w:val="none" w:sz="0" w:space="0" w:color="auto"/>
                    <w:left w:val="none" w:sz="0" w:space="0" w:color="auto"/>
                    <w:bottom w:val="none" w:sz="0" w:space="0" w:color="auto"/>
                    <w:right w:val="none" w:sz="0" w:space="0" w:color="auto"/>
                  </w:divBdr>
                </w:div>
                <w:div w:id="725029012">
                  <w:marLeft w:val="0"/>
                  <w:marRight w:val="0"/>
                  <w:marTop w:val="0"/>
                  <w:marBottom w:val="0"/>
                  <w:divBdr>
                    <w:top w:val="none" w:sz="0" w:space="0" w:color="auto"/>
                    <w:left w:val="none" w:sz="0" w:space="0" w:color="auto"/>
                    <w:bottom w:val="none" w:sz="0" w:space="0" w:color="auto"/>
                    <w:right w:val="none" w:sz="0" w:space="0" w:color="auto"/>
                  </w:divBdr>
                </w:div>
                <w:div w:id="2020498358">
                  <w:marLeft w:val="0"/>
                  <w:marRight w:val="0"/>
                  <w:marTop w:val="0"/>
                  <w:marBottom w:val="0"/>
                  <w:divBdr>
                    <w:top w:val="none" w:sz="0" w:space="0" w:color="auto"/>
                    <w:left w:val="none" w:sz="0" w:space="0" w:color="auto"/>
                    <w:bottom w:val="none" w:sz="0" w:space="0" w:color="auto"/>
                    <w:right w:val="none" w:sz="0" w:space="0" w:color="auto"/>
                  </w:divBdr>
                </w:div>
                <w:div w:id="187378602">
                  <w:marLeft w:val="0"/>
                  <w:marRight w:val="0"/>
                  <w:marTop w:val="0"/>
                  <w:marBottom w:val="0"/>
                  <w:divBdr>
                    <w:top w:val="none" w:sz="0" w:space="0" w:color="auto"/>
                    <w:left w:val="none" w:sz="0" w:space="0" w:color="auto"/>
                    <w:bottom w:val="none" w:sz="0" w:space="0" w:color="auto"/>
                    <w:right w:val="none" w:sz="0" w:space="0" w:color="auto"/>
                  </w:divBdr>
                </w:div>
                <w:div w:id="607853334">
                  <w:marLeft w:val="0"/>
                  <w:marRight w:val="0"/>
                  <w:marTop w:val="0"/>
                  <w:marBottom w:val="0"/>
                  <w:divBdr>
                    <w:top w:val="none" w:sz="0" w:space="0" w:color="auto"/>
                    <w:left w:val="none" w:sz="0" w:space="0" w:color="auto"/>
                    <w:bottom w:val="none" w:sz="0" w:space="0" w:color="auto"/>
                    <w:right w:val="none" w:sz="0" w:space="0" w:color="auto"/>
                  </w:divBdr>
                </w:div>
                <w:div w:id="1038746729">
                  <w:marLeft w:val="0"/>
                  <w:marRight w:val="0"/>
                  <w:marTop w:val="0"/>
                  <w:marBottom w:val="0"/>
                  <w:divBdr>
                    <w:top w:val="none" w:sz="0" w:space="0" w:color="auto"/>
                    <w:left w:val="none" w:sz="0" w:space="0" w:color="auto"/>
                    <w:bottom w:val="none" w:sz="0" w:space="0" w:color="auto"/>
                    <w:right w:val="none" w:sz="0" w:space="0" w:color="auto"/>
                  </w:divBdr>
                </w:div>
                <w:div w:id="1005329885">
                  <w:marLeft w:val="0"/>
                  <w:marRight w:val="0"/>
                  <w:marTop w:val="0"/>
                  <w:marBottom w:val="0"/>
                  <w:divBdr>
                    <w:top w:val="none" w:sz="0" w:space="0" w:color="auto"/>
                    <w:left w:val="none" w:sz="0" w:space="0" w:color="auto"/>
                    <w:bottom w:val="none" w:sz="0" w:space="0" w:color="auto"/>
                    <w:right w:val="none" w:sz="0" w:space="0" w:color="auto"/>
                  </w:divBdr>
                </w:div>
                <w:div w:id="837158865">
                  <w:marLeft w:val="0"/>
                  <w:marRight w:val="0"/>
                  <w:marTop w:val="0"/>
                  <w:marBottom w:val="0"/>
                  <w:divBdr>
                    <w:top w:val="none" w:sz="0" w:space="0" w:color="auto"/>
                    <w:left w:val="none" w:sz="0" w:space="0" w:color="auto"/>
                    <w:bottom w:val="none" w:sz="0" w:space="0" w:color="auto"/>
                    <w:right w:val="none" w:sz="0" w:space="0" w:color="auto"/>
                  </w:divBdr>
                </w:div>
                <w:div w:id="1557206264">
                  <w:marLeft w:val="0"/>
                  <w:marRight w:val="0"/>
                  <w:marTop w:val="0"/>
                  <w:marBottom w:val="0"/>
                  <w:divBdr>
                    <w:top w:val="none" w:sz="0" w:space="0" w:color="auto"/>
                    <w:left w:val="none" w:sz="0" w:space="0" w:color="auto"/>
                    <w:bottom w:val="none" w:sz="0" w:space="0" w:color="auto"/>
                    <w:right w:val="none" w:sz="0" w:space="0" w:color="auto"/>
                  </w:divBdr>
                </w:div>
                <w:div w:id="1593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1231">
          <w:marLeft w:val="0"/>
          <w:marRight w:val="0"/>
          <w:marTop w:val="15"/>
          <w:marBottom w:val="0"/>
          <w:divBdr>
            <w:top w:val="none" w:sz="0" w:space="0" w:color="auto"/>
            <w:left w:val="none" w:sz="0" w:space="0" w:color="auto"/>
            <w:bottom w:val="none" w:sz="0" w:space="0" w:color="auto"/>
            <w:right w:val="none" w:sz="0" w:space="0" w:color="auto"/>
          </w:divBdr>
          <w:divsChild>
            <w:div w:id="1485463744">
              <w:marLeft w:val="0"/>
              <w:marRight w:val="0"/>
              <w:marTop w:val="0"/>
              <w:marBottom w:val="0"/>
              <w:divBdr>
                <w:top w:val="none" w:sz="0" w:space="0" w:color="auto"/>
                <w:left w:val="none" w:sz="0" w:space="0" w:color="auto"/>
                <w:bottom w:val="none" w:sz="0" w:space="0" w:color="auto"/>
                <w:right w:val="none" w:sz="0" w:space="0" w:color="auto"/>
              </w:divBdr>
              <w:divsChild>
                <w:div w:id="1852722860">
                  <w:marLeft w:val="0"/>
                  <w:marRight w:val="0"/>
                  <w:marTop w:val="0"/>
                  <w:marBottom w:val="0"/>
                  <w:divBdr>
                    <w:top w:val="none" w:sz="0" w:space="0" w:color="auto"/>
                    <w:left w:val="none" w:sz="0" w:space="0" w:color="auto"/>
                    <w:bottom w:val="none" w:sz="0" w:space="0" w:color="auto"/>
                    <w:right w:val="none" w:sz="0" w:space="0" w:color="auto"/>
                  </w:divBdr>
                </w:div>
                <w:div w:id="938369213">
                  <w:marLeft w:val="0"/>
                  <w:marRight w:val="0"/>
                  <w:marTop w:val="0"/>
                  <w:marBottom w:val="0"/>
                  <w:divBdr>
                    <w:top w:val="none" w:sz="0" w:space="0" w:color="auto"/>
                    <w:left w:val="none" w:sz="0" w:space="0" w:color="auto"/>
                    <w:bottom w:val="none" w:sz="0" w:space="0" w:color="auto"/>
                    <w:right w:val="none" w:sz="0" w:space="0" w:color="auto"/>
                  </w:divBdr>
                </w:div>
                <w:div w:id="1199124623">
                  <w:marLeft w:val="0"/>
                  <w:marRight w:val="0"/>
                  <w:marTop w:val="0"/>
                  <w:marBottom w:val="0"/>
                  <w:divBdr>
                    <w:top w:val="none" w:sz="0" w:space="0" w:color="auto"/>
                    <w:left w:val="none" w:sz="0" w:space="0" w:color="auto"/>
                    <w:bottom w:val="none" w:sz="0" w:space="0" w:color="auto"/>
                    <w:right w:val="none" w:sz="0" w:space="0" w:color="auto"/>
                  </w:divBdr>
                </w:div>
                <w:div w:id="1999726551">
                  <w:marLeft w:val="0"/>
                  <w:marRight w:val="0"/>
                  <w:marTop w:val="0"/>
                  <w:marBottom w:val="0"/>
                  <w:divBdr>
                    <w:top w:val="none" w:sz="0" w:space="0" w:color="auto"/>
                    <w:left w:val="none" w:sz="0" w:space="0" w:color="auto"/>
                    <w:bottom w:val="none" w:sz="0" w:space="0" w:color="auto"/>
                    <w:right w:val="none" w:sz="0" w:space="0" w:color="auto"/>
                  </w:divBdr>
                </w:div>
                <w:div w:id="1454444209">
                  <w:marLeft w:val="0"/>
                  <w:marRight w:val="0"/>
                  <w:marTop w:val="0"/>
                  <w:marBottom w:val="0"/>
                  <w:divBdr>
                    <w:top w:val="none" w:sz="0" w:space="0" w:color="auto"/>
                    <w:left w:val="none" w:sz="0" w:space="0" w:color="auto"/>
                    <w:bottom w:val="none" w:sz="0" w:space="0" w:color="auto"/>
                    <w:right w:val="none" w:sz="0" w:space="0" w:color="auto"/>
                  </w:divBdr>
                </w:div>
                <w:div w:id="611013833">
                  <w:marLeft w:val="0"/>
                  <w:marRight w:val="0"/>
                  <w:marTop w:val="0"/>
                  <w:marBottom w:val="0"/>
                  <w:divBdr>
                    <w:top w:val="none" w:sz="0" w:space="0" w:color="auto"/>
                    <w:left w:val="none" w:sz="0" w:space="0" w:color="auto"/>
                    <w:bottom w:val="none" w:sz="0" w:space="0" w:color="auto"/>
                    <w:right w:val="none" w:sz="0" w:space="0" w:color="auto"/>
                  </w:divBdr>
                </w:div>
                <w:div w:id="1017923402">
                  <w:marLeft w:val="0"/>
                  <w:marRight w:val="0"/>
                  <w:marTop w:val="0"/>
                  <w:marBottom w:val="0"/>
                  <w:divBdr>
                    <w:top w:val="none" w:sz="0" w:space="0" w:color="auto"/>
                    <w:left w:val="none" w:sz="0" w:space="0" w:color="auto"/>
                    <w:bottom w:val="none" w:sz="0" w:space="0" w:color="auto"/>
                    <w:right w:val="none" w:sz="0" w:space="0" w:color="auto"/>
                  </w:divBdr>
                </w:div>
                <w:div w:id="2006203657">
                  <w:marLeft w:val="0"/>
                  <w:marRight w:val="0"/>
                  <w:marTop w:val="0"/>
                  <w:marBottom w:val="0"/>
                  <w:divBdr>
                    <w:top w:val="none" w:sz="0" w:space="0" w:color="auto"/>
                    <w:left w:val="none" w:sz="0" w:space="0" w:color="auto"/>
                    <w:bottom w:val="none" w:sz="0" w:space="0" w:color="auto"/>
                    <w:right w:val="none" w:sz="0" w:space="0" w:color="auto"/>
                  </w:divBdr>
                </w:div>
                <w:div w:id="252593131">
                  <w:marLeft w:val="0"/>
                  <w:marRight w:val="0"/>
                  <w:marTop w:val="0"/>
                  <w:marBottom w:val="0"/>
                  <w:divBdr>
                    <w:top w:val="none" w:sz="0" w:space="0" w:color="auto"/>
                    <w:left w:val="none" w:sz="0" w:space="0" w:color="auto"/>
                    <w:bottom w:val="none" w:sz="0" w:space="0" w:color="auto"/>
                    <w:right w:val="none" w:sz="0" w:space="0" w:color="auto"/>
                  </w:divBdr>
                </w:div>
                <w:div w:id="471559640">
                  <w:marLeft w:val="0"/>
                  <w:marRight w:val="0"/>
                  <w:marTop w:val="0"/>
                  <w:marBottom w:val="0"/>
                  <w:divBdr>
                    <w:top w:val="none" w:sz="0" w:space="0" w:color="auto"/>
                    <w:left w:val="none" w:sz="0" w:space="0" w:color="auto"/>
                    <w:bottom w:val="none" w:sz="0" w:space="0" w:color="auto"/>
                    <w:right w:val="none" w:sz="0" w:space="0" w:color="auto"/>
                  </w:divBdr>
                </w:div>
                <w:div w:id="353729641">
                  <w:marLeft w:val="0"/>
                  <w:marRight w:val="0"/>
                  <w:marTop w:val="0"/>
                  <w:marBottom w:val="0"/>
                  <w:divBdr>
                    <w:top w:val="none" w:sz="0" w:space="0" w:color="auto"/>
                    <w:left w:val="none" w:sz="0" w:space="0" w:color="auto"/>
                    <w:bottom w:val="none" w:sz="0" w:space="0" w:color="auto"/>
                    <w:right w:val="none" w:sz="0" w:space="0" w:color="auto"/>
                  </w:divBdr>
                </w:div>
                <w:div w:id="2087338701">
                  <w:marLeft w:val="0"/>
                  <w:marRight w:val="0"/>
                  <w:marTop w:val="0"/>
                  <w:marBottom w:val="0"/>
                  <w:divBdr>
                    <w:top w:val="none" w:sz="0" w:space="0" w:color="auto"/>
                    <w:left w:val="none" w:sz="0" w:space="0" w:color="auto"/>
                    <w:bottom w:val="none" w:sz="0" w:space="0" w:color="auto"/>
                    <w:right w:val="none" w:sz="0" w:space="0" w:color="auto"/>
                  </w:divBdr>
                </w:div>
                <w:div w:id="1067189562">
                  <w:marLeft w:val="0"/>
                  <w:marRight w:val="0"/>
                  <w:marTop w:val="0"/>
                  <w:marBottom w:val="0"/>
                  <w:divBdr>
                    <w:top w:val="none" w:sz="0" w:space="0" w:color="auto"/>
                    <w:left w:val="none" w:sz="0" w:space="0" w:color="auto"/>
                    <w:bottom w:val="none" w:sz="0" w:space="0" w:color="auto"/>
                    <w:right w:val="none" w:sz="0" w:space="0" w:color="auto"/>
                  </w:divBdr>
                </w:div>
                <w:div w:id="408692891">
                  <w:marLeft w:val="0"/>
                  <w:marRight w:val="0"/>
                  <w:marTop w:val="0"/>
                  <w:marBottom w:val="0"/>
                  <w:divBdr>
                    <w:top w:val="none" w:sz="0" w:space="0" w:color="auto"/>
                    <w:left w:val="none" w:sz="0" w:space="0" w:color="auto"/>
                    <w:bottom w:val="none" w:sz="0" w:space="0" w:color="auto"/>
                    <w:right w:val="none" w:sz="0" w:space="0" w:color="auto"/>
                  </w:divBdr>
                </w:div>
                <w:div w:id="1440953741">
                  <w:marLeft w:val="0"/>
                  <w:marRight w:val="0"/>
                  <w:marTop w:val="0"/>
                  <w:marBottom w:val="0"/>
                  <w:divBdr>
                    <w:top w:val="none" w:sz="0" w:space="0" w:color="auto"/>
                    <w:left w:val="none" w:sz="0" w:space="0" w:color="auto"/>
                    <w:bottom w:val="none" w:sz="0" w:space="0" w:color="auto"/>
                    <w:right w:val="none" w:sz="0" w:space="0" w:color="auto"/>
                  </w:divBdr>
                </w:div>
                <w:div w:id="1815834213">
                  <w:marLeft w:val="0"/>
                  <w:marRight w:val="0"/>
                  <w:marTop w:val="0"/>
                  <w:marBottom w:val="0"/>
                  <w:divBdr>
                    <w:top w:val="none" w:sz="0" w:space="0" w:color="auto"/>
                    <w:left w:val="none" w:sz="0" w:space="0" w:color="auto"/>
                    <w:bottom w:val="none" w:sz="0" w:space="0" w:color="auto"/>
                    <w:right w:val="none" w:sz="0" w:space="0" w:color="auto"/>
                  </w:divBdr>
                </w:div>
                <w:div w:id="1193104862">
                  <w:marLeft w:val="0"/>
                  <w:marRight w:val="0"/>
                  <w:marTop w:val="0"/>
                  <w:marBottom w:val="0"/>
                  <w:divBdr>
                    <w:top w:val="none" w:sz="0" w:space="0" w:color="auto"/>
                    <w:left w:val="none" w:sz="0" w:space="0" w:color="auto"/>
                    <w:bottom w:val="none" w:sz="0" w:space="0" w:color="auto"/>
                    <w:right w:val="none" w:sz="0" w:space="0" w:color="auto"/>
                  </w:divBdr>
                </w:div>
                <w:div w:id="1313801194">
                  <w:marLeft w:val="0"/>
                  <w:marRight w:val="0"/>
                  <w:marTop w:val="0"/>
                  <w:marBottom w:val="0"/>
                  <w:divBdr>
                    <w:top w:val="none" w:sz="0" w:space="0" w:color="auto"/>
                    <w:left w:val="none" w:sz="0" w:space="0" w:color="auto"/>
                    <w:bottom w:val="none" w:sz="0" w:space="0" w:color="auto"/>
                    <w:right w:val="none" w:sz="0" w:space="0" w:color="auto"/>
                  </w:divBdr>
                </w:div>
                <w:div w:id="908418550">
                  <w:marLeft w:val="0"/>
                  <w:marRight w:val="0"/>
                  <w:marTop w:val="0"/>
                  <w:marBottom w:val="0"/>
                  <w:divBdr>
                    <w:top w:val="none" w:sz="0" w:space="0" w:color="auto"/>
                    <w:left w:val="none" w:sz="0" w:space="0" w:color="auto"/>
                    <w:bottom w:val="none" w:sz="0" w:space="0" w:color="auto"/>
                    <w:right w:val="none" w:sz="0" w:space="0" w:color="auto"/>
                  </w:divBdr>
                </w:div>
                <w:div w:id="1407996237">
                  <w:marLeft w:val="0"/>
                  <w:marRight w:val="0"/>
                  <w:marTop w:val="0"/>
                  <w:marBottom w:val="0"/>
                  <w:divBdr>
                    <w:top w:val="none" w:sz="0" w:space="0" w:color="auto"/>
                    <w:left w:val="none" w:sz="0" w:space="0" w:color="auto"/>
                    <w:bottom w:val="none" w:sz="0" w:space="0" w:color="auto"/>
                    <w:right w:val="none" w:sz="0" w:space="0" w:color="auto"/>
                  </w:divBdr>
                </w:div>
                <w:div w:id="283272168">
                  <w:marLeft w:val="0"/>
                  <w:marRight w:val="0"/>
                  <w:marTop w:val="0"/>
                  <w:marBottom w:val="0"/>
                  <w:divBdr>
                    <w:top w:val="none" w:sz="0" w:space="0" w:color="auto"/>
                    <w:left w:val="none" w:sz="0" w:space="0" w:color="auto"/>
                    <w:bottom w:val="none" w:sz="0" w:space="0" w:color="auto"/>
                    <w:right w:val="none" w:sz="0" w:space="0" w:color="auto"/>
                  </w:divBdr>
                </w:div>
                <w:div w:id="1946960491">
                  <w:marLeft w:val="0"/>
                  <w:marRight w:val="0"/>
                  <w:marTop w:val="0"/>
                  <w:marBottom w:val="0"/>
                  <w:divBdr>
                    <w:top w:val="none" w:sz="0" w:space="0" w:color="auto"/>
                    <w:left w:val="none" w:sz="0" w:space="0" w:color="auto"/>
                    <w:bottom w:val="none" w:sz="0" w:space="0" w:color="auto"/>
                    <w:right w:val="none" w:sz="0" w:space="0" w:color="auto"/>
                  </w:divBdr>
                </w:div>
                <w:div w:id="255292580">
                  <w:marLeft w:val="0"/>
                  <w:marRight w:val="0"/>
                  <w:marTop w:val="0"/>
                  <w:marBottom w:val="0"/>
                  <w:divBdr>
                    <w:top w:val="none" w:sz="0" w:space="0" w:color="auto"/>
                    <w:left w:val="none" w:sz="0" w:space="0" w:color="auto"/>
                    <w:bottom w:val="none" w:sz="0" w:space="0" w:color="auto"/>
                    <w:right w:val="none" w:sz="0" w:space="0" w:color="auto"/>
                  </w:divBdr>
                </w:div>
                <w:div w:id="1970696257">
                  <w:marLeft w:val="0"/>
                  <w:marRight w:val="0"/>
                  <w:marTop w:val="0"/>
                  <w:marBottom w:val="0"/>
                  <w:divBdr>
                    <w:top w:val="none" w:sz="0" w:space="0" w:color="auto"/>
                    <w:left w:val="none" w:sz="0" w:space="0" w:color="auto"/>
                    <w:bottom w:val="none" w:sz="0" w:space="0" w:color="auto"/>
                    <w:right w:val="none" w:sz="0" w:space="0" w:color="auto"/>
                  </w:divBdr>
                </w:div>
                <w:div w:id="617109758">
                  <w:marLeft w:val="0"/>
                  <w:marRight w:val="0"/>
                  <w:marTop w:val="0"/>
                  <w:marBottom w:val="0"/>
                  <w:divBdr>
                    <w:top w:val="none" w:sz="0" w:space="0" w:color="auto"/>
                    <w:left w:val="none" w:sz="0" w:space="0" w:color="auto"/>
                    <w:bottom w:val="none" w:sz="0" w:space="0" w:color="auto"/>
                    <w:right w:val="none" w:sz="0" w:space="0" w:color="auto"/>
                  </w:divBdr>
                </w:div>
                <w:div w:id="709451151">
                  <w:marLeft w:val="0"/>
                  <w:marRight w:val="0"/>
                  <w:marTop w:val="0"/>
                  <w:marBottom w:val="0"/>
                  <w:divBdr>
                    <w:top w:val="none" w:sz="0" w:space="0" w:color="auto"/>
                    <w:left w:val="none" w:sz="0" w:space="0" w:color="auto"/>
                    <w:bottom w:val="none" w:sz="0" w:space="0" w:color="auto"/>
                    <w:right w:val="none" w:sz="0" w:space="0" w:color="auto"/>
                  </w:divBdr>
                </w:div>
                <w:div w:id="1243684292">
                  <w:marLeft w:val="0"/>
                  <w:marRight w:val="0"/>
                  <w:marTop w:val="0"/>
                  <w:marBottom w:val="0"/>
                  <w:divBdr>
                    <w:top w:val="none" w:sz="0" w:space="0" w:color="auto"/>
                    <w:left w:val="none" w:sz="0" w:space="0" w:color="auto"/>
                    <w:bottom w:val="none" w:sz="0" w:space="0" w:color="auto"/>
                    <w:right w:val="none" w:sz="0" w:space="0" w:color="auto"/>
                  </w:divBdr>
                </w:div>
                <w:div w:id="20515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94496">
          <w:marLeft w:val="0"/>
          <w:marRight w:val="0"/>
          <w:marTop w:val="15"/>
          <w:marBottom w:val="0"/>
          <w:divBdr>
            <w:top w:val="none" w:sz="0" w:space="0" w:color="auto"/>
            <w:left w:val="none" w:sz="0" w:space="0" w:color="auto"/>
            <w:bottom w:val="none" w:sz="0" w:space="0" w:color="auto"/>
            <w:right w:val="none" w:sz="0" w:space="0" w:color="auto"/>
          </w:divBdr>
          <w:divsChild>
            <w:div w:id="1836260341">
              <w:marLeft w:val="0"/>
              <w:marRight w:val="0"/>
              <w:marTop w:val="0"/>
              <w:marBottom w:val="0"/>
              <w:divBdr>
                <w:top w:val="none" w:sz="0" w:space="0" w:color="auto"/>
                <w:left w:val="none" w:sz="0" w:space="0" w:color="auto"/>
                <w:bottom w:val="none" w:sz="0" w:space="0" w:color="auto"/>
                <w:right w:val="none" w:sz="0" w:space="0" w:color="auto"/>
              </w:divBdr>
              <w:divsChild>
                <w:div w:id="1124689945">
                  <w:marLeft w:val="0"/>
                  <w:marRight w:val="0"/>
                  <w:marTop w:val="0"/>
                  <w:marBottom w:val="0"/>
                  <w:divBdr>
                    <w:top w:val="none" w:sz="0" w:space="0" w:color="auto"/>
                    <w:left w:val="none" w:sz="0" w:space="0" w:color="auto"/>
                    <w:bottom w:val="none" w:sz="0" w:space="0" w:color="auto"/>
                    <w:right w:val="none" w:sz="0" w:space="0" w:color="auto"/>
                  </w:divBdr>
                </w:div>
                <w:div w:id="880945758">
                  <w:marLeft w:val="0"/>
                  <w:marRight w:val="0"/>
                  <w:marTop w:val="0"/>
                  <w:marBottom w:val="0"/>
                  <w:divBdr>
                    <w:top w:val="none" w:sz="0" w:space="0" w:color="auto"/>
                    <w:left w:val="none" w:sz="0" w:space="0" w:color="auto"/>
                    <w:bottom w:val="none" w:sz="0" w:space="0" w:color="auto"/>
                    <w:right w:val="none" w:sz="0" w:space="0" w:color="auto"/>
                  </w:divBdr>
                </w:div>
                <w:div w:id="1525485205">
                  <w:marLeft w:val="0"/>
                  <w:marRight w:val="0"/>
                  <w:marTop w:val="0"/>
                  <w:marBottom w:val="0"/>
                  <w:divBdr>
                    <w:top w:val="none" w:sz="0" w:space="0" w:color="auto"/>
                    <w:left w:val="none" w:sz="0" w:space="0" w:color="auto"/>
                    <w:bottom w:val="none" w:sz="0" w:space="0" w:color="auto"/>
                    <w:right w:val="none" w:sz="0" w:space="0" w:color="auto"/>
                  </w:divBdr>
                </w:div>
                <w:div w:id="44332791">
                  <w:marLeft w:val="0"/>
                  <w:marRight w:val="0"/>
                  <w:marTop w:val="0"/>
                  <w:marBottom w:val="0"/>
                  <w:divBdr>
                    <w:top w:val="none" w:sz="0" w:space="0" w:color="auto"/>
                    <w:left w:val="none" w:sz="0" w:space="0" w:color="auto"/>
                    <w:bottom w:val="none" w:sz="0" w:space="0" w:color="auto"/>
                    <w:right w:val="none" w:sz="0" w:space="0" w:color="auto"/>
                  </w:divBdr>
                </w:div>
                <w:div w:id="180749324">
                  <w:marLeft w:val="0"/>
                  <w:marRight w:val="0"/>
                  <w:marTop w:val="0"/>
                  <w:marBottom w:val="0"/>
                  <w:divBdr>
                    <w:top w:val="none" w:sz="0" w:space="0" w:color="auto"/>
                    <w:left w:val="none" w:sz="0" w:space="0" w:color="auto"/>
                    <w:bottom w:val="none" w:sz="0" w:space="0" w:color="auto"/>
                    <w:right w:val="none" w:sz="0" w:space="0" w:color="auto"/>
                  </w:divBdr>
                </w:div>
                <w:div w:id="1031494283">
                  <w:marLeft w:val="0"/>
                  <w:marRight w:val="0"/>
                  <w:marTop w:val="0"/>
                  <w:marBottom w:val="0"/>
                  <w:divBdr>
                    <w:top w:val="none" w:sz="0" w:space="0" w:color="auto"/>
                    <w:left w:val="none" w:sz="0" w:space="0" w:color="auto"/>
                    <w:bottom w:val="none" w:sz="0" w:space="0" w:color="auto"/>
                    <w:right w:val="none" w:sz="0" w:space="0" w:color="auto"/>
                  </w:divBdr>
                </w:div>
                <w:div w:id="899294076">
                  <w:marLeft w:val="0"/>
                  <w:marRight w:val="0"/>
                  <w:marTop w:val="0"/>
                  <w:marBottom w:val="0"/>
                  <w:divBdr>
                    <w:top w:val="none" w:sz="0" w:space="0" w:color="auto"/>
                    <w:left w:val="none" w:sz="0" w:space="0" w:color="auto"/>
                    <w:bottom w:val="none" w:sz="0" w:space="0" w:color="auto"/>
                    <w:right w:val="none" w:sz="0" w:space="0" w:color="auto"/>
                  </w:divBdr>
                </w:div>
                <w:div w:id="1672639807">
                  <w:marLeft w:val="0"/>
                  <w:marRight w:val="0"/>
                  <w:marTop w:val="0"/>
                  <w:marBottom w:val="0"/>
                  <w:divBdr>
                    <w:top w:val="none" w:sz="0" w:space="0" w:color="auto"/>
                    <w:left w:val="none" w:sz="0" w:space="0" w:color="auto"/>
                    <w:bottom w:val="none" w:sz="0" w:space="0" w:color="auto"/>
                    <w:right w:val="none" w:sz="0" w:space="0" w:color="auto"/>
                  </w:divBdr>
                </w:div>
                <w:div w:id="298414250">
                  <w:marLeft w:val="0"/>
                  <w:marRight w:val="0"/>
                  <w:marTop w:val="0"/>
                  <w:marBottom w:val="0"/>
                  <w:divBdr>
                    <w:top w:val="none" w:sz="0" w:space="0" w:color="auto"/>
                    <w:left w:val="none" w:sz="0" w:space="0" w:color="auto"/>
                    <w:bottom w:val="none" w:sz="0" w:space="0" w:color="auto"/>
                    <w:right w:val="none" w:sz="0" w:space="0" w:color="auto"/>
                  </w:divBdr>
                </w:div>
                <w:div w:id="1537962511">
                  <w:marLeft w:val="0"/>
                  <w:marRight w:val="0"/>
                  <w:marTop w:val="0"/>
                  <w:marBottom w:val="0"/>
                  <w:divBdr>
                    <w:top w:val="none" w:sz="0" w:space="0" w:color="auto"/>
                    <w:left w:val="none" w:sz="0" w:space="0" w:color="auto"/>
                    <w:bottom w:val="none" w:sz="0" w:space="0" w:color="auto"/>
                    <w:right w:val="none" w:sz="0" w:space="0" w:color="auto"/>
                  </w:divBdr>
                </w:div>
                <w:div w:id="1419055102">
                  <w:marLeft w:val="0"/>
                  <w:marRight w:val="0"/>
                  <w:marTop w:val="0"/>
                  <w:marBottom w:val="0"/>
                  <w:divBdr>
                    <w:top w:val="none" w:sz="0" w:space="0" w:color="auto"/>
                    <w:left w:val="none" w:sz="0" w:space="0" w:color="auto"/>
                    <w:bottom w:val="none" w:sz="0" w:space="0" w:color="auto"/>
                    <w:right w:val="none" w:sz="0" w:space="0" w:color="auto"/>
                  </w:divBdr>
                </w:div>
                <w:div w:id="5212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7342647">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75885658">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07488756">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3239911">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5201700">
      <w:bodyDiv w:val="1"/>
      <w:marLeft w:val="0"/>
      <w:marRight w:val="0"/>
      <w:marTop w:val="0"/>
      <w:marBottom w:val="0"/>
      <w:divBdr>
        <w:top w:val="none" w:sz="0" w:space="0" w:color="auto"/>
        <w:left w:val="none" w:sz="0" w:space="0" w:color="auto"/>
        <w:bottom w:val="none" w:sz="0" w:space="0" w:color="auto"/>
        <w:right w:val="none" w:sz="0" w:space="0" w:color="auto"/>
      </w:divBdr>
      <w:divsChild>
        <w:div w:id="73279242">
          <w:marLeft w:val="0"/>
          <w:marRight w:val="0"/>
          <w:marTop w:val="0"/>
          <w:marBottom w:val="0"/>
          <w:divBdr>
            <w:top w:val="none" w:sz="0" w:space="0" w:color="auto"/>
            <w:left w:val="none" w:sz="0" w:space="0" w:color="auto"/>
            <w:bottom w:val="none" w:sz="0" w:space="0" w:color="auto"/>
            <w:right w:val="none" w:sz="0" w:space="0" w:color="auto"/>
          </w:divBdr>
        </w:div>
      </w:divsChild>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5991139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4111307">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591915">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6819195">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0675231">
      <w:bodyDiv w:val="1"/>
      <w:marLeft w:val="0"/>
      <w:marRight w:val="0"/>
      <w:marTop w:val="0"/>
      <w:marBottom w:val="0"/>
      <w:divBdr>
        <w:top w:val="none" w:sz="0" w:space="0" w:color="auto"/>
        <w:left w:val="none" w:sz="0" w:space="0" w:color="auto"/>
        <w:bottom w:val="none" w:sz="0" w:space="0" w:color="auto"/>
        <w:right w:val="none" w:sz="0" w:space="0" w:color="auto"/>
      </w:divBdr>
    </w:div>
    <w:div w:id="901403216">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010576">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295423">
      <w:bodyDiv w:val="1"/>
      <w:marLeft w:val="0"/>
      <w:marRight w:val="0"/>
      <w:marTop w:val="0"/>
      <w:marBottom w:val="0"/>
      <w:divBdr>
        <w:top w:val="none" w:sz="0" w:space="0" w:color="auto"/>
        <w:left w:val="none" w:sz="0" w:space="0" w:color="auto"/>
        <w:bottom w:val="none" w:sz="0" w:space="0" w:color="auto"/>
        <w:right w:val="none" w:sz="0" w:space="0" w:color="auto"/>
      </w:divBdr>
      <w:divsChild>
        <w:div w:id="1362973084">
          <w:marLeft w:val="0"/>
          <w:marRight w:val="0"/>
          <w:marTop w:val="15"/>
          <w:marBottom w:val="0"/>
          <w:divBdr>
            <w:top w:val="none" w:sz="0" w:space="0" w:color="auto"/>
            <w:left w:val="none" w:sz="0" w:space="0" w:color="auto"/>
            <w:bottom w:val="none" w:sz="0" w:space="0" w:color="auto"/>
            <w:right w:val="none" w:sz="0" w:space="0" w:color="auto"/>
          </w:divBdr>
          <w:divsChild>
            <w:div w:id="550580776">
              <w:marLeft w:val="0"/>
              <w:marRight w:val="0"/>
              <w:marTop w:val="0"/>
              <w:marBottom w:val="0"/>
              <w:divBdr>
                <w:top w:val="none" w:sz="0" w:space="0" w:color="auto"/>
                <w:left w:val="none" w:sz="0" w:space="0" w:color="auto"/>
                <w:bottom w:val="none" w:sz="0" w:space="0" w:color="auto"/>
                <w:right w:val="none" w:sz="0" w:space="0" w:color="auto"/>
              </w:divBdr>
              <w:divsChild>
                <w:div w:id="949119219">
                  <w:marLeft w:val="0"/>
                  <w:marRight w:val="0"/>
                  <w:marTop w:val="0"/>
                  <w:marBottom w:val="0"/>
                  <w:divBdr>
                    <w:top w:val="none" w:sz="0" w:space="0" w:color="auto"/>
                    <w:left w:val="none" w:sz="0" w:space="0" w:color="auto"/>
                    <w:bottom w:val="none" w:sz="0" w:space="0" w:color="auto"/>
                    <w:right w:val="none" w:sz="0" w:space="0" w:color="auto"/>
                  </w:divBdr>
                </w:div>
                <w:div w:id="1483737276">
                  <w:marLeft w:val="0"/>
                  <w:marRight w:val="0"/>
                  <w:marTop w:val="0"/>
                  <w:marBottom w:val="0"/>
                  <w:divBdr>
                    <w:top w:val="none" w:sz="0" w:space="0" w:color="auto"/>
                    <w:left w:val="none" w:sz="0" w:space="0" w:color="auto"/>
                    <w:bottom w:val="none" w:sz="0" w:space="0" w:color="auto"/>
                    <w:right w:val="none" w:sz="0" w:space="0" w:color="auto"/>
                  </w:divBdr>
                </w:div>
                <w:div w:id="702826340">
                  <w:marLeft w:val="0"/>
                  <w:marRight w:val="0"/>
                  <w:marTop w:val="0"/>
                  <w:marBottom w:val="0"/>
                  <w:divBdr>
                    <w:top w:val="none" w:sz="0" w:space="0" w:color="auto"/>
                    <w:left w:val="none" w:sz="0" w:space="0" w:color="auto"/>
                    <w:bottom w:val="none" w:sz="0" w:space="0" w:color="auto"/>
                    <w:right w:val="none" w:sz="0" w:space="0" w:color="auto"/>
                  </w:divBdr>
                </w:div>
                <w:div w:id="1840656726">
                  <w:marLeft w:val="0"/>
                  <w:marRight w:val="0"/>
                  <w:marTop w:val="0"/>
                  <w:marBottom w:val="0"/>
                  <w:divBdr>
                    <w:top w:val="none" w:sz="0" w:space="0" w:color="auto"/>
                    <w:left w:val="none" w:sz="0" w:space="0" w:color="auto"/>
                    <w:bottom w:val="none" w:sz="0" w:space="0" w:color="auto"/>
                    <w:right w:val="none" w:sz="0" w:space="0" w:color="auto"/>
                  </w:divBdr>
                </w:div>
                <w:div w:id="953251915">
                  <w:marLeft w:val="0"/>
                  <w:marRight w:val="0"/>
                  <w:marTop w:val="0"/>
                  <w:marBottom w:val="0"/>
                  <w:divBdr>
                    <w:top w:val="none" w:sz="0" w:space="0" w:color="auto"/>
                    <w:left w:val="none" w:sz="0" w:space="0" w:color="auto"/>
                    <w:bottom w:val="none" w:sz="0" w:space="0" w:color="auto"/>
                    <w:right w:val="none" w:sz="0" w:space="0" w:color="auto"/>
                  </w:divBdr>
                </w:div>
                <w:div w:id="2052533198">
                  <w:marLeft w:val="0"/>
                  <w:marRight w:val="0"/>
                  <w:marTop w:val="0"/>
                  <w:marBottom w:val="0"/>
                  <w:divBdr>
                    <w:top w:val="none" w:sz="0" w:space="0" w:color="auto"/>
                    <w:left w:val="none" w:sz="0" w:space="0" w:color="auto"/>
                    <w:bottom w:val="none" w:sz="0" w:space="0" w:color="auto"/>
                    <w:right w:val="none" w:sz="0" w:space="0" w:color="auto"/>
                  </w:divBdr>
                </w:div>
                <w:div w:id="55864487">
                  <w:marLeft w:val="0"/>
                  <w:marRight w:val="0"/>
                  <w:marTop w:val="0"/>
                  <w:marBottom w:val="0"/>
                  <w:divBdr>
                    <w:top w:val="none" w:sz="0" w:space="0" w:color="auto"/>
                    <w:left w:val="none" w:sz="0" w:space="0" w:color="auto"/>
                    <w:bottom w:val="none" w:sz="0" w:space="0" w:color="auto"/>
                    <w:right w:val="none" w:sz="0" w:space="0" w:color="auto"/>
                  </w:divBdr>
                </w:div>
                <w:div w:id="1898856760">
                  <w:marLeft w:val="0"/>
                  <w:marRight w:val="0"/>
                  <w:marTop w:val="0"/>
                  <w:marBottom w:val="0"/>
                  <w:divBdr>
                    <w:top w:val="none" w:sz="0" w:space="0" w:color="auto"/>
                    <w:left w:val="none" w:sz="0" w:space="0" w:color="auto"/>
                    <w:bottom w:val="none" w:sz="0" w:space="0" w:color="auto"/>
                    <w:right w:val="none" w:sz="0" w:space="0" w:color="auto"/>
                  </w:divBdr>
                </w:div>
                <w:div w:id="433869218">
                  <w:marLeft w:val="0"/>
                  <w:marRight w:val="0"/>
                  <w:marTop w:val="0"/>
                  <w:marBottom w:val="0"/>
                  <w:divBdr>
                    <w:top w:val="none" w:sz="0" w:space="0" w:color="auto"/>
                    <w:left w:val="none" w:sz="0" w:space="0" w:color="auto"/>
                    <w:bottom w:val="none" w:sz="0" w:space="0" w:color="auto"/>
                    <w:right w:val="none" w:sz="0" w:space="0" w:color="auto"/>
                  </w:divBdr>
                </w:div>
                <w:div w:id="1426345471">
                  <w:marLeft w:val="0"/>
                  <w:marRight w:val="0"/>
                  <w:marTop w:val="0"/>
                  <w:marBottom w:val="0"/>
                  <w:divBdr>
                    <w:top w:val="none" w:sz="0" w:space="0" w:color="auto"/>
                    <w:left w:val="none" w:sz="0" w:space="0" w:color="auto"/>
                    <w:bottom w:val="none" w:sz="0" w:space="0" w:color="auto"/>
                    <w:right w:val="none" w:sz="0" w:space="0" w:color="auto"/>
                  </w:divBdr>
                </w:div>
                <w:div w:id="1181314778">
                  <w:marLeft w:val="0"/>
                  <w:marRight w:val="0"/>
                  <w:marTop w:val="0"/>
                  <w:marBottom w:val="0"/>
                  <w:divBdr>
                    <w:top w:val="none" w:sz="0" w:space="0" w:color="auto"/>
                    <w:left w:val="none" w:sz="0" w:space="0" w:color="auto"/>
                    <w:bottom w:val="none" w:sz="0" w:space="0" w:color="auto"/>
                    <w:right w:val="none" w:sz="0" w:space="0" w:color="auto"/>
                  </w:divBdr>
                </w:div>
                <w:div w:id="1302615378">
                  <w:marLeft w:val="0"/>
                  <w:marRight w:val="0"/>
                  <w:marTop w:val="0"/>
                  <w:marBottom w:val="0"/>
                  <w:divBdr>
                    <w:top w:val="none" w:sz="0" w:space="0" w:color="auto"/>
                    <w:left w:val="none" w:sz="0" w:space="0" w:color="auto"/>
                    <w:bottom w:val="none" w:sz="0" w:space="0" w:color="auto"/>
                    <w:right w:val="none" w:sz="0" w:space="0" w:color="auto"/>
                  </w:divBdr>
                </w:div>
                <w:div w:id="1300575293">
                  <w:marLeft w:val="0"/>
                  <w:marRight w:val="0"/>
                  <w:marTop w:val="0"/>
                  <w:marBottom w:val="0"/>
                  <w:divBdr>
                    <w:top w:val="none" w:sz="0" w:space="0" w:color="auto"/>
                    <w:left w:val="none" w:sz="0" w:space="0" w:color="auto"/>
                    <w:bottom w:val="none" w:sz="0" w:space="0" w:color="auto"/>
                    <w:right w:val="none" w:sz="0" w:space="0" w:color="auto"/>
                  </w:divBdr>
                </w:div>
                <w:div w:id="389504769">
                  <w:marLeft w:val="0"/>
                  <w:marRight w:val="0"/>
                  <w:marTop w:val="0"/>
                  <w:marBottom w:val="0"/>
                  <w:divBdr>
                    <w:top w:val="none" w:sz="0" w:space="0" w:color="auto"/>
                    <w:left w:val="none" w:sz="0" w:space="0" w:color="auto"/>
                    <w:bottom w:val="none" w:sz="0" w:space="0" w:color="auto"/>
                    <w:right w:val="none" w:sz="0" w:space="0" w:color="auto"/>
                  </w:divBdr>
                </w:div>
                <w:div w:id="1524903583">
                  <w:marLeft w:val="0"/>
                  <w:marRight w:val="0"/>
                  <w:marTop w:val="0"/>
                  <w:marBottom w:val="0"/>
                  <w:divBdr>
                    <w:top w:val="none" w:sz="0" w:space="0" w:color="auto"/>
                    <w:left w:val="none" w:sz="0" w:space="0" w:color="auto"/>
                    <w:bottom w:val="none" w:sz="0" w:space="0" w:color="auto"/>
                    <w:right w:val="none" w:sz="0" w:space="0" w:color="auto"/>
                  </w:divBdr>
                </w:div>
                <w:div w:id="551891028">
                  <w:marLeft w:val="0"/>
                  <w:marRight w:val="0"/>
                  <w:marTop w:val="0"/>
                  <w:marBottom w:val="0"/>
                  <w:divBdr>
                    <w:top w:val="none" w:sz="0" w:space="0" w:color="auto"/>
                    <w:left w:val="none" w:sz="0" w:space="0" w:color="auto"/>
                    <w:bottom w:val="none" w:sz="0" w:space="0" w:color="auto"/>
                    <w:right w:val="none" w:sz="0" w:space="0" w:color="auto"/>
                  </w:divBdr>
                </w:div>
                <w:div w:id="587349399">
                  <w:marLeft w:val="0"/>
                  <w:marRight w:val="0"/>
                  <w:marTop w:val="0"/>
                  <w:marBottom w:val="0"/>
                  <w:divBdr>
                    <w:top w:val="none" w:sz="0" w:space="0" w:color="auto"/>
                    <w:left w:val="none" w:sz="0" w:space="0" w:color="auto"/>
                    <w:bottom w:val="none" w:sz="0" w:space="0" w:color="auto"/>
                    <w:right w:val="none" w:sz="0" w:space="0" w:color="auto"/>
                  </w:divBdr>
                </w:div>
                <w:div w:id="1666736133">
                  <w:marLeft w:val="0"/>
                  <w:marRight w:val="0"/>
                  <w:marTop w:val="0"/>
                  <w:marBottom w:val="0"/>
                  <w:divBdr>
                    <w:top w:val="none" w:sz="0" w:space="0" w:color="auto"/>
                    <w:left w:val="none" w:sz="0" w:space="0" w:color="auto"/>
                    <w:bottom w:val="none" w:sz="0" w:space="0" w:color="auto"/>
                    <w:right w:val="none" w:sz="0" w:space="0" w:color="auto"/>
                  </w:divBdr>
                </w:div>
                <w:div w:id="1010915996">
                  <w:marLeft w:val="0"/>
                  <w:marRight w:val="0"/>
                  <w:marTop w:val="0"/>
                  <w:marBottom w:val="0"/>
                  <w:divBdr>
                    <w:top w:val="none" w:sz="0" w:space="0" w:color="auto"/>
                    <w:left w:val="none" w:sz="0" w:space="0" w:color="auto"/>
                    <w:bottom w:val="none" w:sz="0" w:space="0" w:color="auto"/>
                    <w:right w:val="none" w:sz="0" w:space="0" w:color="auto"/>
                  </w:divBdr>
                </w:div>
                <w:div w:id="1141921266">
                  <w:marLeft w:val="0"/>
                  <w:marRight w:val="0"/>
                  <w:marTop w:val="0"/>
                  <w:marBottom w:val="0"/>
                  <w:divBdr>
                    <w:top w:val="none" w:sz="0" w:space="0" w:color="auto"/>
                    <w:left w:val="none" w:sz="0" w:space="0" w:color="auto"/>
                    <w:bottom w:val="none" w:sz="0" w:space="0" w:color="auto"/>
                    <w:right w:val="none" w:sz="0" w:space="0" w:color="auto"/>
                  </w:divBdr>
                </w:div>
                <w:div w:id="1093863139">
                  <w:marLeft w:val="0"/>
                  <w:marRight w:val="0"/>
                  <w:marTop w:val="0"/>
                  <w:marBottom w:val="0"/>
                  <w:divBdr>
                    <w:top w:val="none" w:sz="0" w:space="0" w:color="auto"/>
                    <w:left w:val="none" w:sz="0" w:space="0" w:color="auto"/>
                    <w:bottom w:val="none" w:sz="0" w:space="0" w:color="auto"/>
                    <w:right w:val="none" w:sz="0" w:space="0" w:color="auto"/>
                  </w:divBdr>
                </w:div>
                <w:div w:id="12488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8994">
          <w:marLeft w:val="0"/>
          <w:marRight w:val="0"/>
          <w:marTop w:val="15"/>
          <w:marBottom w:val="0"/>
          <w:divBdr>
            <w:top w:val="none" w:sz="0" w:space="0" w:color="auto"/>
            <w:left w:val="none" w:sz="0" w:space="0" w:color="auto"/>
            <w:bottom w:val="none" w:sz="0" w:space="0" w:color="auto"/>
            <w:right w:val="none" w:sz="0" w:space="0" w:color="auto"/>
          </w:divBdr>
          <w:divsChild>
            <w:div w:id="223948702">
              <w:marLeft w:val="0"/>
              <w:marRight w:val="0"/>
              <w:marTop w:val="0"/>
              <w:marBottom w:val="0"/>
              <w:divBdr>
                <w:top w:val="none" w:sz="0" w:space="0" w:color="auto"/>
                <w:left w:val="none" w:sz="0" w:space="0" w:color="auto"/>
                <w:bottom w:val="none" w:sz="0" w:space="0" w:color="auto"/>
                <w:right w:val="none" w:sz="0" w:space="0" w:color="auto"/>
              </w:divBdr>
              <w:divsChild>
                <w:div w:id="2062946786">
                  <w:marLeft w:val="0"/>
                  <w:marRight w:val="0"/>
                  <w:marTop w:val="0"/>
                  <w:marBottom w:val="0"/>
                  <w:divBdr>
                    <w:top w:val="none" w:sz="0" w:space="0" w:color="auto"/>
                    <w:left w:val="none" w:sz="0" w:space="0" w:color="auto"/>
                    <w:bottom w:val="none" w:sz="0" w:space="0" w:color="auto"/>
                    <w:right w:val="none" w:sz="0" w:space="0" w:color="auto"/>
                  </w:divBdr>
                </w:div>
                <w:div w:id="704717884">
                  <w:marLeft w:val="0"/>
                  <w:marRight w:val="0"/>
                  <w:marTop w:val="0"/>
                  <w:marBottom w:val="0"/>
                  <w:divBdr>
                    <w:top w:val="none" w:sz="0" w:space="0" w:color="auto"/>
                    <w:left w:val="none" w:sz="0" w:space="0" w:color="auto"/>
                    <w:bottom w:val="none" w:sz="0" w:space="0" w:color="auto"/>
                    <w:right w:val="none" w:sz="0" w:space="0" w:color="auto"/>
                  </w:divBdr>
                </w:div>
                <w:div w:id="305088536">
                  <w:marLeft w:val="0"/>
                  <w:marRight w:val="0"/>
                  <w:marTop w:val="0"/>
                  <w:marBottom w:val="0"/>
                  <w:divBdr>
                    <w:top w:val="none" w:sz="0" w:space="0" w:color="auto"/>
                    <w:left w:val="none" w:sz="0" w:space="0" w:color="auto"/>
                    <w:bottom w:val="none" w:sz="0" w:space="0" w:color="auto"/>
                    <w:right w:val="none" w:sz="0" w:space="0" w:color="auto"/>
                  </w:divBdr>
                </w:div>
                <w:div w:id="1493568535">
                  <w:marLeft w:val="0"/>
                  <w:marRight w:val="0"/>
                  <w:marTop w:val="0"/>
                  <w:marBottom w:val="0"/>
                  <w:divBdr>
                    <w:top w:val="none" w:sz="0" w:space="0" w:color="auto"/>
                    <w:left w:val="none" w:sz="0" w:space="0" w:color="auto"/>
                    <w:bottom w:val="none" w:sz="0" w:space="0" w:color="auto"/>
                    <w:right w:val="none" w:sz="0" w:space="0" w:color="auto"/>
                  </w:divBdr>
                </w:div>
                <w:div w:id="1809785490">
                  <w:marLeft w:val="0"/>
                  <w:marRight w:val="0"/>
                  <w:marTop w:val="0"/>
                  <w:marBottom w:val="0"/>
                  <w:divBdr>
                    <w:top w:val="none" w:sz="0" w:space="0" w:color="auto"/>
                    <w:left w:val="none" w:sz="0" w:space="0" w:color="auto"/>
                    <w:bottom w:val="none" w:sz="0" w:space="0" w:color="auto"/>
                    <w:right w:val="none" w:sz="0" w:space="0" w:color="auto"/>
                  </w:divBdr>
                </w:div>
                <w:div w:id="1439521295">
                  <w:marLeft w:val="0"/>
                  <w:marRight w:val="0"/>
                  <w:marTop w:val="0"/>
                  <w:marBottom w:val="0"/>
                  <w:divBdr>
                    <w:top w:val="none" w:sz="0" w:space="0" w:color="auto"/>
                    <w:left w:val="none" w:sz="0" w:space="0" w:color="auto"/>
                    <w:bottom w:val="none" w:sz="0" w:space="0" w:color="auto"/>
                    <w:right w:val="none" w:sz="0" w:space="0" w:color="auto"/>
                  </w:divBdr>
                </w:div>
                <w:div w:id="626549650">
                  <w:marLeft w:val="0"/>
                  <w:marRight w:val="0"/>
                  <w:marTop w:val="0"/>
                  <w:marBottom w:val="0"/>
                  <w:divBdr>
                    <w:top w:val="none" w:sz="0" w:space="0" w:color="auto"/>
                    <w:left w:val="none" w:sz="0" w:space="0" w:color="auto"/>
                    <w:bottom w:val="none" w:sz="0" w:space="0" w:color="auto"/>
                    <w:right w:val="none" w:sz="0" w:space="0" w:color="auto"/>
                  </w:divBdr>
                </w:div>
                <w:div w:id="2093744145">
                  <w:marLeft w:val="0"/>
                  <w:marRight w:val="0"/>
                  <w:marTop w:val="0"/>
                  <w:marBottom w:val="0"/>
                  <w:divBdr>
                    <w:top w:val="none" w:sz="0" w:space="0" w:color="auto"/>
                    <w:left w:val="none" w:sz="0" w:space="0" w:color="auto"/>
                    <w:bottom w:val="none" w:sz="0" w:space="0" w:color="auto"/>
                    <w:right w:val="none" w:sz="0" w:space="0" w:color="auto"/>
                  </w:divBdr>
                </w:div>
                <w:div w:id="545068077">
                  <w:marLeft w:val="0"/>
                  <w:marRight w:val="0"/>
                  <w:marTop w:val="0"/>
                  <w:marBottom w:val="0"/>
                  <w:divBdr>
                    <w:top w:val="none" w:sz="0" w:space="0" w:color="auto"/>
                    <w:left w:val="none" w:sz="0" w:space="0" w:color="auto"/>
                    <w:bottom w:val="none" w:sz="0" w:space="0" w:color="auto"/>
                    <w:right w:val="none" w:sz="0" w:space="0" w:color="auto"/>
                  </w:divBdr>
                </w:div>
                <w:div w:id="247346622">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261963569">
                  <w:marLeft w:val="0"/>
                  <w:marRight w:val="0"/>
                  <w:marTop w:val="0"/>
                  <w:marBottom w:val="0"/>
                  <w:divBdr>
                    <w:top w:val="none" w:sz="0" w:space="0" w:color="auto"/>
                    <w:left w:val="none" w:sz="0" w:space="0" w:color="auto"/>
                    <w:bottom w:val="none" w:sz="0" w:space="0" w:color="auto"/>
                    <w:right w:val="none" w:sz="0" w:space="0" w:color="auto"/>
                  </w:divBdr>
                </w:div>
                <w:div w:id="1692417076">
                  <w:marLeft w:val="0"/>
                  <w:marRight w:val="0"/>
                  <w:marTop w:val="0"/>
                  <w:marBottom w:val="0"/>
                  <w:divBdr>
                    <w:top w:val="none" w:sz="0" w:space="0" w:color="auto"/>
                    <w:left w:val="none" w:sz="0" w:space="0" w:color="auto"/>
                    <w:bottom w:val="none" w:sz="0" w:space="0" w:color="auto"/>
                    <w:right w:val="none" w:sz="0" w:space="0" w:color="auto"/>
                  </w:divBdr>
                </w:div>
                <w:div w:id="834952669">
                  <w:marLeft w:val="0"/>
                  <w:marRight w:val="0"/>
                  <w:marTop w:val="0"/>
                  <w:marBottom w:val="0"/>
                  <w:divBdr>
                    <w:top w:val="none" w:sz="0" w:space="0" w:color="auto"/>
                    <w:left w:val="none" w:sz="0" w:space="0" w:color="auto"/>
                    <w:bottom w:val="none" w:sz="0" w:space="0" w:color="auto"/>
                    <w:right w:val="none" w:sz="0" w:space="0" w:color="auto"/>
                  </w:divBdr>
                </w:div>
                <w:div w:id="210000533">
                  <w:marLeft w:val="0"/>
                  <w:marRight w:val="0"/>
                  <w:marTop w:val="0"/>
                  <w:marBottom w:val="0"/>
                  <w:divBdr>
                    <w:top w:val="none" w:sz="0" w:space="0" w:color="auto"/>
                    <w:left w:val="none" w:sz="0" w:space="0" w:color="auto"/>
                    <w:bottom w:val="none" w:sz="0" w:space="0" w:color="auto"/>
                    <w:right w:val="none" w:sz="0" w:space="0" w:color="auto"/>
                  </w:divBdr>
                </w:div>
                <w:div w:id="671377598">
                  <w:marLeft w:val="0"/>
                  <w:marRight w:val="0"/>
                  <w:marTop w:val="0"/>
                  <w:marBottom w:val="0"/>
                  <w:divBdr>
                    <w:top w:val="none" w:sz="0" w:space="0" w:color="auto"/>
                    <w:left w:val="none" w:sz="0" w:space="0" w:color="auto"/>
                    <w:bottom w:val="none" w:sz="0" w:space="0" w:color="auto"/>
                    <w:right w:val="none" w:sz="0" w:space="0" w:color="auto"/>
                  </w:divBdr>
                </w:div>
                <w:div w:id="1950551199">
                  <w:marLeft w:val="0"/>
                  <w:marRight w:val="0"/>
                  <w:marTop w:val="0"/>
                  <w:marBottom w:val="0"/>
                  <w:divBdr>
                    <w:top w:val="none" w:sz="0" w:space="0" w:color="auto"/>
                    <w:left w:val="none" w:sz="0" w:space="0" w:color="auto"/>
                    <w:bottom w:val="none" w:sz="0" w:space="0" w:color="auto"/>
                    <w:right w:val="none" w:sz="0" w:space="0" w:color="auto"/>
                  </w:divBdr>
                </w:div>
                <w:div w:id="917329746">
                  <w:marLeft w:val="0"/>
                  <w:marRight w:val="0"/>
                  <w:marTop w:val="0"/>
                  <w:marBottom w:val="0"/>
                  <w:divBdr>
                    <w:top w:val="none" w:sz="0" w:space="0" w:color="auto"/>
                    <w:left w:val="none" w:sz="0" w:space="0" w:color="auto"/>
                    <w:bottom w:val="none" w:sz="0" w:space="0" w:color="auto"/>
                    <w:right w:val="none" w:sz="0" w:space="0" w:color="auto"/>
                  </w:divBdr>
                </w:div>
                <w:div w:id="2077312812">
                  <w:marLeft w:val="0"/>
                  <w:marRight w:val="0"/>
                  <w:marTop w:val="0"/>
                  <w:marBottom w:val="0"/>
                  <w:divBdr>
                    <w:top w:val="none" w:sz="0" w:space="0" w:color="auto"/>
                    <w:left w:val="none" w:sz="0" w:space="0" w:color="auto"/>
                    <w:bottom w:val="none" w:sz="0" w:space="0" w:color="auto"/>
                    <w:right w:val="none" w:sz="0" w:space="0" w:color="auto"/>
                  </w:divBdr>
                </w:div>
                <w:div w:id="92287336">
                  <w:marLeft w:val="0"/>
                  <w:marRight w:val="0"/>
                  <w:marTop w:val="0"/>
                  <w:marBottom w:val="0"/>
                  <w:divBdr>
                    <w:top w:val="none" w:sz="0" w:space="0" w:color="auto"/>
                    <w:left w:val="none" w:sz="0" w:space="0" w:color="auto"/>
                    <w:bottom w:val="none" w:sz="0" w:space="0" w:color="auto"/>
                    <w:right w:val="none" w:sz="0" w:space="0" w:color="auto"/>
                  </w:divBdr>
                </w:div>
                <w:div w:id="1922833694">
                  <w:marLeft w:val="0"/>
                  <w:marRight w:val="0"/>
                  <w:marTop w:val="0"/>
                  <w:marBottom w:val="0"/>
                  <w:divBdr>
                    <w:top w:val="none" w:sz="0" w:space="0" w:color="auto"/>
                    <w:left w:val="none" w:sz="0" w:space="0" w:color="auto"/>
                    <w:bottom w:val="none" w:sz="0" w:space="0" w:color="auto"/>
                    <w:right w:val="none" w:sz="0" w:space="0" w:color="auto"/>
                  </w:divBdr>
                </w:div>
                <w:div w:id="686177378">
                  <w:marLeft w:val="0"/>
                  <w:marRight w:val="0"/>
                  <w:marTop w:val="0"/>
                  <w:marBottom w:val="0"/>
                  <w:divBdr>
                    <w:top w:val="none" w:sz="0" w:space="0" w:color="auto"/>
                    <w:left w:val="none" w:sz="0" w:space="0" w:color="auto"/>
                    <w:bottom w:val="none" w:sz="0" w:space="0" w:color="auto"/>
                    <w:right w:val="none" w:sz="0" w:space="0" w:color="auto"/>
                  </w:divBdr>
                </w:div>
                <w:div w:id="638922688">
                  <w:marLeft w:val="0"/>
                  <w:marRight w:val="0"/>
                  <w:marTop w:val="0"/>
                  <w:marBottom w:val="0"/>
                  <w:divBdr>
                    <w:top w:val="none" w:sz="0" w:space="0" w:color="auto"/>
                    <w:left w:val="none" w:sz="0" w:space="0" w:color="auto"/>
                    <w:bottom w:val="none" w:sz="0" w:space="0" w:color="auto"/>
                    <w:right w:val="none" w:sz="0" w:space="0" w:color="auto"/>
                  </w:divBdr>
                </w:div>
                <w:div w:id="2067292990">
                  <w:marLeft w:val="0"/>
                  <w:marRight w:val="0"/>
                  <w:marTop w:val="0"/>
                  <w:marBottom w:val="0"/>
                  <w:divBdr>
                    <w:top w:val="none" w:sz="0" w:space="0" w:color="auto"/>
                    <w:left w:val="none" w:sz="0" w:space="0" w:color="auto"/>
                    <w:bottom w:val="none" w:sz="0" w:space="0" w:color="auto"/>
                    <w:right w:val="none" w:sz="0" w:space="0" w:color="auto"/>
                  </w:divBdr>
                </w:div>
                <w:div w:id="1598177392">
                  <w:marLeft w:val="0"/>
                  <w:marRight w:val="0"/>
                  <w:marTop w:val="0"/>
                  <w:marBottom w:val="0"/>
                  <w:divBdr>
                    <w:top w:val="none" w:sz="0" w:space="0" w:color="auto"/>
                    <w:left w:val="none" w:sz="0" w:space="0" w:color="auto"/>
                    <w:bottom w:val="none" w:sz="0" w:space="0" w:color="auto"/>
                    <w:right w:val="none" w:sz="0" w:space="0" w:color="auto"/>
                  </w:divBdr>
                </w:div>
                <w:div w:id="629287678">
                  <w:marLeft w:val="0"/>
                  <w:marRight w:val="0"/>
                  <w:marTop w:val="0"/>
                  <w:marBottom w:val="0"/>
                  <w:divBdr>
                    <w:top w:val="none" w:sz="0" w:space="0" w:color="auto"/>
                    <w:left w:val="none" w:sz="0" w:space="0" w:color="auto"/>
                    <w:bottom w:val="none" w:sz="0" w:space="0" w:color="auto"/>
                    <w:right w:val="none" w:sz="0" w:space="0" w:color="auto"/>
                  </w:divBdr>
                </w:div>
                <w:div w:id="1756975799">
                  <w:marLeft w:val="0"/>
                  <w:marRight w:val="0"/>
                  <w:marTop w:val="0"/>
                  <w:marBottom w:val="0"/>
                  <w:divBdr>
                    <w:top w:val="none" w:sz="0" w:space="0" w:color="auto"/>
                    <w:left w:val="none" w:sz="0" w:space="0" w:color="auto"/>
                    <w:bottom w:val="none" w:sz="0" w:space="0" w:color="auto"/>
                    <w:right w:val="none" w:sz="0" w:space="0" w:color="auto"/>
                  </w:divBdr>
                </w:div>
                <w:div w:id="1294018068">
                  <w:marLeft w:val="0"/>
                  <w:marRight w:val="0"/>
                  <w:marTop w:val="0"/>
                  <w:marBottom w:val="0"/>
                  <w:divBdr>
                    <w:top w:val="none" w:sz="0" w:space="0" w:color="auto"/>
                    <w:left w:val="none" w:sz="0" w:space="0" w:color="auto"/>
                    <w:bottom w:val="none" w:sz="0" w:space="0" w:color="auto"/>
                    <w:right w:val="none" w:sz="0" w:space="0" w:color="auto"/>
                  </w:divBdr>
                </w:div>
                <w:div w:id="1504322721">
                  <w:marLeft w:val="0"/>
                  <w:marRight w:val="0"/>
                  <w:marTop w:val="0"/>
                  <w:marBottom w:val="0"/>
                  <w:divBdr>
                    <w:top w:val="none" w:sz="0" w:space="0" w:color="auto"/>
                    <w:left w:val="none" w:sz="0" w:space="0" w:color="auto"/>
                    <w:bottom w:val="none" w:sz="0" w:space="0" w:color="auto"/>
                    <w:right w:val="none" w:sz="0" w:space="0" w:color="auto"/>
                  </w:divBdr>
                </w:div>
                <w:div w:id="1446997096">
                  <w:marLeft w:val="0"/>
                  <w:marRight w:val="0"/>
                  <w:marTop w:val="0"/>
                  <w:marBottom w:val="0"/>
                  <w:divBdr>
                    <w:top w:val="none" w:sz="0" w:space="0" w:color="auto"/>
                    <w:left w:val="none" w:sz="0" w:space="0" w:color="auto"/>
                    <w:bottom w:val="none" w:sz="0" w:space="0" w:color="auto"/>
                    <w:right w:val="none" w:sz="0" w:space="0" w:color="auto"/>
                  </w:divBdr>
                </w:div>
                <w:div w:id="2004816135">
                  <w:marLeft w:val="0"/>
                  <w:marRight w:val="0"/>
                  <w:marTop w:val="0"/>
                  <w:marBottom w:val="0"/>
                  <w:divBdr>
                    <w:top w:val="none" w:sz="0" w:space="0" w:color="auto"/>
                    <w:left w:val="none" w:sz="0" w:space="0" w:color="auto"/>
                    <w:bottom w:val="none" w:sz="0" w:space="0" w:color="auto"/>
                    <w:right w:val="none" w:sz="0" w:space="0" w:color="auto"/>
                  </w:divBdr>
                </w:div>
                <w:div w:id="1328244508">
                  <w:marLeft w:val="0"/>
                  <w:marRight w:val="0"/>
                  <w:marTop w:val="0"/>
                  <w:marBottom w:val="0"/>
                  <w:divBdr>
                    <w:top w:val="none" w:sz="0" w:space="0" w:color="auto"/>
                    <w:left w:val="none" w:sz="0" w:space="0" w:color="auto"/>
                    <w:bottom w:val="none" w:sz="0" w:space="0" w:color="auto"/>
                    <w:right w:val="none" w:sz="0" w:space="0" w:color="auto"/>
                  </w:divBdr>
                </w:div>
                <w:div w:id="1423331212">
                  <w:marLeft w:val="0"/>
                  <w:marRight w:val="0"/>
                  <w:marTop w:val="0"/>
                  <w:marBottom w:val="0"/>
                  <w:divBdr>
                    <w:top w:val="none" w:sz="0" w:space="0" w:color="auto"/>
                    <w:left w:val="none" w:sz="0" w:space="0" w:color="auto"/>
                    <w:bottom w:val="none" w:sz="0" w:space="0" w:color="auto"/>
                    <w:right w:val="none" w:sz="0" w:space="0" w:color="auto"/>
                  </w:divBdr>
                </w:div>
                <w:div w:id="158586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6701">
          <w:marLeft w:val="0"/>
          <w:marRight w:val="0"/>
          <w:marTop w:val="15"/>
          <w:marBottom w:val="0"/>
          <w:divBdr>
            <w:top w:val="none" w:sz="0" w:space="0" w:color="auto"/>
            <w:left w:val="none" w:sz="0" w:space="0" w:color="auto"/>
            <w:bottom w:val="none" w:sz="0" w:space="0" w:color="auto"/>
            <w:right w:val="none" w:sz="0" w:space="0" w:color="auto"/>
          </w:divBdr>
          <w:divsChild>
            <w:div w:id="437994684">
              <w:marLeft w:val="0"/>
              <w:marRight w:val="0"/>
              <w:marTop w:val="0"/>
              <w:marBottom w:val="0"/>
              <w:divBdr>
                <w:top w:val="none" w:sz="0" w:space="0" w:color="auto"/>
                <w:left w:val="none" w:sz="0" w:space="0" w:color="auto"/>
                <w:bottom w:val="none" w:sz="0" w:space="0" w:color="auto"/>
                <w:right w:val="none" w:sz="0" w:space="0" w:color="auto"/>
              </w:divBdr>
              <w:divsChild>
                <w:div w:id="203256245">
                  <w:marLeft w:val="0"/>
                  <w:marRight w:val="0"/>
                  <w:marTop w:val="0"/>
                  <w:marBottom w:val="0"/>
                  <w:divBdr>
                    <w:top w:val="none" w:sz="0" w:space="0" w:color="auto"/>
                    <w:left w:val="none" w:sz="0" w:space="0" w:color="auto"/>
                    <w:bottom w:val="none" w:sz="0" w:space="0" w:color="auto"/>
                    <w:right w:val="none" w:sz="0" w:space="0" w:color="auto"/>
                  </w:divBdr>
                </w:div>
                <w:div w:id="1176113122">
                  <w:marLeft w:val="0"/>
                  <w:marRight w:val="0"/>
                  <w:marTop w:val="0"/>
                  <w:marBottom w:val="0"/>
                  <w:divBdr>
                    <w:top w:val="none" w:sz="0" w:space="0" w:color="auto"/>
                    <w:left w:val="none" w:sz="0" w:space="0" w:color="auto"/>
                    <w:bottom w:val="none" w:sz="0" w:space="0" w:color="auto"/>
                    <w:right w:val="none" w:sz="0" w:space="0" w:color="auto"/>
                  </w:divBdr>
                </w:div>
                <w:div w:id="1827160467">
                  <w:marLeft w:val="0"/>
                  <w:marRight w:val="0"/>
                  <w:marTop w:val="0"/>
                  <w:marBottom w:val="0"/>
                  <w:divBdr>
                    <w:top w:val="none" w:sz="0" w:space="0" w:color="auto"/>
                    <w:left w:val="none" w:sz="0" w:space="0" w:color="auto"/>
                    <w:bottom w:val="none" w:sz="0" w:space="0" w:color="auto"/>
                    <w:right w:val="none" w:sz="0" w:space="0" w:color="auto"/>
                  </w:divBdr>
                </w:div>
                <w:div w:id="1000347888">
                  <w:marLeft w:val="0"/>
                  <w:marRight w:val="0"/>
                  <w:marTop w:val="0"/>
                  <w:marBottom w:val="0"/>
                  <w:divBdr>
                    <w:top w:val="none" w:sz="0" w:space="0" w:color="auto"/>
                    <w:left w:val="none" w:sz="0" w:space="0" w:color="auto"/>
                    <w:bottom w:val="none" w:sz="0" w:space="0" w:color="auto"/>
                    <w:right w:val="none" w:sz="0" w:space="0" w:color="auto"/>
                  </w:divBdr>
                </w:div>
                <w:div w:id="1183789079">
                  <w:marLeft w:val="0"/>
                  <w:marRight w:val="0"/>
                  <w:marTop w:val="0"/>
                  <w:marBottom w:val="0"/>
                  <w:divBdr>
                    <w:top w:val="none" w:sz="0" w:space="0" w:color="auto"/>
                    <w:left w:val="none" w:sz="0" w:space="0" w:color="auto"/>
                    <w:bottom w:val="none" w:sz="0" w:space="0" w:color="auto"/>
                    <w:right w:val="none" w:sz="0" w:space="0" w:color="auto"/>
                  </w:divBdr>
                </w:div>
                <w:div w:id="1738358484">
                  <w:marLeft w:val="0"/>
                  <w:marRight w:val="0"/>
                  <w:marTop w:val="0"/>
                  <w:marBottom w:val="0"/>
                  <w:divBdr>
                    <w:top w:val="none" w:sz="0" w:space="0" w:color="auto"/>
                    <w:left w:val="none" w:sz="0" w:space="0" w:color="auto"/>
                    <w:bottom w:val="none" w:sz="0" w:space="0" w:color="auto"/>
                    <w:right w:val="none" w:sz="0" w:space="0" w:color="auto"/>
                  </w:divBdr>
                </w:div>
                <w:div w:id="1681934654">
                  <w:marLeft w:val="0"/>
                  <w:marRight w:val="0"/>
                  <w:marTop w:val="0"/>
                  <w:marBottom w:val="0"/>
                  <w:divBdr>
                    <w:top w:val="none" w:sz="0" w:space="0" w:color="auto"/>
                    <w:left w:val="none" w:sz="0" w:space="0" w:color="auto"/>
                    <w:bottom w:val="none" w:sz="0" w:space="0" w:color="auto"/>
                    <w:right w:val="none" w:sz="0" w:space="0" w:color="auto"/>
                  </w:divBdr>
                </w:div>
                <w:div w:id="1909535917">
                  <w:marLeft w:val="0"/>
                  <w:marRight w:val="0"/>
                  <w:marTop w:val="0"/>
                  <w:marBottom w:val="0"/>
                  <w:divBdr>
                    <w:top w:val="none" w:sz="0" w:space="0" w:color="auto"/>
                    <w:left w:val="none" w:sz="0" w:space="0" w:color="auto"/>
                    <w:bottom w:val="none" w:sz="0" w:space="0" w:color="auto"/>
                    <w:right w:val="none" w:sz="0" w:space="0" w:color="auto"/>
                  </w:divBdr>
                </w:div>
                <w:div w:id="1634285516">
                  <w:marLeft w:val="0"/>
                  <w:marRight w:val="0"/>
                  <w:marTop w:val="0"/>
                  <w:marBottom w:val="0"/>
                  <w:divBdr>
                    <w:top w:val="none" w:sz="0" w:space="0" w:color="auto"/>
                    <w:left w:val="none" w:sz="0" w:space="0" w:color="auto"/>
                    <w:bottom w:val="none" w:sz="0" w:space="0" w:color="auto"/>
                    <w:right w:val="none" w:sz="0" w:space="0" w:color="auto"/>
                  </w:divBdr>
                </w:div>
                <w:div w:id="550574665">
                  <w:marLeft w:val="0"/>
                  <w:marRight w:val="0"/>
                  <w:marTop w:val="0"/>
                  <w:marBottom w:val="0"/>
                  <w:divBdr>
                    <w:top w:val="none" w:sz="0" w:space="0" w:color="auto"/>
                    <w:left w:val="none" w:sz="0" w:space="0" w:color="auto"/>
                    <w:bottom w:val="none" w:sz="0" w:space="0" w:color="auto"/>
                    <w:right w:val="none" w:sz="0" w:space="0" w:color="auto"/>
                  </w:divBdr>
                </w:div>
                <w:div w:id="46269894">
                  <w:marLeft w:val="0"/>
                  <w:marRight w:val="0"/>
                  <w:marTop w:val="0"/>
                  <w:marBottom w:val="0"/>
                  <w:divBdr>
                    <w:top w:val="none" w:sz="0" w:space="0" w:color="auto"/>
                    <w:left w:val="none" w:sz="0" w:space="0" w:color="auto"/>
                    <w:bottom w:val="none" w:sz="0" w:space="0" w:color="auto"/>
                    <w:right w:val="none" w:sz="0" w:space="0" w:color="auto"/>
                  </w:divBdr>
                </w:div>
                <w:div w:id="1990089346">
                  <w:marLeft w:val="0"/>
                  <w:marRight w:val="0"/>
                  <w:marTop w:val="0"/>
                  <w:marBottom w:val="0"/>
                  <w:divBdr>
                    <w:top w:val="none" w:sz="0" w:space="0" w:color="auto"/>
                    <w:left w:val="none" w:sz="0" w:space="0" w:color="auto"/>
                    <w:bottom w:val="none" w:sz="0" w:space="0" w:color="auto"/>
                    <w:right w:val="none" w:sz="0" w:space="0" w:color="auto"/>
                  </w:divBdr>
                </w:div>
                <w:div w:id="1107388749">
                  <w:marLeft w:val="0"/>
                  <w:marRight w:val="0"/>
                  <w:marTop w:val="0"/>
                  <w:marBottom w:val="0"/>
                  <w:divBdr>
                    <w:top w:val="none" w:sz="0" w:space="0" w:color="auto"/>
                    <w:left w:val="none" w:sz="0" w:space="0" w:color="auto"/>
                    <w:bottom w:val="none" w:sz="0" w:space="0" w:color="auto"/>
                    <w:right w:val="none" w:sz="0" w:space="0" w:color="auto"/>
                  </w:divBdr>
                </w:div>
                <w:div w:id="1561595400">
                  <w:marLeft w:val="0"/>
                  <w:marRight w:val="0"/>
                  <w:marTop w:val="0"/>
                  <w:marBottom w:val="0"/>
                  <w:divBdr>
                    <w:top w:val="none" w:sz="0" w:space="0" w:color="auto"/>
                    <w:left w:val="none" w:sz="0" w:space="0" w:color="auto"/>
                    <w:bottom w:val="none" w:sz="0" w:space="0" w:color="auto"/>
                    <w:right w:val="none" w:sz="0" w:space="0" w:color="auto"/>
                  </w:divBdr>
                </w:div>
                <w:div w:id="1700083124">
                  <w:marLeft w:val="0"/>
                  <w:marRight w:val="0"/>
                  <w:marTop w:val="0"/>
                  <w:marBottom w:val="0"/>
                  <w:divBdr>
                    <w:top w:val="none" w:sz="0" w:space="0" w:color="auto"/>
                    <w:left w:val="none" w:sz="0" w:space="0" w:color="auto"/>
                    <w:bottom w:val="none" w:sz="0" w:space="0" w:color="auto"/>
                    <w:right w:val="none" w:sz="0" w:space="0" w:color="auto"/>
                  </w:divBdr>
                </w:div>
                <w:div w:id="1142622038">
                  <w:marLeft w:val="0"/>
                  <w:marRight w:val="0"/>
                  <w:marTop w:val="0"/>
                  <w:marBottom w:val="0"/>
                  <w:divBdr>
                    <w:top w:val="none" w:sz="0" w:space="0" w:color="auto"/>
                    <w:left w:val="none" w:sz="0" w:space="0" w:color="auto"/>
                    <w:bottom w:val="none" w:sz="0" w:space="0" w:color="auto"/>
                    <w:right w:val="none" w:sz="0" w:space="0" w:color="auto"/>
                  </w:divBdr>
                </w:div>
                <w:div w:id="45881440">
                  <w:marLeft w:val="0"/>
                  <w:marRight w:val="0"/>
                  <w:marTop w:val="0"/>
                  <w:marBottom w:val="0"/>
                  <w:divBdr>
                    <w:top w:val="none" w:sz="0" w:space="0" w:color="auto"/>
                    <w:left w:val="none" w:sz="0" w:space="0" w:color="auto"/>
                    <w:bottom w:val="none" w:sz="0" w:space="0" w:color="auto"/>
                    <w:right w:val="none" w:sz="0" w:space="0" w:color="auto"/>
                  </w:divBdr>
                </w:div>
                <w:div w:id="597786307">
                  <w:marLeft w:val="0"/>
                  <w:marRight w:val="0"/>
                  <w:marTop w:val="0"/>
                  <w:marBottom w:val="0"/>
                  <w:divBdr>
                    <w:top w:val="none" w:sz="0" w:space="0" w:color="auto"/>
                    <w:left w:val="none" w:sz="0" w:space="0" w:color="auto"/>
                    <w:bottom w:val="none" w:sz="0" w:space="0" w:color="auto"/>
                    <w:right w:val="none" w:sz="0" w:space="0" w:color="auto"/>
                  </w:divBdr>
                </w:div>
                <w:div w:id="733510099">
                  <w:marLeft w:val="0"/>
                  <w:marRight w:val="0"/>
                  <w:marTop w:val="0"/>
                  <w:marBottom w:val="0"/>
                  <w:divBdr>
                    <w:top w:val="none" w:sz="0" w:space="0" w:color="auto"/>
                    <w:left w:val="none" w:sz="0" w:space="0" w:color="auto"/>
                    <w:bottom w:val="none" w:sz="0" w:space="0" w:color="auto"/>
                    <w:right w:val="none" w:sz="0" w:space="0" w:color="auto"/>
                  </w:divBdr>
                </w:div>
                <w:div w:id="1281842008">
                  <w:marLeft w:val="0"/>
                  <w:marRight w:val="0"/>
                  <w:marTop w:val="0"/>
                  <w:marBottom w:val="0"/>
                  <w:divBdr>
                    <w:top w:val="none" w:sz="0" w:space="0" w:color="auto"/>
                    <w:left w:val="none" w:sz="0" w:space="0" w:color="auto"/>
                    <w:bottom w:val="none" w:sz="0" w:space="0" w:color="auto"/>
                    <w:right w:val="none" w:sz="0" w:space="0" w:color="auto"/>
                  </w:divBdr>
                </w:div>
                <w:div w:id="1907376277">
                  <w:marLeft w:val="0"/>
                  <w:marRight w:val="0"/>
                  <w:marTop w:val="0"/>
                  <w:marBottom w:val="0"/>
                  <w:divBdr>
                    <w:top w:val="none" w:sz="0" w:space="0" w:color="auto"/>
                    <w:left w:val="none" w:sz="0" w:space="0" w:color="auto"/>
                    <w:bottom w:val="none" w:sz="0" w:space="0" w:color="auto"/>
                    <w:right w:val="none" w:sz="0" w:space="0" w:color="auto"/>
                  </w:divBdr>
                </w:div>
                <w:div w:id="718237511">
                  <w:marLeft w:val="0"/>
                  <w:marRight w:val="0"/>
                  <w:marTop w:val="0"/>
                  <w:marBottom w:val="0"/>
                  <w:divBdr>
                    <w:top w:val="none" w:sz="0" w:space="0" w:color="auto"/>
                    <w:left w:val="none" w:sz="0" w:space="0" w:color="auto"/>
                    <w:bottom w:val="none" w:sz="0" w:space="0" w:color="auto"/>
                    <w:right w:val="none" w:sz="0" w:space="0" w:color="auto"/>
                  </w:divBdr>
                </w:div>
                <w:div w:id="727612448">
                  <w:marLeft w:val="0"/>
                  <w:marRight w:val="0"/>
                  <w:marTop w:val="0"/>
                  <w:marBottom w:val="0"/>
                  <w:divBdr>
                    <w:top w:val="none" w:sz="0" w:space="0" w:color="auto"/>
                    <w:left w:val="none" w:sz="0" w:space="0" w:color="auto"/>
                    <w:bottom w:val="none" w:sz="0" w:space="0" w:color="auto"/>
                    <w:right w:val="none" w:sz="0" w:space="0" w:color="auto"/>
                  </w:divBdr>
                </w:div>
                <w:div w:id="1913272186">
                  <w:marLeft w:val="0"/>
                  <w:marRight w:val="0"/>
                  <w:marTop w:val="0"/>
                  <w:marBottom w:val="0"/>
                  <w:divBdr>
                    <w:top w:val="none" w:sz="0" w:space="0" w:color="auto"/>
                    <w:left w:val="none" w:sz="0" w:space="0" w:color="auto"/>
                    <w:bottom w:val="none" w:sz="0" w:space="0" w:color="auto"/>
                    <w:right w:val="none" w:sz="0" w:space="0" w:color="auto"/>
                  </w:divBdr>
                </w:div>
                <w:div w:id="14484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7547">
          <w:marLeft w:val="0"/>
          <w:marRight w:val="0"/>
          <w:marTop w:val="15"/>
          <w:marBottom w:val="0"/>
          <w:divBdr>
            <w:top w:val="none" w:sz="0" w:space="0" w:color="auto"/>
            <w:left w:val="none" w:sz="0" w:space="0" w:color="auto"/>
            <w:bottom w:val="none" w:sz="0" w:space="0" w:color="auto"/>
            <w:right w:val="none" w:sz="0" w:space="0" w:color="auto"/>
          </w:divBdr>
          <w:divsChild>
            <w:div w:id="603613835">
              <w:marLeft w:val="0"/>
              <w:marRight w:val="0"/>
              <w:marTop w:val="0"/>
              <w:marBottom w:val="0"/>
              <w:divBdr>
                <w:top w:val="none" w:sz="0" w:space="0" w:color="auto"/>
                <w:left w:val="none" w:sz="0" w:space="0" w:color="auto"/>
                <w:bottom w:val="none" w:sz="0" w:space="0" w:color="auto"/>
                <w:right w:val="none" w:sz="0" w:space="0" w:color="auto"/>
              </w:divBdr>
              <w:divsChild>
                <w:div w:id="1510480687">
                  <w:marLeft w:val="0"/>
                  <w:marRight w:val="0"/>
                  <w:marTop w:val="0"/>
                  <w:marBottom w:val="0"/>
                  <w:divBdr>
                    <w:top w:val="none" w:sz="0" w:space="0" w:color="auto"/>
                    <w:left w:val="none" w:sz="0" w:space="0" w:color="auto"/>
                    <w:bottom w:val="none" w:sz="0" w:space="0" w:color="auto"/>
                    <w:right w:val="none" w:sz="0" w:space="0" w:color="auto"/>
                  </w:divBdr>
                </w:div>
                <w:div w:id="1906379276">
                  <w:marLeft w:val="0"/>
                  <w:marRight w:val="0"/>
                  <w:marTop w:val="0"/>
                  <w:marBottom w:val="0"/>
                  <w:divBdr>
                    <w:top w:val="none" w:sz="0" w:space="0" w:color="auto"/>
                    <w:left w:val="none" w:sz="0" w:space="0" w:color="auto"/>
                    <w:bottom w:val="none" w:sz="0" w:space="0" w:color="auto"/>
                    <w:right w:val="none" w:sz="0" w:space="0" w:color="auto"/>
                  </w:divBdr>
                </w:div>
                <w:div w:id="2100322186">
                  <w:marLeft w:val="0"/>
                  <w:marRight w:val="0"/>
                  <w:marTop w:val="0"/>
                  <w:marBottom w:val="0"/>
                  <w:divBdr>
                    <w:top w:val="none" w:sz="0" w:space="0" w:color="auto"/>
                    <w:left w:val="none" w:sz="0" w:space="0" w:color="auto"/>
                    <w:bottom w:val="none" w:sz="0" w:space="0" w:color="auto"/>
                    <w:right w:val="none" w:sz="0" w:space="0" w:color="auto"/>
                  </w:divBdr>
                </w:div>
                <w:div w:id="1509981707">
                  <w:marLeft w:val="0"/>
                  <w:marRight w:val="0"/>
                  <w:marTop w:val="0"/>
                  <w:marBottom w:val="0"/>
                  <w:divBdr>
                    <w:top w:val="none" w:sz="0" w:space="0" w:color="auto"/>
                    <w:left w:val="none" w:sz="0" w:space="0" w:color="auto"/>
                    <w:bottom w:val="none" w:sz="0" w:space="0" w:color="auto"/>
                    <w:right w:val="none" w:sz="0" w:space="0" w:color="auto"/>
                  </w:divBdr>
                </w:div>
                <w:div w:id="158927234">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796096956">
                  <w:marLeft w:val="0"/>
                  <w:marRight w:val="0"/>
                  <w:marTop w:val="0"/>
                  <w:marBottom w:val="0"/>
                  <w:divBdr>
                    <w:top w:val="none" w:sz="0" w:space="0" w:color="auto"/>
                    <w:left w:val="none" w:sz="0" w:space="0" w:color="auto"/>
                    <w:bottom w:val="none" w:sz="0" w:space="0" w:color="auto"/>
                    <w:right w:val="none" w:sz="0" w:space="0" w:color="auto"/>
                  </w:divBdr>
                </w:div>
                <w:div w:id="1391424258">
                  <w:marLeft w:val="0"/>
                  <w:marRight w:val="0"/>
                  <w:marTop w:val="0"/>
                  <w:marBottom w:val="0"/>
                  <w:divBdr>
                    <w:top w:val="none" w:sz="0" w:space="0" w:color="auto"/>
                    <w:left w:val="none" w:sz="0" w:space="0" w:color="auto"/>
                    <w:bottom w:val="none" w:sz="0" w:space="0" w:color="auto"/>
                    <w:right w:val="none" w:sz="0" w:space="0" w:color="auto"/>
                  </w:divBdr>
                </w:div>
                <w:div w:id="805702973">
                  <w:marLeft w:val="0"/>
                  <w:marRight w:val="0"/>
                  <w:marTop w:val="0"/>
                  <w:marBottom w:val="0"/>
                  <w:divBdr>
                    <w:top w:val="none" w:sz="0" w:space="0" w:color="auto"/>
                    <w:left w:val="none" w:sz="0" w:space="0" w:color="auto"/>
                    <w:bottom w:val="none" w:sz="0" w:space="0" w:color="auto"/>
                    <w:right w:val="none" w:sz="0" w:space="0" w:color="auto"/>
                  </w:divBdr>
                </w:div>
                <w:div w:id="1621565410">
                  <w:marLeft w:val="0"/>
                  <w:marRight w:val="0"/>
                  <w:marTop w:val="0"/>
                  <w:marBottom w:val="0"/>
                  <w:divBdr>
                    <w:top w:val="none" w:sz="0" w:space="0" w:color="auto"/>
                    <w:left w:val="none" w:sz="0" w:space="0" w:color="auto"/>
                    <w:bottom w:val="none" w:sz="0" w:space="0" w:color="auto"/>
                    <w:right w:val="none" w:sz="0" w:space="0" w:color="auto"/>
                  </w:divBdr>
                </w:div>
                <w:div w:id="918099844">
                  <w:marLeft w:val="0"/>
                  <w:marRight w:val="0"/>
                  <w:marTop w:val="0"/>
                  <w:marBottom w:val="0"/>
                  <w:divBdr>
                    <w:top w:val="none" w:sz="0" w:space="0" w:color="auto"/>
                    <w:left w:val="none" w:sz="0" w:space="0" w:color="auto"/>
                    <w:bottom w:val="none" w:sz="0" w:space="0" w:color="auto"/>
                    <w:right w:val="none" w:sz="0" w:space="0" w:color="auto"/>
                  </w:divBdr>
                </w:div>
                <w:div w:id="1004865513">
                  <w:marLeft w:val="0"/>
                  <w:marRight w:val="0"/>
                  <w:marTop w:val="0"/>
                  <w:marBottom w:val="0"/>
                  <w:divBdr>
                    <w:top w:val="none" w:sz="0" w:space="0" w:color="auto"/>
                    <w:left w:val="none" w:sz="0" w:space="0" w:color="auto"/>
                    <w:bottom w:val="none" w:sz="0" w:space="0" w:color="auto"/>
                    <w:right w:val="none" w:sz="0" w:space="0" w:color="auto"/>
                  </w:divBdr>
                </w:div>
                <w:div w:id="1954945948">
                  <w:marLeft w:val="0"/>
                  <w:marRight w:val="0"/>
                  <w:marTop w:val="0"/>
                  <w:marBottom w:val="0"/>
                  <w:divBdr>
                    <w:top w:val="none" w:sz="0" w:space="0" w:color="auto"/>
                    <w:left w:val="none" w:sz="0" w:space="0" w:color="auto"/>
                    <w:bottom w:val="none" w:sz="0" w:space="0" w:color="auto"/>
                    <w:right w:val="none" w:sz="0" w:space="0" w:color="auto"/>
                  </w:divBdr>
                </w:div>
                <w:div w:id="1016924480">
                  <w:marLeft w:val="0"/>
                  <w:marRight w:val="0"/>
                  <w:marTop w:val="0"/>
                  <w:marBottom w:val="0"/>
                  <w:divBdr>
                    <w:top w:val="none" w:sz="0" w:space="0" w:color="auto"/>
                    <w:left w:val="none" w:sz="0" w:space="0" w:color="auto"/>
                    <w:bottom w:val="none" w:sz="0" w:space="0" w:color="auto"/>
                    <w:right w:val="none" w:sz="0" w:space="0" w:color="auto"/>
                  </w:divBdr>
                </w:div>
                <w:div w:id="1799297358">
                  <w:marLeft w:val="0"/>
                  <w:marRight w:val="0"/>
                  <w:marTop w:val="0"/>
                  <w:marBottom w:val="0"/>
                  <w:divBdr>
                    <w:top w:val="none" w:sz="0" w:space="0" w:color="auto"/>
                    <w:left w:val="none" w:sz="0" w:space="0" w:color="auto"/>
                    <w:bottom w:val="none" w:sz="0" w:space="0" w:color="auto"/>
                    <w:right w:val="none" w:sz="0" w:space="0" w:color="auto"/>
                  </w:divBdr>
                </w:div>
                <w:div w:id="1422946004">
                  <w:marLeft w:val="0"/>
                  <w:marRight w:val="0"/>
                  <w:marTop w:val="0"/>
                  <w:marBottom w:val="0"/>
                  <w:divBdr>
                    <w:top w:val="none" w:sz="0" w:space="0" w:color="auto"/>
                    <w:left w:val="none" w:sz="0" w:space="0" w:color="auto"/>
                    <w:bottom w:val="none" w:sz="0" w:space="0" w:color="auto"/>
                    <w:right w:val="none" w:sz="0" w:space="0" w:color="auto"/>
                  </w:divBdr>
                </w:div>
                <w:div w:id="1834948202">
                  <w:marLeft w:val="0"/>
                  <w:marRight w:val="0"/>
                  <w:marTop w:val="0"/>
                  <w:marBottom w:val="0"/>
                  <w:divBdr>
                    <w:top w:val="none" w:sz="0" w:space="0" w:color="auto"/>
                    <w:left w:val="none" w:sz="0" w:space="0" w:color="auto"/>
                    <w:bottom w:val="none" w:sz="0" w:space="0" w:color="auto"/>
                    <w:right w:val="none" w:sz="0" w:space="0" w:color="auto"/>
                  </w:divBdr>
                </w:div>
                <w:div w:id="1990597161">
                  <w:marLeft w:val="0"/>
                  <w:marRight w:val="0"/>
                  <w:marTop w:val="0"/>
                  <w:marBottom w:val="0"/>
                  <w:divBdr>
                    <w:top w:val="none" w:sz="0" w:space="0" w:color="auto"/>
                    <w:left w:val="none" w:sz="0" w:space="0" w:color="auto"/>
                    <w:bottom w:val="none" w:sz="0" w:space="0" w:color="auto"/>
                    <w:right w:val="none" w:sz="0" w:space="0" w:color="auto"/>
                  </w:divBdr>
                </w:div>
                <w:div w:id="531192231">
                  <w:marLeft w:val="0"/>
                  <w:marRight w:val="0"/>
                  <w:marTop w:val="0"/>
                  <w:marBottom w:val="0"/>
                  <w:divBdr>
                    <w:top w:val="none" w:sz="0" w:space="0" w:color="auto"/>
                    <w:left w:val="none" w:sz="0" w:space="0" w:color="auto"/>
                    <w:bottom w:val="none" w:sz="0" w:space="0" w:color="auto"/>
                    <w:right w:val="none" w:sz="0" w:space="0" w:color="auto"/>
                  </w:divBdr>
                </w:div>
                <w:div w:id="2112698332">
                  <w:marLeft w:val="0"/>
                  <w:marRight w:val="0"/>
                  <w:marTop w:val="0"/>
                  <w:marBottom w:val="0"/>
                  <w:divBdr>
                    <w:top w:val="none" w:sz="0" w:space="0" w:color="auto"/>
                    <w:left w:val="none" w:sz="0" w:space="0" w:color="auto"/>
                    <w:bottom w:val="none" w:sz="0" w:space="0" w:color="auto"/>
                    <w:right w:val="none" w:sz="0" w:space="0" w:color="auto"/>
                  </w:divBdr>
                </w:div>
                <w:div w:id="76749425">
                  <w:marLeft w:val="0"/>
                  <w:marRight w:val="0"/>
                  <w:marTop w:val="0"/>
                  <w:marBottom w:val="0"/>
                  <w:divBdr>
                    <w:top w:val="none" w:sz="0" w:space="0" w:color="auto"/>
                    <w:left w:val="none" w:sz="0" w:space="0" w:color="auto"/>
                    <w:bottom w:val="none" w:sz="0" w:space="0" w:color="auto"/>
                    <w:right w:val="none" w:sz="0" w:space="0" w:color="auto"/>
                  </w:divBdr>
                </w:div>
                <w:div w:id="1874920070">
                  <w:marLeft w:val="0"/>
                  <w:marRight w:val="0"/>
                  <w:marTop w:val="0"/>
                  <w:marBottom w:val="0"/>
                  <w:divBdr>
                    <w:top w:val="none" w:sz="0" w:space="0" w:color="auto"/>
                    <w:left w:val="none" w:sz="0" w:space="0" w:color="auto"/>
                    <w:bottom w:val="none" w:sz="0" w:space="0" w:color="auto"/>
                    <w:right w:val="none" w:sz="0" w:space="0" w:color="auto"/>
                  </w:divBdr>
                </w:div>
                <w:div w:id="1721174279">
                  <w:marLeft w:val="0"/>
                  <w:marRight w:val="0"/>
                  <w:marTop w:val="0"/>
                  <w:marBottom w:val="0"/>
                  <w:divBdr>
                    <w:top w:val="none" w:sz="0" w:space="0" w:color="auto"/>
                    <w:left w:val="none" w:sz="0" w:space="0" w:color="auto"/>
                    <w:bottom w:val="none" w:sz="0" w:space="0" w:color="auto"/>
                    <w:right w:val="none" w:sz="0" w:space="0" w:color="auto"/>
                  </w:divBdr>
                </w:div>
                <w:div w:id="1482885815">
                  <w:marLeft w:val="0"/>
                  <w:marRight w:val="0"/>
                  <w:marTop w:val="0"/>
                  <w:marBottom w:val="0"/>
                  <w:divBdr>
                    <w:top w:val="none" w:sz="0" w:space="0" w:color="auto"/>
                    <w:left w:val="none" w:sz="0" w:space="0" w:color="auto"/>
                    <w:bottom w:val="none" w:sz="0" w:space="0" w:color="auto"/>
                    <w:right w:val="none" w:sz="0" w:space="0" w:color="auto"/>
                  </w:divBdr>
                </w:div>
                <w:div w:id="726030582">
                  <w:marLeft w:val="0"/>
                  <w:marRight w:val="0"/>
                  <w:marTop w:val="0"/>
                  <w:marBottom w:val="0"/>
                  <w:divBdr>
                    <w:top w:val="none" w:sz="0" w:space="0" w:color="auto"/>
                    <w:left w:val="none" w:sz="0" w:space="0" w:color="auto"/>
                    <w:bottom w:val="none" w:sz="0" w:space="0" w:color="auto"/>
                    <w:right w:val="none" w:sz="0" w:space="0" w:color="auto"/>
                  </w:divBdr>
                </w:div>
                <w:div w:id="20208135">
                  <w:marLeft w:val="0"/>
                  <w:marRight w:val="0"/>
                  <w:marTop w:val="0"/>
                  <w:marBottom w:val="0"/>
                  <w:divBdr>
                    <w:top w:val="none" w:sz="0" w:space="0" w:color="auto"/>
                    <w:left w:val="none" w:sz="0" w:space="0" w:color="auto"/>
                    <w:bottom w:val="none" w:sz="0" w:space="0" w:color="auto"/>
                    <w:right w:val="none" w:sz="0" w:space="0" w:color="auto"/>
                  </w:divBdr>
                </w:div>
                <w:div w:id="1404837394">
                  <w:marLeft w:val="0"/>
                  <w:marRight w:val="0"/>
                  <w:marTop w:val="0"/>
                  <w:marBottom w:val="0"/>
                  <w:divBdr>
                    <w:top w:val="none" w:sz="0" w:space="0" w:color="auto"/>
                    <w:left w:val="none" w:sz="0" w:space="0" w:color="auto"/>
                    <w:bottom w:val="none" w:sz="0" w:space="0" w:color="auto"/>
                    <w:right w:val="none" w:sz="0" w:space="0" w:color="auto"/>
                  </w:divBdr>
                </w:div>
                <w:div w:id="948270527">
                  <w:marLeft w:val="0"/>
                  <w:marRight w:val="0"/>
                  <w:marTop w:val="0"/>
                  <w:marBottom w:val="0"/>
                  <w:divBdr>
                    <w:top w:val="none" w:sz="0" w:space="0" w:color="auto"/>
                    <w:left w:val="none" w:sz="0" w:space="0" w:color="auto"/>
                    <w:bottom w:val="none" w:sz="0" w:space="0" w:color="auto"/>
                    <w:right w:val="none" w:sz="0" w:space="0" w:color="auto"/>
                  </w:divBdr>
                </w:div>
                <w:div w:id="11515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688">
          <w:marLeft w:val="0"/>
          <w:marRight w:val="0"/>
          <w:marTop w:val="15"/>
          <w:marBottom w:val="0"/>
          <w:divBdr>
            <w:top w:val="none" w:sz="0" w:space="0" w:color="auto"/>
            <w:left w:val="none" w:sz="0" w:space="0" w:color="auto"/>
            <w:bottom w:val="none" w:sz="0" w:space="0" w:color="auto"/>
            <w:right w:val="none" w:sz="0" w:space="0" w:color="auto"/>
          </w:divBdr>
          <w:divsChild>
            <w:div w:id="636030500">
              <w:marLeft w:val="0"/>
              <w:marRight w:val="0"/>
              <w:marTop w:val="0"/>
              <w:marBottom w:val="0"/>
              <w:divBdr>
                <w:top w:val="none" w:sz="0" w:space="0" w:color="auto"/>
                <w:left w:val="none" w:sz="0" w:space="0" w:color="auto"/>
                <w:bottom w:val="none" w:sz="0" w:space="0" w:color="auto"/>
                <w:right w:val="none" w:sz="0" w:space="0" w:color="auto"/>
              </w:divBdr>
              <w:divsChild>
                <w:div w:id="1580868942">
                  <w:marLeft w:val="0"/>
                  <w:marRight w:val="0"/>
                  <w:marTop w:val="0"/>
                  <w:marBottom w:val="0"/>
                  <w:divBdr>
                    <w:top w:val="none" w:sz="0" w:space="0" w:color="auto"/>
                    <w:left w:val="none" w:sz="0" w:space="0" w:color="auto"/>
                    <w:bottom w:val="none" w:sz="0" w:space="0" w:color="auto"/>
                    <w:right w:val="none" w:sz="0" w:space="0" w:color="auto"/>
                  </w:divBdr>
                </w:div>
                <w:div w:id="1170411280">
                  <w:marLeft w:val="0"/>
                  <w:marRight w:val="0"/>
                  <w:marTop w:val="0"/>
                  <w:marBottom w:val="0"/>
                  <w:divBdr>
                    <w:top w:val="none" w:sz="0" w:space="0" w:color="auto"/>
                    <w:left w:val="none" w:sz="0" w:space="0" w:color="auto"/>
                    <w:bottom w:val="none" w:sz="0" w:space="0" w:color="auto"/>
                    <w:right w:val="none" w:sz="0" w:space="0" w:color="auto"/>
                  </w:divBdr>
                </w:div>
                <w:div w:id="1993244321">
                  <w:marLeft w:val="0"/>
                  <w:marRight w:val="0"/>
                  <w:marTop w:val="0"/>
                  <w:marBottom w:val="0"/>
                  <w:divBdr>
                    <w:top w:val="none" w:sz="0" w:space="0" w:color="auto"/>
                    <w:left w:val="none" w:sz="0" w:space="0" w:color="auto"/>
                    <w:bottom w:val="none" w:sz="0" w:space="0" w:color="auto"/>
                    <w:right w:val="none" w:sz="0" w:space="0" w:color="auto"/>
                  </w:divBdr>
                </w:div>
                <w:div w:id="473260839">
                  <w:marLeft w:val="0"/>
                  <w:marRight w:val="0"/>
                  <w:marTop w:val="0"/>
                  <w:marBottom w:val="0"/>
                  <w:divBdr>
                    <w:top w:val="none" w:sz="0" w:space="0" w:color="auto"/>
                    <w:left w:val="none" w:sz="0" w:space="0" w:color="auto"/>
                    <w:bottom w:val="none" w:sz="0" w:space="0" w:color="auto"/>
                    <w:right w:val="none" w:sz="0" w:space="0" w:color="auto"/>
                  </w:divBdr>
                </w:div>
                <w:div w:id="1984962895">
                  <w:marLeft w:val="0"/>
                  <w:marRight w:val="0"/>
                  <w:marTop w:val="0"/>
                  <w:marBottom w:val="0"/>
                  <w:divBdr>
                    <w:top w:val="none" w:sz="0" w:space="0" w:color="auto"/>
                    <w:left w:val="none" w:sz="0" w:space="0" w:color="auto"/>
                    <w:bottom w:val="none" w:sz="0" w:space="0" w:color="auto"/>
                    <w:right w:val="none" w:sz="0" w:space="0" w:color="auto"/>
                  </w:divBdr>
                </w:div>
                <w:div w:id="1930698536">
                  <w:marLeft w:val="0"/>
                  <w:marRight w:val="0"/>
                  <w:marTop w:val="0"/>
                  <w:marBottom w:val="0"/>
                  <w:divBdr>
                    <w:top w:val="none" w:sz="0" w:space="0" w:color="auto"/>
                    <w:left w:val="none" w:sz="0" w:space="0" w:color="auto"/>
                    <w:bottom w:val="none" w:sz="0" w:space="0" w:color="auto"/>
                    <w:right w:val="none" w:sz="0" w:space="0" w:color="auto"/>
                  </w:divBdr>
                </w:div>
                <w:div w:id="1667633843">
                  <w:marLeft w:val="0"/>
                  <w:marRight w:val="0"/>
                  <w:marTop w:val="0"/>
                  <w:marBottom w:val="0"/>
                  <w:divBdr>
                    <w:top w:val="none" w:sz="0" w:space="0" w:color="auto"/>
                    <w:left w:val="none" w:sz="0" w:space="0" w:color="auto"/>
                    <w:bottom w:val="none" w:sz="0" w:space="0" w:color="auto"/>
                    <w:right w:val="none" w:sz="0" w:space="0" w:color="auto"/>
                  </w:divBdr>
                </w:div>
                <w:div w:id="1853496983">
                  <w:marLeft w:val="0"/>
                  <w:marRight w:val="0"/>
                  <w:marTop w:val="0"/>
                  <w:marBottom w:val="0"/>
                  <w:divBdr>
                    <w:top w:val="none" w:sz="0" w:space="0" w:color="auto"/>
                    <w:left w:val="none" w:sz="0" w:space="0" w:color="auto"/>
                    <w:bottom w:val="none" w:sz="0" w:space="0" w:color="auto"/>
                    <w:right w:val="none" w:sz="0" w:space="0" w:color="auto"/>
                  </w:divBdr>
                </w:div>
                <w:div w:id="83109269">
                  <w:marLeft w:val="0"/>
                  <w:marRight w:val="0"/>
                  <w:marTop w:val="0"/>
                  <w:marBottom w:val="0"/>
                  <w:divBdr>
                    <w:top w:val="none" w:sz="0" w:space="0" w:color="auto"/>
                    <w:left w:val="none" w:sz="0" w:space="0" w:color="auto"/>
                    <w:bottom w:val="none" w:sz="0" w:space="0" w:color="auto"/>
                    <w:right w:val="none" w:sz="0" w:space="0" w:color="auto"/>
                  </w:divBdr>
                </w:div>
                <w:div w:id="1243643774">
                  <w:marLeft w:val="0"/>
                  <w:marRight w:val="0"/>
                  <w:marTop w:val="0"/>
                  <w:marBottom w:val="0"/>
                  <w:divBdr>
                    <w:top w:val="none" w:sz="0" w:space="0" w:color="auto"/>
                    <w:left w:val="none" w:sz="0" w:space="0" w:color="auto"/>
                    <w:bottom w:val="none" w:sz="0" w:space="0" w:color="auto"/>
                    <w:right w:val="none" w:sz="0" w:space="0" w:color="auto"/>
                  </w:divBdr>
                </w:div>
                <w:div w:id="1091312502">
                  <w:marLeft w:val="0"/>
                  <w:marRight w:val="0"/>
                  <w:marTop w:val="0"/>
                  <w:marBottom w:val="0"/>
                  <w:divBdr>
                    <w:top w:val="none" w:sz="0" w:space="0" w:color="auto"/>
                    <w:left w:val="none" w:sz="0" w:space="0" w:color="auto"/>
                    <w:bottom w:val="none" w:sz="0" w:space="0" w:color="auto"/>
                    <w:right w:val="none" w:sz="0" w:space="0" w:color="auto"/>
                  </w:divBdr>
                </w:div>
                <w:div w:id="87236605">
                  <w:marLeft w:val="0"/>
                  <w:marRight w:val="0"/>
                  <w:marTop w:val="0"/>
                  <w:marBottom w:val="0"/>
                  <w:divBdr>
                    <w:top w:val="none" w:sz="0" w:space="0" w:color="auto"/>
                    <w:left w:val="none" w:sz="0" w:space="0" w:color="auto"/>
                    <w:bottom w:val="none" w:sz="0" w:space="0" w:color="auto"/>
                    <w:right w:val="none" w:sz="0" w:space="0" w:color="auto"/>
                  </w:divBdr>
                </w:div>
                <w:div w:id="801188230">
                  <w:marLeft w:val="0"/>
                  <w:marRight w:val="0"/>
                  <w:marTop w:val="0"/>
                  <w:marBottom w:val="0"/>
                  <w:divBdr>
                    <w:top w:val="none" w:sz="0" w:space="0" w:color="auto"/>
                    <w:left w:val="none" w:sz="0" w:space="0" w:color="auto"/>
                    <w:bottom w:val="none" w:sz="0" w:space="0" w:color="auto"/>
                    <w:right w:val="none" w:sz="0" w:space="0" w:color="auto"/>
                  </w:divBdr>
                </w:div>
                <w:div w:id="534274777">
                  <w:marLeft w:val="0"/>
                  <w:marRight w:val="0"/>
                  <w:marTop w:val="0"/>
                  <w:marBottom w:val="0"/>
                  <w:divBdr>
                    <w:top w:val="none" w:sz="0" w:space="0" w:color="auto"/>
                    <w:left w:val="none" w:sz="0" w:space="0" w:color="auto"/>
                    <w:bottom w:val="none" w:sz="0" w:space="0" w:color="auto"/>
                    <w:right w:val="none" w:sz="0" w:space="0" w:color="auto"/>
                  </w:divBdr>
                </w:div>
                <w:div w:id="1329332976">
                  <w:marLeft w:val="0"/>
                  <w:marRight w:val="0"/>
                  <w:marTop w:val="0"/>
                  <w:marBottom w:val="0"/>
                  <w:divBdr>
                    <w:top w:val="none" w:sz="0" w:space="0" w:color="auto"/>
                    <w:left w:val="none" w:sz="0" w:space="0" w:color="auto"/>
                    <w:bottom w:val="none" w:sz="0" w:space="0" w:color="auto"/>
                    <w:right w:val="none" w:sz="0" w:space="0" w:color="auto"/>
                  </w:divBdr>
                </w:div>
                <w:div w:id="1098141532">
                  <w:marLeft w:val="0"/>
                  <w:marRight w:val="0"/>
                  <w:marTop w:val="0"/>
                  <w:marBottom w:val="0"/>
                  <w:divBdr>
                    <w:top w:val="none" w:sz="0" w:space="0" w:color="auto"/>
                    <w:left w:val="none" w:sz="0" w:space="0" w:color="auto"/>
                    <w:bottom w:val="none" w:sz="0" w:space="0" w:color="auto"/>
                    <w:right w:val="none" w:sz="0" w:space="0" w:color="auto"/>
                  </w:divBdr>
                </w:div>
                <w:div w:id="599022087">
                  <w:marLeft w:val="0"/>
                  <w:marRight w:val="0"/>
                  <w:marTop w:val="0"/>
                  <w:marBottom w:val="0"/>
                  <w:divBdr>
                    <w:top w:val="none" w:sz="0" w:space="0" w:color="auto"/>
                    <w:left w:val="none" w:sz="0" w:space="0" w:color="auto"/>
                    <w:bottom w:val="none" w:sz="0" w:space="0" w:color="auto"/>
                    <w:right w:val="none" w:sz="0" w:space="0" w:color="auto"/>
                  </w:divBdr>
                </w:div>
                <w:div w:id="1416367056">
                  <w:marLeft w:val="0"/>
                  <w:marRight w:val="0"/>
                  <w:marTop w:val="0"/>
                  <w:marBottom w:val="0"/>
                  <w:divBdr>
                    <w:top w:val="none" w:sz="0" w:space="0" w:color="auto"/>
                    <w:left w:val="none" w:sz="0" w:space="0" w:color="auto"/>
                    <w:bottom w:val="none" w:sz="0" w:space="0" w:color="auto"/>
                    <w:right w:val="none" w:sz="0" w:space="0" w:color="auto"/>
                  </w:divBdr>
                </w:div>
                <w:div w:id="1047221860">
                  <w:marLeft w:val="0"/>
                  <w:marRight w:val="0"/>
                  <w:marTop w:val="0"/>
                  <w:marBottom w:val="0"/>
                  <w:divBdr>
                    <w:top w:val="none" w:sz="0" w:space="0" w:color="auto"/>
                    <w:left w:val="none" w:sz="0" w:space="0" w:color="auto"/>
                    <w:bottom w:val="none" w:sz="0" w:space="0" w:color="auto"/>
                    <w:right w:val="none" w:sz="0" w:space="0" w:color="auto"/>
                  </w:divBdr>
                </w:div>
                <w:div w:id="1686903994">
                  <w:marLeft w:val="0"/>
                  <w:marRight w:val="0"/>
                  <w:marTop w:val="0"/>
                  <w:marBottom w:val="0"/>
                  <w:divBdr>
                    <w:top w:val="none" w:sz="0" w:space="0" w:color="auto"/>
                    <w:left w:val="none" w:sz="0" w:space="0" w:color="auto"/>
                    <w:bottom w:val="none" w:sz="0" w:space="0" w:color="auto"/>
                    <w:right w:val="none" w:sz="0" w:space="0" w:color="auto"/>
                  </w:divBdr>
                </w:div>
                <w:div w:id="349841787">
                  <w:marLeft w:val="0"/>
                  <w:marRight w:val="0"/>
                  <w:marTop w:val="0"/>
                  <w:marBottom w:val="0"/>
                  <w:divBdr>
                    <w:top w:val="none" w:sz="0" w:space="0" w:color="auto"/>
                    <w:left w:val="none" w:sz="0" w:space="0" w:color="auto"/>
                    <w:bottom w:val="none" w:sz="0" w:space="0" w:color="auto"/>
                    <w:right w:val="none" w:sz="0" w:space="0" w:color="auto"/>
                  </w:divBdr>
                </w:div>
                <w:div w:id="1703481583">
                  <w:marLeft w:val="0"/>
                  <w:marRight w:val="0"/>
                  <w:marTop w:val="0"/>
                  <w:marBottom w:val="0"/>
                  <w:divBdr>
                    <w:top w:val="none" w:sz="0" w:space="0" w:color="auto"/>
                    <w:left w:val="none" w:sz="0" w:space="0" w:color="auto"/>
                    <w:bottom w:val="none" w:sz="0" w:space="0" w:color="auto"/>
                    <w:right w:val="none" w:sz="0" w:space="0" w:color="auto"/>
                  </w:divBdr>
                </w:div>
                <w:div w:id="574825365">
                  <w:marLeft w:val="0"/>
                  <w:marRight w:val="0"/>
                  <w:marTop w:val="0"/>
                  <w:marBottom w:val="0"/>
                  <w:divBdr>
                    <w:top w:val="none" w:sz="0" w:space="0" w:color="auto"/>
                    <w:left w:val="none" w:sz="0" w:space="0" w:color="auto"/>
                    <w:bottom w:val="none" w:sz="0" w:space="0" w:color="auto"/>
                    <w:right w:val="none" w:sz="0" w:space="0" w:color="auto"/>
                  </w:divBdr>
                </w:div>
                <w:div w:id="534926855">
                  <w:marLeft w:val="0"/>
                  <w:marRight w:val="0"/>
                  <w:marTop w:val="0"/>
                  <w:marBottom w:val="0"/>
                  <w:divBdr>
                    <w:top w:val="none" w:sz="0" w:space="0" w:color="auto"/>
                    <w:left w:val="none" w:sz="0" w:space="0" w:color="auto"/>
                    <w:bottom w:val="none" w:sz="0" w:space="0" w:color="auto"/>
                    <w:right w:val="none" w:sz="0" w:space="0" w:color="auto"/>
                  </w:divBdr>
                </w:div>
                <w:div w:id="1706445646">
                  <w:marLeft w:val="0"/>
                  <w:marRight w:val="0"/>
                  <w:marTop w:val="0"/>
                  <w:marBottom w:val="0"/>
                  <w:divBdr>
                    <w:top w:val="none" w:sz="0" w:space="0" w:color="auto"/>
                    <w:left w:val="none" w:sz="0" w:space="0" w:color="auto"/>
                    <w:bottom w:val="none" w:sz="0" w:space="0" w:color="auto"/>
                    <w:right w:val="none" w:sz="0" w:space="0" w:color="auto"/>
                  </w:divBdr>
                </w:div>
                <w:div w:id="343094227">
                  <w:marLeft w:val="0"/>
                  <w:marRight w:val="0"/>
                  <w:marTop w:val="0"/>
                  <w:marBottom w:val="0"/>
                  <w:divBdr>
                    <w:top w:val="none" w:sz="0" w:space="0" w:color="auto"/>
                    <w:left w:val="none" w:sz="0" w:space="0" w:color="auto"/>
                    <w:bottom w:val="none" w:sz="0" w:space="0" w:color="auto"/>
                    <w:right w:val="none" w:sz="0" w:space="0" w:color="auto"/>
                  </w:divBdr>
                </w:div>
                <w:div w:id="1133330920">
                  <w:marLeft w:val="0"/>
                  <w:marRight w:val="0"/>
                  <w:marTop w:val="0"/>
                  <w:marBottom w:val="0"/>
                  <w:divBdr>
                    <w:top w:val="none" w:sz="0" w:space="0" w:color="auto"/>
                    <w:left w:val="none" w:sz="0" w:space="0" w:color="auto"/>
                    <w:bottom w:val="none" w:sz="0" w:space="0" w:color="auto"/>
                    <w:right w:val="none" w:sz="0" w:space="0" w:color="auto"/>
                  </w:divBdr>
                </w:div>
                <w:div w:id="1934164248">
                  <w:marLeft w:val="0"/>
                  <w:marRight w:val="0"/>
                  <w:marTop w:val="0"/>
                  <w:marBottom w:val="0"/>
                  <w:divBdr>
                    <w:top w:val="none" w:sz="0" w:space="0" w:color="auto"/>
                    <w:left w:val="none" w:sz="0" w:space="0" w:color="auto"/>
                    <w:bottom w:val="none" w:sz="0" w:space="0" w:color="auto"/>
                    <w:right w:val="none" w:sz="0" w:space="0" w:color="auto"/>
                  </w:divBdr>
                </w:div>
                <w:div w:id="18978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1636">
          <w:marLeft w:val="0"/>
          <w:marRight w:val="0"/>
          <w:marTop w:val="15"/>
          <w:marBottom w:val="0"/>
          <w:divBdr>
            <w:top w:val="none" w:sz="0" w:space="0" w:color="auto"/>
            <w:left w:val="none" w:sz="0" w:space="0" w:color="auto"/>
            <w:bottom w:val="none" w:sz="0" w:space="0" w:color="auto"/>
            <w:right w:val="none" w:sz="0" w:space="0" w:color="auto"/>
          </w:divBdr>
          <w:divsChild>
            <w:div w:id="2058501962">
              <w:marLeft w:val="0"/>
              <w:marRight w:val="0"/>
              <w:marTop w:val="0"/>
              <w:marBottom w:val="0"/>
              <w:divBdr>
                <w:top w:val="none" w:sz="0" w:space="0" w:color="auto"/>
                <w:left w:val="none" w:sz="0" w:space="0" w:color="auto"/>
                <w:bottom w:val="none" w:sz="0" w:space="0" w:color="auto"/>
                <w:right w:val="none" w:sz="0" w:space="0" w:color="auto"/>
              </w:divBdr>
              <w:divsChild>
                <w:div w:id="1609042464">
                  <w:marLeft w:val="0"/>
                  <w:marRight w:val="0"/>
                  <w:marTop w:val="0"/>
                  <w:marBottom w:val="0"/>
                  <w:divBdr>
                    <w:top w:val="none" w:sz="0" w:space="0" w:color="auto"/>
                    <w:left w:val="none" w:sz="0" w:space="0" w:color="auto"/>
                    <w:bottom w:val="none" w:sz="0" w:space="0" w:color="auto"/>
                    <w:right w:val="none" w:sz="0" w:space="0" w:color="auto"/>
                  </w:divBdr>
                </w:div>
                <w:div w:id="1921061955">
                  <w:marLeft w:val="0"/>
                  <w:marRight w:val="0"/>
                  <w:marTop w:val="0"/>
                  <w:marBottom w:val="0"/>
                  <w:divBdr>
                    <w:top w:val="none" w:sz="0" w:space="0" w:color="auto"/>
                    <w:left w:val="none" w:sz="0" w:space="0" w:color="auto"/>
                    <w:bottom w:val="none" w:sz="0" w:space="0" w:color="auto"/>
                    <w:right w:val="none" w:sz="0" w:space="0" w:color="auto"/>
                  </w:divBdr>
                </w:div>
                <w:div w:id="1438132483">
                  <w:marLeft w:val="0"/>
                  <w:marRight w:val="0"/>
                  <w:marTop w:val="0"/>
                  <w:marBottom w:val="0"/>
                  <w:divBdr>
                    <w:top w:val="none" w:sz="0" w:space="0" w:color="auto"/>
                    <w:left w:val="none" w:sz="0" w:space="0" w:color="auto"/>
                    <w:bottom w:val="none" w:sz="0" w:space="0" w:color="auto"/>
                    <w:right w:val="none" w:sz="0" w:space="0" w:color="auto"/>
                  </w:divBdr>
                </w:div>
                <w:div w:id="1963999495">
                  <w:marLeft w:val="0"/>
                  <w:marRight w:val="0"/>
                  <w:marTop w:val="0"/>
                  <w:marBottom w:val="0"/>
                  <w:divBdr>
                    <w:top w:val="none" w:sz="0" w:space="0" w:color="auto"/>
                    <w:left w:val="none" w:sz="0" w:space="0" w:color="auto"/>
                    <w:bottom w:val="none" w:sz="0" w:space="0" w:color="auto"/>
                    <w:right w:val="none" w:sz="0" w:space="0" w:color="auto"/>
                  </w:divBdr>
                </w:div>
                <w:div w:id="1042251097">
                  <w:marLeft w:val="0"/>
                  <w:marRight w:val="0"/>
                  <w:marTop w:val="0"/>
                  <w:marBottom w:val="0"/>
                  <w:divBdr>
                    <w:top w:val="none" w:sz="0" w:space="0" w:color="auto"/>
                    <w:left w:val="none" w:sz="0" w:space="0" w:color="auto"/>
                    <w:bottom w:val="none" w:sz="0" w:space="0" w:color="auto"/>
                    <w:right w:val="none" w:sz="0" w:space="0" w:color="auto"/>
                  </w:divBdr>
                </w:div>
                <w:div w:id="1587767230">
                  <w:marLeft w:val="0"/>
                  <w:marRight w:val="0"/>
                  <w:marTop w:val="0"/>
                  <w:marBottom w:val="0"/>
                  <w:divBdr>
                    <w:top w:val="none" w:sz="0" w:space="0" w:color="auto"/>
                    <w:left w:val="none" w:sz="0" w:space="0" w:color="auto"/>
                    <w:bottom w:val="none" w:sz="0" w:space="0" w:color="auto"/>
                    <w:right w:val="none" w:sz="0" w:space="0" w:color="auto"/>
                  </w:divBdr>
                </w:div>
                <w:div w:id="92821528">
                  <w:marLeft w:val="0"/>
                  <w:marRight w:val="0"/>
                  <w:marTop w:val="0"/>
                  <w:marBottom w:val="0"/>
                  <w:divBdr>
                    <w:top w:val="none" w:sz="0" w:space="0" w:color="auto"/>
                    <w:left w:val="none" w:sz="0" w:space="0" w:color="auto"/>
                    <w:bottom w:val="none" w:sz="0" w:space="0" w:color="auto"/>
                    <w:right w:val="none" w:sz="0" w:space="0" w:color="auto"/>
                  </w:divBdr>
                </w:div>
                <w:div w:id="695081974">
                  <w:marLeft w:val="0"/>
                  <w:marRight w:val="0"/>
                  <w:marTop w:val="0"/>
                  <w:marBottom w:val="0"/>
                  <w:divBdr>
                    <w:top w:val="none" w:sz="0" w:space="0" w:color="auto"/>
                    <w:left w:val="none" w:sz="0" w:space="0" w:color="auto"/>
                    <w:bottom w:val="none" w:sz="0" w:space="0" w:color="auto"/>
                    <w:right w:val="none" w:sz="0" w:space="0" w:color="auto"/>
                  </w:divBdr>
                </w:div>
                <w:div w:id="986860603">
                  <w:marLeft w:val="0"/>
                  <w:marRight w:val="0"/>
                  <w:marTop w:val="0"/>
                  <w:marBottom w:val="0"/>
                  <w:divBdr>
                    <w:top w:val="none" w:sz="0" w:space="0" w:color="auto"/>
                    <w:left w:val="none" w:sz="0" w:space="0" w:color="auto"/>
                    <w:bottom w:val="none" w:sz="0" w:space="0" w:color="auto"/>
                    <w:right w:val="none" w:sz="0" w:space="0" w:color="auto"/>
                  </w:divBdr>
                </w:div>
                <w:div w:id="611715246">
                  <w:marLeft w:val="0"/>
                  <w:marRight w:val="0"/>
                  <w:marTop w:val="0"/>
                  <w:marBottom w:val="0"/>
                  <w:divBdr>
                    <w:top w:val="none" w:sz="0" w:space="0" w:color="auto"/>
                    <w:left w:val="none" w:sz="0" w:space="0" w:color="auto"/>
                    <w:bottom w:val="none" w:sz="0" w:space="0" w:color="auto"/>
                    <w:right w:val="none" w:sz="0" w:space="0" w:color="auto"/>
                  </w:divBdr>
                </w:div>
                <w:div w:id="2111852173">
                  <w:marLeft w:val="0"/>
                  <w:marRight w:val="0"/>
                  <w:marTop w:val="0"/>
                  <w:marBottom w:val="0"/>
                  <w:divBdr>
                    <w:top w:val="none" w:sz="0" w:space="0" w:color="auto"/>
                    <w:left w:val="none" w:sz="0" w:space="0" w:color="auto"/>
                    <w:bottom w:val="none" w:sz="0" w:space="0" w:color="auto"/>
                    <w:right w:val="none" w:sz="0" w:space="0" w:color="auto"/>
                  </w:divBdr>
                </w:div>
                <w:div w:id="503789797">
                  <w:marLeft w:val="0"/>
                  <w:marRight w:val="0"/>
                  <w:marTop w:val="0"/>
                  <w:marBottom w:val="0"/>
                  <w:divBdr>
                    <w:top w:val="none" w:sz="0" w:space="0" w:color="auto"/>
                    <w:left w:val="none" w:sz="0" w:space="0" w:color="auto"/>
                    <w:bottom w:val="none" w:sz="0" w:space="0" w:color="auto"/>
                    <w:right w:val="none" w:sz="0" w:space="0" w:color="auto"/>
                  </w:divBdr>
                </w:div>
                <w:div w:id="916324614">
                  <w:marLeft w:val="0"/>
                  <w:marRight w:val="0"/>
                  <w:marTop w:val="0"/>
                  <w:marBottom w:val="0"/>
                  <w:divBdr>
                    <w:top w:val="none" w:sz="0" w:space="0" w:color="auto"/>
                    <w:left w:val="none" w:sz="0" w:space="0" w:color="auto"/>
                    <w:bottom w:val="none" w:sz="0" w:space="0" w:color="auto"/>
                    <w:right w:val="none" w:sz="0" w:space="0" w:color="auto"/>
                  </w:divBdr>
                </w:div>
                <w:div w:id="1541556055">
                  <w:marLeft w:val="0"/>
                  <w:marRight w:val="0"/>
                  <w:marTop w:val="0"/>
                  <w:marBottom w:val="0"/>
                  <w:divBdr>
                    <w:top w:val="none" w:sz="0" w:space="0" w:color="auto"/>
                    <w:left w:val="none" w:sz="0" w:space="0" w:color="auto"/>
                    <w:bottom w:val="none" w:sz="0" w:space="0" w:color="auto"/>
                    <w:right w:val="none" w:sz="0" w:space="0" w:color="auto"/>
                  </w:divBdr>
                </w:div>
                <w:div w:id="1933199784">
                  <w:marLeft w:val="0"/>
                  <w:marRight w:val="0"/>
                  <w:marTop w:val="0"/>
                  <w:marBottom w:val="0"/>
                  <w:divBdr>
                    <w:top w:val="none" w:sz="0" w:space="0" w:color="auto"/>
                    <w:left w:val="none" w:sz="0" w:space="0" w:color="auto"/>
                    <w:bottom w:val="none" w:sz="0" w:space="0" w:color="auto"/>
                    <w:right w:val="none" w:sz="0" w:space="0" w:color="auto"/>
                  </w:divBdr>
                </w:div>
                <w:div w:id="1437677142">
                  <w:marLeft w:val="0"/>
                  <w:marRight w:val="0"/>
                  <w:marTop w:val="0"/>
                  <w:marBottom w:val="0"/>
                  <w:divBdr>
                    <w:top w:val="none" w:sz="0" w:space="0" w:color="auto"/>
                    <w:left w:val="none" w:sz="0" w:space="0" w:color="auto"/>
                    <w:bottom w:val="none" w:sz="0" w:space="0" w:color="auto"/>
                    <w:right w:val="none" w:sz="0" w:space="0" w:color="auto"/>
                  </w:divBdr>
                </w:div>
                <w:div w:id="108092312">
                  <w:marLeft w:val="0"/>
                  <w:marRight w:val="0"/>
                  <w:marTop w:val="0"/>
                  <w:marBottom w:val="0"/>
                  <w:divBdr>
                    <w:top w:val="none" w:sz="0" w:space="0" w:color="auto"/>
                    <w:left w:val="none" w:sz="0" w:space="0" w:color="auto"/>
                    <w:bottom w:val="none" w:sz="0" w:space="0" w:color="auto"/>
                    <w:right w:val="none" w:sz="0" w:space="0" w:color="auto"/>
                  </w:divBdr>
                </w:div>
                <w:div w:id="2050761248">
                  <w:marLeft w:val="0"/>
                  <w:marRight w:val="0"/>
                  <w:marTop w:val="0"/>
                  <w:marBottom w:val="0"/>
                  <w:divBdr>
                    <w:top w:val="none" w:sz="0" w:space="0" w:color="auto"/>
                    <w:left w:val="none" w:sz="0" w:space="0" w:color="auto"/>
                    <w:bottom w:val="none" w:sz="0" w:space="0" w:color="auto"/>
                    <w:right w:val="none" w:sz="0" w:space="0" w:color="auto"/>
                  </w:divBdr>
                </w:div>
                <w:div w:id="902716946">
                  <w:marLeft w:val="0"/>
                  <w:marRight w:val="0"/>
                  <w:marTop w:val="0"/>
                  <w:marBottom w:val="0"/>
                  <w:divBdr>
                    <w:top w:val="none" w:sz="0" w:space="0" w:color="auto"/>
                    <w:left w:val="none" w:sz="0" w:space="0" w:color="auto"/>
                    <w:bottom w:val="none" w:sz="0" w:space="0" w:color="auto"/>
                    <w:right w:val="none" w:sz="0" w:space="0" w:color="auto"/>
                  </w:divBdr>
                </w:div>
                <w:div w:id="1923029918">
                  <w:marLeft w:val="0"/>
                  <w:marRight w:val="0"/>
                  <w:marTop w:val="0"/>
                  <w:marBottom w:val="0"/>
                  <w:divBdr>
                    <w:top w:val="none" w:sz="0" w:space="0" w:color="auto"/>
                    <w:left w:val="none" w:sz="0" w:space="0" w:color="auto"/>
                    <w:bottom w:val="none" w:sz="0" w:space="0" w:color="auto"/>
                    <w:right w:val="none" w:sz="0" w:space="0" w:color="auto"/>
                  </w:divBdr>
                </w:div>
                <w:div w:id="331686339">
                  <w:marLeft w:val="0"/>
                  <w:marRight w:val="0"/>
                  <w:marTop w:val="0"/>
                  <w:marBottom w:val="0"/>
                  <w:divBdr>
                    <w:top w:val="none" w:sz="0" w:space="0" w:color="auto"/>
                    <w:left w:val="none" w:sz="0" w:space="0" w:color="auto"/>
                    <w:bottom w:val="none" w:sz="0" w:space="0" w:color="auto"/>
                    <w:right w:val="none" w:sz="0" w:space="0" w:color="auto"/>
                  </w:divBdr>
                </w:div>
                <w:div w:id="922185554">
                  <w:marLeft w:val="0"/>
                  <w:marRight w:val="0"/>
                  <w:marTop w:val="0"/>
                  <w:marBottom w:val="0"/>
                  <w:divBdr>
                    <w:top w:val="none" w:sz="0" w:space="0" w:color="auto"/>
                    <w:left w:val="none" w:sz="0" w:space="0" w:color="auto"/>
                    <w:bottom w:val="none" w:sz="0" w:space="0" w:color="auto"/>
                    <w:right w:val="none" w:sz="0" w:space="0" w:color="auto"/>
                  </w:divBdr>
                </w:div>
                <w:div w:id="1271430995">
                  <w:marLeft w:val="0"/>
                  <w:marRight w:val="0"/>
                  <w:marTop w:val="0"/>
                  <w:marBottom w:val="0"/>
                  <w:divBdr>
                    <w:top w:val="none" w:sz="0" w:space="0" w:color="auto"/>
                    <w:left w:val="none" w:sz="0" w:space="0" w:color="auto"/>
                    <w:bottom w:val="none" w:sz="0" w:space="0" w:color="auto"/>
                    <w:right w:val="none" w:sz="0" w:space="0" w:color="auto"/>
                  </w:divBdr>
                </w:div>
                <w:div w:id="1354108320">
                  <w:marLeft w:val="0"/>
                  <w:marRight w:val="0"/>
                  <w:marTop w:val="0"/>
                  <w:marBottom w:val="0"/>
                  <w:divBdr>
                    <w:top w:val="none" w:sz="0" w:space="0" w:color="auto"/>
                    <w:left w:val="none" w:sz="0" w:space="0" w:color="auto"/>
                    <w:bottom w:val="none" w:sz="0" w:space="0" w:color="auto"/>
                    <w:right w:val="none" w:sz="0" w:space="0" w:color="auto"/>
                  </w:divBdr>
                </w:div>
                <w:div w:id="999773202">
                  <w:marLeft w:val="0"/>
                  <w:marRight w:val="0"/>
                  <w:marTop w:val="0"/>
                  <w:marBottom w:val="0"/>
                  <w:divBdr>
                    <w:top w:val="none" w:sz="0" w:space="0" w:color="auto"/>
                    <w:left w:val="none" w:sz="0" w:space="0" w:color="auto"/>
                    <w:bottom w:val="none" w:sz="0" w:space="0" w:color="auto"/>
                    <w:right w:val="none" w:sz="0" w:space="0" w:color="auto"/>
                  </w:divBdr>
                </w:div>
                <w:div w:id="1479224349">
                  <w:marLeft w:val="0"/>
                  <w:marRight w:val="0"/>
                  <w:marTop w:val="0"/>
                  <w:marBottom w:val="0"/>
                  <w:divBdr>
                    <w:top w:val="none" w:sz="0" w:space="0" w:color="auto"/>
                    <w:left w:val="none" w:sz="0" w:space="0" w:color="auto"/>
                    <w:bottom w:val="none" w:sz="0" w:space="0" w:color="auto"/>
                    <w:right w:val="none" w:sz="0" w:space="0" w:color="auto"/>
                  </w:divBdr>
                </w:div>
                <w:div w:id="1960405579">
                  <w:marLeft w:val="0"/>
                  <w:marRight w:val="0"/>
                  <w:marTop w:val="0"/>
                  <w:marBottom w:val="0"/>
                  <w:divBdr>
                    <w:top w:val="none" w:sz="0" w:space="0" w:color="auto"/>
                    <w:left w:val="none" w:sz="0" w:space="0" w:color="auto"/>
                    <w:bottom w:val="none" w:sz="0" w:space="0" w:color="auto"/>
                    <w:right w:val="none" w:sz="0" w:space="0" w:color="auto"/>
                  </w:divBdr>
                </w:div>
                <w:div w:id="18971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4480">
          <w:marLeft w:val="0"/>
          <w:marRight w:val="0"/>
          <w:marTop w:val="15"/>
          <w:marBottom w:val="0"/>
          <w:divBdr>
            <w:top w:val="none" w:sz="0" w:space="0" w:color="auto"/>
            <w:left w:val="none" w:sz="0" w:space="0" w:color="auto"/>
            <w:bottom w:val="none" w:sz="0" w:space="0" w:color="auto"/>
            <w:right w:val="none" w:sz="0" w:space="0" w:color="auto"/>
          </w:divBdr>
          <w:divsChild>
            <w:div w:id="893270753">
              <w:marLeft w:val="0"/>
              <w:marRight w:val="0"/>
              <w:marTop w:val="0"/>
              <w:marBottom w:val="0"/>
              <w:divBdr>
                <w:top w:val="none" w:sz="0" w:space="0" w:color="auto"/>
                <w:left w:val="none" w:sz="0" w:space="0" w:color="auto"/>
                <w:bottom w:val="none" w:sz="0" w:space="0" w:color="auto"/>
                <w:right w:val="none" w:sz="0" w:space="0" w:color="auto"/>
              </w:divBdr>
              <w:divsChild>
                <w:div w:id="1482769640">
                  <w:marLeft w:val="0"/>
                  <w:marRight w:val="0"/>
                  <w:marTop w:val="0"/>
                  <w:marBottom w:val="0"/>
                  <w:divBdr>
                    <w:top w:val="none" w:sz="0" w:space="0" w:color="auto"/>
                    <w:left w:val="none" w:sz="0" w:space="0" w:color="auto"/>
                    <w:bottom w:val="none" w:sz="0" w:space="0" w:color="auto"/>
                    <w:right w:val="none" w:sz="0" w:space="0" w:color="auto"/>
                  </w:divBdr>
                </w:div>
                <w:div w:id="494809401">
                  <w:marLeft w:val="0"/>
                  <w:marRight w:val="0"/>
                  <w:marTop w:val="0"/>
                  <w:marBottom w:val="0"/>
                  <w:divBdr>
                    <w:top w:val="none" w:sz="0" w:space="0" w:color="auto"/>
                    <w:left w:val="none" w:sz="0" w:space="0" w:color="auto"/>
                    <w:bottom w:val="none" w:sz="0" w:space="0" w:color="auto"/>
                    <w:right w:val="none" w:sz="0" w:space="0" w:color="auto"/>
                  </w:divBdr>
                </w:div>
                <w:div w:id="788308">
                  <w:marLeft w:val="0"/>
                  <w:marRight w:val="0"/>
                  <w:marTop w:val="0"/>
                  <w:marBottom w:val="0"/>
                  <w:divBdr>
                    <w:top w:val="none" w:sz="0" w:space="0" w:color="auto"/>
                    <w:left w:val="none" w:sz="0" w:space="0" w:color="auto"/>
                    <w:bottom w:val="none" w:sz="0" w:space="0" w:color="auto"/>
                    <w:right w:val="none" w:sz="0" w:space="0" w:color="auto"/>
                  </w:divBdr>
                </w:div>
                <w:div w:id="431048597">
                  <w:marLeft w:val="0"/>
                  <w:marRight w:val="0"/>
                  <w:marTop w:val="0"/>
                  <w:marBottom w:val="0"/>
                  <w:divBdr>
                    <w:top w:val="none" w:sz="0" w:space="0" w:color="auto"/>
                    <w:left w:val="none" w:sz="0" w:space="0" w:color="auto"/>
                    <w:bottom w:val="none" w:sz="0" w:space="0" w:color="auto"/>
                    <w:right w:val="none" w:sz="0" w:space="0" w:color="auto"/>
                  </w:divBdr>
                </w:div>
                <w:div w:id="1025716508">
                  <w:marLeft w:val="0"/>
                  <w:marRight w:val="0"/>
                  <w:marTop w:val="0"/>
                  <w:marBottom w:val="0"/>
                  <w:divBdr>
                    <w:top w:val="none" w:sz="0" w:space="0" w:color="auto"/>
                    <w:left w:val="none" w:sz="0" w:space="0" w:color="auto"/>
                    <w:bottom w:val="none" w:sz="0" w:space="0" w:color="auto"/>
                    <w:right w:val="none" w:sz="0" w:space="0" w:color="auto"/>
                  </w:divBdr>
                </w:div>
                <w:div w:id="628512921">
                  <w:marLeft w:val="0"/>
                  <w:marRight w:val="0"/>
                  <w:marTop w:val="0"/>
                  <w:marBottom w:val="0"/>
                  <w:divBdr>
                    <w:top w:val="none" w:sz="0" w:space="0" w:color="auto"/>
                    <w:left w:val="none" w:sz="0" w:space="0" w:color="auto"/>
                    <w:bottom w:val="none" w:sz="0" w:space="0" w:color="auto"/>
                    <w:right w:val="none" w:sz="0" w:space="0" w:color="auto"/>
                  </w:divBdr>
                </w:div>
                <w:div w:id="389622605">
                  <w:marLeft w:val="0"/>
                  <w:marRight w:val="0"/>
                  <w:marTop w:val="0"/>
                  <w:marBottom w:val="0"/>
                  <w:divBdr>
                    <w:top w:val="none" w:sz="0" w:space="0" w:color="auto"/>
                    <w:left w:val="none" w:sz="0" w:space="0" w:color="auto"/>
                    <w:bottom w:val="none" w:sz="0" w:space="0" w:color="auto"/>
                    <w:right w:val="none" w:sz="0" w:space="0" w:color="auto"/>
                  </w:divBdr>
                </w:div>
                <w:div w:id="1152719517">
                  <w:marLeft w:val="0"/>
                  <w:marRight w:val="0"/>
                  <w:marTop w:val="0"/>
                  <w:marBottom w:val="0"/>
                  <w:divBdr>
                    <w:top w:val="none" w:sz="0" w:space="0" w:color="auto"/>
                    <w:left w:val="none" w:sz="0" w:space="0" w:color="auto"/>
                    <w:bottom w:val="none" w:sz="0" w:space="0" w:color="auto"/>
                    <w:right w:val="none" w:sz="0" w:space="0" w:color="auto"/>
                  </w:divBdr>
                </w:div>
                <w:div w:id="396631645">
                  <w:marLeft w:val="0"/>
                  <w:marRight w:val="0"/>
                  <w:marTop w:val="0"/>
                  <w:marBottom w:val="0"/>
                  <w:divBdr>
                    <w:top w:val="none" w:sz="0" w:space="0" w:color="auto"/>
                    <w:left w:val="none" w:sz="0" w:space="0" w:color="auto"/>
                    <w:bottom w:val="none" w:sz="0" w:space="0" w:color="auto"/>
                    <w:right w:val="none" w:sz="0" w:space="0" w:color="auto"/>
                  </w:divBdr>
                </w:div>
                <w:div w:id="1425998356">
                  <w:marLeft w:val="0"/>
                  <w:marRight w:val="0"/>
                  <w:marTop w:val="0"/>
                  <w:marBottom w:val="0"/>
                  <w:divBdr>
                    <w:top w:val="none" w:sz="0" w:space="0" w:color="auto"/>
                    <w:left w:val="none" w:sz="0" w:space="0" w:color="auto"/>
                    <w:bottom w:val="none" w:sz="0" w:space="0" w:color="auto"/>
                    <w:right w:val="none" w:sz="0" w:space="0" w:color="auto"/>
                  </w:divBdr>
                </w:div>
                <w:div w:id="1275751517">
                  <w:marLeft w:val="0"/>
                  <w:marRight w:val="0"/>
                  <w:marTop w:val="0"/>
                  <w:marBottom w:val="0"/>
                  <w:divBdr>
                    <w:top w:val="none" w:sz="0" w:space="0" w:color="auto"/>
                    <w:left w:val="none" w:sz="0" w:space="0" w:color="auto"/>
                    <w:bottom w:val="none" w:sz="0" w:space="0" w:color="auto"/>
                    <w:right w:val="none" w:sz="0" w:space="0" w:color="auto"/>
                  </w:divBdr>
                </w:div>
                <w:div w:id="1401976837">
                  <w:marLeft w:val="0"/>
                  <w:marRight w:val="0"/>
                  <w:marTop w:val="0"/>
                  <w:marBottom w:val="0"/>
                  <w:divBdr>
                    <w:top w:val="none" w:sz="0" w:space="0" w:color="auto"/>
                    <w:left w:val="none" w:sz="0" w:space="0" w:color="auto"/>
                    <w:bottom w:val="none" w:sz="0" w:space="0" w:color="auto"/>
                    <w:right w:val="none" w:sz="0" w:space="0" w:color="auto"/>
                  </w:divBdr>
                </w:div>
                <w:div w:id="379060250">
                  <w:marLeft w:val="0"/>
                  <w:marRight w:val="0"/>
                  <w:marTop w:val="0"/>
                  <w:marBottom w:val="0"/>
                  <w:divBdr>
                    <w:top w:val="none" w:sz="0" w:space="0" w:color="auto"/>
                    <w:left w:val="none" w:sz="0" w:space="0" w:color="auto"/>
                    <w:bottom w:val="none" w:sz="0" w:space="0" w:color="auto"/>
                    <w:right w:val="none" w:sz="0" w:space="0" w:color="auto"/>
                  </w:divBdr>
                </w:div>
                <w:div w:id="2061243438">
                  <w:marLeft w:val="0"/>
                  <w:marRight w:val="0"/>
                  <w:marTop w:val="0"/>
                  <w:marBottom w:val="0"/>
                  <w:divBdr>
                    <w:top w:val="none" w:sz="0" w:space="0" w:color="auto"/>
                    <w:left w:val="none" w:sz="0" w:space="0" w:color="auto"/>
                    <w:bottom w:val="none" w:sz="0" w:space="0" w:color="auto"/>
                    <w:right w:val="none" w:sz="0" w:space="0" w:color="auto"/>
                  </w:divBdr>
                </w:div>
                <w:div w:id="638264849">
                  <w:marLeft w:val="0"/>
                  <w:marRight w:val="0"/>
                  <w:marTop w:val="0"/>
                  <w:marBottom w:val="0"/>
                  <w:divBdr>
                    <w:top w:val="none" w:sz="0" w:space="0" w:color="auto"/>
                    <w:left w:val="none" w:sz="0" w:space="0" w:color="auto"/>
                    <w:bottom w:val="none" w:sz="0" w:space="0" w:color="auto"/>
                    <w:right w:val="none" w:sz="0" w:space="0" w:color="auto"/>
                  </w:divBdr>
                </w:div>
                <w:div w:id="1934237855">
                  <w:marLeft w:val="0"/>
                  <w:marRight w:val="0"/>
                  <w:marTop w:val="0"/>
                  <w:marBottom w:val="0"/>
                  <w:divBdr>
                    <w:top w:val="none" w:sz="0" w:space="0" w:color="auto"/>
                    <w:left w:val="none" w:sz="0" w:space="0" w:color="auto"/>
                    <w:bottom w:val="none" w:sz="0" w:space="0" w:color="auto"/>
                    <w:right w:val="none" w:sz="0" w:space="0" w:color="auto"/>
                  </w:divBdr>
                </w:div>
                <w:div w:id="36781531">
                  <w:marLeft w:val="0"/>
                  <w:marRight w:val="0"/>
                  <w:marTop w:val="0"/>
                  <w:marBottom w:val="0"/>
                  <w:divBdr>
                    <w:top w:val="none" w:sz="0" w:space="0" w:color="auto"/>
                    <w:left w:val="none" w:sz="0" w:space="0" w:color="auto"/>
                    <w:bottom w:val="none" w:sz="0" w:space="0" w:color="auto"/>
                    <w:right w:val="none" w:sz="0" w:space="0" w:color="auto"/>
                  </w:divBdr>
                </w:div>
                <w:div w:id="387456674">
                  <w:marLeft w:val="0"/>
                  <w:marRight w:val="0"/>
                  <w:marTop w:val="0"/>
                  <w:marBottom w:val="0"/>
                  <w:divBdr>
                    <w:top w:val="none" w:sz="0" w:space="0" w:color="auto"/>
                    <w:left w:val="none" w:sz="0" w:space="0" w:color="auto"/>
                    <w:bottom w:val="none" w:sz="0" w:space="0" w:color="auto"/>
                    <w:right w:val="none" w:sz="0" w:space="0" w:color="auto"/>
                  </w:divBdr>
                </w:div>
                <w:div w:id="794952207">
                  <w:marLeft w:val="0"/>
                  <w:marRight w:val="0"/>
                  <w:marTop w:val="0"/>
                  <w:marBottom w:val="0"/>
                  <w:divBdr>
                    <w:top w:val="none" w:sz="0" w:space="0" w:color="auto"/>
                    <w:left w:val="none" w:sz="0" w:space="0" w:color="auto"/>
                    <w:bottom w:val="none" w:sz="0" w:space="0" w:color="auto"/>
                    <w:right w:val="none" w:sz="0" w:space="0" w:color="auto"/>
                  </w:divBdr>
                </w:div>
                <w:div w:id="1958901874">
                  <w:marLeft w:val="0"/>
                  <w:marRight w:val="0"/>
                  <w:marTop w:val="0"/>
                  <w:marBottom w:val="0"/>
                  <w:divBdr>
                    <w:top w:val="none" w:sz="0" w:space="0" w:color="auto"/>
                    <w:left w:val="none" w:sz="0" w:space="0" w:color="auto"/>
                    <w:bottom w:val="none" w:sz="0" w:space="0" w:color="auto"/>
                    <w:right w:val="none" w:sz="0" w:space="0" w:color="auto"/>
                  </w:divBdr>
                </w:div>
                <w:div w:id="1328247273">
                  <w:marLeft w:val="0"/>
                  <w:marRight w:val="0"/>
                  <w:marTop w:val="0"/>
                  <w:marBottom w:val="0"/>
                  <w:divBdr>
                    <w:top w:val="none" w:sz="0" w:space="0" w:color="auto"/>
                    <w:left w:val="none" w:sz="0" w:space="0" w:color="auto"/>
                    <w:bottom w:val="none" w:sz="0" w:space="0" w:color="auto"/>
                    <w:right w:val="none" w:sz="0" w:space="0" w:color="auto"/>
                  </w:divBdr>
                </w:div>
                <w:div w:id="825169960">
                  <w:marLeft w:val="0"/>
                  <w:marRight w:val="0"/>
                  <w:marTop w:val="0"/>
                  <w:marBottom w:val="0"/>
                  <w:divBdr>
                    <w:top w:val="none" w:sz="0" w:space="0" w:color="auto"/>
                    <w:left w:val="none" w:sz="0" w:space="0" w:color="auto"/>
                    <w:bottom w:val="none" w:sz="0" w:space="0" w:color="auto"/>
                    <w:right w:val="none" w:sz="0" w:space="0" w:color="auto"/>
                  </w:divBdr>
                </w:div>
                <w:div w:id="1322613543">
                  <w:marLeft w:val="0"/>
                  <w:marRight w:val="0"/>
                  <w:marTop w:val="0"/>
                  <w:marBottom w:val="0"/>
                  <w:divBdr>
                    <w:top w:val="none" w:sz="0" w:space="0" w:color="auto"/>
                    <w:left w:val="none" w:sz="0" w:space="0" w:color="auto"/>
                    <w:bottom w:val="none" w:sz="0" w:space="0" w:color="auto"/>
                    <w:right w:val="none" w:sz="0" w:space="0" w:color="auto"/>
                  </w:divBdr>
                </w:div>
                <w:div w:id="867721202">
                  <w:marLeft w:val="0"/>
                  <w:marRight w:val="0"/>
                  <w:marTop w:val="0"/>
                  <w:marBottom w:val="0"/>
                  <w:divBdr>
                    <w:top w:val="none" w:sz="0" w:space="0" w:color="auto"/>
                    <w:left w:val="none" w:sz="0" w:space="0" w:color="auto"/>
                    <w:bottom w:val="none" w:sz="0" w:space="0" w:color="auto"/>
                    <w:right w:val="none" w:sz="0" w:space="0" w:color="auto"/>
                  </w:divBdr>
                </w:div>
                <w:div w:id="1702705098">
                  <w:marLeft w:val="0"/>
                  <w:marRight w:val="0"/>
                  <w:marTop w:val="0"/>
                  <w:marBottom w:val="0"/>
                  <w:divBdr>
                    <w:top w:val="none" w:sz="0" w:space="0" w:color="auto"/>
                    <w:left w:val="none" w:sz="0" w:space="0" w:color="auto"/>
                    <w:bottom w:val="none" w:sz="0" w:space="0" w:color="auto"/>
                    <w:right w:val="none" w:sz="0" w:space="0" w:color="auto"/>
                  </w:divBdr>
                </w:div>
                <w:div w:id="1672828739">
                  <w:marLeft w:val="0"/>
                  <w:marRight w:val="0"/>
                  <w:marTop w:val="0"/>
                  <w:marBottom w:val="0"/>
                  <w:divBdr>
                    <w:top w:val="none" w:sz="0" w:space="0" w:color="auto"/>
                    <w:left w:val="none" w:sz="0" w:space="0" w:color="auto"/>
                    <w:bottom w:val="none" w:sz="0" w:space="0" w:color="auto"/>
                    <w:right w:val="none" w:sz="0" w:space="0" w:color="auto"/>
                  </w:divBdr>
                </w:div>
                <w:div w:id="14950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8596">
          <w:marLeft w:val="0"/>
          <w:marRight w:val="0"/>
          <w:marTop w:val="15"/>
          <w:marBottom w:val="0"/>
          <w:divBdr>
            <w:top w:val="none" w:sz="0" w:space="0" w:color="auto"/>
            <w:left w:val="none" w:sz="0" w:space="0" w:color="auto"/>
            <w:bottom w:val="none" w:sz="0" w:space="0" w:color="auto"/>
            <w:right w:val="none" w:sz="0" w:space="0" w:color="auto"/>
          </w:divBdr>
          <w:divsChild>
            <w:div w:id="982127062">
              <w:marLeft w:val="0"/>
              <w:marRight w:val="0"/>
              <w:marTop w:val="0"/>
              <w:marBottom w:val="0"/>
              <w:divBdr>
                <w:top w:val="none" w:sz="0" w:space="0" w:color="auto"/>
                <w:left w:val="none" w:sz="0" w:space="0" w:color="auto"/>
                <w:bottom w:val="none" w:sz="0" w:space="0" w:color="auto"/>
                <w:right w:val="none" w:sz="0" w:space="0" w:color="auto"/>
              </w:divBdr>
              <w:divsChild>
                <w:div w:id="2068524794">
                  <w:marLeft w:val="0"/>
                  <w:marRight w:val="0"/>
                  <w:marTop w:val="0"/>
                  <w:marBottom w:val="0"/>
                  <w:divBdr>
                    <w:top w:val="none" w:sz="0" w:space="0" w:color="auto"/>
                    <w:left w:val="none" w:sz="0" w:space="0" w:color="auto"/>
                    <w:bottom w:val="none" w:sz="0" w:space="0" w:color="auto"/>
                    <w:right w:val="none" w:sz="0" w:space="0" w:color="auto"/>
                  </w:divBdr>
                </w:div>
                <w:div w:id="1396466678">
                  <w:marLeft w:val="0"/>
                  <w:marRight w:val="0"/>
                  <w:marTop w:val="0"/>
                  <w:marBottom w:val="0"/>
                  <w:divBdr>
                    <w:top w:val="none" w:sz="0" w:space="0" w:color="auto"/>
                    <w:left w:val="none" w:sz="0" w:space="0" w:color="auto"/>
                    <w:bottom w:val="none" w:sz="0" w:space="0" w:color="auto"/>
                    <w:right w:val="none" w:sz="0" w:space="0" w:color="auto"/>
                  </w:divBdr>
                </w:div>
                <w:div w:id="1912809931">
                  <w:marLeft w:val="0"/>
                  <w:marRight w:val="0"/>
                  <w:marTop w:val="0"/>
                  <w:marBottom w:val="0"/>
                  <w:divBdr>
                    <w:top w:val="none" w:sz="0" w:space="0" w:color="auto"/>
                    <w:left w:val="none" w:sz="0" w:space="0" w:color="auto"/>
                    <w:bottom w:val="none" w:sz="0" w:space="0" w:color="auto"/>
                    <w:right w:val="none" w:sz="0" w:space="0" w:color="auto"/>
                  </w:divBdr>
                </w:div>
                <w:div w:id="1852261215">
                  <w:marLeft w:val="0"/>
                  <w:marRight w:val="0"/>
                  <w:marTop w:val="0"/>
                  <w:marBottom w:val="0"/>
                  <w:divBdr>
                    <w:top w:val="none" w:sz="0" w:space="0" w:color="auto"/>
                    <w:left w:val="none" w:sz="0" w:space="0" w:color="auto"/>
                    <w:bottom w:val="none" w:sz="0" w:space="0" w:color="auto"/>
                    <w:right w:val="none" w:sz="0" w:space="0" w:color="auto"/>
                  </w:divBdr>
                </w:div>
                <w:div w:id="693653678">
                  <w:marLeft w:val="0"/>
                  <w:marRight w:val="0"/>
                  <w:marTop w:val="0"/>
                  <w:marBottom w:val="0"/>
                  <w:divBdr>
                    <w:top w:val="none" w:sz="0" w:space="0" w:color="auto"/>
                    <w:left w:val="none" w:sz="0" w:space="0" w:color="auto"/>
                    <w:bottom w:val="none" w:sz="0" w:space="0" w:color="auto"/>
                    <w:right w:val="none" w:sz="0" w:space="0" w:color="auto"/>
                  </w:divBdr>
                </w:div>
                <w:div w:id="1091661074">
                  <w:marLeft w:val="0"/>
                  <w:marRight w:val="0"/>
                  <w:marTop w:val="0"/>
                  <w:marBottom w:val="0"/>
                  <w:divBdr>
                    <w:top w:val="none" w:sz="0" w:space="0" w:color="auto"/>
                    <w:left w:val="none" w:sz="0" w:space="0" w:color="auto"/>
                    <w:bottom w:val="none" w:sz="0" w:space="0" w:color="auto"/>
                    <w:right w:val="none" w:sz="0" w:space="0" w:color="auto"/>
                  </w:divBdr>
                </w:div>
                <w:div w:id="1888836074">
                  <w:marLeft w:val="0"/>
                  <w:marRight w:val="0"/>
                  <w:marTop w:val="0"/>
                  <w:marBottom w:val="0"/>
                  <w:divBdr>
                    <w:top w:val="none" w:sz="0" w:space="0" w:color="auto"/>
                    <w:left w:val="none" w:sz="0" w:space="0" w:color="auto"/>
                    <w:bottom w:val="none" w:sz="0" w:space="0" w:color="auto"/>
                    <w:right w:val="none" w:sz="0" w:space="0" w:color="auto"/>
                  </w:divBdr>
                </w:div>
                <w:div w:id="258803256">
                  <w:marLeft w:val="0"/>
                  <w:marRight w:val="0"/>
                  <w:marTop w:val="0"/>
                  <w:marBottom w:val="0"/>
                  <w:divBdr>
                    <w:top w:val="none" w:sz="0" w:space="0" w:color="auto"/>
                    <w:left w:val="none" w:sz="0" w:space="0" w:color="auto"/>
                    <w:bottom w:val="none" w:sz="0" w:space="0" w:color="auto"/>
                    <w:right w:val="none" w:sz="0" w:space="0" w:color="auto"/>
                  </w:divBdr>
                </w:div>
                <w:div w:id="341205308">
                  <w:marLeft w:val="0"/>
                  <w:marRight w:val="0"/>
                  <w:marTop w:val="0"/>
                  <w:marBottom w:val="0"/>
                  <w:divBdr>
                    <w:top w:val="none" w:sz="0" w:space="0" w:color="auto"/>
                    <w:left w:val="none" w:sz="0" w:space="0" w:color="auto"/>
                    <w:bottom w:val="none" w:sz="0" w:space="0" w:color="auto"/>
                    <w:right w:val="none" w:sz="0" w:space="0" w:color="auto"/>
                  </w:divBdr>
                </w:div>
                <w:div w:id="1910460705">
                  <w:marLeft w:val="0"/>
                  <w:marRight w:val="0"/>
                  <w:marTop w:val="0"/>
                  <w:marBottom w:val="0"/>
                  <w:divBdr>
                    <w:top w:val="none" w:sz="0" w:space="0" w:color="auto"/>
                    <w:left w:val="none" w:sz="0" w:space="0" w:color="auto"/>
                    <w:bottom w:val="none" w:sz="0" w:space="0" w:color="auto"/>
                    <w:right w:val="none" w:sz="0" w:space="0" w:color="auto"/>
                  </w:divBdr>
                </w:div>
                <w:div w:id="241069300">
                  <w:marLeft w:val="0"/>
                  <w:marRight w:val="0"/>
                  <w:marTop w:val="0"/>
                  <w:marBottom w:val="0"/>
                  <w:divBdr>
                    <w:top w:val="none" w:sz="0" w:space="0" w:color="auto"/>
                    <w:left w:val="none" w:sz="0" w:space="0" w:color="auto"/>
                    <w:bottom w:val="none" w:sz="0" w:space="0" w:color="auto"/>
                    <w:right w:val="none" w:sz="0" w:space="0" w:color="auto"/>
                  </w:divBdr>
                </w:div>
                <w:div w:id="1954941450">
                  <w:marLeft w:val="0"/>
                  <w:marRight w:val="0"/>
                  <w:marTop w:val="0"/>
                  <w:marBottom w:val="0"/>
                  <w:divBdr>
                    <w:top w:val="none" w:sz="0" w:space="0" w:color="auto"/>
                    <w:left w:val="none" w:sz="0" w:space="0" w:color="auto"/>
                    <w:bottom w:val="none" w:sz="0" w:space="0" w:color="auto"/>
                    <w:right w:val="none" w:sz="0" w:space="0" w:color="auto"/>
                  </w:divBdr>
                </w:div>
                <w:div w:id="712536662">
                  <w:marLeft w:val="0"/>
                  <w:marRight w:val="0"/>
                  <w:marTop w:val="0"/>
                  <w:marBottom w:val="0"/>
                  <w:divBdr>
                    <w:top w:val="none" w:sz="0" w:space="0" w:color="auto"/>
                    <w:left w:val="none" w:sz="0" w:space="0" w:color="auto"/>
                    <w:bottom w:val="none" w:sz="0" w:space="0" w:color="auto"/>
                    <w:right w:val="none" w:sz="0" w:space="0" w:color="auto"/>
                  </w:divBdr>
                </w:div>
                <w:div w:id="1764571875">
                  <w:marLeft w:val="0"/>
                  <w:marRight w:val="0"/>
                  <w:marTop w:val="0"/>
                  <w:marBottom w:val="0"/>
                  <w:divBdr>
                    <w:top w:val="none" w:sz="0" w:space="0" w:color="auto"/>
                    <w:left w:val="none" w:sz="0" w:space="0" w:color="auto"/>
                    <w:bottom w:val="none" w:sz="0" w:space="0" w:color="auto"/>
                    <w:right w:val="none" w:sz="0" w:space="0" w:color="auto"/>
                  </w:divBdr>
                </w:div>
                <w:div w:id="712845179">
                  <w:marLeft w:val="0"/>
                  <w:marRight w:val="0"/>
                  <w:marTop w:val="0"/>
                  <w:marBottom w:val="0"/>
                  <w:divBdr>
                    <w:top w:val="none" w:sz="0" w:space="0" w:color="auto"/>
                    <w:left w:val="none" w:sz="0" w:space="0" w:color="auto"/>
                    <w:bottom w:val="none" w:sz="0" w:space="0" w:color="auto"/>
                    <w:right w:val="none" w:sz="0" w:space="0" w:color="auto"/>
                  </w:divBdr>
                </w:div>
                <w:div w:id="966860342">
                  <w:marLeft w:val="0"/>
                  <w:marRight w:val="0"/>
                  <w:marTop w:val="0"/>
                  <w:marBottom w:val="0"/>
                  <w:divBdr>
                    <w:top w:val="none" w:sz="0" w:space="0" w:color="auto"/>
                    <w:left w:val="none" w:sz="0" w:space="0" w:color="auto"/>
                    <w:bottom w:val="none" w:sz="0" w:space="0" w:color="auto"/>
                    <w:right w:val="none" w:sz="0" w:space="0" w:color="auto"/>
                  </w:divBdr>
                </w:div>
                <w:div w:id="259993751">
                  <w:marLeft w:val="0"/>
                  <w:marRight w:val="0"/>
                  <w:marTop w:val="0"/>
                  <w:marBottom w:val="0"/>
                  <w:divBdr>
                    <w:top w:val="none" w:sz="0" w:space="0" w:color="auto"/>
                    <w:left w:val="none" w:sz="0" w:space="0" w:color="auto"/>
                    <w:bottom w:val="none" w:sz="0" w:space="0" w:color="auto"/>
                    <w:right w:val="none" w:sz="0" w:space="0" w:color="auto"/>
                  </w:divBdr>
                </w:div>
                <w:div w:id="535197736">
                  <w:marLeft w:val="0"/>
                  <w:marRight w:val="0"/>
                  <w:marTop w:val="0"/>
                  <w:marBottom w:val="0"/>
                  <w:divBdr>
                    <w:top w:val="none" w:sz="0" w:space="0" w:color="auto"/>
                    <w:left w:val="none" w:sz="0" w:space="0" w:color="auto"/>
                    <w:bottom w:val="none" w:sz="0" w:space="0" w:color="auto"/>
                    <w:right w:val="none" w:sz="0" w:space="0" w:color="auto"/>
                  </w:divBdr>
                </w:div>
                <w:div w:id="923874051">
                  <w:marLeft w:val="0"/>
                  <w:marRight w:val="0"/>
                  <w:marTop w:val="0"/>
                  <w:marBottom w:val="0"/>
                  <w:divBdr>
                    <w:top w:val="none" w:sz="0" w:space="0" w:color="auto"/>
                    <w:left w:val="none" w:sz="0" w:space="0" w:color="auto"/>
                    <w:bottom w:val="none" w:sz="0" w:space="0" w:color="auto"/>
                    <w:right w:val="none" w:sz="0" w:space="0" w:color="auto"/>
                  </w:divBdr>
                </w:div>
                <w:div w:id="152528800">
                  <w:marLeft w:val="0"/>
                  <w:marRight w:val="0"/>
                  <w:marTop w:val="0"/>
                  <w:marBottom w:val="0"/>
                  <w:divBdr>
                    <w:top w:val="none" w:sz="0" w:space="0" w:color="auto"/>
                    <w:left w:val="none" w:sz="0" w:space="0" w:color="auto"/>
                    <w:bottom w:val="none" w:sz="0" w:space="0" w:color="auto"/>
                    <w:right w:val="none" w:sz="0" w:space="0" w:color="auto"/>
                  </w:divBdr>
                </w:div>
                <w:div w:id="2136679909">
                  <w:marLeft w:val="0"/>
                  <w:marRight w:val="0"/>
                  <w:marTop w:val="0"/>
                  <w:marBottom w:val="0"/>
                  <w:divBdr>
                    <w:top w:val="none" w:sz="0" w:space="0" w:color="auto"/>
                    <w:left w:val="none" w:sz="0" w:space="0" w:color="auto"/>
                    <w:bottom w:val="none" w:sz="0" w:space="0" w:color="auto"/>
                    <w:right w:val="none" w:sz="0" w:space="0" w:color="auto"/>
                  </w:divBdr>
                </w:div>
                <w:div w:id="1147435169">
                  <w:marLeft w:val="0"/>
                  <w:marRight w:val="0"/>
                  <w:marTop w:val="0"/>
                  <w:marBottom w:val="0"/>
                  <w:divBdr>
                    <w:top w:val="none" w:sz="0" w:space="0" w:color="auto"/>
                    <w:left w:val="none" w:sz="0" w:space="0" w:color="auto"/>
                    <w:bottom w:val="none" w:sz="0" w:space="0" w:color="auto"/>
                    <w:right w:val="none" w:sz="0" w:space="0" w:color="auto"/>
                  </w:divBdr>
                </w:div>
                <w:div w:id="1632638433">
                  <w:marLeft w:val="0"/>
                  <w:marRight w:val="0"/>
                  <w:marTop w:val="0"/>
                  <w:marBottom w:val="0"/>
                  <w:divBdr>
                    <w:top w:val="none" w:sz="0" w:space="0" w:color="auto"/>
                    <w:left w:val="none" w:sz="0" w:space="0" w:color="auto"/>
                    <w:bottom w:val="none" w:sz="0" w:space="0" w:color="auto"/>
                    <w:right w:val="none" w:sz="0" w:space="0" w:color="auto"/>
                  </w:divBdr>
                </w:div>
                <w:div w:id="16785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9373">
          <w:marLeft w:val="0"/>
          <w:marRight w:val="0"/>
          <w:marTop w:val="15"/>
          <w:marBottom w:val="0"/>
          <w:divBdr>
            <w:top w:val="none" w:sz="0" w:space="0" w:color="auto"/>
            <w:left w:val="none" w:sz="0" w:space="0" w:color="auto"/>
            <w:bottom w:val="none" w:sz="0" w:space="0" w:color="auto"/>
            <w:right w:val="none" w:sz="0" w:space="0" w:color="auto"/>
          </w:divBdr>
          <w:divsChild>
            <w:div w:id="312178556">
              <w:marLeft w:val="0"/>
              <w:marRight w:val="0"/>
              <w:marTop w:val="0"/>
              <w:marBottom w:val="0"/>
              <w:divBdr>
                <w:top w:val="none" w:sz="0" w:space="0" w:color="auto"/>
                <w:left w:val="none" w:sz="0" w:space="0" w:color="auto"/>
                <w:bottom w:val="none" w:sz="0" w:space="0" w:color="auto"/>
                <w:right w:val="none" w:sz="0" w:space="0" w:color="auto"/>
              </w:divBdr>
              <w:divsChild>
                <w:div w:id="1166091187">
                  <w:marLeft w:val="0"/>
                  <w:marRight w:val="0"/>
                  <w:marTop w:val="0"/>
                  <w:marBottom w:val="0"/>
                  <w:divBdr>
                    <w:top w:val="none" w:sz="0" w:space="0" w:color="auto"/>
                    <w:left w:val="none" w:sz="0" w:space="0" w:color="auto"/>
                    <w:bottom w:val="none" w:sz="0" w:space="0" w:color="auto"/>
                    <w:right w:val="none" w:sz="0" w:space="0" w:color="auto"/>
                  </w:divBdr>
                </w:div>
                <w:div w:id="397627844">
                  <w:marLeft w:val="0"/>
                  <w:marRight w:val="0"/>
                  <w:marTop w:val="0"/>
                  <w:marBottom w:val="0"/>
                  <w:divBdr>
                    <w:top w:val="none" w:sz="0" w:space="0" w:color="auto"/>
                    <w:left w:val="none" w:sz="0" w:space="0" w:color="auto"/>
                    <w:bottom w:val="none" w:sz="0" w:space="0" w:color="auto"/>
                    <w:right w:val="none" w:sz="0" w:space="0" w:color="auto"/>
                  </w:divBdr>
                </w:div>
                <w:div w:id="1977443385">
                  <w:marLeft w:val="0"/>
                  <w:marRight w:val="0"/>
                  <w:marTop w:val="0"/>
                  <w:marBottom w:val="0"/>
                  <w:divBdr>
                    <w:top w:val="none" w:sz="0" w:space="0" w:color="auto"/>
                    <w:left w:val="none" w:sz="0" w:space="0" w:color="auto"/>
                    <w:bottom w:val="none" w:sz="0" w:space="0" w:color="auto"/>
                    <w:right w:val="none" w:sz="0" w:space="0" w:color="auto"/>
                  </w:divBdr>
                </w:div>
                <w:div w:id="1966038926">
                  <w:marLeft w:val="0"/>
                  <w:marRight w:val="0"/>
                  <w:marTop w:val="0"/>
                  <w:marBottom w:val="0"/>
                  <w:divBdr>
                    <w:top w:val="none" w:sz="0" w:space="0" w:color="auto"/>
                    <w:left w:val="none" w:sz="0" w:space="0" w:color="auto"/>
                    <w:bottom w:val="none" w:sz="0" w:space="0" w:color="auto"/>
                    <w:right w:val="none" w:sz="0" w:space="0" w:color="auto"/>
                  </w:divBdr>
                </w:div>
                <w:div w:id="1843232272">
                  <w:marLeft w:val="0"/>
                  <w:marRight w:val="0"/>
                  <w:marTop w:val="0"/>
                  <w:marBottom w:val="0"/>
                  <w:divBdr>
                    <w:top w:val="none" w:sz="0" w:space="0" w:color="auto"/>
                    <w:left w:val="none" w:sz="0" w:space="0" w:color="auto"/>
                    <w:bottom w:val="none" w:sz="0" w:space="0" w:color="auto"/>
                    <w:right w:val="none" w:sz="0" w:space="0" w:color="auto"/>
                  </w:divBdr>
                </w:div>
                <w:div w:id="1317153219">
                  <w:marLeft w:val="0"/>
                  <w:marRight w:val="0"/>
                  <w:marTop w:val="0"/>
                  <w:marBottom w:val="0"/>
                  <w:divBdr>
                    <w:top w:val="none" w:sz="0" w:space="0" w:color="auto"/>
                    <w:left w:val="none" w:sz="0" w:space="0" w:color="auto"/>
                    <w:bottom w:val="none" w:sz="0" w:space="0" w:color="auto"/>
                    <w:right w:val="none" w:sz="0" w:space="0" w:color="auto"/>
                  </w:divBdr>
                </w:div>
                <w:div w:id="1002123109">
                  <w:marLeft w:val="0"/>
                  <w:marRight w:val="0"/>
                  <w:marTop w:val="0"/>
                  <w:marBottom w:val="0"/>
                  <w:divBdr>
                    <w:top w:val="none" w:sz="0" w:space="0" w:color="auto"/>
                    <w:left w:val="none" w:sz="0" w:space="0" w:color="auto"/>
                    <w:bottom w:val="none" w:sz="0" w:space="0" w:color="auto"/>
                    <w:right w:val="none" w:sz="0" w:space="0" w:color="auto"/>
                  </w:divBdr>
                </w:div>
                <w:div w:id="1049647589">
                  <w:marLeft w:val="0"/>
                  <w:marRight w:val="0"/>
                  <w:marTop w:val="0"/>
                  <w:marBottom w:val="0"/>
                  <w:divBdr>
                    <w:top w:val="none" w:sz="0" w:space="0" w:color="auto"/>
                    <w:left w:val="none" w:sz="0" w:space="0" w:color="auto"/>
                    <w:bottom w:val="none" w:sz="0" w:space="0" w:color="auto"/>
                    <w:right w:val="none" w:sz="0" w:space="0" w:color="auto"/>
                  </w:divBdr>
                </w:div>
                <w:div w:id="1497722466">
                  <w:marLeft w:val="0"/>
                  <w:marRight w:val="0"/>
                  <w:marTop w:val="0"/>
                  <w:marBottom w:val="0"/>
                  <w:divBdr>
                    <w:top w:val="none" w:sz="0" w:space="0" w:color="auto"/>
                    <w:left w:val="none" w:sz="0" w:space="0" w:color="auto"/>
                    <w:bottom w:val="none" w:sz="0" w:space="0" w:color="auto"/>
                    <w:right w:val="none" w:sz="0" w:space="0" w:color="auto"/>
                  </w:divBdr>
                </w:div>
                <w:div w:id="1003627499">
                  <w:marLeft w:val="0"/>
                  <w:marRight w:val="0"/>
                  <w:marTop w:val="0"/>
                  <w:marBottom w:val="0"/>
                  <w:divBdr>
                    <w:top w:val="none" w:sz="0" w:space="0" w:color="auto"/>
                    <w:left w:val="none" w:sz="0" w:space="0" w:color="auto"/>
                    <w:bottom w:val="none" w:sz="0" w:space="0" w:color="auto"/>
                    <w:right w:val="none" w:sz="0" w:space="0" w:color="auto"/>
                  </w:divBdr>
                </w:div>
                <w:div w:id="2005234891">
                  <w:marLeft w:val="0"/>
                  <w:marRight w:val="0"/>
                  <w:marTop w:val="0"/>
                  <w:marBottom w:val="0"/>
                  <w:divBdr>
                    <w:top w:val="none" w:sz="0" w:space="0" w:color="auto"/>
                    <w:left w:val="none" w:sz="0" w:space="0" w:color="auto"/>
                    <w:bottom w:val="none" w:sz="0" w:space="0" w:color="auto"/>
                    <w:right w:val="none" w:sz="0" w:space="0" w:color="auto"/>
                  </w:divBdr>
                </w:div>
                <w:div w:id="1230000124">
                  <w:marLeft w:val="0"/>
                  <w:marRight w:val="0"/>
                  <w:marTop w:val="0"/>
                  <w:marBottom w:val="0"/>
                  <w:divBdr>
                    <w:top w:val="none" w:sz="0" w:space="0" w:color="auto"/>
                    <w:left w:val="none" w:sz="0" w:space="0" w:color="auto"/>
                    <w:bottom w:val="none" w:sz="0" w:space="0" w:color="auto"/>
                    <w:right w:val="none" w:sz="0" w:space="0" w:color="auto"/>
                  </w:divBdr>
                </w:div>
                <w:div w:id="680669651">
                  <w:marLeft w:val="0"/>
                  <w:marRight w:val="0"/>
                  <w:marTop w:val="0"/>
                  <w:marBottom w:val="0"/>
                  <w:divBdr>
                    <w:top w:val="none" w:sz="0" w:space="0" w:color="auto"/>
                    <w:left w:val="none" w:sz="0" w:space="0" w:color="auto"/>
                    <w:bottom w:val="none" w:sz="0" w:space="0" w:color="auto"/>
                    <w:right w:val="none" w:sz="0" w:space="0" w:color="auto"/>
                  </w:divBdr>
                </w:div>
                <w:div w:id="17052832">
                  <w:marLeft w:val="0"/>
                  <w:marRight w:val="0"/>
                  <w:marTop w:val="0"/>
                  <w:marBottom w:val="0"/>
                  <w:divBdr>
                    <w:top w:val="none" w:sz="0" w:space="0" w:color="auto"/>
                    <w:left w:val="none" w:sz="0" w:space="0" w:color="auto"/>
                    <w:bottom w:val="none" w:sz="0" w:space="0" w:color="auto"/>
                    <w:right w:val="none" w:sz="0" w:space="0" w:color="auto"/>
                  </w:divBdr>
                </w:div>
                <w:div w:id="1844319728">
                  <w:marLeft w:val="0"/>
                  <w:marRight w:val="0"/>
                  <w:marTop w:val="0"/>
                  <w:marBottom w:val="0"/>
                  <w:divBdr>
                    <w:top w:val="none" w:sz="0" w:space="0" w:color="auto"/>
                    <w:left w:val="none" w:sz="0" w:space="0" w:color="auto"/>
                    <w:bottom w:val="none" w:sz="0" w:space="0" w:color="auto"/>
                    <w:right w:val="none" w:sz="0" w:space="0" w:color="auto"/>
                  </w:divBdr>
                </w:div>
                <w:div w:id="653488949">
                  <w:marLeft w:val="0"/>
                  <w:marRight w:val="0"/>
                  <w:marTop w:val="0"/>
                  <w:marBottom w:val="0"/>
                  <w:divBdr>
                    <w:top w:val="none" w:sz="0" w:space="0" w:color="auto"/>
                    <w:left w:val="none" w:sz="0" w:space="0" w:color="auto"/>
                    <w:bottom w:val="none" w:sz="0" w:space="0" w:color="auto"/>
                    <w:right w:val="none" w:sz="0" w:space="0" w:color="auto"/>
                  </w:divBdr>
                </w:div>
                <w:div w:id="1822194408">
                  <w:marLeft w:val="0"/>
                  <w:marRight w:val="0"/>
                  <w:marTop w:val="0"/>
                  <w:marBottom w:val="0"/>
                  <w:divBdr>
                    <w:top w:val="none" w:sz="0" w:space="0" w:color="auto"/>
                    <w:left w:val="none" w:sz="0" w:space="0" w:color="auto"/>
                    <w:bottom w:val="none" w:sz="0" w:space="0" w:color="auto"/>
                    <w:right w:val="none" w:sz="0" w:space="0" w:color="auto"/>
                  </w:divBdr>
                </w:div>
                <w:div w:id="1369993013">
                  <w:marLeft w:val="0"/>
                  <w:marRight w:val="0"/>
                  <w:marTop w:val="0"/>
                  <w:marBottom w:val="0"/>
                  <w:divBdr>
                    <w:top w:val="none" w:sz="0" w:space="0" w:color="auto"/>
                    <w:left w:val="none" w:sz="0" w:space="0" w:color="auto"/>
                    <w:bottom w:val="none" w:sz="0" w:space="0" w:color="auto"/>
                    <w:right w:val="none" w:sz="0" w:space="0" w:color="auto"/>
                  </w:divBdr>
                </w:div>
                <w:div w:id="2008706402">
                  <w:marLeft w:val="0"/>
                  <w:marRight w:val="0"/>
                  <w:marTop w:val="0"/>
                  <w:marBottom w:val="0"/>
                  <w:divBdr>
                    <w:top w:val="none" w:sz="0" w:space="0" w:color="auto"/>
                    <w:left w:val="none" w:sz="0" w:space="0" w:color="auto"/>
                    <w:bottom w:val="none" w:sz="0" w:space="0" w:color="auto"/>
                    <w:right w:val="none" w:sz="0" w:space="0" w:color="auto"/>
                  </w:divBdr>
                </w:div>
                <w:div w:id="2029869359">
                  <w:marLeft w:val="0"/>
                  <w:marRight w:val="0"/>
                  <w:marTop w:val="0"/>
                  <w:marBottom w:val="0"/>
                  <w:divBdr>
                    <w:top w:val="none" w:sz="0" w:space="0" w:color="auto"/>
                    <w:left w:val="none" w:sz="0" w:space="0" w:color="auto"/>
                    <w:bottom w:val="none" w:sz="0" w:space="0" w:color="auto"/>
                    <w:right w:val="none" w:sz="0" w:space="0" w:color="auto"/>
                  </w:divBdr>
                </w:div>
                <w:div w:id="251087336">
                  <w:marLeft w:val="0"/>
                  <w:marRight w:val="0"/>
                  <w:marTop w:val="0"/>
                  <w:marBottom w:val="0"/>
                  <w:divBdr>
                    <w:top w:val="none" w:sz="0" w:space="0" w:color="auto"/>
                    <w:left w:val="none" w:sz="0" w:space="0" w:color="auto"/>
                    <w:bottom w:val="none" w:sz="0" w:space="0" w:color="auto"/>
                    <w:right w:val="none" w:sz="0" w:space="0" w:color="auto"/>
                  </w:divBdr>
                </w:div>
                <w:div w:id="1897010033">
                  <w:marLeft w:val="0"/>
                  <w:marRight w:val="0"/>
                  <w:marTop w:val="0"/>
                  <w:marBottom w:val="0"/>
                  <w:divBdr>
                    <w:top w:val="none" w:sz="0" w:space="0" w:color="auto"/>
                    <w:left w:val="none" w:sz="0" w:space="0" w:color="auto"/>
                    <w:bottom w:val="none" w:sz="0" w:space="0" w:color="auto"/>
                    <w:right w:val="none" w:sz="0" w:space="0" w:color="auto"/>
                  </w:divBdr>
                </w:div>
                <w:div w:id="1469126431">
                  <w:marLeft w:val="0"/>
                  <w:marRight w:val="0"/>
                  <w:marTop w:val="0"/>
                  <w:marBottom w:val="0"/>
                  <w:divBdr>
                    <w:top w:val="none" w:sz="0" w:space="0" w:color="auto"/>
                    <w:left w:val="none" w:sz="0" w:space="0" w:color="auto"/>
                    <w:bottom w:val="none" w:sz="0" w:space="0" w:color="auto"/>
                    <w:right w:val="none" w:sz="0" w:space="0" w:color="auto"/>
                  </w:divBdr>
                </w:div>
                <w:div w:id="2101677127">
                  <w:marLeft w:val="0"/>
                  <w:marRight w:val="0"/>
                  <w:marTop w:val="0"/>
                  <w:marBottom w:val="0"/>
                  <w:divBdr>
                    <w:top w:val="none" w:sz="0" w:space="0" w:color="auto"/>
                    <w:left w:val="none" w:sz="0" w:space="0" w:color="auto"/>
                    <w:bottom w:val="none" w:sz="0" w:space="0" w:color="auto"/>
                    <w:right w:val="none" w:sz="0" w:space="0" w:color="auto"/>
                  </w:divBdr>
                </w:div>
                <w:div w:id="2135169047">
                  <w:marLeft w:val="0"/>
                  <w:marRight w:val="0"/>
                  <w:marTop w:val="0"/>
                  <w:marBottom w:val="0"/>
                  <w:divBdr>
                    <w:top w:val="none" w:sz="0" w:space="0" w:color="auto"/>
                    <w:left w:val="none" w:sz="0" w:space="0" w:color="auto"/>
                    <w:bottom w:val="none" w:sz="0" w:space="0" w:color="auto"/>
                    <w:right w:val="none" w:sz="0" w:space="0" w:color="auto"/>
                  </w:divBdr>
                </w:div>
                <w:div w:id="701131708">
                  <w:marLeft w:val="0"/>
                  <w:marRight w:val="0"/>
                  <w:marTop w:val="0"/>
                  <w:marBottom w:val="0"/>
                  <w:divBdr>
                    <w:top w:val="none" w:sz="0" w:space="0" w:color="auto"/>
                    <w:left w:val="none" w:sz="0" w:space="0" w:color="auto"/>
                    <w:bottom w:val="none" w:sz="0" w:space="0" w:color="auto"/>
                    <w:right w:val="none" w:sz="0" w:space="0" w:color="auto"/>
                  </w:divBdr>
                </w:div>
                <w:div w:id="756947762">
                  <w:marLeft w:val="0"/>
                  <w:marRight w:val="0"/>
                  <w:marTop w:val="0"/>
                  <w:marBottom w:val="0"/>
                  <w:divBdr>
                    <w:top w:val="none" w:sz="0" w:space="0" w:color="auto"/>
                    <w:left w:val="none" w:sz="0" w:space="0" w:color="auto"/>
                    <w:bottom w:val="none" w:sz="0" w:space="0" w:color="auto"/>
                    <w:right w:val="none" w:sz="0" w:space="0" w:color="auto"/>
                  </w:divBdr>
                </w:div>
                <w:div w:id="1685671536">
                  <w:marLeft w:val="0"/>
                  <w:marRight w:val="0"/>
                  <w:marTop w:val="0"/>
                  <w:marBottom w:val="0"/>
                  <w:divBdr>
                    <w:top w:val="none" w:sz="0" w:space="0" w:color="auto"/>
                    <w:left w:val="none" w:sz="0" w:space="0" w:color="auto"/>
                    <w:bottom w:val="none" w:sz="0" w:space="0" w:color="auto"/>
                    <w:right w:val="none" w:sz="0" w:space="0" w:color="auto"/>
                  </w:divBdr>
                </w:div>
                <w:div w:id="7934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965">
          <w:marLeft w:val="0"/>
          <w:marRight w:val="0"/>
          <w:marTop w:val="15"/>
          <w:marBottom w:val="0"/>
          <w:divBdr>
            <w:top w:val="none" w:sz="0" w:space="0" w:color="auto"/>
            <w:left w:val="none" w:sz="0" w:space="0" w:color="auto"/>
            <w:bottom w:val="none" w:sz="0" w:space="0" w:color="auto"/>
            <w:right w:val="none" w:sz="0" w:space="0" w:color="auto"/>
          </w:divBdr>
          <w:divsChild>
            <w:div w:id="86315415">
              <w:marLeft w:val="0"/>
              <w:marRight w:val="0"/>
              <w:marTop w:val="0"/>
              <w:marBottom w:val="0"/>
              <w:divBdr>
                <w:top w:val="none" w:sz="0" w:space="0" w:color="auto"/>
                <w:left w:val="none" w:sz="0" w:space="0" w:color="auto"/>
                <w:bottom w:val="none" w:sz="0" w:space="0" w:color="auto"/>
                <w:right w:val="none" w:sz="0" w:space="0" w:color="auto"/>
              </w:divBdr>
              <w:divsChild>
                <w:div w:id="315762454">
                  <w:marLeft w:val="0"/>
                  <w:marRight w:val="0"/>
                  <w:marTop w:val="0"/>
                  <w:marBottom w:val="0"/>
                  <w:divBdr>
                    <w:top w:val="none" w:sz="0" w:space="0" w:color="auto"/>
                    <w:left w:val="none" w:sz="0" w:space="0" w:color="auto"/>
                    <w:bottom w:val="none" w:sz="0" w:space="0" w:color="auto"/>
                    <w:right w:val="none" w:sz="0" w:space="0" w:color="auto"/>
                  </w:divBdr>
                </w:div>
                <w:div w:id="387803027">
                  <w:marLeft w:val="0"/>
                  <w:marRight w:val="0"/>
                  <w:marTop w:val="0"/>
                  <w:marBottom w:val="0"/>
                  <w:divBdr>
                    <w:top w:val="none" w:sz="0" w:space="0" w:color="auto"/>
                    <w:left w:val="none" w:sz="0" w:space="0" w:color="auto"/>
                    <w:bottom w:val="none" w:sz="0" w:space="0" w:color="auto"/>
                    <w:right w:val="none" w:sz="0" w:space="0" w:color="auto"/>
                  </w:divBdr>
                </w:div>
                <w:div w:id="159203540">
                  <w:marLeft w:val="0"/>
                  <w:marRight w:val="0"/>
                  <w:marTop w:val="0"/>
                  <w:marBottom w:val="0"/>
                  <w:divBdr>
                    <w:top w:val="none" w:sz="0" w:space="0" w:color="auto"/>
                    <w:left w:val="none" w:sz="0" w:space="0" w:color="auto"/>
                    <w:bottom w:val="none" w:sz="0" w:space="0" w:color="auto"/>
                    <w:right w:val="none" w:sz="0" w:space="0" w:color="auto"/>
                  </w:divBdr>
                </w:div>
                <w:div w:id="741879302">
                  <w:marLeft w:val="0"/>
                  <w:marRight w:val="0"/>
                  <w:marTop w:val="0"/>
                  <w:marBottom w:val="0"/>
                  <w:divBdr>
                    <w:top w:val="none" w:sz="0" w:space="0" w:color="auto"/>
                    <w:left w:val="none" w:sz="0" w:space="0" w:color="auto"/>
                    <w:bottom w:val="none" w:sz="0" w:space="0" w:color="auto"/>
                    <w:right w:val="none" w:sz="0" w:space="0" w:color="auto"/>
                  </w:divBdr>
                </w:div>
                <w:div w:id="935361533">
                  <w:marLeft w:val="0"/>
                  <w:marRight w:val="0"/>
                  <w:marTop w:val="0"/>
                  <w:marBottom w:val="0"/>
                  <w:divBdr>
                    <w:top w:val="none" w:sz="0" w:space="0" w:color="auto"/>
                    <w:left w:val="none" w:sz="0" w:space="0" w:color="auto"/>
                    <w:bottom w:val="none" w:sz="0" w:space="0" w:color="auto"/>
                    <w:right w:val="none" w:sz="0" w:space="0" w:color="auto"/>
                  </w:divBdr>
                </w:div>
                <w:div w:id="1262566805">
                  <w:marLeft w:val="0"/>
                  <w:marRight w:val="0"/>
                  <w:marTop w:val="0"/>
                  <w:marBottom w:val="0"/>
                  <w:divBdr>
                    <w:top w:val="none" w:sz="0" w:space="0" w:color="auto"/>
                    <w:left w:val="none" w:sz="0" w:space="0" w:color="auto"/>
                    <w:bottom w:val="none" w:sz="0" w:space="0" w:color="auto"/>
                    <w:right w:val="none" w:sz="0" w:space="0" w:color="auto"/>
                  </w:divBdr>
                </w:div>
                <w:div w:id="114253285">
                  <w:marLeft w:val="0"/>
                  <w:marRight w:val="0"/>
                  <w:marTop w:val="0"/>
                  <w:marBottom w:val="0"/>
                  <w:divBdr>
                    <w:top w:val="none" w:sz="0" w:space="0" w:color="auto"/>
                    <w:left w:val="none" w:sz="0" w:space="0" w:color="auto"/>
                    <w:bottom w:val="none" w:sz="0" w:space="0" w:color="auto"/>
                    <w:right w:val="none" w:sz="0" w:space="0" w:color="auto"/>
                  </w:divBdr>
                </w:div>
                <w:div w:id="1076777806">
                  <w:marLeft w:val="0"/>
                  <w:marRight w:val="0"/>
                  <w:marTop w:val="0"/>
                  <w:marBottom w:val="0"/>
                  <w:divBdr>
                    <w:top w:val="none" w:sz="0" w:space="0" w:color="auto"/>
                    <w:left w:val="none" w:sz="0" w:space="0" w:color="auto"/>
                    <w:bottom w:val="none" w:sz="0" w:space="0" w:color="auto"/>
                    <w:right w:val="none" w:sz="0" w:space="0" w:color="auto"/>
                  </w:divBdr>
                </w:div>
                <w:div w:id="139538171">
                  <w:marLeft w:val="0"/>
                  <w:marRight w:val="0"/>
                  <w:marTop w:val="0"/>
                  <w:marBottom w:val="0"/>
                  <w:divBdr>
                    <w:top w:val="none" w:sz="0" w:space="0" w:color="auto"/>
                    <w:left w:val="none" w:sz="0" w:space="0" w:color="auto"/>
                    <w:bottom w:val="none" w:sz="0" w:space="0" w:color="auto"/>
                    <w:right w:val="none" w:sz="0" w:space="0" w:color="auto"/>
                  </w:divBdr>
                </w:div>
                <w:div w:id="1764178128">
                  <w:marLeft w:val="0"/>
                  <w:marRight w:val="0"/>
                  <w:marTop w:val="0"/>
                  <w:marBottom w:val="0"/>
                  <w:divBdr>
                    <w:top w:val="none" w:sz="0" w:space="0" w:color="auto"/>
                    <w:left w:val="none" w:sz="0" w:space="0" w:color="auto"/>
                    <w:bottom w:val="none" w:sz="0" w:space="0" w:color="auto"/>
                    <w:right w:val="none" w:sz="0" w:space="0" w:color="auto"/>
                  </w:divBdr>
                </w:div>
                <w:div w:id="379325849">
                  <w:marLeft w:val="0"/>
                  <w:marRight w:val="0"/>
                  <w:marTop w:val="0"/>
                  <w:marBottom w:val="0"/>
                  <w:divBdr>
                    <w:top w:val="none" w:sz="0" w:space="0" w:color="auto"/>
                    <w:left w:val="none" w:sz="0" w:space="0" w:color="auto"/>
                    <w:bottom w:val="none" w:sz="0" w:space="0" w:color="auto"/>
                    <w:right w:val="none" w:sz="0" w:space="0" w:color="auto"/>
                  </w:divBdr>
                </w:div>
                <w:div w:id="559294820">
                  <w:marLeft w:val="0"/>
                  <w:marRight w:val="0"/>
                  <w:marTop w:val="0"/>
                  <w:marBottom w:val="0"/>
                  <w:divBdr>
                    <w:top w:val="none" w:sz="0" w:space="0" w:color="auto"/>
                    <w:left w:val="none" w:sz="0" w:space="0" w:color="auto"/>
                    <w:bottom w:val="none" w:sz="0" w:space="0" w:color="auto"/>
                    <w:right w:val="none" w:sz="0" w:space="0" w:color="auto"/>
                  </w:divBdr>
                </w:div>
                <w:div w:id="1889221606">
                  <w:marLeft w:val="0"/>
                  <w:marRight w:val="0"/>
                  <w:marTop w:val="0"/>
                  <w:marBottom w:val="0"/>
                  <w:divBdr>
                    <w:top w:val="none" w:sz="0" w:space="0" w:color="auto"/>
                    <w:left w:val="none" w:sz="0" w:space="0" w:color="auto"/>
                    <w:bottom w:val="none" w:sz="0" w:space="0" w:color="auto"/>
                    <w:right w:val="none" w:sz="0" w:space="0" w:color="auto"/>
                  </w:divBdr>
                </w:div>
                <w:div w:id="1971010832">
                  <w:marLeft w:val="0"/>
                  <w:marRight w:val="0"/>
                  <w:marTop w:val="0"/>
                  <w:marBottom w:val="0"/>
                  <w:divBdr>
                    <w:top w:val="none" w:sz="0" w:space="0" w:color="auto"/>
                    <w:left w:val="none" w:sz="0" w:space="0" w:color="auto"/>
                    <w:bottom w:val="none" w:sz="0" w:space="0" w:color="auto"/>
                    <w:right w:val="none" w:sz="0" w:space="0" w:color="auto"/>
                  </w:divBdr>
                </w:div>
                <w:div w:id="598102228">
                  <w:marLeft w:val="0"/>
                  <w:marRight w:val="0"/>
                  <w:marTop w:val="0"/>
                  <w:marBottom w:val="0"/>
                  <w:divBdr>
                    <w:top w:val="none" w:sz="0" w:space="0" w:color="auto"/>
                    <w:left w:val="none" w:sz="0" w:space="0" w:color="auto"/>
                    <w:bottom w:val="none" w:sz="0" w:space="0" w:color="auto"/>
                    <w:right w:val="none" w:sz="0" w:space="0" w:color="auto"/>
                  </w:divBdr>
                </w:div>
                <w:div w:id="1751660016">
                  <w:marLeft w:val="0"/>
                  <w:marRight w:val="0"/>
                  <w:marTop w:val="0"/>
                  <w:marBottom w:val="0"/>
                  <w:divBdr>
                    <w:top w:val="none" w:sz="0" w:space="0" w:color="auto"/>
                    <w:left w:val="none" w:sz="0" w:space="0" w:color="auto"/>
                    <w:bottom w:val="none" w:sz="0" w:space="0" w:color="auto"/>
                    <w:right w:val="none" w:sz="0" w:space="0" w:color="auto"/>
                  </w:divBdr>
                </w:div>
                <w:div w:id="1261644021">
                  <w:marLeft w:val="0"/>
                  <w:marRight w:val="0"/>
                  <w:marTop w:val="0"/>
                  <w:marBottom w:val="0"/>
                  <w:divBdr>
                    <w:top w:val="none" w:sz="0" w:space="0" w:color="auto"/>
                    <w:left w:val="none" w:sz="0" w:space="0" w:color="auto"/>
                    <w:bottom w:val="none" w:sz="0" w:space="0" w:color="auto"/>
                    <w:right w:val="none" w:sz="0" w:space="0" w:color="auto"/>
                  </w:divBdr>
                </w:div>
                <w:div w:id="13850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443632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6327583">
      <w:bodyDiv w:val="1"/>
      <w:marLeft w:val="0"/>
      <w:marRight w:val="0"/>
      <w:marTop w:val="0"/>
      <w:marBottom w:val="0"/>
      <w:divBdr>
        <w:top w:val="none" w:sz="0" w:space="0" w:color="auto"/>
        <w:left w:val="none" w:sz="0" w:space="0" w:color="auto"/>
        <w:bottom w:val="none" w:sz="0" w:space="0" w:color="auto"/>
        <w:right w:val="none" w:sz="0" w:space="0" w:color="auto"/>
      </w:divBdr>
      <w:divsChild>
        <w:div w:id="916594495">
          <w:marLeft w:val="0"/>
          <w:marRight w:val="0"/>
          <w:marTop w:val="0"/>
          <w:marBottom w:val="0"/>
          <w:divBdr>
            <w:top w:val="none" w:sz="0" w:space="0" w:color="auto"/>
            <w:left w:val="none" w:sz="0" w:space="0" w:color="auto"/>
            <w:bottom w:val="none" w:sz="0" w:space="0" w:color="auto"/>
            <w:right w:val="none" w:sz="0" w:space="0" w:color="auto"/>
          </w:divBdr>
        </w:div>
      </w:divsChild>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25701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88648736">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16102474">
      <w:bodyDiv w:val="1"/>
      <w:marLeft w:val="0"/>
      <w:marRight w:val="0"/>
      <w:marTop w:val="0"/>
      <w:marBottom w:val="0"/>
      <w:divBdr>
        <w:top w:val="none" w:sz="0" w:space="0" w:color="auto"/>
        <w:left w:val="none" w:sz="0" w:space="0" w:color="auto"/>
        <w:bottom w:val="none" w:sz="0" w:space="0" w:color="auto"/>
        <w:right w:val="none" w:sz="0" w:space="0" w:color="auto"/>
      </w:divBdr>
      <w:divsChild>
        <w:div w:id="815609499">
          <w:marLeft w:val="0"/>
          <w:marRight w:val="0"/>
          <w:marTop w:val="0"/>
          <w:marBottom w:val="0"/>
          <w:divBdr>
            <w:top w:val="none" w:sz="0" w:space="0" w:color="auto"/>
            <w:left w:val="none" w:sz="0" w:space="0" w:color="auto"/>
            <w:bottom w:val="none" w:sz="0" w:space="0" w:color="auto"/>
            <w:right w:val="none" w:sz="0" w:space="0" w:color="auto"/>
          </w:divBdr>
        </w:div>
        <w:div w:id="341207473">
          <w:marLeft w:val="0"/>
          <w:marRight w:val="0"/>
          <w:marTop w:val="0"/>
          <w:marBottom w:val="0"/>
          <w:divBdr>
            <w:top w:val="none" w:sz="0" w:space="0" w:color="auto"/>
            <w:left w:val="none" w:sz="0" w:space="0" w:color="auto"/>
            <w:bottom w:val="none" w:sz="0" w:space="0" w:color="auto"/>
            <w:right w:val="none" w:sz="0" w:space="0" w:color="auto"/>
          </w:divBdr>
          <w:divsChild>
            <w:div w:id="633367346">
              <w:marLeft w:val="0"/>
              <w:marRight w:val="0"/>
              <w:marTop w:val="0"/>
              <w:marBottom w:val="0"/>
              <w:divBdr>
                <w:top w:val="none" w:sz="0" w:space="0" w:color="auto"/>
                <w:left w:val="none" w:sz="0" w:space="0" w:color="auto"/>
                <w:bottom w:val="none" w:sz="0" w:space="0" w:color="auto"/>
                <w:right w:val="none" w:sz="0" w:space="0" w:color="auto"/>
              </w:divBdr>
              <w:divsChild>
                <w:div w:id="20185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37333126">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1531241">
      <w:bodyDiv w:val="1"/>
      <w:marLeft w:val="0"/>
      <w:marRight w:val="0"/>
      <w:marTop w:val="0"/>
      <w:marBottom w:val="0"/>
      <w:divBdr>
        <w:top w:val="none" w:sz="0" w:space="0" w:color="auto"/>
        <w:left w:val="none" w:sz="0" w:space="0" w:color="auto"/>
        <w:bottom w:val="none" w:sz="0" w:space="0" w:color="auto"/>
        <w:right w:val="none" w:sz="0" w:space="0" w:color="auto"/>
      </w:divBdr>
    </w:div>
    <w:div w:id="1192571851">
      <w:bodyDiv w:val="1"/>
      <w:marLeft w:val="0"/>
      <w:marRight w:val="0"/>
      <w:marTop w:val="0"/>
      <w:marBottom w:val="0"/>
      <w:divBdr>
        <w:top w:val="none" w:sz="0" w:space="0" w:color="auto"/>
        <w:left w:val="none" w:sz="0" w:space="0" w:color="auto"/>
        <w:bottom w:val="none" w:sz="0" w:space="0" w:color="auto"/>
        <w:right w:val="none" w:sz="0" w:space="0" w:color="auto"/>
      </w:divBdr>
      <w:divsChild>
        <w:div w:id="418252976">
          <w:marLeft w:val="0"/>
          <w:marRight w:val="0"/>
          <w:marTop w:val="0"/>
          <w:marBottom w:val="0"/>
          <w:divBdr>
            <w:top w:val="none" w:sz="0" w:space="0" w:color="auto"/>
            <w:left w:val="none" w:sz="0" w:space="0" w:color="auto"/>
            <w:bottom w:val="none" w:sz="0" w:space="0" w:color="auto"/>
            <w:right w:val="none" w:sz="0" w:space="0" w:color="auto"/>
          </w:divBdr>
        </w:div>
      </w:divsChild>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270356">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2301692">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244434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48467098">
      <w:bodyDiv w:val="1"/>
      <w:marLeft w:val="0"/>
      <w:marRight w:val="0"/>
      <w:marTop w:val="0"/>
      <w:marBottom w:val="0"/>
      <w:divBdr>
        <w:top w:val="none" w:sz="0" w:space="0" w:color="auto"/>
        <w:left w:val="none" w:sz="0" w:space="0" w:color="auto"/>
        <w:bottom w:val="none" w:sz="0" w:space="0" w:color="auto"/>
        <w:right w:val="none" w:sz="0" w:space="0" w:color="auto"/>
      </w:divBdr>
    </w:div>
    <w:div w:id="1252471348">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0262235">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6302840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2305037">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5408154">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27972620">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409462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05180954">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121118">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42087050">
      <w:bodyDiv w:val="1"/>
      <w:marLeft w:val="0"/>
      <w:marRight w:val="0"/>
      <w:marTop w:val="0"/>
      <w:marBottom w:val="0"/>
      <w:divBdr>
        <w:top w:val="none" w:sz="0" w:space="0" w:color="auto"/>
        <w:left w:val="none" w:sz="0" w:space="0" w:color="auto"/>
        <w:bottom w:val="none" w:sz="0" w:space="0" w:color="auto"/>
        <w:right w:val="none" w:sz="0" w:space="0" w:color="auto"/>
      </w:divBdr>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4974611">
      <w:bodyDiv w:val="1"/>
      <w:marLeft w:val="0"/>
      <w:marRight w:val="0"/>
      <w:marTop w:val="0"/>
      <w:marBottom w:val="0"/>
      <w:divBdr>
        <w:top w:val="none" w:sz="0" w:space="0" w:color="auto"/>
        <w:left w:val="none" w:sz="0" w:space="0" w:color="auto"/>
        <w:bottom w:val="none" w:sz="0" w:space="0" w:color="auto"/>
        <w:right w:val="none" w:sz="0" w:space="0" w:color="auto"/>
      </w:divBdr>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8885373">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7858380">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3624524">
      <w:bodyDiv w:val="1"/>
      <w:marLeft w:val="0"/>
      <w:marRight w:val="0"/>
      <w:marTop w:val="0"/>
      <w:marBottom w:val="0"/>
      <w:divBdr>
        <w:top w:val="none" w:sz="0" w:space="0" w:color="auto"/>
        <w:left w:val="none" w:sz="0" w:space="0" w:color="auto"/>
        <w:bottom w:val="none" w:sz="0" w:space="0" w:color="auto"/>
        <w:right w:val="none" w:sz="0" w:space="0" w:color="auto"/>
      </w:divBdr>
    </w:div>
    <w:div w:id="1683706961">
      <w:bodyDiv w:val="1"/>
      <w:marLeft w:val="0"/>
      <w:marRight w:val="0"/>
      <w:marTop w:val="0"/>
      <w:marBottom w:val="0"/>
      <w:divBdr>
        <w:top w:val="none" w:sz="0" w:space="0" w:color="auto"/>
        <w:left w:val="none" w:sz="0" w:space="0" w:color="auto"/>
        <w:bottom w:val="none" w:sz="0" w:space="0" w:color="auto"/>
        <w:right w:val="none" w:sz="0" w:space="0" w:color="auto"/>
      </w:divBdr>
      <w:divsChild>
        <w:div w:id="1289579915">
          <w:marLeft w:val="0"/>
          <w:marRight w:val="0"/>
          <w:marTop w:val="0"/>
          <w:marBottom w:val="0"/>
          <w:divBdr>
            <w:top w:val="none" w:sz="0" w:space="0" w:color="auto"/>
            <w:left w:val="none" w:sz="0" w:space="0" w:color="auto"/>
            <w:bottom w:val="none" w:sz="0" w:space="0" w:color="auto"/>
            <w:right w:val="none" w:sz="0" w:space="0" w:color="auto"/>
          </w:divBdr>
        </w:div>
        <w:div w:id="602882082">
          <w:marLeft w:val="0"/>
          <w:marRight w:val="0"/>
          <w:marTop w:val="0"/>
          <w:marBottom w:val="0"/>
          <w:divBdr>
            <w:top w:val="none" w:sz="0" w:space="0" w:color="auto"/>
            <w:left w:val="none" w:sz="0" w:space="0" w:color="auto"/>
            <w:bottom w:val="none" w:sz="0" w:space="0" w:color="auto"/>
            <w:right w:val="none" w:sz="0" w:space="0" w:color="auto"/>
          </w:divBdr>
        </w:div>
        <w:div w:id="1835487398">
          <w:marLeft w:val="0"/>
          <w:marRight w:val="0"/>
          <w:marTop w:val="0"/>
          <w:marBottom w:val="0"/>
          <w:divBdr>
            <w:top w:val="none" w:sz="0" w:space="0" w:color="auto"/>
            <w:left w:val="none" w:sz="0" w:space="0" w:color="auto"/>
            <w:bottom w:val="none" w:sz="0" w:space="0" w:color="auto"/>
            <w:right w:val="none" w:sz="0" w:space="0" w:color="auto"/>
          </w:divBdr>
        </w:div>
        <w:div w:id="405422539">
          <w:marLeft w:val="0"/>
          <w:marRight w:val="0"/>
          <w:marTop w:val="0"/>
          <w:marBottom w:val="0"/>
          <w:divBdr>
            <w:top w:val="none" w:sz="0" w:space="0" w:color="auto"/>
            <w:left w:val="none" w:sz="0" w:space="0" w:color="auto"/>
            <w:bottom w:val="none" w:sz="0" w:space="0" w:color="auto"/>
            <w:right w:val="none" w:sz="0" w:space="0" w:color="auto"/>
          </w:divBdr>
        </w:div>
        <w:div w:id="425350075">
          <w:marLeft w:val="0"/>
          <w:marRight w:val="0"/>
          <w:marTop w:val="0"/>
          <w:marBottom w:val="0"/>
          <w:divBdr>
            <w:top w:val="none" w:sz="0" w:space="0" w:color="auto"/>
            <w:left w:val="none" w:sz="0" w:space="0" w:color="auto"/>
            <w:bottom w:val="none" w:sz="0" w:space="0" w:color="auto"/>
            <w:right w:val="none" w:sz="0" w:space="0" w:color="auto"/>
          </w:divBdr>
        </w:div>
        <w:div w:id="1317303027">
          <w:marLeft w:val="0"/>
          <w:marRight w:val="0"/>
          <w:marTop w:val="0"/>
          <w:marBottom w:val="0"/>
          <w:divBdr>
            <w:top w:val="none" w:sz="0" w:space="0" w:color="auto"/>
            <w:left w:val="none" w:sz="0" w:space="0" w:color="auto"/>
            <w:bottom w:val="none" w:sz="0" w:space="0" w:color="auto"/>
            <w:right w:val="none" w:sz="0" w:space="0" w:color="auto"/>
          </w:divBdr>
        </w:div>
        <w:div w:id="294070984">
          <w:marLeft w:val="0"/>
          <w:marRight w:val="0"/>
          <w:marTop w:val="0"/>
          <w:marBottom w:val="0"/>
          <w:divBdr>
            <w:top w:val="none" w:sz="0" w:space="0" w:color="auto"/>
            <w:left w:val="none" w:sz="0" w:space="0" w:color="auto"/>
            <w:bottom w:val="none" w:sz="0" w:space="0" w:color="auto"/>
            <w:right w:val="none" w:sz="0" w:space="0" w:color="auto"/>
          </w:divBdr>
        </w:div>
        <w:div w:id="1591426144">
          <w:marLeft w:val="0"/>
          <w:marRight w:val="0"/>
          <w:marTop w:val="0"/>
          <w:marBottom w:val="0"/>
          <w:divBdr>
            <w:top w:val="none" w:sz="0" w:space="0" w:color="auto"/>
            <w:left w:val="none" w:sz="0" w:space="0" w:color="auto"/>
            <w:bottom w:val="none" w:sz="0" w:space="0" w:color="auto"/>
            <w:right w:val="none" w:sz="0" w:space="0" w:color="auto"/>
          </w:divBdr>
        </w:div>
        <w:div w:id="1290280282">
          <w:marLeft w:val="0"/>
          <w:marRight w:val="0"/>
          <w:marTop w:val="0"/>
          <w:marBottom w:val="0"/>
          <w:divBdr>
            <w:top w:val="none" w:sz="0" w:space="0" w:color="auto"/>
            <w:left w:val="none" w:sz="0" w:space="0" w:color="auto"/>
            <w:bottom w:val="none" w:sz="0" w:space="0" w:color="auto"/>
            <w:right w:val="none" w:sz="0" w:space="0" w:color="auto"/>
          </w:divBdr>
        </w:div>
        <w:div w:id="242372553">
          <w:marLeft w:val="0"/>
          <w:marRight w:val="0"/>
          <w:marTop w:val="0"/>
          <w:marBottom w:val="0"/>
          <w:divBdr>
            <w:top w:val="none" w:sz="0" w:space="0" w:color="auto"/>
            <w:left w:val="none" w:sz="0" w:space="0" w:color="auto"/>
            <w:bottom w:val="none" w:sz="0" w:space="0" w:color="auto"/>
            <w:right w:val="none" w:sz="0" w:space="0" w:color="auto"/>
          </w:divBdr>
        </w:div>
        <w:div w:id="72747258">
          <w:marLeft w:val="0"/>
          <w:marRight w:val="0"/>
          <w:marTop w:val="0"/>
          <w:marBottom w:val="0"/>
          <w:divBdr>
            <w:top w:val="none" w:sz="0" w:space="0" w:color="auto"/>
            <w:left w:val="none" w:sz="0" w:space="0" w:color="auto"/>
            <w:bottom w:val="none" w:sz="0" w:space="0" w:color="auto"/>
            <w:right w:val="none" w:sz="0" w:space="0" w:color="auto"/>
          </w:divBdr>
        </w:div>
      </w:divsChild>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269582">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5619254">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47996764">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5462472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1412360">
      <w:bodyDiv w:val="1"/>
      <w:marLeft w:val="0"/>
      <w:marRight w:val="0"/>
      <w:marTop w:val="0"/>
      <w:marBottom w:val="0"/>
      <w:divBdr>
        <w:top w:val="none" w:sz="0" w:space="0" w:color="auto"/>
        <w:left w:val="none" w:sz="0" w:space="0" w:color="auto"/>
        <w:bottom w:val="none" w:sz="0" w:space="0" w:color="auto"/>
        <w:right w:val="none" w:sz="0" w:space="0" w:color="auto"/>
      </w:divBdr>
    </w:div>
    <w:div w:id="1785155151">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33989116">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10996">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139437">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18713188">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36741993">
      <w:bodyDiv w:val="1"/>
      <w:marLeft w:val="0"/>
      <w:marRight w:val="0"/>
      <w:marTop w:val="0"/>
      <w:marBottom w:val="0"/>
      <w:divBdr>
        <w:top w:val="none" w:sz="0" w:space="0" w:color="auto"/>
        <w:left w:val="none" w:sz="0" w:space="0" w:color="auto"/>
        <w:bottom w:val="none" w:sz="0" w:space="0" w:color="auto"/>
        <w:right w:val="none" w:sz="0" w:space="0" w:color="auto"/>
      </w:divBdr>
      <w:divsChild>
        <w:div w:id="1704862743">
          <w:marLeft w:val="0"/>
          <w:marRight w:val="0"/>
          <w:marTop w:val="0"/>
          <w:marBottom w:val="0"/>
          <w:divBdr>
            <w:top w:val="none" w:sz="0" w:space="0" w:color="auto"/>
            <w:left w:val="none" w:sz="0" w:space="0" w:color="auto"/>
            <w:bottom w:val="none" w:sz="0" w:space="0" w:color="auto"/>
            <w:right w:val="none" w:sz="0" w:space="0" w:color="auto"/>
          </w:divBdr>
        </w:div>
        <w:div w:id="692727954">
          <w:marLeft w:val="0"/>
          <w:marRight w:val="0"/>
          <w:marTop w:val="0"/>
          <w:marBottom w:val="0"/>
          <w:divBdr>
            <w:top w:val="none" w:sz="0" w:space="0" w:color="auto"/>
            <w:left w:val="none" w:sz="0" w:space="0" w:color="auto"/>
            <w:bottom w:val="none" w:sz="0" w:space="0" w:color="auto"/>
            <w:right w:val="none" w:sz="0" w:space="0" w:color="auto"/>
          </w:divBdr>
        </w:div>
        <w:div w:id="1749615019">
          <w:marLeft w:val="0"/>
          <w:marRight w:val="0"/>
          <w:marTop w:val="0"/>
          <w:marBottom w:val="0"/>
          <w:divBdr>
            <w:top w:val="none" w:sz="0" w:space="0" w:color="auto"/>
            <w:left w:val="none" w:sz="0" w:space="0" w:color="auto"/>
            <w:bottom w:val="none" w:sz="0" w:space="0" w:color="auto"/>
            <w:right w:val="none" w:sz="0" w:space="0" w:color="auto"/>
          </w:divBdr>
        </w:div>
        <w:div w:id="346559183">
          <w:marLeft w:val="0"/>
          <w:marRight w:val="0"/>
          <w:marTop w:val="0"/>
          <w:marBottom w:val="0"/>
          <w:divBdr>
            <w:top w:val="none" w:sz="0" w:space="0" w:color="auto"/>
            <w:left w:val="none" w:sz="0" w:space="0" w:color="auto"/>
            <w:bottom w:val="none" w:sz="0" w:space="0" w:color="auto"/>
            <w:right w:val="none" w:sz="0" w:space="0" w:color="auto"/>
          </w:divBdr>
        </w:div>
        <w:div w:id="519662400">
          <w:marLeft w:val="0"/>
          <w:marRight w:val="0"/>
          <w:marTop w:val="0"/>
          <w:marBottom w:val="0"/>
          <w:divBdr>
            <w:top w:val="none" w:sz="0" w:space="0" w:color="auto"/>
            <w:left w:val="none" w:sz="0" w:space="0" w:color="auto"/>
            <w:bottom w:val="none" w:sz="0" w:space="0" w:color="auto"/>
            <w:right w:val="none" w:sz="0" w:space="0" w:color="auto"/>
          </w:divBdr>
        </w:div>
        <w:div w:id="791048584">
          <w:marLeft w:val="0"/>
          <w:marRight w:val="0"/>
          <w:marTop w:val="0"/>
          <w:marBottom w:val="0"/>
          <w:divBdr>
            <w:top w:val="none" w:sz="0" w:space="0" w:color="auto"/>
            <w:left w:val="none" w:sz="0" w:space="0" w:color="auto"/>
            <w:bottom w:val="none" w:sz="0" w:space="0" w:color="auto"/>
            <w:right w:val="none" w:sz="0" w:space="0" w:color="auto"/>
          </w:divBdr>
        </w:div>
        <w:div w:id="553153918">
          <w:marLeft w:val="0"/>
          <w:marRight w:val="0"/>
          <w:marTop w:val="0"/>
          <w:marBottom w:val="0"/>
          <w:divBdr>
            <w:top w:val="none" w:sz="0" w:space="0" w:color="auto"/>
            <w:left w:val="none" w:sz="0" w:space="0" w:color="auto"/>
            <w:bottom w:val="none" w:sz="0" w:space="0" w:color="auto"/>
            <w:right w:val="none" w:sz="0" w:space="0" w:color="auto"/>
          </w:divBdr>
        </w:div>
        <w:div w:id="437870911">
          <w:marLeft w:val="0"/>
          <w:marRight w:val="0"/>
          <w:marTop w:val="0"/>
          <w:marBottom w:val="0"/>
          <w:divBdr>
            <w:top w:val="none" w:sz="0" w:space="0" w:color="auto"/>
            <w:left w:val="none" w:sz="0" w:space="0" w:color="auto"/>
            <w:bottom w:val="none" w:sz="0" w:space="0" w:color="auto"/>
            <w:right w:val="none" w:sz="0" w:space="0" w:color="auto"/>
          </w:divBdr>
        </w:div>
        <w:div w:id="1245804051">
          <w:marLeft w:val="0"/>
          <w:marRight w:val="0"/>
          <w:marTop w:val="0"/>
          <w:marBottom w:val="0"/>
          <w:divBdr>
            <w:top w:val="none" w:sz="0" w:space="0" w:color="auto"/>
            <w:left w:val="none" w:sz="0" w:space="0" w:color="auto"/>
            <w:bottom w:val="none" w:sz="0" w:space="0" w:color="auto"/>
            <w:right w:val="none" w:sz="0" w:space="0" w:color="auto"/>
          </w:divBdr>
        </w:div>
        <w:div w:id="1956979890">
          <w:marLeft w:val="0"/>
          <w:marRight w:val="0"/>
          <w:marTop w:val="0"/>
          <w:marBottom w:val="0"/>
          <w:divBdr>
            <w:top w:val="none" w:sz="0" w:space="0" w:color="auto"/>
            <w:left w:val="none" w:sz="0" w:space="0" w:color="auto"/>
            <w:bottom w:val="none" w:sz="0" w:space="0" w:color="auto"/>
            <w:right w:val="none" w:sz="0" w:space="0" w:color="auto"/>
          </w:divBdr>
        </w:div>
        <w:div w:id="1189441998">
          <w:marLeft w:val="0"/>
          <w:marRight w:val="0"/>
          <w:marTop w:val="0"/>
          <w:marBottom w:val="0"/>
          <w:divBdr>
            <w:top w:val="none" w:sz="0" w:space="0" w:color="auto"/>
            <w:left w:val="none" w:sz="0" w:space="0" w:color="auto"/>
            <w:bottom w:val="none" w:sz="0" w:space="0" w:color="auto"/>
            <w:right w:val="none" w:sz="0" w:space="0" w:color="auto"/>
          </w:divBdr>
        </w:div>
        <w:div w:id="184908390">
          <w:marLeft w:val="0"/>
          <w:marRight w:val="0"/>
          <w:marTop w:val="0"/>
          <w:marBottom w:val="0"/>
          <w:divBdr>
            <w:top w:val="none" w:sz="0" w:space="0" w:color="auto"/>
            <w:left w:val="none" w:sz="0" w:space="0" w:color="auto"/>
            <w:bottom w:val="none" w:sz="0" w:space="0" w:color="auto"/>
            <w:right w:val="none" w:sz="0" w:space="0" w:color="auto"/>
          </w:divBdr>
        </w:div>
        <w:div w:id="1420254055">
          <w:marLeft w:val="0"/>
          <w:marRight w:val="0"/>
          <w:marTop w:val="0"/>
          <w:marBottom w:val="0"/>
          <w:divBdr>
            <w:top w:val="none" w:sz="0" w:space="0" w:color="auto"/>
            <w:left w:val="none" w:sz="0" w:space="0" w:color="auto"/>
            <w:bottom w:val="none" w:sz="0" w:space="0" w:color="auto"/>
            <w:right w:val="none" w:sz="0" w:space="0" w:color="auto"/>
          </w:divBdr>
        </w:div>
        <w:div w:id="291639181">
          <w:marLeft w:val="0"/>
          <w:marRight w:val="0"/>
          <w:marTop w:val="0"/>
          <w:marBottom w:val="0"/>
          <w:divBdr>
            <w:top w:val="none" w:sz="0" w:space="0" w:color="auto"/>
            <w:left w:val="none" w:sz="0" w:space="0" w:color="auto"/>
            <w:bottom w:val="none" w:sz="0" w:space="0" w:color="auto"/>
            <w:right w:val="none" w:sz="0" w:space="0" w:color="auto"/>
          </w:divBdr>
        </w:div>
        <w:div w:id="775711844">
          <w:marLeft w:val="0"/>
          <w:marRight w:val="0"/>
          <w:marTop w:val="0"/>
          <w:marBottom w:val="0"/>
          <w:divBdr>
            <w:top w:val="none" w:sz="0" w:space="0" w:color="auto"/>
            <w:left w:val="none" w:sz="0" w:space="0" w:color="auto"/>
            <w:bottom w:val="none" w:sz="0" w:space="0" w:color="auto"/>
            <w:right w:val="none" w:sz="0" w:space="0" w:color="auto"/>
          </w:divBdr>
        </w:div>
        <w:div w:id="1896576846">
          <w:marLeft w:val="0"/>
          <w:marRight w:val="0"/>
          <w:marTop w:val="0"/>
          <w:marBottom w:val="0"/>
          <w:divBdr>
            <w:top w:val="none" w:sz="0" w:space="0" w:color="auto"/>
            <w:left w:val="none" w:sz="0" w:space="0" w:color="auto"/>
            <w:bottom w:val="none" w:sz="0" w:space="0" w:color="auto"/>
            <w:right w:val="none" w:sz="0" w:space="0" w:color="auto"/>
          </w:divBdr>
        </w:div>
        <w:div w:id="540747059">
          <w:marLeft w:val="0"/>
          <w:marRight w:val="0"/>
          <w:marTop w:val="0"/>
          <w:marBottom w:val="0"/>
          <w:divBdr>
            <w:top w:val="none" w:sz="0" w:space="0" w:color="auto"/>
            <w:left w:val="none" w:sz="0" w:space="0" w:color="auto"/>
            <w:bottom w:val="none" w:sz="0" w:space="0" w:color="auto"/>
            <w:right w:val="none" w:sz="0" w:space="0" w:color="auto"/>
          </w:divBdr>
        </w:div>
        <w:div w:id="870385822">
          <w:marLeft w:val="0"/>
          <w:marRight w:val="0"/>
          <w:marTop w:val="0"/>
          <w:marBottom w:val="0"/>
          <w:divBdr>
            <w:top w:val="none" w:sz="0" w:space="0" w:color="auto"/>
            <w:left w:val="none" w:sz="0" w:space="0" w:color="auto"/>
            <w:bottom w:val="none" w:sz="0" w:space="0" w:color="auto"/>
            <w:right w:val="none" w:sz="0" w:space="0" w:color="auto"/>
          </w:divBdr>
        </w:div>
        <w:div w:id="597252822">
          <w:marLeft w:val="0"/>
          <w:marRight w:val="0"/>
          <w:marTop w:val="0"/>
          <w:marBottom w:val="0"/>
          <w:divBdr>
            <w:top w:val="none" w:sz="0" w:space="0" w:color="auto"/>
            <w:left w:val="none" w:sz="0" w:space="0" w:color="auto"/>
            <w:bottom w:val="none" w:sz="0" w:space="0" w:color="auto"/>
            <w:right w:val="none" w:sz="0" w:space="0" w:color="auto"/>
          </w:divBdr>
        </w:div>
        <w:div w:id="1775982087">
          <w:marLeft w:val="0"/>
          <w:marRight w:val="0"/>
          <w:marTop w:val="0"/>
          <w:marBottom w:val="0"/>
          <w:divBdr>
            <w:top w:val="none" w:sz="0" w:space="0" w:color="auto"/>
            <w:left w:val="none" w:sz="0" w:space="0" w:color="auto"/>
            <w:bottom w:val="none" w:sz="0" w:space="0" w:color="auto"/>
            <w:right w:val="none" w:sz="0" w:space="0" w:color="auto"/>
          </w:divBdr>
        </w:div>
        <w:div w:id="2116830156">
          <w:marLeft w:val="0"/>
          <w:marRight w:val="0"/>
          <w:marTop w:val="0"/>
          <w:marBottom w:val="0"/>
          <w:divBdr>
            <w:top w:val="none" w:sz="0" w:space="0" w:color="auto"/>
            <w:left w:val="none" w:sz="0" w:space="0" w:color="auto"/>
            <w:bottom w:val="none" w:sz="0" w:space="0" w:color="auto"/>
            <w:right w:val="none" w:sz="0" w:space="0" w:color="auto"/>
          </w:divBdr>
        </w:div>
        <w:div w:id="173883491">
          <w:marLeft w:val="0"/>
          <w:marRight w:val="0"/>
          <w:marTop w:val="0"/>
          <w:marBottom w:val="0"/>
          <w:divBdr>
            <w:top w:val="none" w:sz="0" w:space="0" w:color="auto"/>
            <w:left w:val="none" w:sz="0" w:space="0" w:color="auto"/>
            <w:bottom w:val="none" w:sz="0" w:space="0" w:color="auto"/>
            <w:right w:val="none" w:sz="0" w:space="0" w:color="auto"/>
          </w:divBdr>
        </w:div>
        <w:div w:id="1049299353">
          <w:marLeft w:val="0"/>
          <w:marRight w:val="0"/>
          <w:marTop w:val="0"/>
          <w:marBottom w:val="0"/>
          <w:divBdr>
            <w:top w:val="none" w:sz="0" w:space="0" w:color="auto"/>
            <w:left w:val="none" w:sz="0" w:space="0" w:color="auto"/>
            <w:bottom w:val="none" w:sz="0" w:space="0" w:color="auto"/>
            <w:right w:val="none" w:sz="0" w:space="0" w:color="auto"/>
          </w:divBdr>
        </w:div>
        <w:div w:id="1198815090">
          <w:marLeft w:val="0"/>
          <w:marRight w:val="0"/>
          <w:marTop w:val="0"/>
          <w:marBottom w:val="0"/>
          <w:divBdr>
            <w:top w:val="none" w:sz="0" w:space="0" w:color="auto"/>
            <w:left w:val="none" w:sz="0" w:space="0" w:color="auto"/>
            <w:bottom w:val="none" w:sz="0" w:space="0" w:color="auto"/>
            <w:right w:val="none" w:sz="0" w:space="0" w:color="auto"/>
          </w:divBdr>
        </w:div>
        <w:div w:id="1810315439">
          <w:marLeft w:val="0"/>
          <w:marRight w:val="0"/>
          <w:marTop w:val="0"/>
          <w:marBottom w:val="0"/>
          <w:divBdr>
            <w:top w:val="none" w:sz="0" w:space="0" w:color="auto"/>
            <w:left w:val="none" w:sz="0" w:space="0" w:color="auto"/>
            <w:bottom w:val="none" w:sz="0" w:space="0" w:color="auto"/>
            <w:right w:val="none" w:sz="0" w:space="0" w:color="auto"/>
          </w:divBdr>
        </w:div>
        <w:div w:id="478302402">
          <w:marLeft w:val="0"/>
          <w:marRight w:val="0"/>
          <w:marTop w:val="0"/>
          <w:marBottom w:val="0"/>
          <w:divBdr>
            <w:top w:val="none" w:sz="0" w:space="0" w:color="auto"/>
            <w:left w:val="none" w:sz="0" w:space="0" w:color="auto"/>
            <w:bottom w:val="none" w:sz="0" w:space="0" w:color="auto"/>
            <w:right w:val="none" w:sz="0" w:space="0" w:color="auto"/>
          </w:divBdr>
        </w:div>
        <w:div w:id="1140347680">
          <w:marLeft w:val="0"/>
          <w:marRight w:val="0"/>
          <w:marTop w:val="0"/>
          <w:marBottom w:val="0"/>
          <w:divBdr>
            <w:top w:val="none" w:sz="0" w:space="0" w:color="auto"/>
            <w:left w:val="none" w:sz="0" w:space="0" w:color="auto"/>
            <w:bottom w:val="none" w:sz="0" w:space="0" w:color="auto"/>
            <w:right w:val="none" w:sz="0" w:space="0" w:color="auto"/>
          </w:divBdr>
        </w:div>
        <w:div w:id="533808281">
          <w:marLeft w:val="0"/>
          <w:marRight w:val="0"/>
          <w:marTop w:val="0"/>
          <w:marBottom w:val="0"/>
          <w:divBdr>
            <w:top w:val="none" w:sz="0" w:space="0" w:color="auto"/>
            <w:left w:val="none" w:sz="0" w:space="0" w:color="auto"/>
            <w:bottom w:val="none" w:sz="0" w:space="0" w:color="auto"/>
            <w:right w:val="none" w:sz="0" w:space="0" w:color="auto"/>
          </w:divBdr>
        </w:div>
        <w:div w:id="1282882582">
          <w:marLeft w:val="0"/>
          <w:marRight w:val="0"/>
          <w:marTop w:val="0"/>
          <w:marBottom w:val="0"/>
          <w:divBdr>
            <w:top w:val="none" w:sz="0" w:space="0" w:color="auto"/>
            <w:left w:val="none" w:sz="0" w:space="0" w:color="auto"/>
            <w:bottom w:val="none" w:sz="0" w:space="0" w:color="auto"/>
            <w:right w:val="none" w:sz="0" w:space="0" w:color="auto"/>
          </w:divBdr>
        </w:div>
        <w:div w:id="858348083">
          <w:marLeft w:val="0"/>
          <w:marRight w:val="0"/>
          <w:marTop w:val="0"/>
          <w:marBottom w:val="0"/>
          <w:divBdr>
            <w:top w:val="none" w:sz="0" w:space="0" w:color="auto"/>
            <w:left w:val="none" w:sz="0" w:space="0" w:color="auto"/>
            <w:bottom w:val="none" w:sz="0" w:space="0" w:color="auto"/>
            <w:right w:val="none" w:sz="0" w:space="0" w:color="auto"/>
          </w:divBdr>
        </w:div>
        <w:div w:id="1723209545">
          <w:marLeft w:val="0"/>
          <w:marRight w:val="0"/>
          <w:marTop w:val="0"/>
          <w:marBottom w:val="0"/>
          <w:divBdr>
            <w:top w:val="none" w:sz="0" w:space="0" w:color="auto"/>
            <w:left w:val="none" w:sz="0" w:space="0" w:color="auto"/>
            <w:bottom w:val="none" w:sz="0" w:space="0" w:color="auto"/>
            <w:right w:val="none" w:sz="0" w:space="0" w:color="auto"/>
          </w:divBdr>
        </w:div>
        <w:div w:id="1738093977">
          <w:marLeft w:val="0"/>
          <w:marRight w:val="0"/>
          <w:marTop w:val="0"/>
          <w:marBottom w:val="0"/>
          <w:divBdr>
            <w:top w:val="none" w:sz="0" w:space="0" w:color="auto"/>
            <w:left w:val="none" w:sz="0" w:space="0" w:color="auto"/>
            <w:bottom w:val="none" w:sz="0" w:space="0" w:color="auto"/>
            <w:right w:val="none" w:sz="0" w:space="0" w:color="auto"/>
          </w:divBdr>
        </w:div>
        <w:div w:id="1208487917">
          <w:marLeft w:val="0"/>
          <w:marRight w:val="0"/>
          <w:marTop w:val="0"/>
          <w:marBottom w:val="0"/>
          <w:divBdr>
            <w:top w:val="none" w:sz="0" w:space="0" w:color="auto"/>
            <w:left w:val="none" w:sz="0" w:space="0" w:color="auto"/>
            <w:bottom w:val="none" w:sz="0" w:space="0" w:color="auto"/>
            <w:right w:val="none" w:sz="0" w:space="0" w:color="auto"/>
          </w:divBdr>
        </w:div>
        <w:div w:id="370497378">
          <w:marLeft w:val="0"/>
          <w:marRight w:val="0"/>
          <w:marTop w:val="0"/>
          <w:marBottom w:val="0"/>
          <w:divBdr>
            <w:top w:val="none" w:sz="0" w:space="0" w:color="auto"/>
            <w:left w:val="none" w:sz="0" w:space="0" w:color="auto"/>
            <w:bottom w:val="none" w:sz="0" w:space="0" w:color="auto"/>
            <w:right w:val="none" w:sz="0" w:space="0" w:color="auto"/>
          </w:divBdr>
        </w:div>
        <w:div w:id="1817454295">
          <w:marLeft w:val="0"/>
          <w:marRight w:val="0"/>
          <w:marTop w:val="0"/>
          <w:marBottom w:val="0"/>
          <w:divBdr>
            <w:top w:val="none" w:sz="0" w:space="0" w:color="auto"/>
            <w:left w:val="none" w:sz="0" w:space="0" w:color="auto"/>
            <w:bottom w:val="none" w:sz="0" w:space="0" w:color="auto"/>
            <w:right w:val="none" w:sz="0" w:space="0" w:color="auto"/>
          </w:divBdr>
        </w:div>
        <w:div w:id="434056991">
          <w:marLeft w:val="0"/>
          <w:marRight w:val="0"/>
          <w:marTop w:val="0"/>
          <w:marBottom w:val="0"/>
          <w:divBdr>
            <w:top w:val="none" w:sz="0" w:space="0" w:color="auto"/>
            <w:left w:val="none" w:sz="0" w:space="0" w:color="auto"/>
            <w:bottom w:val="none" w:sz="0" w:space="0" w:color="auto"/>
            <w:right w:val="none" w:sz="0" w:space="0" w:color="auto"/>
          </w:divBdr>
        </w:div>
        <w:div w:id="1199315245">
          <w:marLeft w:val="0"/>
          <w:marRight w:val="0"/>
          <w:marTop w:val="0"/>
          <w:marBottom w:val="0"/>
          <w:divBdr>
            <w:top w:val="none" w:sz="0" w:space="0" w:color="auto"/>
            <w:left w:val="none" w:sz="0" w:space="0" w:color="auto"/>
            <w:bottom w:val="none" w:sz="0" w:space="0" w:color="auto"/>
            <w:right w:val="none" w:sz="0" w:space="0" w:color="auto"/>
          </w:divBdr>
        </w:div>
        <w:div w:id="1416780416">
          <w:marLeft w:val="0"/>
          <w:marRight w:val="0"/>
          <w:marTop w:val="0"/>
          <w:marBottom w:val="0"/>
          <w:divBdr>
            <w:top w:val="none" w:sz="0" w:space="0" w:color="auto"/>
            <w:left w:val="none" w:sz="0" w:space="0" w:color="auto"/>
            <w:bottom w:val="none" w:sz="0" w:space="0" w:color="auto"/>
            <w:right w:val="none" w:sz="0" w:space="0" w:color="auto"/>
          </w:divBdr>
        </w:div>
        <w:div w:id="2017733492">
          <w:marLeft w:val="0"/>
          <w:marRight w:val="0"/>
          <w:marTop w:val="0"/>
          <w:marBottom w:val="0"/>
          <w:divBdr>
            <w:top w:val="none" w:sz="0" w:space="0" w:color="auto"/>
            <w:left w:val="none" w:sz="0" w:space="0" w:color="auto"/>
            <w:bottom w:val="none" w:sz="0" w:space="0" w:color="auto"/>
            <w:right w:val="none" w:sz="0" w:space="0" w:color="auto"/>
          </w:divBdr>
        </w:div>
        <w:div w:id="601107010">
          <w:marLeft w:val="0"/>
          <w:marRight w:val="0"/>
          <w:marTop w:val="0"/>
          <w:marBottom w:val="0"/>
          <w:divBdr>
            <w:top w:val="none" w:sz="0" w:space="0" w:color="auto"/>
            <w:left w:val="none" w:sz="0" w:space="0" w:color="auto"/>
            <w:bottom w:val="none" w:sz="0" w:space="0" w:color="auto"/>
            <w:right w:val="none" w:sz="0" w:space="0" w:color="auto"/>
          </w:divBdr>
        </w:div>
        <w:div w:id="723287017">
          <w:marLeft w:val="0"/>
          <w:marRight w:val="0"/>
          <w:marTop w:val="0"/>
          <w:marBottom w:val="0"/>
          <w:divBdr>
            <w:top w:val="none" w:sz="0" w:space="0" w:color="auto"/>
            <w:left w:val="none" w:sz="0" w:space="0" w:color="auto"/>
            <w:bottom w:val="none" w:sz="0" w:space="0" w:color="auto"/>
            <w:right w:val="none" w:sz="0" w:space="0" w:color="auto"/>
          </w:divBdr>
        </w:div>
        <w:div w:id="1023555527">
          <w:marLeft w:val="0"/>
          <w:marRight w:val="0"/>
          <w:marTop w:val="0"/>
          <w:marBottom w:val="0"/>
          <w:divBdr>
            <w:top w:val="none" w:sz="0" w:space="0" w:color="auto"/>
            <w:left w:val="none" w:sz="0" w:space="0" w:color="auto"/>
            <w:bottom w:val="none" w:sz="0" w:space="0" w:color="auto"/>
            <w:right w:val="none" w:sz="0" w:space="0" w:color="auto"/>
          </w:divBdr>
        </w:div>
        <w:div w:id="1390496871">
          <w:marLeft w:val="0"/>
          <w:marRight w:val="0"/>
          <w:marTop w:val="0"/>
          <w:marBottom w:val="0"/>
          <w:divBdr>
            <w:top w:val="none" w:sz="0" w:space="0" w:color="auto"/>
            <w:left w:val="none" w:sz="0" w:space="0" w:color="auto"/>
            <w:bottom w:val="none" w:sz="0" w:space="0" w:color="auto"/>
            <w:right w:val="none" w:sz="0" w:space="0" w:color="auto"/>
          </w:divBdr>
        </w:div>
        <w:div w:id="928536360">
          <w:marLeft w:val="0"/>
          <w:marRight w:val="0"/>
          <w:marTop w:val="0"/>
          <w:marBottom w:val="0"/>
          <w:divBdr>
            <w:top w:val="none" w:sz="0" w:space="0" w:color="auto"/>
            <w:left w:val="none" w:sz="0" w:space="0" w:color="auto"/>
            <w:bottom w:val="none" w:sz="0" w:space="0" w:color="auto"/>
            <w:right w:val="none" w:sz="0" w:space="0" w:color="auto"/>
          </w:divBdr>
        </w:div>
        <w:div w:id="828793736">
          <w:marLeft w:val="0"/>
          <w:marRight w:val="0"/>
          <w:marTop w:val="0"/>
          <w:marBottom w:val="0"/>
          <w:divBdr>
            <w:top w:val="none" w:sz="0" w:space="0" w:color="auto"/>
            <w:left w:val="none" w:sz="0" w:space="0" w:color="auto"/>
            <w:bottom w:val="none" w:sz="0" w:space="0" w:color="auto"/>
            <w:right w:val="none" w:sz="0" w:space="0" w:color="auto"/>
          </w:divBdr>
        </w:div>
        <w:div w:id="2036928058">
          <w:marLeft w:val="0"/>
          <w:marRight w:val="0"/>
          <w:marTop w:val="0"/>
          <w:marBottom w:val="0"/>
          <w:divBdr>
            <w:top w:val="none" w:sz="0" w:space="0" w:color="auto"/>
            <w:left w:val="none" w:sz="0" w:space="0" w:color="auto"/>
            <w:bottom w:val="none" w:sz="0" w:space="0" w:color="auto"/>
            <w:right w:val="none" w:sz="0" w:space="0" w:color="auto"/>
          </w:divBdr>
        </w:div>
        <w:div w:id="1710643211">
          <w:marLeft w:val="0"/>
          <w:marRight w:val="0"/>
          <w:marTop w:val="0"/>
          <w:marBottom w:val="0"/>
          <w:divBdr>
            <w:top w:val="none" w:sz="0" w:space="0" w:color="auto"/>
            <w:left w:val="none" w:sz="0" w:space="0" w:color="auto"/>
            <w:bottom w:val="none" w:sz="0" w:space="0" w:color="auto"/>
            <w:right w:val="none" w:sz="0" w:space="0" w:color="auto"/>
          </w:divBdr>
        </w:div>
        <w:div w:id="1189904150">
          <w:marLeft w:val="0"/>
          <w:marRight w:val="0"/>
          <w:marTop w:val="0"/>
          <w:marBottom w:val="0"/>
          <w:divBdr>
            <w:top w:val="none" w:sz="0" w:space="0" w:color="auto"/>
            <w:left w:val="none" w:sz="0" w:space="0" w:color="auto"/>
            <w:bottom w:val="none" w:sz="0" w:space="0" w:color="auto"/>
            <w:right w:val="none" w:sz="0" w:space="0" w:color="auto"/>
          </w:divBdr>
        </w:div>
        <w:div w:id="190463378">
          <w:marLeft w:val="0"/>
          <w:marRight w:val="0"/>
          <w:marTop w:val="0"/>
          <w:marBottom w:val="0"/>
          <w:divBdr>
            <w:top w:val="none" w:sz="0" w:space="0" w:color="auto"/>
            <w:left w:val="none" w:sz="0" w:space="0" w:color="auto"/>
            <w:bottom w:val="none" w:sz="0" w:space="0" w:color="auto"/>
            <w:right w:val="none" w:sz="0" w:space="0" w:color="auto"/>
          </w:divBdr>
        </w:div>
        <w:div w:id="402147296">
          <w:marLeft w:val="0"/>
          <w:marRight w:val="0"/>
          <w:marTop w:val="0"/>
          <w:marBottom w:val="0"/>
          <w:divBdr>
            <w:top w:val="none" w:sz="0" w:space="0" w:color="auto"/>
            <w:left w:val="none" w:sz="0" w:space="0" w:color="auto"/>
            <w:bottom w:val="none" w:sz="0" w:space="0" w:color="auto"/>
            <w:right w:val="none" w:sz="0" w:space="0" w:color="auto"/>
          </w:divBdr>
        </w:div>
        <w:div w:id="1725985872">
          <w:marLeft w:val="0"/>
          <w:marRight w:val="0"/>
          <w:marTop w:val="0"/>
          <w:marBottom w:val="0"/>
          <w:divBdr>
            <w:top w:val="none" w:sz="0" w:space="0" w:color="auto"/>
            <w:left w:val="none" w:sz="0" w:space="0" w:color="auto"/>
            <w:bottom w:val="none" w:sz="0" w:space="0" w:color="auto"/>
            <w:right w:val="none" w:sz="0" w:space="0" w:color="auto"/>
          </w:divBdr>
        </w:div>
        <w:div w:id="960651955">
          <w:marLeft w:val="0"/>
          <w:marRight w:val="0"/>
          <w:marTop w:val="0"/>
          <w:marBottom w:val="0"/>
          <w:divBdr>
            <w:top w:val="none" w:sz="0" w:space="0" w:color="auto"/>
            <w:left w:val="none" w:sz="0" w:space="0" w:color="auto"/>
            <w:bottom w:val="none" w:sz="0" w:space="0" w:color="auto"/>
            <w:right w:val="none" w:sz="0" w:space="0" w:color="auto"/>
          </w:divBdr>
        </w:div>
        <w:div w:id="33384815">
          <w:marLeft w:val="0"/>
          <w:marRight w:val="0"/>
          <w:marTop w:val="0"/>
          <w:marBottom w:val="0"/>
          <w:divBdr>
            <w:top w:val="none" w:sz="0" w:space="0" w:color="auto"/>
            <w:left w:val="none" w:sz="0" w:space="0" w:color="auto"/>
            <w:bottom w:val="none" w:sz="0" w:space="0" w:color="auto"/>
            <w:right w:val="none" w:sz="0" w:space="0" w:color="auto"/>
          </w:divBdr>
        </w:div>
        <w:div w:id="1797335794">
          <w:marLeft w:val="0"/>
          <w:marRight w:val="0"/>
          <w:marTop w:val="0"/>
          <w:marBottom w:val="0"/>
          <w:divBdr>
            <w:top w:val="none" w:sz="0" w:space="0" w:color="auto"/>
            <w:left w:val="none" w:sz="0" w:space="0" w:color="auto"/>
            <w:bottom w:val="none" w:sz="0" w:space="0" w:color="auto"/>
            <w:right w:val="none" w:sz="0" w:space="0" w:color="auto"/>
          </w:divBdr>
        </w:div>
        <w:div w:id="419185519">
          <w:marLeft w:val="0"/>
          <w:marRight w:val="0"/>
          <w:marTop w:val="0"/>
          <w:marBottom w:val="0"/>
          <w:divBdr>
            <w:top w:val="none" w:sz="0" w:space="0" w:color="auto"/>
            <w:left w:val="none" w:sz="0" w:space="0" w:color="auto"/>
            <w:bottom w:val="none" w:sz="0" w:space="0" w:color="auto"/>
            <w:right w:val="none" w:sz="0" w:space="0" w:color="auto"/>
          </w:divBdr>
        </w:div>
        <w:div w:id="537478105">
          <w:marLeft w:val="0"/>
          <w:marRight w:val="0"/>
          <w:marTop w:val="0"/>
          <w:marBottom w:val="0"/>
          <w:divBdr>
            <w:top w:val="none" w:sz="0" w:space="0" w:color="auto"/>
            <w:left w:val="none" w:sz="0" w:space="0" w:color="auto"/>
            <w:bottom w:val="none" w:sz="0" w:space="0" w:color="auto"/>
            <w:right w:val="none" w:sz="0" w:space="0" w:color="auto"/>
          </w:divBdr>
        </w:div>
        <w:div w:id="1755467292">
          <w:marLeft w:val="0"/>
          <w:marRight w:val="0"/>
          <w:marTop w:val="0"/>
          <w:marBottom w:val="0"/>
          <w:divBdr>
            <w:top w:val="none" w:sz="0" w:space="0" w:color="auto"/>
            <w:left w:val="none" w:sz="0" w:space="0" w:color="auto"/>
            <w:bottom w:val="none" w:sz="0" w:space="0" w:color="auto"/>
            <w:right w:val="none" w:sz="0" w:space="0" w:color="auto"/>
          </w:divBdr>
        </w:div>
        <w:div w:id="857818321">
          <w:marLeft w:val="0"/>
          <w:marRight w:val="0"/>
          <w:marTop w:val="0"/>
          <w:marBottom w:val="0"/>
          <w:divBdr>
            <w:top w:val="none" w:sz="0" w:space="0" w:color="auto"/>
            <w:left w:val="none" w:sz="0" w:space="0" w:color="auto"/>
            <w:bottom w:val="none" w:sz="0" w:space="0" w:color="auto"/>
            <w:right w:val="none" w:sz="0" w:space="0" w:color="auto"/>
          </w:divBdr>
        </w:div>
        <w:div w:id="498811434">
          <w:marLeft w:val="0"/>
          <w:marRight w:val="0"/>
          <w:marTop w:val="0"/>
          <w:marBottom w:val="0"/>
          <w:divBdr>
            <w:top w:val="none" w:sz="0" w:space="0" w:color="auto"/>
            <w:left w:val="none" w:sz="0" w:space="0" w:color="auto"/>
            <w:bottom w:val="none" w:sz="0" w:space="0" w:color="auto"/>
            <w:right w:val="none" w:sz="0" w:space="0" w:color="auto"/>
          </w:divBdr>
        </w:div>
        <w:div w:id="1826239149">
          <w:marLeft w:val="0"/>
          <w:marRight w:val="0"/>
          <w:marTop w:val="0"/>
          <w:marBottom w:val="0"/>
          <w:divBdr>
            <w:top w:val="none" w:sz="0" w:space="0" w:color="auto"/>
            <w:left w:val="none" w:sz="0" w:space="0" w:color="auto"/>
            <w:bottom w:val="none" w:sz="0" w:space="0" w:color="auto"/>
            <w:right w:val="none" w:sz="0" w:space="0" w:color="auto"/>
          </w:divBdr>
        </w:div>
        <w:div w:id="523785013">
          <w:marLeft w:val="0"/>
          <w:marRight w:val="0"/>
          <w:marTop w:val="0"/>
          <w:marBottom w:val="0"/>
          <w:divBdr>
            <w:top w:val="none" w:sz="0" w:space="0" w:color="auto"/>
            <w:left w:val="none" w:sz="0" w:space="0" w:color="auto"/>
            <w:bottom w:val="none" w:sz="0" w:space="0" w:color="auto"/>
            <w:right w:val="none" w:sz="0" w:space="0" w:color="auto"/>
          </w:divBdr>
        </w:div>
        <w:div w:id="1225019301">
          <w:marLeft w:val="0"/>
          <w:marRight w:val="0"/>
          <w:marTop w:val="0"/>
          <w:marBottom w:val="0"/>
          <w:divBdr>
            <w:top w:val="none" w:sz="0" w:space="0" w:color="auto"/>
            <w:left w:val="none" w:sz="0" w:space="0" w:color="auto"/>
            <w:bottom w:val="none" w:sz="0" w:space="0" w:color="auto"/>
            <w:right w:val="none" w:sz="0" w:space="0" w:color="auto"/>
          </w:divBdr>
        </w:div>
        <w:div w:id="317344601">
          <w:marLeft w:val="0"/>
          <w:marRight w:val="0"/>
          <w:marTop w:val="0"/>
          <w:marBottom w:val="0"/>
          <w:divBdr>
            <w:top w:val="none" w:sz="0" w:space="0" w:color="auto"/>
            <w:left w:val="none" w:sz="0" w:space="0" w:color="auto"/>
            <w:bottom w:val="none" w:sz="0" w:space="0" w:color="auto"/>
            <w:right w:val="none" w:sz="0" w:space="0" w:color="auto"/>
          </w:divBdr>
        </w:div>
        <w:div w:id="986856478">
          <w:marLeft w:val="0"/>
          <w:marRight w:val="0"/>
          <w:marTop w:val="0"/>
          <w:marBottom w:val="0"/>
          <w:divBdr>
            <w:top w:val="none" w:sz="0" w:space="0" w:color="auto"/>
            <w:left w:val="none" w:sz="0" w:space="0" w:color="auto"/>
            <w:bottom w:val="none" w:sz="0" w:space="0" w:color="auto"/>
            <w:right w:val="none" w:sz="0" w:space="0" w:color="auto"/>
          </w:divBdr>
        </w:div>
        <w:div w:id="1696614267">
          <w:marLeft w:val="0"/>
          <w:marRight w:val="0"/>
          <w:marTop w:val="0"/>
          <w:marBottom w:val="0"/>
          <w:divBdr>
            <w:top w:val="none" w:sz="0" w:space="0" w:color="auto"/>
            <w:left w:val="none" w:sz="0" w:space="0" w:color="auto"/>
            <w:bottom w:val="none" w:sz="0" w:space="0" w:color="auto"/>
            <w:right w:val="none" w:sz="0" w:space="0" w:color="auto"/>
          </w:divBdr>
        </w:div>
        <w:div w:id="1194462985">
          <w:marLeft w:val="0"/>
          <w:marRight w:val="0"/>
          <w:marTop w:val="0"/>
          <w:marBottom w:val="0"/>
          <w:divBdr>
            <w:top w:val="none" w:sz="0" w:space="0" w:color="auto"/>
            <w:left w:val="none" w:sz="0" w:space="0" w:color="auto"/>
            <w:bottom w:val="none" w:sz="0" w:space="0" w:color="auto"/>
            <w:right w:val="none" w:sz="0" w:space="0" w:color="auto"/>
          </w:divBdr>
        </w:div>
        <w:div w:id="1563560895">
          <w:marLeft w:val="0"/>
          <w:marRight w:val="0"/>
          <w:marTop w:val="0"/>
          <w:marBottom w:val="0"/>
          <w:divBdr>
            <w:top w:val="none" w:sz="0" w:space="0" w:color="auto"/>
            <w:left w:val="none" w:sz="0" w:space="0" w:color="auto"/>
            <w:bottom w:val="none" w:sz="0" w:space="0" w:color="auto"/>
            <w:right w:val="none" w:sz="0" w:space="0" w:color="auto"/>
          </w:divBdr>
        </w:div>
        <w:div w:id="979189733">
          <w:marLeft w:val="0"/>
          <w:marRight w:val="0"/>
          <w:marTop w:val="0"/>
          <w:marBottom w:val="0"/>
          <w:divBdr>
            <w:top w:val="none" w:sz="0" w:space="0" w:color="auto"/>
            <w:left w:val="none" w:sz="0" w:space="0" w:color="auto"/>
            <w:bottom w:val="none" w:sz="0" w:space="0" w:color="auto"/>
            <w:right w:val="none" w:sz="0" w:space="0" w:color="auto"/>
          </w:divBdr>
        </w:div>
        <w:div w:id="1473984815">
          <w:marLeft w:val="0"/>
          <w:marRight w:val="0"/>
          <w:marTop w:val="0"/>
          <w:marBottom w:val="0"/>
          <w:divBdr>
            <w:top w:val="none" w:sz="0" w:space="0" w:color="auto"/>
            <w:left w:val="none" w:sz="0" w:space="0" w:color="auto"/>
            <w:bottom w:val="none" w:sz="0" w:space="0" w:color="auto"/>
            <w:right w:val="none" w:sz="0" w:space="0" w:color="auto"/>
          </w:divBdr>
        </w:div>
        <w:div w:id="1247424233">
          <w:marLeft w:val="0"/>
          <w:marRight w:val="0"/>
          <w:marTop w:val="0"/>
          <w:marBottom w:val="0"/>
          <w:divBdr>
            <w:top w:val="none" w:sz="0" w:space="0" w:color="auto"/>
            <w:left w:val="none" w:sz="0" w:space="0" w:color="auto"/>
            <w:bottom w:val="none" w:sz="0" w:space="0" w:color="auto"/>
            <w:right w:val="none" w:sz="0" w:space="0" w:color="auto"/>
          </w:divBdr>
        </w:div>
        <w:div w:id="612060453">
          <w:marLeft w:val="0"/>
          <w:marRight w:val="0"/>
          <w:marTop w:val="0"/>
          <w:marBottom w:val="0"/>
          <w:divBdr>
            <w:top w:val="none" w:sz="0" w:space="0" w:color="auto"/>
            <w:left w:val="none" w:sz="0" w:space="0" w:color="auto"/>
            <w:bottom w:val="none" w:sz="0" w:space="0" w:color="auto"/>
            <w:right w:val="none" w:sz="0" w:space="0" w:color="auto"/>
          </w:divBdr>
        </w:div>
        <w:div w:id="895093888">
          <w:marLeft w:val="0"/>
          <w:marRight w:val="0"/>
          <w:marTop w:val="0"/>
          <w:marBottom w:val="0"/>
          <w:divBdr>
            <w:top w:val="none" w:sz="0" w:space="0" w:color="auto"/>
            <w:left w:val="none" w:sz="0" w:space="0" w:color="auto"/>
            <w:bottom w:val="none" w:sz="0" w:space="0" w:color="auto"/>
            <w:right w:val="none" w:sz="0" w:space="0" w:color="auto"/>
          </w:divBdr>
        </w:div>
        <w:div w:id="542835927">
          <w:marLeft w:val="0"/>
          <w:marRight w:val="0"/>
          <w:marTop w:val="0"/>
          <w:marBottom w:val="0"/>
          <w:divBdr>
            <w:top w:val="none" w:sz="0" w:space="0" w:color="auto"/>
            <w:left w:val="none" w:sz="0" w:space="0" w:color="auto"/>
            <w:bottom w:val="none" w:sz="0" w:space="0" w:color="auto"/>
            <w:right w:val="none" w:sz="0" w:space="0" w:color="auto"/>
          </w:divBdr>
        </w:div>
        <w:div w:id="836073474">
          <w:marLeft w:val="0"/>
          <w:marRight w:val="0"/>
          <w:marTop w:val="0"/>
          <w:marBottom w:val="0"/>
          <w:divBdr>
            <w:top w:val="none" w:sz="0" w:space="0" w:color="auto"/>
            <w:left w:val="none" w:sz="0" w:space="0" w:color="auto"/>
            <w:bottom w:val="none" w:sz="0" w:space="0" w:color="auto"/>
            <w:right w:val="none" w:sz="0" w:space="0" w:color="auto"/>
          </w:divBdr>
        </w:div>
        <w:div w:id="591864510">
          <w:marLeft w:val="0"/>
          <w:marRight w:val="0"/>
          <w:marTop w:val="0"/>
          <w:marBottom w:val="0"/>
          <w:divBdr>
            <w:top w:val="none" w:sz="0" w:space="0" w:color="auto"/>
            <w:left w:val="none" w:sz="0" w:space="0" w:color="auto"/>
            <w:bottom w:val="none" w:sz="0" w:space="0" w:color="auto"/>
            <w:right w:val="none" w:sz="0" w:space="0" w:color="auto"/>
          </w:divBdr>
        </w:div>
        <w:div w:id="2006086729">
          <w:marLeft w:val="0"/>
          <w:marRight w:val="0"/>
          <w:marTop w:val="0"/>
          <w:marBottom w:val="0"/>
          <w:divBdr>
            <w:top w:val="none" w:sz="0" w:space="0" w:color="auto"/>
            <w:left w:val="none" w:sz="0" w:space="0" w:color="auto"/>
            <w:bottom w:val="none" w:sz="0" w:space="0" w:color="auto"/>
            <w:right w:val="none" w:sz="0" w:space="0" w:color="auto"/>
          </w:divBdr>
        </w:div>
        <w:div w:id="1177767985">
          <w:marLeft w:val="0"/>
          <w:marRight w:val="0"/>
          <w:marTop w:val="0"/>
          <w:marBottom w:val="0"/>
          <w:divBdr>
            <w:top w:val="none" w:sz="0" w:space="0" w:color="auto"/>
            <w:left w:val="none" w:sz="0" w:space="0" w:color="auto"/>
            <w:bottom w:val="none" w:sz="0" w:space="0" w:color="auto"/>
            <w:right w:val="none" w:sz="0" w:space="0" w:color="auto"/>
          </w:divBdr>
        </w:div>
        <w:div w:id="443614711">
          <w:marLeft w:val="0"/>
          <w:marRight w:val="0"/>
          <w:marTop w:val="0"/>
          <w:marBottom w:val="0"/>
          <w:divBdr>
            <w:top w:val="none" w:sz="0" w:space="0" w:color="auto"/>
            <w:left w:val="none" w:sz="0" w:space="0" w:color="auto"/>
            <w:bottom w:val="none" w:sz="0" w:space="0" w:color="auto"/>
            <w:right w:val="none" w:sz="0" w:space="0" w:color="auto"/>
          </w:divBdr>
        </w:div>
        <w:div w:id="1398091534">
          <w:marLeft w:val="0"/>
          <w:marRight w:val="0"/>
          <w:marTop w:val="0"/>
          <w:marBottom w:val="0"/>
          <w:divBdr>
            <w:top w:val="none" w:sz="0" w:space="0" w:color="auto"/>
            <w:left w:val="none" w:sz="0" w:space="0" w:color="auto"/>
            <w:bottom w:val="none" w:sz="0" w:space="0" w:color="auto"/>
            <w:right w:val="none" w:sz="0" w:space="0" w:color="auto"/>
          </w:divBdr>
        </w:div>
        <w:div w:id="1191257006">
          <w:marLeft w:val="0"/>
          <w:marRight w:val="0"/>
          <w:marTop w:val="0"/>
          <w:marBottom w:val="0"/>
          <w:divBdr>
            <w:top w:val="none" w:sz="0" w:space="0" w:color="auto"/>
            <w:left w:val="none" w:sz="0" w:space="0" w:color="auto"/>
            <w:bottom w:val="none" w:sz="0" w:space="0" w:color="auto"/>
            <w:right w:val="none" w:sz="0" w:space="0" w:color="auto"/>
          </w:divBdr>
        </w:div>
        <w:div w:id="1779254348">
          <w:marLeft w:val="0"/>
          <w:marRight w:val="0"/>
          <w:marTop w:val="0"/>
          <w:marBottom w:val="0"/>
          <w:divBdr>
            <w:top w:val="none" w:sz="0" w:space="0" w:color="auto"/>
            <w:left w:val="none" w:sz="0" w:space="0" w:color="auto"/>
            <w:bottom w:val="none" w:sz="0" w:space="0" w:color="auto"/>
            <w:right w:val="none" w:sz="0" w:space="0" w:color="auto"/>
          </w:divBdr>
        </w:div>
        <w:div w:id="724108301">
          <w:marLeft w:val="0"/>
          <w:marRight w:val="0"/>
          <w:marTop w:val="0"/>
          <w:marBottom w:val="0"/>
          <w:divBdr>
            <w:top w:val="none" w:sz="0" w:space="0" w:color="auto"/>
            <w:left w:val="none" w:sz="0" w:space="0" w:color="auto"/>
            <w:bottom w:val="none" w:sz="0" w:space="0" w:color="auto"/>
            <w:right w:val="none" w:sz="0" w:space="0" w:color="auto"/>
          </w:divBdr>
        </w:div>
        <w:div w:id="1681349521">
          <w:marLeft w:val="0"/>
          <w:marRight w:val="0"/>
          <w:marTop w:val="0"/>
          <w:marBottom w:val="0"/>
          <w:divBdr>
            <w:top w:val="none" w:sz="0" w:space="0" w:color="auto"/>
            <w:left w:val="none" w:sz="0" w:space="0" w:color="auto"/>
            <w:bottom w:val="none" w:sz="0" w:space="0" w:color="auto"/>
            <w:right w:val="none" w:sz="0" w:space="0" w:color="auto"/>
          </w:divBdr>
        </w:div>
        <w:div w:id="1851218400">
          <w:marLeft w:val="0"/>
          <w:marRight w:val="0"/>
          <w:marTop w:val="0"/>
          <w:marBottom w:val="0"/>
          <w:divBdr>
            <w:top w:val="none" w:sz="0" w:space="0" w:color="auto"/>
            <w:left w:val="none" w:sz="0" w:space="0" w:color="auto"/>
            <w:bottom w:val="none" w:sz="0" w:space="0" w:color="auto"/>
            <w:right w:val="none" w:sz="0" w:space="0" w:color="auto"/>
          </w:divBdr>
        </w:div>
        <w:div w:id="4090788">
          <w:marLeft w:val="0"/>
          <w:marRight w:val="0"/>
          <w:marTop w:val="0"/>
          <w:marBottom w:val="0"/>
          <w:divBdr>
            <w:top w:val="none" w:sz="0" w:space="0" w:color="auto"/>
            <w:left w:val="none" w:sz="0" w:space="0" w:color="auto"/>
            <w:bottom w:val="none" w:sz="0" w:space="0" w:color="auto"/>
            <w:right w:val="none" w:sz="0" w:space="0" w:color="auto"/>
          </w:divBdr>
        </w:div>
        <w:div w:id="754088930">
          <w:marLeft w:val="0"/>
          <w:marRight w:val="0"/>
          <w:marTop w:val="0"/>
          <w:marBottom w:val="0"/>
          <w:divBdr>
            <w:top w:val="none" w:sz="0" w:space="0" w:color="auto"/>
            <w:left w:val="none" w:sz="0" w:space="0" w:color="auto"/>
            <w:bottom w:val="none" w:sz="0" w:space="0" w:color="auto"/>
            <w:right w:val="none" w:sz="0" w:space="0" w:color="auto"/>
          </w:divBdr>
        </w:div>
        <w:div w:id="759763309">
          <w:marLeft w:val="0"/>
          <w:marRight w:val="0"/>
          <w:marTop w:val="0"/>
          <w:marBottom w:val="0"/>
          <w:divBdr>
            <w:top w:val="none" w:sz="0" w:space="0" w:color="auto"/>
            <w:left w:val="none" w:sz="0" w:space="0" w:color="auto"/>
            <w:bottom w:val="none" w:sz="0" w:space="0" w:color="auto"/>
            <w:right w:val="none" w:sz="0" w:space="0" w:color="auto"/>
          </w:divBdr>
        </w:div>
        <w:div w:id="505094037">
          <w:marLeft w:val="0"/>
          <w:marRight w:val="0"/>
          <w:marTop w:val="0"/>
          <w:marBottom w:val="0"/>
          <w:divBdr>
            <w:top w:val="none" w:sz="0" w:space="0" w:color="auto"/>
            <w:left w:val="none" w:sz="0" w:space="0" w:color="auto"/>
            <w:bottom w:val="none" w:sz="0" w:space="0" w:color="auto"/>
            <w:right w:val="none" w:sz="0" w:space="0" w:color="auto"/>
          </w:divBdr>
        </w:div>
        <w:div w:id="812260706">
          <w:marLeft w:val="0"/>
          <w:marRight w:val="0"/>
          <w:marTop w:val="0"/>
          <w:marBottom w:val="0"/>
          <w:divBdr>
            <w:top w:val="none" w:sz="0" w:space="0" w:color="auto"/>
            <w:left w:val="none" w:sz="0" w:space="0" w:color="auto"/>
            <w:bottom w:val="none" w:sz="0" w:space="0" w:color="auto"/>
            <w:right w:val="none" w:sz="0" w:space="0" w:color="auto"/>
          </w:divBdr>
        </w:div>
        <w:div w:id="1072701680">
          <w:marLeft w:val="0"/>
          <w:marRight w:val="0"/>
          <w:marTop w:val="0"/>
          <w:marBottom w:val="0"/>
          <w:divBdr>
            <w:top w:val="none" w:sz="0" w:space="0" w:color="auto"/>
            <w:left w:val="none" w:sz="0" w:space="0" w:color="auto"/>
            <w:bottom w:val="none" w:sz="0" w:space="0" w:color="auto"/>
            <w:right w:val="none" w:sz="0" w:space="0" w:color="auto"/>
          </w:divBdr>
        </w:div>
        <w:div w:id="437528758">
          <w:marLeft w:val="0"/>
          <w:marRight w:val="0"/>
          <w:marTop w:val="0"/>
          <w:marBottom w:val="0"/>
          <w:divBdr>
            <w:top w:val="none" w:sz="0" w:space="0" w:color="auto"/>
            <w:left w:val="none" w:sz="0" w:space="0" w:color="auto"/>
            <w:bottom w:val="none" w:sz="0" w:space="0" w:color="auto"/>
            <w:right w:val="none" w:sz="0" w:space="0" w:color="auto"/>
          </w:divBdr>
        </w:div>
        <w:div w:id="1758860821">
          <w:marLeft w:val="0"/>
          <w:marRight w:val="0"/>
          <w:marTop w:val="0"/>
          <w:marBottom w:val="0"/>
          <w:divBdr>
            <w:top w:val="none" w:sz="0" w:space="0" w:color="auto"/>
            <w:left w:val="none" w:sz="0" w:space="0" w:color="auto"/>
            <w:bottom w:val="none" w:sz="0" w:space="0" w:color="auto"/>
            <w:right w:val="none" w:sz="0" w:space="0" w:color="auto"/>
          </w:divBdr>
        </w:div>
        <w:div w:id="1019237333">
          <w:marLeft w:val="0"/>
          <w:marRight w:val="0"/>
          <w:marTop w:val="0"/>
          <w:marBottom w:val="0"/>
          <w:divBdr>
            <w:top w:val="none" w:sz="0" w:space="0" w:color="auto"/>
            <w:left w:val="none" w:sz="0" w:space="0" w:color="auto"/>
            <w:bottom w:val="none" w:sz="0" w:space="0" w:color="auto"/>
            <w:right w:val="none" w:sz="0" w:space="0" w:color="auto"/>
          </w:divBdr>
        </w:div>
        <w:div w:id="1002509758">
          <w:marLeft w:val="0"/>
          <w:marRight w:val="0"/>
          <w:marTop w:val="0"/>
          <w:marBottom w:val="0"/>
          <w:divBdr>
            <w:top w:val="none" w:sz="0" w:space="0" w:color="auto"/>
            <w:left w:val="none" w:sz="0" w:space="0" w:color="auto"/>
            <w:bottom w:val="none" w:sz="0" w:space="0" w:color="auto"/>
            <w:right w:val="none" w:sz="0" w:space="0" w:color="auto"/>
          </w:divBdr>
        </w:div>
        <w:div w:id="628054362">
          <w:marLeft w:val="0"/>
          <w:marRight w:val="0"/>
          <w:marTop w:val="0"/>
          <w:marBottom w:val="0"/>
          <w:divBdr>
            <w:top w:val="none" w:sz="0" w:space="0" w:color="auto"/>
            <w:left w:val="none" w:sz="0" w:space="0" w:color="auto"/>
            <w:bottom w:val="none" w:sz="0" w:space="0" w:color="auto"/>
            <w:right w:val="none" w:sz="0" w:space="0" w:color="auto"/>
          </w:divBdr>
        </w:div>
        <w:div w:id="1785467387">
          <w:marLeft w:val="0"/>
          <w:marRight w:val="0"/>
          <w:marTop w:val="0"/>
          <w:marBottom w:val="0"/>
          <w:divBdr>
            <w:top w:val="none" w:sz="0" w:space="0" w:color="auto"/>
            <w:left w:val="none" w:sz="0" w:space="0" w:color="auto"/>
            <w:bottom w:val="none" w:sz="0" w:space="0" w:color="auto"/>
            <w:right w:val="none" w:sz="0" w:space="0" w:color="auto"/>
          </w:divBdr>
        </w:div>
        <w:div w:id="1421295908">
          <w:marLeft w:val="0"/>
          <w:marRight w:val="0"/>
          <w:marTop w:val="0"/>
          <w:marBottom w:val="0"/>
          <w:divBdr>
            <w:top w:val="none" w:sz="0" w:space="0" w:color="auto"/>
            <w:left w:val="none" w:sz="0" w:space="0" w:color="auto"/>
            <w:bottom w:val="none" w:sz="0" w:space="0" w:color="auto"/>
            <w:right w:val="none" w:sz="0" w:space="0" w:color="auto"/>
          </w:divBdr>
        </w:div>
        <w:div w:id="688290329">
          <w:marLeft w:val="0"/>
          <w:marRight w:val="0"/>
          <w:marTop w:val="0"/>
          <w:marBottom w:val="0"/>
          <w:divBdr>
            <w:top w:val="none" w:sz="0" w:space="0" w:color="auto"/>
            <w:left w:val="none" w:sz="0" w:space="0" w:color="auto"/>
            <w:bottom w:val="none" w:sz="0" w:space="0" w:color="auto"/>
            <w:right w:val="none" w:sz="0" w:space="0" w:color="auto"/>
          </w:divBdr>
        </w:div>
        <w:div w:id="1183319994">
          <w:marLeft w:val="0"/>
          <w:marRight w:val="0"/>
          <w:marTop w:val="0"/>
          <w:marBottom w:val="0"/>
          <w:divBdr>
            <w:top w:val="none" w:sz="0" w:space="0" w:color="auto"/>
            <w:left w:val="none" w:sz="0" w:space="0" w:color="auto"/>
            <w:bottom w:val="none" w:sz="0" w:space="0" w:color="auto"/>
            <w:right w:val="none" w:sz="0" w:space="0" w:color="auto"/>
          </w:divBdr>
        </w:div>
        <w:div w:id="1852181249">
          <w:marLeft w:val="0"/>
          <w:marRight w:val="0"/>
          <w:marTop w:val="0"/>
          <w:marBottom w:val="0"/>
          <w:divBdr>
            <w:top w:val="none" w:sz="0" w:space="0" w:color="auto"/>
            <w:left w:val="none" w:sz="0" w:space="0" w:color="auto"/>
            <w:bottom w:val="none" w:sz="0" w:space="0" w:color="auto"/>
            <w:right w:val="none" w:sz="0" w:space="0" w:color="auto"/>
          </w:divBdr>
        </w:div>
        <w:div w:id="810439060">
          <w:marLeft w:val="0"/>
          <w:marRight w:val="0"/>
          <w:marTop w:val="0"/>
          <w:marBottom w:val="0"/>
          <w:divBdr>
            <w:top w:val="none" w:sz="0" w:space="0" w:color="auto"/>
            <w:left w:val="none" w:sz="0" w:space="0" w:color="auto"/>
            <w:bottom w:val="none" w:sz="0" w:space="0" w:color="auto"/>
            <w:right w:val="none" w:sz="0" w:space="0" w:color="auto"/>
          </w:divBdr>
        </w:div>
        <w:div w:id="1140418502">
          <w:marLeft w:val="0"/>
          <w:marRight w:val="0"/>
          <w:marTop w:val="0"/>
          <w:marBottom w:val="0"/>
          <w:divBdr>
            <w:top w:val="none" w:sz="0" w:space="0" w:color="auto"/>
            <w:left w:val="none" w:sz="0" w:space="0" w:color="auto"/>
            <w:bottom w:val="none" w:sz="0" w:space="0" w:color="auto"/>
            <w:right w:val="none" w:sz="0" w:space="0" w:color="auto"/>
          </w:divBdr>
        </w:div>
        <w:div w:id="1114712713">
          <w:marLeft w:val="0"/>
          <w:marRight w:val="0"/>
          <w:marTop w:val="0"/>
          <w:marBottom w:val="0"/>
          <w:divBdr>
            <w:top w:val="none" w:sz="0" w:space="0" w:color="auto"/>
            <w:left w:val="none" w:sz="0" w:space="0" w:color="auto"/>
            <w:bottom w:val="none" w:sz="0" w:space="0" w:color="auto"/>
            <w:right w:val="none" w:sz="0" w:space="0" w:color="auto"/>
          </w:divBdr>
        </w:div>
        <w:div w:id="1555963424">
          <w:marLeft w:val="0"/>
          <w:marRight w:val="0"/>
          <w:marTop w:val="0"/>
          <w:marBottom w:val="0"/>
          <w:divBdr>
            <w:top w:val="none" w:sz="0" w:space="0" w:color="auto"/>
            <w:left w:val="none" w:sz="0" w:space="0" w:color="auto"/>
            <w:bottom w:val="none" w:sz="0" w:space="0" w:color="auto"/>
            <w:right w:val="none" w:sz="0" w:space="0" w:color="auto"/>
          </w:divBdr>
        </w:div>
        <w:div w:id="1041321067">
          <w:marLeft w:val="0"/>
          <w:marRight w:val="0"/>
          <w:marTop w:val="0"/>
          <w:marBottom w:val="0"/>
          <w:divBdr>
            <w:top w:val="none" w:sz="0" w:space="0" w:color="auto"/>
            <w:left w:val="none" w:sz="0" w:space="0" w:color="auto"/>
            <w:bottom w:val="none" w:sz="0" w:space="0" w:color="auto"/>
            <w:right w:val="none" w:sz="0" w:space="0" w:color="auto"/>
          </w:divBdr>
        </w:div>
        <w:div w:id="1189559816">
          <w:marLeft w:val="0"/>
          <w:marRight w:val="0"/>
          <w:marTop w:val="0"/>
          <w:marBottom w:val="0"/>
          <w:divBdr>
            <w:top w:val="none" w:sz="0" w:space="0" w:color="auto"/>
            <w:left w:val="none" w:sz="0" w:space="0" w:color="auto"/>
            <w:bottom w:val="none" w:sz="0" w:space="0" w:color="auto"/>
            <w:right w:val="none" w:sz="0" w:space="0" w:color="auto"/>
          </w:divBdr>
        </w:div>
        <w:div w:id="1229416442">
          <w:marLeft w:val="0"/>
          <w:marRight w:val="0"/>
          <w:marTop w:val="0"/>
          <w:marBottom w:val="0"/>
          <w:divBdr>
            <w:top w:val="none" w:sz="0" w:space="0" w:color="auto"/>
            <w:left w:val="none" w:sz="0" w:space="0" w:color="auto"/>
            <w:bottom w:val="none" w:sz="0" w:space="0" w:color="auto"/>
            <w:right w:val="none" w:sz="0" w:space="0" w:color="auto"/>
          </w:divBdr>
        </w:div>
        <w:div w:id="17245434">
          <w:marLeft w:val="0"/>
          <w:marRight w:val="0"/>
          <w:marTop w:val="0"/>
          <w:marBottom w:val="0"/>
          <w:divBdr>
            <w:top w:val="none" w:sz="0" w:space="0" w:color="auto"/>
            <w:left w:val="none" w:sz="0" w:space="0" w:color="auto"/>
            <w:bottom w:val="none" w:sz="0" w:space="0" w:color="auto"/>
            <w:right w:val="none" w:sz="0" w:space="0" w:color="auto"/>
          </w:divBdr>
        </w:div>
        <w:div w:id="440338407">
          <w:marLeft w:val="0"/>
          <w:marRight w:val="0"/>
          <w:marTop w:val="0"/>
          <w:marBottom w:val="0"/>
          <w:divBdr>
            <w:top w:val="none" w:sz="0" w:space="0" w:color="auto"/>
            <w:left w:val="none" w:sz="0" w:space="0" w:color="auto"/>
            <w:bottom w:val="none" w:sz="0" w:space="0" w:color="auto"/>
            <w:right w:val="none" w:sz="0" w:space="0" w:color="auto"/>
          </w:divBdr>
        </w:div>
        <w:div w:id="832379327">
          <w:marLeft w:val="0"/>
          <w:marRight w:val="0"/>
          <w:marTop w:val="0"/>
          <w:marBottom w:val="0"/>
          <w:divBdr>
            <w:top w:val="none" w:sz="0" w:space="0" w:color="auto"/>
            <w:left w:val="none" w:sz="0" w:space="0" w:color="auto"/>
            <w:bottom w:val="none" w:sz="0" w:space="0" w:color="auto"/>
            <w:right w:val="none" w:sz="0" w:space="0" w:color="auto"/>
          </w:divBdr>
        </w:div>
        <w:div w:id="1144784086">
          <w:marLeft w:val="0"/>
          <w:marRight w:val="0"/>
          <w:marTop w:val="0"/>
          <w:marBottom w:val="0"/>
          <w:divBdr>
            <w:top w:val="none" w:sz="0" w:space="0" w:color="auto"/>
            <w:left w:val="none" w:sz="0" w:space="0" w:color="auto"/>
            <w:bottom w:val="none" w:sz="0" w:space="0" w:color="auto"/>
            <w:right w:val="none" w:sz="0" w:space="0" w:color="auto"/>
          </w:divBdr>
        </w:div>
        <w:div w:id="2093313786">
          <w:marLeft w:val="0"/>
          <w:marRight w:val="0"/>
          <w:marTop w:val="0"/>
          <w:marBottom w:val="0"/>
          <w:divBdr>
            <w:top w:val="none" w:sz="0" w:space="0" w:color="auto"/>
            <w:left w:val="none" w:sz="0" w:space="0" w:color="auto"/>
            <w:bottom w:val="none" w:sz="0" w:space="0" w:color="auto"/>
            <w:right w:val="none" w:sz="0" w:space="0" w:color="auto"/>
          </w:divBdr>
        </w:div>
        <w:div w:id="377317255">
          <w:marLeft w:val="0"/>
          <w:marRight w:val="0"/>
          <w:marTop w:val="0"/>
          <w:marBottom w:val="0"/>
          <w:divBdr>
            <w:top w:val="none" w:sz="0" w:space="0" w:color="auto"/>
            <w:left w:val="none" w:sz="0" w:space="0" w:color="auto"/>
            <w:bottom w:val="none" w:sz="0" w:space="0" w:color="auto"/>
            <w:right w:val="none" w:sz="0" w:space="0" w:color="auto"/>
          </w:divBdr>
        </w:div>
        <w:div w:id="1304967956">
          <w:marLeft w:val="0"/>
          <w:marRight w:val="0"/>
          <w:marTop w:val="0"/>
          <w:marBottom w:val="0"/>
          <w:divBdr>
            <w:top w:val="none" w:sz="0" w:space="0" w:color="auto"/>
            <w:left w:val="none" w:sz="0" w:space="0" w:color="auto"/>
            <w:bottom w:val="none" w:sz="0" w:space="0" w:color="auto"/>
            <w:right w:val="none" w:sz="0" w:space="0" w:color="auto"/>
          </w:divBdr>
        </w:div>
        <w:div w:id="71893362">
          <w:marLeft w:val="0"/>
          <w:marRight w:val="0"/>
          <w:marTop w:val="0"/>
          <w:marBottom w:val="0"/>
          <w:divBdr>
            <w:top w:val="none" w:sz="0" w:space="0" w:color="auto"/>
            <w:left w:val="none" w:sz="0" w:space="0" w:color="auto"/>
            <w:bottom w:val="none" w:sz="0" w:space="0" w:color="auto"/>
            <w:right w:val="none" w:sz="0" w:space="0" w:color="auto"/>
          </w:divBdr>
        </w:div>
        <w:div w:id="55670211">
          <w:marLeft w:val="0"/>
          <w:marRight w:val="0"/>
          <w:marTop w:val="0"/>
          <w:marBottom w:val="0"/>
          <w:divBdr>
            <w:top w:val="none" w:sz="0" w:space="0" w:color="auto"/>
            <w:left w:val="none" w:sz="0" w:space="0" w:color="auto"/>
            <w:bottom w:val="none" w:sz="0" w:space="0" w:color="auto"/>
            <w:right w:val="none" w:sz="0" w:space="0" w:color="auto"/>
          </w:divBdr>
        </w:div>
        <w:div w:id="1534341883">
          <w:marLeft w:val="0"/>
          <w:marRight w:val="0"/>
          <w:marTop w:val="0"/>
          <w:marBottom w:val="0"/>
          <w:divBdr>
            <w:top w:val="none" w:sz="0" w:space="0" w:color="auto"/>
            <w:left w:val="none" w:sz="0" w:space="0" w:color="auto"/>
            <w:bottom w:val="none" w:sz="0" w:space="0" w:color="auto"/>
            <w:right w:val="none" w:sz="0" w:space="0" w:color="auto"/>
          </w:divBdr>
        </w:div>
        <w:div w:id="1676179715">
          <w:marLeft w:val="0"/>
          <w:marRight w:val="0"/>
          <w:marTop w:val="0"/>
          <w:marBottom w:val="0"/>
          <w:divBdr>
            <w:top w:val="none" w:sz="0" w:space="0" w:color="auto"/>
            <w:left w:val="none" w:sz="0" w:space="0" w:color="auto"/>
            <w:bottom w:val="none" w:sz="0" w:space="0" w:color="auto"/>
            <w:right w:val="none" w:sz="0" w:space="0" w:color="auto"/>
          </w:divBdr>
        </w:div>
        <w:div w:id="343287977">
          <w:marLeft w:val="0"/>
          <w:marRight w:val="0"/>
          <w:marTop w:val="0"/>
          <w:marBottom w:val="0"/>
          <w:divBdr>
            <w:top w:val="none" w:sz="0" w:space="0" w:color="auto"/>
            <w:left w:val="none" w:sz="0" w:space="0" w:color="auto"/>
            <w:bottom w:val="none" w:sz="0" w:space="0" w:color="auto"/>
            <w:right w:val="none" w:sz="0" w:space="0" w:color="auto"/>
          </w:divBdr>
        </w:div>
        <w:div w:id="2129658154">
          <w:marLeft w:val="0"/>
          <w:marRight w:val="0"/>
          <w:marTop w:val="0"/>
          <w:marBottom w:val="0"/>
          <w:divBdr>
            <w:top w:val="none" w:sz="0" w:space="0" w:color="auto"/>
            <w:left w:val="none" w:sz="0" w:space="0" w:color="auto"/>
            <w:bottom w:val="none" w:sz="0" w:space="0" w:color="auto"/>
            <w:right w:val="none" w:sz="0" w:space="0" w:color="auto"/>
          </w:divBdr>
        </w:div>
        <w:div w:id="538976580">
          <w:marLeft w:val="0"/>
          <w:marRight w:val="0"/>
          <w:marTop w:val="0"/>
          <w:marBottom w:val="0"/>
          <w:divBdr>
            <w:top w:val="none" w:sz="0" w:space="0" w:color="auto"/>
            <w:left w:val="none" w:sz="0" w:space="0" w:color="auto"/>
            <w:bottom w:val="none" w:sz="0" w:space="0" w:color="auto"/>
            <w:right w:val="none" w:sz="0" w:space="0" w:color="auto"/>
          </w:divBdr>
        </w:div>
        <w:div w:id="1031613719">
          <w:marLeft w:val="0"/>
          <w:marRight w:val="0"/>
          <w:marTop w:val="0"/>
          <w:marBottom w:val="0"/>
          <w:divBdr>
            <w:top w:val="none" w:sz="0" w:space="0" w:color="auto"/>
            <w:left w:val="none" w:sz="0" w:space="0" w:color="auto"/>
            <w:bottom w:val="none" w:sz="0" w:space="0" w:color="auto"/>
            <w:right w:val="none" w:sz="0" w:space="0" w:color="auto"/>
          </w:divBdr>
        </w:div>
        <w:div w:id="1488285400">
          <w:marLeft w:val="0"/>
          <w:marRight w:val="0"/>
          <w:marTop w:val="0"/>
          <w:marBottom w:val="0"/>
          <w:divBdr>
            <w:top w:val="none" w:sz="0" w:space="0" w:color="auto"/>
            <w:left w:val="none" w:sz="0" w:space="0" w:color="auto"/>
            <w:bottom w:val="none" w:sz="0" w:space="0" w:color="auto"/>
            <w:right w:val="none" w:sz="0" w:space="0" w:color="auto"/>
          </w:divBdr>
        </w:div>
      </w:divsChild>
    </w:div>
    <w:div w:id="1940062997">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5940840">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2977794">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14918621">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0518875">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8576114">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13" /><Relationship Type="http://schemas.openxmlformats.org/officeDocument/2006/relationships/hyperlink" Target="mailto:bulletin@sebi.gov.in" TargetMode="External" Id="rId18" /><Relationship Type="http://schemas.openxmlformats.org/officeDocument/2006/relationships/chart" Target="charts/chart8.xml" Id="rId26" /><Relationship Type="http://schemas.openxmlformats.org/officeDocument/2006/relationships/image" Target="media/image4.png" Id="rId39" /><Relationship Type="http://schemas.openxmlformats.org/officeDocument/2006/relationships/chart" Target="charts/chart3.xml" Id="rId21" /><Relationship Type="http://schemas.openxmlformats.org/officeDocument/2006/relationships/chart" Target="charts/chart16.xml" Id="rId34" /><Relationship Type="http://schemas.openxmlformats.org/officeDocument/2006/relationships/header" Target="header1.xml" Id="rId42" /><Relationship Type="http://schemas.openxmlformats.org/officeDocument/2006/relationships/hyperlink" Target="https://innovation-sandbox.in/" TargetMode="External" Id="rId47" /><Relationship Type="http://schemas.openxmlformats.org/officeDocument/2006/relationships/footer" Target="footer3.xml" Id="rId50" /><Relationship Type="http://schemas.openxmlformats.org/officeDocument/2006/relationships/customXml" Target="../customXml/item7.xml" Id="rId7" /><Relationship Type="http://schemas.openxmlformats.org/officeDocument/2006/relationships/customXml" Target="../customXml/item2.xml" Id="rId2" /><Relationship Type="http://schemas.openxmlformats.org/officeDocument/2006/relationships/endnotes" Target="endnotes.xml" Id="rId16" /><Relationship Type="http://schemas.openxmlformats.org/officeDocument/2006/relationships/chart" Target="charts/chart11.xml" Id="rId29" /><Relationship Type="http://schemas.openxmlformats.org/officeDocument/2006/relationships/numbering" Target="numbering.xml" Id="rId11" /><Relationship Type="http://schemas.openxmlformats.org/officeDocument/2006/relationships/chart" Target="charts/chart6.xml" Id="rId24" /><Relationship Type="http://schemas.openxmlformats.org/officeDocument/2006/relationships/chart" Target="charts/chart14.xml" Id="rId32" /><Relationship Type="http://schemas.openxmlformats.org/officeDocument/2006/relationships/image" Target="media/image2.png" Id="rId37" /><Relationship Type="http://schemas.openxmlformats.org/officeDocument/2006/relationships/image" Target="media/image5.png" Id="rId40" /><Relationship Type="http://schemas.openxmlformats.org/officeDocument/2006/relationships/footer" Target="footer2.xml" Id="rId45" /><Relationship Type="http://schemas.openxmlformats.org/officeDocument/2006/relationships/theme" Target="theme/theme1.xml" Id="rId53" /><Relationship Type="http://schemas.openxmlformats.org/officeDocument/2006/relationships/customXml" Target="../customXml/item5.xml" Id="rId5" /><Relationship Type="http://schemas.openxmlformats.org/officeDocument/2006/relationships/customXml" Target="../customXml/item10.xml" Id="rId10" /><Relationship Type="http://schemas.openxmlformats.org/officeDocument/2006/relationships/chart" Target="charts/chart1.xml" Id="rId19" /><Relationship Type="http://schemas.openxmlformats.org/officeDocument/2006/relationships/chart" Target="charts/chart13.xml" Id="rId31" /><Relationship Type="http://schemas.openxmlformats.org/officeDocument/2006/relationships/footer" Target="footer1.xm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customXml" Target="../customXml/item9.xml" Id="rId9" /><Relationship Type="http://schemas.openxmlformats.org/officeDocument/2006/relationships/webSettings" Target="webSettings.xml" Id="rId14" /><Relationship Type="http://schemas.openxmlformats.org/officeDocument/2006/relationships/chart" Target="charts/chart4.xml" Id="rId22" /><Relationship Type="http://schemas.openxmlformats.org/officeDocument/2006/relationships/chart" Target="charts/chart9.xml" Id="rId27" /><Relationship Type="http://schemas.openxmlformats.org/officeDocument/2006/relationships/chart" Target="charts/chart12.xml" Id="rId30" /><Relationship Type="http://schemas.openxmlformats.org/officeDocument/2006/relationships/chart" Target="charts/chart17.xml" Id="rId35" /><Relationship Type="http://schemas.openxmlformats.org/officeDocument/2006/relationships/header" Target="header2.xml" Id="rId43" /><Relationship Type="http://schemas.openxmlformats.org/officeDocument/2006/relationships/header" Target="header3.xml" Id="rId48" /><Relationship Type="http://schemas.openxmlformats.org/officeDocument/2006/relationships/customXml" Target="../customXml/item8.xml" Id="rId8" /><Relationship Type="http://schemas.openxmlformats.org/officeDocument/2006/relationships/footer" Target="footer4.xml" Id="rId51" /><Relationship Type="http://schemas.openxmlformats.org/officeDocument/2006/relationships/customXml" Target="../customXml/item3.xml" Id="rId3" /><Relationship Type="http://schemas.openxmlformats.org/officeDocument/2006/relationships/styles" Target="styles.xml" Id="rId12" /><Relationship Type="http://schemas.openxmlformats.org/officeDocument/2006/relationships/hyperlink" Target="http://www.sebi.gov.in" TargetMode="External" Id="rId17" /><Relationship Type="http://schemas.openxmlformats.org/officeDocument/2006/relationships/chart" Target="charts/chart7.xml" Id="rId25" /><Relationship Type="http://schemas.openxmlformats.org/officeDocument/2006/relationships/chart" Target="charts/chart15.xml" Id="rId33" /><Relationship Type="http://schemas.openxmlformats.org/officeDocument/2006/relationships/image" Target="media/image3.png" Id="rId38" /><Relationship Type="http://schemas.openxmlformats.org/officeDocument/2006/relationships/hyperlink" Target="https://www.iosco.org/news/pdf/IOSCONEWS593.pdf" TargetMode="External" Id="rId46" /><Relationship Type="http://schemas.openxmlformats.org/officeDocument/2006/relationships/chart" Target="charts/chart2.xml" Id="rId20" /><Relationship Type="http://schemas.openxmlformats.org/officeDocument/2006/relationships/image" Target="media/image6.png" Id="rId41"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5" /><Relationship Type="http://schemas.openxmlformats.org/officeDocument/2006/relationships/chart" Target="charts/chart5.xml" Id="rId23" /><Relationship Type="http://schemas.openxmlformats.org/officeDocument/2006/relationships/chart" Target="charts/chart10.xml" Id="rId28" /><Relationship Type="http://schemas.openxmlformats.org/officeDocument/2006/relationships/image" Target="media/image1.png" Id="rId36" /><Relationship Type="http://schemas.openxmlformats.org/officeDocument/2006/relationships/header" Target="header4.xml" Id="rId49" /><Relationship Type="http://schemas.openxmlformats.org/officeDocument/2006/relationships/customXml" Target="/customXML/itemb.xml" Id="Rbd637b56" /><Relationship Type="http://schemas.openxmlformats.org/officeDocument/2006/relationships/customXml" Target="/customXML/itemc.xml" Id="Re8ada987" /><Relationship Type="http://schemas.openxmlformats.org/officeDocument/2006/relationships/customXml" Target="/customXML/itemd.xml" Id="Ree06d36a" /><Relationship Type="http://schemas.openxmlformats.org/officeDocument/2006/relationships/customXml" Target="/customXML/iteme.xml" Id="R165ff243" /><Relationship Type="http://schemas.openxmlformats.org/officeDocument/2006/relationships/customXml" Target="/customXML/itemf.xml" Id="Rd261d2d7" /><Relationship Type="http://schemas.openxmlformats.org/officeDocument/2006/relationships/customXml" Target="/customXML/item11.xml" Id="R42752e58" /></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F:\C%20DRIVE%20DATA%20BACKUP%2013-11-2019\Documents\Work_HO_DEPA\2020-21\Bulletin\March%202021\CMR%20Feb%20202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F:\C%20DRIVE%20DATA%20BACKUP%2013-11-2019\Documents\Work_HO_DEPA\2020-21\Bulletin\March%202021\CMR%20Feb%202021..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F:\C%20DRIVE%20DATA%20BACKUP%2013-11-2019\Documents\Work_HO_DEPA\2020-21\Bulletin\March%202021\CMR%20Feb%202021..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F:\C%20DRIVE%20DATA%20BACKUP%2013-11-2019\Documents\Work_HO_DEPA\2020-21\Bulletin\March%202021\CMR%20March%202021.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F:\C%20DRIVE%20DATA%20BACKUP%2013-11-2019\Documents\Work_HO_DEPA\2020-21\Bulletin\March%202021\CMR%20March%202021.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xlsx"/></Relationships>
</file>

<file path=word/charts/_rels/chart7.xml.rels><?xml version="1.0" encoding="UTF-8" standalone="yes"?>
<Relationships xmlns="http://schemas.openxmlformats.org/package/2006/relationships"><Relationship Id="rId2" Type="http://schemas.openxmlformats.org/officeDocument/2006/relationships/oleObject" Target="file:///F:\C%20DRIVE%20DATA%20BACKUP%2013-11-2019\Documents\Work_HO_DEPA\2020-21\Bulletin\March%202021\CMR%20Feb%202021..xlsx" TargetMode="External"/><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1.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2.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F:\C%20DRIVE%20DATA%20BACKUP%2013-11-2019\Documents\Work_HO_DEPA\2020-21\Bulletin\March%202021\CMR%20Feb%202021..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3.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4.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5.xlsx"/></Relationships>
</file>

<file path=word/charts/_rels/chart14.xml.rels><?xml version="1.0" encoding="UTF-8" standalone="yes"?>
<Relationships xmlns="http://schemas.openxmlformats.org/package/2006/relationships"><Relationship Id="rId3" Type="http://schemas.openxmlformats.org/officeDocument/2006/relationships/oleObject" Target="file:///C:\Users\2201\Desktop\Month-wise%20Bulletin\Bulletin%20Jan.%202021%20to%20Dec.%202021\Feb.%202021\Graphs%20%20data%20for%20bulletin%20Feb.%20%202021.xlsx" TargetMode="External"/><Relationship Id="rId2" Type="http://schemas.microsoft.com/office/2011/relationships/chartColorStyle" Target="colors13.xml"/><Relationship Id="rId1" Type="http://schemas.microsoft.com/office/2011/relationships/chartStyle" Target="style13.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21%20to%20Dec.%202021\Feb.%202021\Graphs%20%20data%20for%20bulletin%20Feb.%20%202021.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2201\Desktop\Month-wise%20Bulletin\Bulletin%20Jan.%202021%20to%20Dec.%202021\Feb.%202021\Graphs%20%20data%20for%20bulletin%20Feb.%20%202021.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2201\Desktop\Month-wise%20Bulletin\Bulletin%20Jan.%202021%20to%20Dec.%202021\Feb.%202021\Graphs%20%20data%20for%20bulletin%20Feb.%20%20202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2"/>
          <c:order val="0"/>
          <c:tx>
            <c:strRef>
              <c:f>'F1'!$D$1</c:f>
              <c:strCache>
                <c:ptCount val="1"/>
                <c:pt idx="0">
                  <c:v>Nifty </c:v>
                </c:pt>
              </c:strCache>
            </c:strRef>
          </c:tx>
          <c:spPr>
            <a:ln w="28575" cap="rnd">
              <a:solidFill>
                <a:srgbClr val="00B050"/>
              </a:solidFill>
              <a:round/>
            </a:ln>
            <a:effectLst/>
          </c:spPr>
          <c:marker>
            <c:symbol val="none"/>
          </c:marker>
          <c:cat>
            <c:numRef>
              <c:f>'F1'!$A$2:$A$22</c:f>
              <c:numCache>
                <c:formatCode>[$-409]d\-mmm\-yy;@</c:formatCode>
                <c:ptCount val="21"/>
                <c:pt idx="0" formatCode="[$-409]d\-mmm\-yy">
                  <c:v>44225</c:v>
                </c:pt>
                <c:pt idx="1">
                  <c:v>44228</c:v>
                </c:pt>
                <c:pt idx="2">
                  <c:v>44229</c:v>
                </c:pt>
                <c:pt idx="3">
                  <c:v>44230</c:v>
                </c:pt>
                <c:pt idx="4">
                  <c:v>44231</c:v>
                </c:pt>
                <c:pt idx="5">
                  <c:v>44232</c:v>
                </c:pt>
                <c:pt idx="6">
                  <c:v>44235</c:v>
                </c:pt>
                <c:pt idx="7">
                  <c:v>44236</c:v>
                </c:pt>
                <c:pt idx="8">
                  <c:v>44237</c:v>
                </c:pt>
                <c:pt idx="9">
                  <c:v>44238</c:v>
                </c:pt>
                <c:pt idx="10">
                  <c:v>44239</c:v>
                </c:pt>
                <c:pt idx="11">
                  <c:v>44242</c:v>
                </c:pt>
                <c:pt idx="12">
                  <c:v>44243</c:v>
                </c:pt>
                <c:pt idx="13">
                  <c:v>44244</c:v>
                </c:pt>
                <c:pt idx="14">
                  <c:v>44245</c:v>
                </c:pt>
                <c:pt idx="15">
                  <c:v>44246</c:v>
                </c:pt>
                <c:pt idx="16">
                  <c:v>44249</c:v>
                </c:pt>
                <c:pt idx="17">
                  <c:v>44250</c:v>
                </c:pt>
                <c:pt idx="18">
                  <c:v>44251</c:v>
                </c:pt>
                <c:pt idx="19">
                  <c:v>44252</c:v>
                </c:pt>
                <c:pt idx="20">
                  <c:v>44253</c:v>
                </c:pt>
              </c:numCache>
            </c:numRef>
          </c:cat>
          <c:val>
            <c:numRef>
              <c:f>'F1'!$D$2:$D$22</c:f>
              <c:numCache>
                <c:formatCode>0.0</c:formatCode>
                <c:ptCount val="21"/>
                <c:pt idx="0">
                  <c:v>100</c:v>
                </c:pt>
                <c:pt idx="1">
                  <c:v>104.74234667683689</c:v>
                </c:pt>
                <c:pt idx="2">
                  <c:v>107.43146113564023</c:v>
                </c:pt>
                <c:pt idx="3">
                  <c:v>108.47366259369547</c:v>
                </c:pt>
                <c:pt idx="4">
                  <c:v>109.24889619057397</c:v>
                </c:pt>
                <c:pt idx="5">
                  <c:v>109.45865665292712</c:v>
                </c:pt>
                <c:pt idx="6">
                  <c:v>110.86353835096006</c:v>
                </c:pt>
                <c:pt idx="7">
                  <c:v>110.81586551860707</c:v>
                </c:pt>
                <c:pt idx="8">
                  <c:v>110.79532952928578</c:v>
                </c:pt>
                <c:pt idx="9">
                  <c:v>111.28525956023643</c:v>
                </c:pt>
                <c:pt idx="10">
                  <c:v>111.21191674123183</c:v>
                </c:pt>
                <c:pt idx="11">
                  <c:v>112.32232702096135</c:v>
                </c:pt>
                <c:pt idx="12">
                  <c:v>112.31315916858577</c:v>
                </c:pt>
                <c:pt idx="13">
                  <c:v>111.54635999589276</c:v>
                </c:pt>
                <c:pt idx="14">
                  <c:v>110.88664133894646</c:v>
                </c:pt>
                <c:pt idx="15">
                  <c:v>109.88037786220346</c:v>
                </c:pt>
                <c:pt idx="16">
                  <c:v>107.63572088656795</c:v>
                </c:pt>
                <c:pt idx="17">
                  <c:v>107.87115133557268</c:v>
                </c:pt>
                <c:pt idx="18">
                  <c:v>109.88221143267859</c:v>
                </c:pt>
                <c:pt idx="19">
                  <c:v>110.72822084989656</c:v>
                </c:pt>
                <c:pt idx="20">
                  <c:v>106.56088187405568</c:v>
                </c:pt>
              </c:numCache>
            </c:numRef>
          </c:val>
          <c:smooth val="0"/>
          <c:extLst>
            <c:ext xmlns:c16="http://schemas.microsoft.com/office/drawing/2014/chart" uri="{C3380CC4-5D6E-409C-BE32-E72D297353CC}">
              <c16:uniqueId val="{00000000-F38D-4592-9385-C7F2E7812BD5}"/>
            </c:ext>
          </c:extLst>
        </c:ser>
        <c:ser>
          <c:idx val="3"/>
          <c:order val="1"/>
          <c:tx>
            <c:strRef>
              <c:f>'F1'!$E$1</c:f>
              <c:strCache>
                <c:ptCount val="1"/>
                <c:pt idx="0">
                  <c:v>Sensex </c:v>
                </c:pt>
              </c:strCache>
            </c:strRef>
          </c:tx>
          <c:spPr>
            <a:ln w="28575" cap="rnd">
              <a:solidFill>
                <a:srgbClr val="FF0000"/>
              </a:solidFill>
              <a:round/>
            </a:ln>
            <a:effectLst/>
          </c:spPr>
          <c:marker>
            <c:symbol val="none"/>
          </c:marker>
          <c:cat>
            <c:numRef>
              <c:f>'F1'!$A$2:$A$22</c:f>
              <c:numCache>
                <c:formatCode>[$-409]d\-mmm\-yy;@</c:formatCode>
                <c:ptCount val="21"/>
                <c:pt idx="0" formatCode="[$-409]d\-mmm\-yy">
                  <c:v>44225</c:v>
                </c:pt>
                <c:pt idx="1">
                  <c:v>44228</c:v>
                </c:pt>
                <c:pt idx="2">
                  <c:v>44229</c:v>
                </c:pt>
                <c:pt idx="3">
                  <c:v>44230</c:v>
                </c:pt>
                <c:pt idx="4">
                  <c:v>44231</c:v>
                </c:pt>
                <c:pt idx="5">
                  <c:v>44232</c:v>
                </c:pt>
                <c:pt idx="6">
                  <c:v>44235</c:v>
                </c:pt>
                <c:pt idx="7">
                  <c:v>44236</c:v>
                </c:pt>
                <c:pt idx="8">
                  <c:v>44237</c:v>
                </c:pt>
                <c:pt idx="9">
                  <c:v>44238</c:v>
                </c:pt>
                <c:pt idx="10">
                  <c:v>44239</c:v>
                </c:pt>
                <c:pt idx="11">
                  <c:v>44242</c:v>
                </c:pt>
                <c:pt idx="12">
                  <c:v>44243</c:v>
                </c:pt>
                <c:pt idx="13">
                  <c:v>44244</c:v>
                </c:pt>
                <c:pt idx="14">
                  <c:v>44245</c:v>
                </c:pt>
                <c:pt idx="15">
                  <c:v>44246</c:v>
                </c:pt>
                <c:pt idx="16">
                  <c:v>44249</c:v>
                </c:pt>
                <c:pt idx="17">
                  <c:v>44250</c:v>
                </c:pt>
                <c:pt idx="18">
                  <c:v>44251</c:v>
                </c:pt>
                <c:pt idx="19">
                  <c:v>44252</c:v>
                </c:pt>
                <c:pt idx="20">
                  <c:v>44253</c:v>
                </c:pt>
              </c:numCache>
            </c:numRef>
          </c:cat>
          <c:val>
            <c:numRef>
              <c:f>'F1'!$E$2:$E$22</c:f>
              <c:numCache>
                <c:formatCode>0.0</c:formatCode>
                <c:ptCount val="21"/>
                <c:pt idx="0" formatCode="0">
                  <c:v>100</c:v>
                </c:pt>
                <c:pt idx="1">
                  <c:v>105.00119151091145</c:v>
                </c:pt>
                <c:pt idx="2">
                  <c:v>107.5875371631497</c:v>
                </c:pt>
                <c:pt idx="3">
                  <c:v>108.5771069596552</c:v>
                </c:pt>
                <c:pt idx="4">
                  <c:v>109.35172948402932</c:v>
                </c:pt>
                <c:pt idx="5">
                  <c:v>109.60524152455494</c:v>
                </c:pt>
                <c:pt idx="6">
                  <c:v>110.93856708011987</c:v>
                </c:pt>
                <c:pt idx="7">
                  <c:v>110.89602700786872</c:v>
                </c:pt>
                <c:pt idx="8">
                  <c:v>110.85348693561757</c:v>
                </c:pt>
                <c:pt idx="9">
                  <c:v>111.33339685177539</c:v>
                </c:pt>
                <c:pt idx="10">
                  <c:v>111.36100792965097</c:v>
                </c:pt>
                <c:pt idx="11">
                  <c:v>112.67854029434966</c:v>
                </c:pt>
                <c:pt idx="12">
                  <c:v>112.57060215267028</c:v>
                </c:pt>
                <c:pt idx="13">
                  <c:v>111.70567109502556</c:v>
                </c:pt>
                <c:pt idx="14">
                  <c:v>110.88654245138412</c:v>
                </c:pt>
                <c:pt idx="15">
                  <c:v>109.94688000221238</c:v>
                </c:pt>
                <c:pt idx="16">
                  <c:v>107.47216693165095</c:v>
                </c:pt>
                <c:pt idx="17">
                  <c:v>107.48748481444733</c:v>
                </c:pt>
                <c:pt idx="18">
                  <c:v>109.71339571535704</c:v>
                </c:pt>
                <c:pt idx="19">
                  <c:v>110.26998146514578</c:v>
                </c:pt>
                <c:pt idx="20">
                  <c:v>106.08009761963559</c:v>
                </c:pt>
              </c:numCache>
            </c:numRef>
          </c:val>
          <c:smooth val="0"/>
          <c:extLst>
            <c:ext xmlns:c16="http://schemas.microsoft.com/office/drawing/2014/chart" uri="{C3380CC4-5D6E-409C-BE32-E72D297353CC}">
              <c16:uniqueId val="{00000001-F38D-4592-9385-C7F2E7812BD5}"/>
            </c:ext>
          </c:extLst>
        </c:ser>
        <c:dLbls>
          <c:showLegendKey val="0"/>
          <c:showVal val="0"/>
          <c:showCatName val="0"/>
          <c:showSerName val="0"/>
          <c:showPercent val="0"/>
          <c:showBubbleSize val="0"/>
        </c:dLbls>
        <c:smooth val="0"/>
        <c:axId val="1671506863"/>
        <c:axId val="1671507695"/>
      </c:lineChart>
      <c:dateAx>
        <c:axId val="1671506863"/>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7695"/>
        <c:crosses val="autoZero"/>
        <c:auto val="1"/>
        <c:lblOffset val="100"/>
        <c:baseTimeUnit val="days"/>
      </c:dateAx>
      <c:valAx>
        <c:axId val="1671507695"/>
        <c:scaling>
          <c:orientation val="minMax"/>
          <c:min val="10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6863"/>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0"/>
          <c:tx>
            <c:strRef>
              <c:f>'F2&amp;F3'!$D$3</c:f>
              <c:strCache>
                <c:ptCount val="1"/>
                <c:pt idx="0">
                  <c:v>ADT at NSE (LHS)</c:v>
                </c:pt>
              </c:strCache>
            </c:strRef>
          </c:tx>
          <c:spPr>
            <a:solidFill>
              <a:srgbClr val="00B050"/>
            </a:solidFill>
            <a:ln>
              <a:noFill/>
            </a:ln>
            <a:effectLst/>
          </c:spPr>
          <c:invertIfNegative val="0"/>
          <c:cat>
            <c:numRef>
              <c:f>'F2&amp;F3'!$A$4:$A$15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'F2&amp;F3'!$D$4:$D$15</c:f>
              <c:numCache>
                <c:formatCode>#,##0</c:formatCode>
                <c:ptCount val="12"/>
                <c:pt idx="0">
                  <c:v>47916.596666666665</c:v>
                </c:pt>
                <c:pt idx="1">
                  <c:v>50322.35</c:v>
                </c:pt>
                <c:pt idx="2">
                  <c:v>52655.6</c:v>
                </c:pt>
                <c:pt idx="3">
                  <c:v>61394.58</c:v>
                </c:pt>
                <c:pt idx="4" formatCode="[&gt;=10000000]#\,##\,##\,##0;[&gt;=100000]#\,##\,##0;##,##0">
                  <c:v>58631.347159999998</c:v>
                </c:pt>
                <c:pt idx="5" formatCode="[&gt;=10000000]#\,##\,##\,##0;[&gt;=100000]#\,##\,##0;##,##0">
                  <c:v>61074.12</c:v>
                </c:pt>
                <c:pt idx="6" formatCode="[&gt;=10000000]#\,##\,##\,##0;[&gt;=100000]#\,##\,##0;##,##0">
                  <c:v>55605.851524328958</c:v>
                </c:pt>
                <c:pt idx="7" formatCode="[&gt;=10000000]#\,##\,##\,##0;[&gt;=100000]#\,##\,##0;##,##0">
                  <c:v>52327.798311617102</c:v>
                </c:pt>
                <c:pt idx="8" formatCode="[&gt;=10000000]#\,##\,##\,##0;[&gt;=100000]#\,##\,##0;##,##0">
                  <c:v>66863.595756470837</c:v>
                </c:pt>
                <c:pt idx="9" formatCode="[&gt;=10000000]#\,##\,##\,##0;[&gt;=100000]#\,##\,##0;##,##0">
                  <c:v>62479.615040464567</c:v>
                </c:pt>
                <c:pt idx="10" formatCode="[&gt;=10000000]#\,##\,##\,##0;[&gt;=100000]#\,##\,##0;##,##0">
                  <c:v>72472.244728850172</c:v>
                </c:pt>
                <c:pt idx="11" formatCode="#,##0;\-#,##0;0">
                  <c:v>81373.180989999993</c:v>
                </c:pt>
              </c:numCache>
            </c:numRef>
          </c:val>
          <c:extLst>
            <c:ext xmlns:c16="http://schemas.microsoft.com/office/drawing/2014/chart" uri="{C3380CC4-5D6E-409C-BE32-E72D297353CC}">
              <c16:uniqueId val="{00000000-7E88-447B-9451-9B8501FEAB38}"/>
            </c:ext>
          </c:extLst>
        </c:ser>
        <c:dLbls>
          <c:showLegendKey val="0"/>
          <c:showVal val="0"/>
          <c:showCatName val="0"/>
          <c:showSerName val="0"/>
          <c:showPercent val="0"/>
          <c:showBubbleSize val="0"/>
        </c:dLbls>
        <c:gapWidth val="219"/>
        <c:overlap val="-27"/>
        <c:axId val="44891935"/>
        <c:axId val="44890271"/>
      </c:barChart>
      <c:lineChart>
        <c:grouping val="standard"/>
        <c:varyColors val="0"/>
        <c:ser>
          <c:idx val="3"/>
          <c:order val="1"/>
          <c:tx>
            <c:strRef>
              <c:f>'F2&amp;F3'!$E$3</c:f>
              <c:strCache>
                <c:ptCount val="1"/>
                <c:pt idx="0">
                  <c:v>ADV of Nifty 50 (RHS)</c:v>
                </c:pt>
              </c:strCache>
            </c:strRef>
          </c:tx>
          <c:spPr>
            <a:ln w="28575" cap="rnd">
              <a:solidFill>
                <a:srgbClr val="FF0000"/>
              </a:solidFill>
              <a:round/>
            </a:ln>
            <a:effectLst/>
          </c:spPr>
          <c:marker>
            <c:symbol val="none"/>
          </c:marker>
          <c:cat>
            <c:numRef>
              <c:f>'F2&amp;F3'!$A$4:$A$15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'F2&amp;F3'!$E$4:$E$15</c:f>
              <c:numCache>
                <c:formatCode>#,##0</c:formatCode>
                <c:ptCount val="12"/>
                <c:pt idx="0">
                  <c:v>9426.3119047619057</c:v>
                </c:pt>
                <c:pt idx="1">
                  <c:v>9063.58</c:v>
                </c:pt>
                <c:pt idx="2">
                  <c:v>9192.01</c:v>
                </c:pt>
                <c:pt idx="3">
                  <c:v>10116.450000000001</c:v>
                </c:pt>
                <c:pt idx="4">
                  <c:v>10897.695652173914</c:v>
                </c:pt>
                <c:pt idx="5" formatCode="[&gt;=10000000]#\,##\,##\,##0;[&gt;=100000]#\,##\,##0;##,##0">
                  <c:v>11318.57</c:v>
                </c:pt>
                <c:pt idx="6" formatCode="[&gt;=10000000]#\,##\,##\,##0;[&gt;=100000]#\,##\,##0;##,##0">
                  <c:v>11336.702272727271</c:v>
                </c:pt>
                <c:pt idx="7" formatCode="[&gt;=10000000]#\,##\,##\,##0;[&gt;=100000]#\,##\,##0;##,##0">
                  <c:v>11789.709523809524</c:v>
                </c:pt>
                <c:pt idx="8" formatCode="[&gt;=10000000]#\,##\,##\,##0;[&gt;=100000]#\,##\,##0;##,##0">
                  <c:v>12602.3225</c:v>
                </c:pt>
                <c:pt idx="9" formatCode="[&gt;=10000000]#\,##\,##\,##0;[&gt;=100000]#\,##\,##0;##,##0">
                  <c:v>13550.44090909091</c:v>
                </c:pt>
                <c:pt idx="10" formatCode="[&gt;=10000000]#\,##\,##\,##0;[&gt;=100000]#\,##\,##0;##,##0">
                  <c:v>14284.602499999999</c:v>
                </c:pt>
                <c:pt idx="11" formatCode="[&gt;=10000000]#\,##\,##\,##0;[&gt;=100000]#\,##\,##0;##,##0">
                  <c:v>14956.842499999999</c:v>
                </c:pt>
              </c:numCache>
            </c:numRef>
          </c:val>
          <c:smooth val="0"/>
          <c:extLst>
            <c:ext xmlns:c16="http://schemas.microsoft.com/office/drawing/2014/chart" uri="{C3380CC4-5D6E-409C-BE32-E72D297353CC}">
              <c16:uniqueId val="{00000001-7E88-447B-9451-9B8501FEAB38}"/>
            </c:ext>
          </c:extLst>
        </c:ser>
        <c:dLbls>
          <c:showLegendKey val="0"/>
          <c:showVal val="0"/>
          <c:showCatName val="0"/>
          <c:showSerName val="0"/>
          <c:showPercent val="0"/>
          <c:showBubbleSize val="0"/>
        </c:dLbls>
        <c:marker val="1"/>
        <c:smooth val="0"/>
        <c:axId val="1671505615"/>
        <c:axId val="1671508527"/>
      </c:lineChart>
      <c:dateAx>
        <c:axId val="4489193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0271"/>
        <c:crosses val="autoZero"/>
        <c:auto val="1"/>
        <c:lblOffset val="100"/>
        <c:baseTimeUnit val="months"/>
      </c:dateAx>
      <c:valAx>
        <c:axId val="44890271"/>
        <c:scaling>
          <c:orientation val="minMax"/>
          <c:min val="35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44891935"/>
        <c:crosses val="autoZero"/>
        <c:crossBetween val="between"/>
        <c:majorUnit val="5000.01"/>
      </c:valAx>
      <c:valAx>
        <c:axId val="1671508527"/>
        <c:scaling>
          <c:orientation val="minMax"/>
          <c:min val="8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671505615"/>
        <c:crosses val="max"/>
        <c:crossBetween val="between"/>
      </c:valAx>
      <c:dateAx>
        <c:axId val="1671505615"/>
        <c:scaling>
          <c:orientation val="minMax"/>
        </c:scaling>
        <c:delete val="1"/>
        <c:axPos val="b"/>
        <c:numFmt formatCode="[$-409]mmm\-yy" sourceLinked="1"/>
        <c:majorTickMark val="out"/>
        <c:minorTickMark val="none"/>
        <c:tickLblPos val="nextTo"/>
        <c:crossAx val="167150852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'F2&amp;F3'!$B$3</c:f>
              <c:strCache>
                <c:ptCount val="1"/>
                <c:pt idx="0">
                  <c:v>ADT at BSE (LHS)</c:v>
                </c:pt>
              </c:strCache>
            </c:strRef>
          </c:tx>
          <c:spPr>
            <a:solidFill>
              <a:srgbClr val="00B050"/>
            </a:solidFill>
            <a:ln>
              <a:noFill/>
            </a:ln>
            <a:effectLst/>
          </c:spPr>
          <c:invertIfNegative val="0"/>
          <c:cat>
            <c:numRef>
              <c:f>'F2&amp;F3'!$A$4:$A$15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'F2&amp;F3'!$B$4:$B$15</c:f>
              <c:numCache>
                <c:formatCode>[&gt;=10000000]#\,##\,##\,##0;[&gt;=100000]#\,##\,##0;##,##0</c:formatCode>
                <c:ptCount val="12"/>
                <c:pt idx="0">
                  <c:v>3903.431428571429</c:v>
                </c:pt>
                <c:pt idx="1">
                  <c:v>2470.91</c:v>
                </c:pt>
                <c:pt idx="2">
                  <c:v>3422.05</c:v>
                </c:pt>
                <c:pt idx="3">
                  <c:v>5008.76</c:v>
                </c:pt>
                <c:pt idx="4">
                  <c:v>3482.2930434782606</c:v>
                </c:pt>
                <c:pt idx="5">
                  <c:v>4432.38</c:v>
                </c:pt>
                <c:pt idx="6">
                  <c:v>3182.9668181818183</c:v>
                </c:pt>
                <c:pt idx="7">
                  <c:v>2755.5385714285712</c:v>
                </c:pt>
                <c:pt idx="8">
                  <c:v>3533.7944999999991</c:v>
                </c:pt>
                <c:pt idx="9">
                  <c:v>4518.8545454545456</c:v>
                </c:pt>
                <c:pt idx="10">
                  <c:v>5203.16</c:v>
                </c:pt>
                <c:pt idx="11" formatCode="#,##0;\-#,##0;0">
                  <c:v>7247.7254999999996</c:v>
                </c:pt>
              </c:numCache>
            </c:numRef>
          </c:val>
          <c:extLst>
            <c:ext xmlns:c16="http://schemas.microsoft.com/office/drawing/2014/chart" uri="{C3380CC4-5D6E-409C-BE32-E72D297353CC}">
              <c16:uniqueId val="{00000000-70BE-45FE-ADA8-A85340372949}"/>
            </c:ext>
          </c:extLst>
        </c:ser>
        <c:dLbls>
          <c:showLegendKey val="0"/>
          <c:showVal val="0"/>
          <c:showCatName val="0"/>
          <c:showSerName val="0"/>
          <c:showPercent val="0"/>
          <c:showBubbleSize val="0"/>
        </c:dLbls>
        <c:gapWidth val="219"/>
        <c:overlap val="-27"/>
        <c:axId val="39372047"/>
        <c:axId val="39374959"/>
      </c:barChart>
      <c:lineChart>
        <c:grouping val="standard"/>
        <c:varyColors val="0"/>
        <c:ser>
          <c:idx val="1"/>
          <c:order val="1"/>
          <c:tx>
            <c:strRef>
              <c:f>'F2&amp;F3'!$C$3</c:f>
              <c:strCache>
                <c:ptCount val="1"/>
                <c:pt idx="0">
                  <c:v>ADV of Sensex (RHS)</c:v>
                </c:pt>
              </c:strCache>
            </c:strRef>
          </c:tx>
          <c:spPr>
            <a:ln w="28575" cap="rnd">
              <a:solidFill>
                <a:srgbClr val="FF0000"/>
              </a:solidFill>
              <a:round/>
            </a:ln>
            <a:effectLst/>
          </c:spPr>
          <c:marker>
            <c:symbol val="none"/>
          </c:marker>
          <c:cat>
            <c:numRef>
              <c:f>'F2&amp;F3'!$A$4:$A$15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'F2&amp;F3'!$C$4:$C$15</c:f>
              <c:numCache>
                <c:formatCode>[&gt;=10000000]#\,##\,##\,##0;[&gt;=100000]#\,##\,##0;##,##0</c:formatCode>
                <c:ptCount val="12"/>
                <c:pt idx="0">
                  <c:v>32254.451428571429</c:v>
                </c:pt>
                <c:pt idx="1">
                  <c:v>30966</c:v>
                </c:pt>
                <c:pt idx="2">
                  <c:v>31294</c:v>
                </c:pt>
                <c:pt idx="3">
                  <c:v>34263</c:v>
                </c:pt>
                <c:pt idx="4" formatCode="0">
                  <c:v>37030.641739130428</c:v>
                </c:pt>
                <c:pt idx="5">
                  <c:v>38347</c:v>
                </c:pt>
                <c:pt idx="6">
                  <c:v>38378.977272727272</c:v>
                </c:pt>
                <c:pt idx="7">
                  <c:v>40115.386666666658</c:v>
                </c:pt>
                <c:pt idx="8">
                  <c:v>43011.3845</c:v>
                </c:pt>
                <c:pt idx="9">
                  <c:v>46211.837272727265</c:v>
                </c:pt>
                <c:pt idx="10">
                  <c:v>48580.33</c:v>
                </c:pt>
                <c:pt idx="11" formatCode="#,##0;\-#,##0;0">
                  <c:v>50782.818000000007</c:v>
                </c:pt>
              </c:numCache>
            </c:numRef>
          </c:val>
          <c:smooth val="0"/>
          <c:extLst>
            <c:ext xmlns:c16="http://schemas.microsoft.com/office/drawing/2014/chart" uri="{C3380CC4-5D6E-409C-BE32-E72D297353CC}">
              <c16:uniqueId val="{00000001-70BE-45FE-ADA8-A85340372949}"/>
            </c:ext>
          </c:extLst>
        </c:ser>
        <c:dLbls>
          <c:showLegendKey val="0"/>
          <c:showVal val="0"/>
          <c:showCatName val="0"/>
          <c:showSerName val="0"/>
          <c:showPercent val="0"/>
          <c:showBubbleSize val="0"/>
        </c:dLbls>
        <c:marker val="1"/>
        <c:smooth val="0"/>
        <c:axId val="38448239"/>
        <c:axId val="38443247"/>
      </c:lineChart>
      <c:dateAx>
        <c:axId val="39372047"/>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4959"/>
        <c:crosses val="autoZero"/>
        <c:auto val="1"/>
        <c:lblOffset val="100"/>
        <c:baseTimeUnit val="months"/>
      </c:dateAx>
      <c:valAx>
        <c:axId val="39374959"/>
        <c:scaling>
          <c:orientation val="minMax"/>
          <c:min val="2000"/>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9372047"/>
        <c:crosses val="autoZero"/>
        <c:crossBetween val="between"/>
      </c:valAx>
      <c:valAx>
        <c:axId val="38443247"/>
        <c:scaling>
          <c:orientation val="minMax"/>
          <c:min val="30000"/>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448239"/>
        <c:crosses val="max"/>
        <c:crossBetween val="between"/>
        <c:majorUnit val="5000"/>
      </c:valAx>
      <c:dateAx>
        <c:axId val="38448239"/>
        <c:scaling>
          <c:orientation val="minMax"/>
        </c:scaling>
        <c:delete val="1"/>
        <c:axPos val="b"/>
        <c:numFmt formatCode="[$-409]mmm\-yy" sourceLinked="1"/>
        <c:majorTickMark val="out"/>
        <c:minorTickMark val="none"/>
        <c:tickLblPos val="nextTo"/>
        <c:crossAx val="38443247"/>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'!$E$4</c:f>
              <c:strCache>
                <c:ptCount val="1"/>
                <c:pt idx="0">
                  <c:v>Return (LHS)</c:v>
                </c:pt>
              </c:strCache>
            </c:strRef>
          </c:tx>
          <c:spPr>
            <a:solidFill>
              <a:srgbClr val="00B050"/>
            </a:solidFill>
            <a:ln>
              <a:noFill/>
            </a:ln>
            <a:effectLst/>
          </c:spPr>
          <c:invertIfNegative val="0"/>
          <c:cat>
            <c:strRef>
              <c:f>'F4&amp;5 '!$D$5:$D$14</c:f>
              <c:strCache>
                <c:ptCount val="10"/>
                <c:pt idx="0">
                  <c:v>BSEMET</c:v>
                </c:pt>
                <c:pt idx="1">
                  <c:v>BSEPSU</c:v>
                </c:pt>
                <c:pt idx="2">
                  <c:v>BSEPOWER</c:v>
                </c:pt>
                <c:pt idx="3">
                  <c:v>BSEREAL</c:v>
                </c:pt>
                <c:pt idx="4">
                  <c:v>BSEOIL</c:v>
                </c:pt>
                <c:pt idx="5">
                  <c:v>BSEBANK</c:v>
                </c:pt>
                <c:pt idx="6">
                  <c:v>BSECG</c:v>
                </c:pt>
                <c:pt idx="7">
                  <c:v>BSECD</c:v>
                </c:pt>
                <c:pt idx="8">
                  <c:v>BSEAUTO</c:v>
                </c:pt>
                <c:pt idx="9">
                  <c:v>BSETECK</c:v>
                </c:pt>
              </c:strCache>
            </c:strRef>
          </c:cat>
          <c:val>
            <c:numRef>
              <c:f>'F4&amp;5 '!$E$5:$E$14</c:f>
              <c:numCache>
                <c:formatCode>0.0</c:formatCode>
                <c:ptCount val="10"/>
                <c:pt idx="0">
                  <c:v>24.367788583570828</c:v>
                </c:pt>
                <c:pt idx="1">
                  <c:v>22.491398431632813</c:v>
                </c:pt>
                <c:pt idx="2">
                  <c:v>20.657970219240251</c:v>
                </c:pt>
                <c:pt idx="3">
                  <c:v>15.23369664092089</c:v>
                </c:pt>
                <c:pt idx="4">
                  <c:v>12.535784152597973</c:v>
                </c:pt>
                <c:pt idx="5">
                  <c:v>12.459138129350711</c:v>
                </c:pt>
                <c:pt idx="6">
                  <c:v>10.458264828275809</c:v>
                </c:pt>
                <c:pt idx="7">
                  <c:v>5.5124736660773888</c:v>
                </c:pt>
                <c:pt idx="8">
                  <c:v>3.6604363130539275</c:v>
                </c:pt>
                <c:pt idx="9">
                  <c:v>-1.3016476641689256</c:v>
                </c:pt>
              </c:numCache>
            </c:numRef>
          </c:val>
          <c:extLst>
            <c:ext xmlns:c16="http://schemas.microsoft.com/office/drawing/2014/chart" uri="{C3380CC4-5D6E-409C-BE32-E72D297353CC}">
              <c16:uniqueId val="{00000000-5C93-4738-8042-B36717214C5C}"/>
            </c:ext>
          </c:extLst>
        </c:ser>
        <c:dLbls>
          <c:showLegendKey val="0"/>
          <c:showVal val="0"/>
          <c:showCatName val="0"/>
          <c:showSerName val="0"/>
          <c:showPercent val="0"/>
          <c:showBubbleSize val="0"/>
        </c:dLbls>
        <c:gapWidth val="219"/>
        <c:overlap val="-27"/>
        <c:axId val="389602944"/>
        <c:axId val="389590464"/>
      </c:barChart>
      <c:lineChart>
        <c:grouping val="standard"/>
        <c:varyColors val="0"/>
        <c:ser>
          <c:idx val="1"/>
          <c:order val="1"/>
          <c:tx>
            <c:strRef>
              <c:f>'F4&amp;5 '!$F$4</c:f>
              <c:strCache>
                <c:ptCount val="1"/>
                <c:pt idx="0">
                  <c:v>Volatility (RHS)</c:v>
                </c:pt>
              </c:strCache>
            </c:strRef>
          </c:tx>
          <c:spPr>
            <a:ln w="28575" cap="rnd">
              <a:solidFill>
                <a:srgbClr val="FF0000"/>
              </a:solidFill>
              <a:round/>
            </a:ln>
            <a:effectLst/>
          </c:spPr>
          <c:marker>
            <c:symbol val="none"/>
          </c:marker>
          <c:cat>
            <c:strRef>
              <c:f>'F4&amp;5 '!$D$5:$D$14</c:f>
              <c:strCache>
                <c:ptCount val="10"/>
                <c:pt idx="0">
                  <c:v>BSEMET</c:v>
                </c:pt>
                <c:pt idx="1">
                  <c:v>BSEPSU</c:v>
                </c:pt>
                <c:pt idx="2">
                  <c:v>BSEPOWER</c:v>
                </c:pt>
                <c:pt idx="3">
                  <c:v>BSEREAL</c:v>
                </c:pt>
                <c:pt idx="4">
                  <c:v>BSEOIL</c:v>
                </c:pt>
                <c:pt idx="5">
                  <c:v>BSEBANK</c:v>
                </c:pt>
                <c:pt idx="6">
                  <c:v>BSECG</c:v>
                </c:pt>
                <c:pt idx="7">
                  <c:v>BSECD</c:v>
                </c:pt>
                <c:pt idx="8">
                  <c:v>BSEAUTO</c:v>
                </c:pt>
                <c:pt idx="9">
                  <c:v>BSETECK</c:v>
                </c:pt>
              </c:strCache>
            </c:strRef>
          </c:cat>
          <c:val>
            <c:numRef>
              <c:f>'F4&amp;5 '!$F$5:$F$14</c:f>
              <c:numCache>
                <c:formatCode>0.0</c:formatCode>
                <c:ptCount val="10"/>
                <c:pt idx="0">
                  <c:v>2.0271568388261962</c:v>
                </c:pt>
                <c:pt idx="1">
                  <c:v>2.0347765100699347</c:v>
                </c:pt>
                <c:pt idx="2">
                  <c:v>1.4975299678690361</c:v>
                </c:pt>
                <c:pt idx="3">
                  <c:v>2.0808117573495593</c:v>
                </c:pt>
                <c:pt idx="4">
                  <c:v>1.8909865876675547</c:v>
                </c:pt>
                <c:pt idx="5">
                  <c:v>2.6499197940450734</c:v>
                </c:pt>
                <c:pt idx="6">
                  <c:v>1.9138572877099365</c:v>
                </c:pt>
                <c:pt idx="7">
                  <c:v>1.3110167763892795</c:v>
                </c:pt>
                <c:pt idx="8">
                  <c:v>1.9673411994094054</c:v>
                </c:pt>
                <c:pt idx="9">
                  <c:v>1.2187386151210795</c:v>
                </c:pt>
              </c:numCache>
            </c:numRef>
          </c:val>
          <c:smooth val="0"/>
          <c:extLst>
            <c:ext xmlns:c16="http://schemas.microsoft.com/office/drawing/2014/chart" uri="{C3380CC4-5D6E-409C-BE32-E72D297353CC}">
              <c16:uniqueId val="{00000001-5C93-4738-8042-B36717214C5C}"/>
            </c:ext>
          </c:extLst>
        </c:ser>
        <c:dLbls>
          <c:showLegendKey val="0"/>
          <c:showVal val="0"/>
          <c:showCatName val="0"/>
          <c:showSerName val="0"/>
          <c:showPercent val="0"/>
          <c:showBubbleSize val="0"/>
        </c:dLbls>
        <c:marker val="1"/>
        <c:smooth val="0"/>
        <c:axId val="378603104"/>
        <c:axId val="378630976"/>
      </c:lineChart>
      <c:catAx>
        <c:axId val="389602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0464"/>
        <c:crosses val="autoZero"/>
        <c:auto val="1"/>
        <c:lblAlgn val="ctr"/>
        <c:lblOffset val="100"/>
        <c:noMultiLvlLbl val="0"/>
      </c:catAx>
      <c:valAx>
        <c:axId val="389590464"/>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602944"/>
        <c:crosses val="autoZero"/>
        <c:crossBetween val="between"/>
      </c:valAx>
      <c:valAx>
        <c:axId val="378630976"/>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3104"/>
        <c:crosses val="max"/>
        <c:crossBetween val="between"/>
        <c:majorUnit val="0.5"/>
      </c:valAx>
      <c:catAx>
        <c:axId val="378603104"/>
        <c:scaling>
          <c:orientation val="minMax"/>
        </c:scaling>
        <c:delete val="1"/>
        <c:axPos val="b"/>
        <c:numFmt formatCode="General" sourceLinked="1"/>
        <c:majorTickMark val="out"/>
        <c:minorTickMark val="none"/>
        <c:tickLblPos val="nextTo"/>
        <c:crossAx val="378630976"/>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'F4&amp;5 '!$B$4</c:f>
              <c:strCache>
                <c:ptCount val="1"/>
                <c:pt idx="0">
                  <c:v>Return (LHS)</c:v>
                </c:pt>
              </c:strCache>
            </c:strRef>
          </c:tx>
          <c:spPr>
            <a:solidFill>
              <a:srgbClr val="00B050"/>
            </a:solidFill>
            <a:ln>
              <a:noFill/>
            </a:ln>
            <a:effectLst/>
          </c:spPr>
          <c:invertIfNegative val="0"/>
          <c:cat>
            <c:strRef>
              <c:f>'F4&amp;5 '!$A$5:$A$14</c:f>
              <c:strCache>
                <c:ptCount val="10"/>
                <c:pt idx="0">
                  <c:v>NIFTYPSU</c:v>
                </c:pt>
                <c:pt idx="1">
                  <c:v>NIFTYPSE</c:v>
                </c:pt>
                <c:pt idx="2">
                  <c:v>NIFTYENR</c:v>
                </c:pt>
                <c:pt idx="3">
                  <c:v>NIFTYREAL</c:v>
                </c:pt>
                <c:pt idx="4">
                  <c:v>NSEBANK</c:v>
                </c:pt>
                <c:pt idx="5">
                  <c:v>NIFTYINFR</c:v>
                </c:pt>
                <c:pt idx="6">
                  <c:v>NIFTYSER</c:v>
                </c:pt>
                <c:pt idx="7">
                  <c:v>NIFTYIT</c:v>
                </c:pt>
                <c:pt idx="8">
                  <c:v>NIPHARM</c:v>
                </c:pt>
                <c:pt idx="9">
                  <c:v>NIFTYFMCG</c:v>
                </c:pt>
              </c:strCache>
            </c:strRef>
          </c:cat>
          <c:val>
            <c:numRef>
              <c:f>'F4&amp;5 '!$B$5:$B$14</c:f>
              <c:numCache>
                <c:formatCode>0.0</c:formatCode>
                <c:ptCount val="10"/>
                <c:pt idx="0">
                  <c:v>31.878944902290463</c:v>
                </c:pt>
                <c:pt idx="1">
                  <c:v>17.704219401531994</c:v>
                </c:pt>
                <c:pt idx="2">
                  <c:v>16.301240160403974</c:v>
                </c:pt>
                <c:pt idx="3">
                  <c:v>14.444626206445289</c:v>
                </c:pt>
                <c:pt idx="4">
                  <c:v>13.86563282131814</c:v>
                </c:pt>
                <c:pt idx="5">
                  <c:v>11.942208968231283</c:v>
                </c:pt>
                <c:pt idx="6">
                  <c:v>6.9364568173475361</c:v>
                </c:pt>
                <c:pt idx="7">
                  <c:v>-1.3969954251747185</c:v>
                </c:pt>
                <c:pt idx="8">
                  <c:v>-1.9913313202276073</c:v>
                </c:pt>
                <c:pt idx="9">
                  <c:v>-2.0467346294879007</c:v>
                </c:pt>
              </c:numCache>
            </c:numRef>
          </c:val>
          <c:extLst>
            <c:ext xmlns:c16="http://schemas.microsoft.com/office/drawing/2014/chart" uri="{C3380CC4-5D6E-409C-BE32-E72D297353CC}">
              <c16:uniqueId val="{00000000-D4ED-4B61-B216-5A0CDEAA2479}"/>
            </c:ext>
          </c:extLst>
        </c:ser>
        <c:dLbls>
          <c:showLegendKey val="0"/>
          <c:showVal val="0"/>
          <c:showCatName val="0"/>
          <c:showSerName val="0"/>
          <c:showPercent val="0"/>
          <c:showBubbleSize val="0"/>
        </c:dLbls>
        <c:gapWidth val="219"/>
        <c:overlap val="-27"/>
        <c:axId val="378608096"/>
        <c:axId val="378611424"/>
      </c:barChart>
      <c:lineChart>
        <c:grouping val="standard"/>
        <c:varyColors val="0"/>
        <c:ser>
          <c:idx val="1"/>
          <c:order val="1"/>
          <c:tx>
            <c:strRef>
              <c:f>'F4&amp;5 '!$C$4</c:f>
              <c:strCache>
                <c:ptCount val="1"/>
                <c:pt idx="0">
                  <c:v>Volatility (RHS)</c:v>
                </c:pt>
              </c:strCache>
            </c:strRef>
          </c:tx>
          <c:spPr>
            <a:ln w="28575" cap="rnd">
              <a:solidFill>
                <a:srgbClr val="FF0000"/>
              </a:solidFill>
              <a:round/>
            </a:ln>
            <a:effectLst/>
          </c:spPr>
          <c:marker>
            <c:symbol val="none"/>
          </c:marker>
          <c:cat>
            <c:strRef>
              <c:f>'F4&amp;5 '!$A$5:$A$14</c:f>
              <c:strCache>
                <c:ptCount val="10"/>
                <c:pt idx="0">
                  <c:v>NIFTYPSU</c:v>
                </c:pt>
                <c:pt idx="1">
                  <c:v>NIFTYPSE</c:v>
                </c:pt>
                <c:pt idx="2">
                  <c:v>NIFTYENR</c:v>
                </c:pt>
                <c:pt idx="3">
                  <c:v>NIFTYREAL</c:v>
                </c:pt>
                <c:pt idx="4">
                  <c:v>NSEBANK</c:v>
                </c:pt>
                <c:pt idx="5">
                  <c:v>NIFTYINFR</c:v>
                </c:pt>
                <c:pt idx="6">
                  <c:v>NIFTYSER</c:v>
                </c:pt>
                <c:pt idx="7">
                  <c:v>NIFTYIT</c:v>
                </c:pt>
                <c:pt idx="8">
                  <c:v>NIPHARM</c:v>
                </c:pt>
                <c:pt idx="9">
                  <c:v>NIFTYFMCG</c:v>
                </c:pt>
              </c:strCache>
            </c:strRef>
          </c:cat>
          <c:val>
            <c:numRef>
              <c:f>'F4&amp;5 '!$C$5:$C$14</c:f>
              <c:numCache>
                <c:formatCode>0.0</c:formatCode>
                <c:ptCount val="10"/>
                <c:pt idx="0">
                  <c:v>3.3340494419629212</c:v>
                </c:pt>
                <c:pt idx="1">
                  <c:v>1.9869687667589322</c:v>
                </c:pt>
                <c:pt idx="2">
                  <c:v>1.5905885132643665</c:v>
                </c:pt>
                <c:pt idx="3">
                  <c:v>2.0221917696378577</c:v>
                </c:pt>
                <c:pt idx="4">
                  <c:v>2.6340318914930139</c:v>
                </c:pt>
                <c:pt idx="5">
                  <c:v>1.8108875020288173</c:v>
                </c:pt>
                <c:pt idx="6">
                  <c:v>1.9481653071948428</c:v>
                </c:pt>
                <c:pt idx="7">
                  <c:v>1.3302973162410141</c:v>
                </c:pt>
                <c:pt idx="8">
                  <c:v>1.3441453308937323</c:v>
                </c:pt>
                <c:pt idx="9">
                  <c:v>0.99047168473033365</c:v>
                </c:pt>
              </c:numCache>
            </c:numRef>
          </c:val>
          <c:smooth val="0"/>
          <c:extLst>
            <c:ext xmlns:c16="http://schemas.microsoft.com/office/drawing/2014/chart" uri="{C3380CC4-5D6E-409C-BE32-E72D297353CC}">
              <c16:uniqueId val="{00000001-D4ED-4B61-B216-5A0CDEAA2479}"/>
            </c:ext>
          </c:extLst>
        </c:ser>
        <c:dLbls>
          <c:showLegendKey val="0"/>
          <c:showVal val="0"/>
          <c:showCatName val="0"/>
          <c:showSerName val="0"/>
          <c:showPercent val="0"/>
          <c:showBubbleSize val="0"/>
        </c:dLbls>
        <c:marker val="1"/>
        <c:smooth val="0"/>
        <c:axId val="389597952"/>
        <c:axId val="389598784"/>
      </c:lineChart>
      <c:catAx>
        <c:axId val="37860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11424"/>
        <c:crosses val="autoZero"/>
        <c:auto val="1"/>
        <c:lblAlgn val="ctr"/>
        <c:lblOffset val="100"/>
        <c:noMultiLvlLbl val="0"/>
      </c:catAx>
      <c:valAx>
        <c:axId val="378611424"/>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78608096"/>
        <c:crosses val="autoZero"/>
        <c:crossBetween val="between"/>
      </c:valAx>
      <c:valAx>
        <c:axId val="389598784"/>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389597952"/>
        <c:crosses val="max"/>
        <c:crossBetween val="between"/>
      </c:valAx>
      <c:catAx>
        <c:axId val="389597952"/>
        <c:scaling>
          <c:orientation val="minMax"/>
        </c:scaling>
        <c:delete val="1"/>
        <c:axPos val="b"/>
        <c:numFmt formatCode="General" sourceLinked="1"/>
        <c:majorTickMark val="out"/>
        <c:minorTickMark val="none"/>
        <c:tickLblPos val="nextTo"/>
        <c:crossAx val="389598784"/>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181333257938808"/>
          <c:y val="5.3641462625391004E-2"/>
          <c:w val="0.69482934920388084"/>
          <c:h val="0.59820767267105301"/>
        </c:manualLayout>
      </c:layout>
      <c:barChart>
        <c:barDir val="col"/>
        <c:grouping val="clustered"/>
        <c:varyColors val="0"/>
        <c:ser>
          <c:idx val="1"/>
          <c:order val="1"/>
          <c:tx>
            <c:strRef>
              <c:f>'F4 '!$E$1</c:f>
              <c:strCache>
                <c:ptCount val="1"/>
                <c:pt idx="0">
                  <c:v>ADNT at BSE (RHS)</c:v>
                </c:pt>
              </c:strCache>
            </c:strRef>
          </c:tx>
          <c:spPr>
            <a:solidFill>
              <a:srgbClr val="00B050"/>
            </a:solidFill>
            <a:ln>
              <a:noFill/>
            </a:ln>
            <a:effectLst/>
          </c:spPr>
          <c:invertIfNegative val="0"/>
          <c:cat>
            <c:numRef>
              <c:f>'F4 '!$A$2:$A$13</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'F4 '!$E$2:$E$13</c:f>
              <c:numCache>
                <c:formatCode>[&gt;=10000000]#\,##\,##\,##0;[&gt;=100000]#\,##\,##0;##,##0</c:formatCode>
                <c:ptCount val="12"/>
                <c:pt idx="0">
                  <c:v>1178404.6602869804</c:v>
                </c:pt>
                <c:pt idx="1">
                  <c:v>1149076.579714505</c:v>
                </c:pt>
                <c:pt idx="2">
                  <c:v>1306943.7383416786</c:v>
                </c:pt>
                <c:pt idx="3">
                  <c:v>1668626.379107326</c:v>
                </c:pt>
                <c:pt idx="4">
                  <c:v>1910248.1950051249</c:v>
                </c:pt>
                <c:pt idx="5">
                  <c:v>1877589.023486543</c:v>
                </c:pt>
                <c:pt idx="6">
                  <c:v>2157023.5625705258</c:v>
                </c:pt>
                <c:pt idx="7">
                  <c:v>2632458.2987257265</c:v>
                </c:pt>
                <c:pt idx="8">
                  <c:v>2844478.2670458574</c:v>
                </c:pt>
                <c:pt idx="9">
                  <c:v>3057374.9092755187</c:v>
                </c:pt>
                <c:pt idx="10">
                  <c:v>3595657.0081937932</c:v>
                </c:pt>
                <c:pt idx="11">
                  <c:v>4301098.4515000004</c:v>
                </c:pt>
              </c:numCache>
            </c:numRef>
          </c:val>
          <c:extLst>
            <c:ext xmlns:c16="http://schemas.microsoft.com/office/drawing/2014/chart" uri="{C3380CC4-5D6E-409C-BE32-E72D297353CC}">
              <c16:uniqueId val="{00000000-02BF-4D7D-B050-DAC22B3542BD}"/>
            </c:ext>
          </c:extLst>
        </c:ser>
        <c:dLbls>
          <c:showLegendKey val="0"/>
          <c:showVal val="0"/>
          <c:showCatName val="0"/>
          <c:showSerName val="0"/>
          <c:showPercent val="0"/>
          <c:showBubbleSize val="0"/>
        </c:dLbls>
        <c:gapWidth val="219"/>
        <c:overlap val="-27"/>
        <c:axId val="1930973119"/>
        <c:axId val="1954171231"/>
      </c:barChart>
      <c:lineChart>
        <c:grouping val="standard"/>
        <c:varyColors val="0"/>
        <c:ser>
          <c:idx val="0"/>
          <c:order val="0"/>
          <c:tx>
            <c:strRef>
              <c:f>'F4 '!$D$1</c:f>
              <c:strCache>
                <c:ptCount val="1"/>
                <c:pt idx="0">
                  <c:v>ADNT at BSE (LHS)</c:v>
                </c:pt>
              </c:strCache>
            </c:strRef>
          </c:tx>
          <c:spPr>
            <a:ln w="28575" cap="rnd">
              <a:solidFill>
                <a:srgbClr val="FF0000"/>
              </a:solidFill>
              <a:round/>
            </a:ln>
            <a:effectLst/>
          </c:spPr>
          <c:marker>
            <c:symbol val="none"/>
          </c:marker>
          <c:cat>
            <c:numRef>
              <c:f>'F4 '!$A$2:$A$13</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'F4 '!$D$2:$D$13</c:f>
              <c:numCache>
                <c:formatCode>#,##0</c:formatCode>
                <c:ptCount val="12"/>
                <c:pt idx="0">
                  <c:v>5191.4561904761904</c:v>
                </c:pt>
                <c:pt idx="1">
                  <c:v>6063.8816666666662</c:v>
                </c:pt>
                <c:pt idx="2">
                  <c:v>6197.3447368421057</c:v>
                </c:pt>
                <c:pt idx="3">
                  <c:v>7.0372727272727271</c:v>
                </c:pt>
                <c:pt idx="4">
                  <c:v>26196.207826086957</c:v>
                </c:pt>
                <c:pt idx="5">
                  <c:v>88005.567619047622</c:v>
                </c:pt>
                <c:pt idx="6">
                  <c:v>123934.84768617614</c:v>
                </c:pt>
                <c:pt idx="7">
                  <c:v>161548.20265396428</c:v>
                </c:pt>
                <c:pt idx="8">
                  <c:v>218924.7232084875</c:v>
                </c:pt>
                <c:pt idx="9">
                  <c:v>222827.48463496024</c:v>
                </c:pt>
                <c:pt idx="10">
                  <c:v>246651.46454715001</c:v>
                </c:pt>
                <c:pt idx="11">
                  <c:v>291858.57797283505</c:v>
                </c:pt>
              </c:numCache>
            </c:numRef>
          </c:val>
          <c:smooth val="0"/>
          <c:extLst>
            <c:ext xmlns:c16="http://schemas.microsoft.com/office/drawing/2014/chart" uri="{C3380CC4-5D6E-409C-BE32-E72D297353CC}">
              <c16:uniqueId val="{00000001-02BF-4D7D-B050-DAC22B3542BD}"/>
            </c:ext>
          </c:extLst>
        </c:ser>
        <c:dLbls>
          <c:showLegendKey val="0"/>
          <c:showVal val="0"/>
          <c:showCatName val="0"/>
          <c:showSerName val="0"/>
          <c:showPercent val="0"/>
          <c:showBubbleSize val="0"/>
        </c:dLbls>
        <c:marker val="1"/>
        <c:smooth val="0"/>
        <c:axId val="1945105631"/>
        <c:axId val="1945106047"/>
      </c:lineChart>
      <c:dateAx>
        <c:axId val="194510563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6047"/>
        <c:crosses val="autoZero"/>
        <c:auto val="1"/>
        <c:lblOffset val="100"/>
        <c:baseTimeUnit val="months"/>
      </c:dateAx>
      <c:valAx>
        <c:axId val="1945106047"/>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BSE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5105631"/>
        <c:crosses val="autoZero"/>
        <c:crossBetween val="between"/>
      </c:valAx>
      <c:valAx>
        <c:axId val="1954171231"/>
        <c:scaling>
          <c:orientation val="minMax"/>
          <c:min val="1000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NSE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30973119"/>
        <c:crosses val="max"/>
        <c:crossBetween val="between"/>
      </c:valAx>
      <c:dateAx>
        <c:axId val="1930973119"/>
        <c:scaling>
          <c:orientation val="minMax"/>
        </c:scaling>
        <c:delete val="1"/>
        <c:axPos val="b"/>
        <c:numFmt formatCode="[$-409]mmm\-yy" sourceLinked="1"/>
        <c:majorTickMark val="out"/>
        <c:minorTickMark val="none"/>
        <c:tickLblPos val="nextTo"/>
        <c:crossAx val="1954171231"/>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1"/>
        <c:ser>
          <c:idx val="0"/>
          <c:order val="0"/>
          <c:tx>
            <c:strRef>
              <c:f>'Index Option'!$E$15</c:f>
              <c:strCache>
                <c:ptCount val="1"/>
                <c:pt idx="0">
                  <c:v>Jan-21</c:v>
                </c:pt>
              </c:strCache>
            </c:strRef>
          </c:tx>
          <c:spPr>
            <a:solidFill>
              <a:srgbClr val="FF000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Option'!$F$15:$H$15</c:f>
              <c:numCache>
                <c:formatCode>#,##0.0</c:formatCode>
                <c:ptCount val="3"/>
                <c:pt idx="0">
                  <c:v>72.798958037115909</c:v>
                </c:pt>
                <c:pt idx="1">
                  <c:v>26.636013384536945</c:v>
                </c:pt>
                <c:pt idx="2">
                  <c:v>0.56502857834712672</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3007-4376-851A-E4F951F78F65}"/>
            </c:ext>
          </c:extLst>
        </c:ser>
        <c:ser>
          <c:idx val="1"/>
          <c:order val="1"/>
          <c:tx>
            <c:strRef>
              <c:f>'Index Option'!$E$16</c:f>
              <c:strCache>
                <c:ptCount val="1"/>
                <c:pt idx="0">
                  <c:v>Feb-21</c:v>
                </c:pt>
              </c:strCache>
            </c:strRef>
          </c:tx>
          <c:spPr>
            <a:solidFill>
              <a:srgbClr val="00B050"/>
            </a:solidFill>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'Index Option'!$F$14:$H$14</c:f>
              <c:strCache>
                <c:ptCount val="3"/>
                <c:pt idx="0">
                  <c:v>Weekly</c:v>
                </c:pt>
                <c:pt idx="1">
                  <c:v>1 Month</c:v>
                </c:pt>
                <c:pt idx="2">
                  <c:v>&gt; 1 Month</c:v>
                </c:pt>
              </c:strCache>
            </c:strRef>
          </c:cat>
          <c:val>
            <c:numRef>
              <c:f>'Index Option'!$F$16:$H$16</c:f>
              <c:numCache>
                <c:formatCode>#,##0.0</c:formatCode>
                <c:ptCount val="3"/>
                <c:pt idx="0">
                  <c:v>74.045195395356799</c:v>
                </c:pt>
                <c:pt idx="1">
                  <c:v>25.421409105167342</c:v>
                </c:pt>
                <c:pt idx="2">
                  <c:v>0.53339549947587306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3007-4376-851A-E4F951F78F65}"/>
            </c:ext>
          </c:extLst>
        </c:ser>
        <c:dLbls>
          <c:showLegendKey val="0"/>
          <c:showVal val="0"/>
          <c:showCatName val="0"/>
          <c:showSerName val="0"/>
          <c:showPercent val="0"/>
          <c:showBubbleSize val="0"/>
        </c:dLbls>
        <c:gapWidth val="150"/>
        <c:axId val="438130079"/>
        <c:axId val="2035117534"/>
      </c:barChart>
      <c:catAx>
        <c:axId val="438130079"/>
        <c:scaling>
          <c:orientation val="minMax"/>
        </c:scaling>
        <c:delete val="0"/>
        <c:axPos val="l"/>
        <c:numFmt formatCode="General" sourceLinked="1"/>
        <c:majorTickMark val="out"/>
        <c:minorTickMark val="cross"/>
        <c:tickLblPos val="nextTo"/>
        <c:crossAx val="2035117534"/>
        <c:crosses val="autoZero"/>
        <c:auto val="1"/>
        <c:lblAlgn val="ctr"/>
        <c:lblOffset val="100"/>
        <c:noMultiLvlLbl val="1"/>
      </c:catAx>
      <c:valAx>
        <c:axId val="2035117534"/>
        <c:scaling>
          <c:orientation val="minMax"/>
        </c:scaling>
        <c:delete val="1"/>
        <c:axPos val="t"/>
        <c:numFmt formatCode="#,##0.0" sourceLinked="1"/>
        <c:majorTickMark val="out"/>
        <c:minorTickMark val="cross"/>
        <c:tickLblPos val="nextTo"/>
        <c:crossAx val="438130079"/>
        <c:crosses val="max"/>
        <c:crossBetween val="between"/>
      </c:valAx>
    </c:plotArea>
    <c:legend>
      <c:legendPos val="b"/>
      <c:layout/>
      <c:overlay val="0"/>
    </c:legend>
    <c:plotVisOnly val="1"/>
    <c:dispBlanksAs val="zero"/>
    <c:showDLblsOverMax val="1"/>
  </c:chart>
  <c:spPr>
    <a:solidFill>
      <a:srgbClr val="FFFFFF"/>
    </a:solidFill>
  </c:spPr>
  <c:txPr>
    <a:bodyPr/>
    <a:lstStyle/>
    <a:p>
      <a:pPr>
        <a:defRPr sz="1000">
          <a:latin typeface="Palatino Linotype" panose="0204050205050503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'F6'!$B$2</c:f>
              <c:strCache>
                <c:ptCount val="1"/>
                <c:pt idx="0">
                  <c:v>NSE (LHS)</c:v>
                </c:pt>
              </c:strCache>
            </c:strRef>
          </c:tx>
          <c:spPr>
            <a:ln w="28575" cap="rnd">
              <a:solidFill>
                <a:schemeClr val="accent1"/>
              </a:solidFill>
              <a:round/>
            </a:ln>
            <a:effectLst/>
          </c:spPr>
          <c:marker>
            <c:symbol val="none"/>
          </c:marker>
          <c:cat>
            <c:numRef>
              <c:f>'F6'!$A$3:$A$14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'F6'!$B$3:$B$14</c:f>
              <c:numCache>
                <c:formatCode>[&gt;=10000000]#\,##\,##\,##0;[&gt;=100000]#\,##\,##0;##,##0</c:formatCode>
                <c:ptCount val="12"/>
                <c:pt idx="0">
                  <c:v>1231222.4816374592</c:v>
                </c:pt>
                <c:pt idx="1">
                  <c:v>696282.45724269352</c:v>
                </c:pt>
                <c:pt idx="2">
                  <c:v>729527.23581414134</c:v>
                </c:pt>
                <c:pt idx="3">
                  <c:v>949170.06959089276</c:v>
                </c:pt>
                <c:pt idx="4" formatCode="0\,00\,000;\-0\,00\,000;0">
                  <c:v>943395.67188321159</c:v>
                </c:pt>
                <c:pt idx="5" formatCode="0\,00\,000;\-0\,00\,000;0">
                  <c:v>976864.32951144269</c:v>
                </c:pt>
                <c:pt idx="6" formatCode="0\,00\,000;\-0\,00\,000;0">
                  <c:v>1120073.5900000001</c:v>
                </c:pt>
                <c:pt idx="7" formatCode="0\,00\,000;\-0\,00\,000;0">
                  <c:v>977668.28209999995</c:v>
                </c:pt>
                <c:pt idx="8" formatCode="0\,00\,000;\-0\,00\,000;0">
                  <c:v>1024112.012</c:v>
                </c:pt>
                <c:pt idx="9" formatCode="0\,00\,000;\-0\,00\,000;0">
                  <c:v>1160618.8376070948</c:v>
                </c:pt>
                <c:pt idx="10" formatCode="0\,00\,000;\-0\,00\,000;0">
                  <c:v>1001205.5174880214</c:v>
                </c:pt>
                <c:pt idx="11" formatCode="0\,00\,000;\-0\,00\,000;0">
                  <c:v>1082488.916</c:v>
                </c:pt>
              </c:numCache>
            </c:numRef>
          </c:val>
          <c:smooth val="0"/>
          <c:extLst>
            <c:ext xmlns:c16="http://schemas.microsoft.com/office/drawing/2014/chart" uri="{C3380CC4-5D6E-409C-BE32-E72D297353CC}">
              <c16:uniqueId val="{00000000-0685-4816-852E-6EA028A42F3E}"/>
            </c:ext>
          </c:extLst>
        </c:ser>
        <c:ser>
          <c:idx val="2"/>
          <c:order val="2"/>
          <c:tx>
            <c:strRef>
              <c:f>'F6'!$D$2</c:f>
              <c:strCache>
                <c:ptCount val="1"/>
                <c:pt idx="0">
                  <c:v>BSE  (LHS)</c:v>
                </c:pt>
              </c:strCache>
            </c:strRef>
          </c:tx>
          <c:spPr>
            <a:ln w="28575" cap="rnd">
              <a:solidFill>
                <a:schemeClr val="accent3"/>
              </a:solidFill>
              <a:round/>
            </a:ln>
            <a:effectLst/>
          </c:spPr>
          <c:marker>
            <c:symbol val="none"/>
          </c:marker>
          <c:cat>
            <c:numRef>
              <c:f>'F6'!$A$3:$A$14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'F6'!$D$3:$D$14</c:f>
              <c:numCache>
                <c:formatCode>[&gt;=10000000]#\,##\,##\,##0;[&gt;=100000]#\,##\,##0;##,##0</c:formatCode>
                <c:ptCount val="12"/>
                <c:pt idx="0">
                  <c:v>471806.4</c:v>
                </c:pt>
                <c:pt idx="1">
                  <c:v>271144.38</c:v>
                </c:pt>
                <c:pt idx="2">
                  <c:v>306144.90000000002</c:v>
                </c:pt>
                <c:pt idx="3">
                  <c:v>467245.2</c:v>
                </c:pt>
                <c:pt idx="4" formatCode="0\,00\,000;\-0\,00\,000;0">
                  <c:v>437166.34</c:v>
                </c:pt>
                <c:pt idx="5" formatCode="0\,00\,000;\-0\,00\,000;0">
                  <c:v>451790.26</c:v>
                </c:pt>
                <c:pt idx="6" formatCode="0\,00\,000;\-0\,00\,000;0">
                  <c:v>429477.39090000006</c:v>
                </c:pt>
                <c:pt idx="7" formatCode="0\,00\,000;\-0\,00\,000;0">
                  <c:v>408890.7488</c:v>
                </c:pt>
                <c:pt idx="8" formatCode="0\,00\,000;\-0\,00\,000;0">
                  <c:v>402246.89210000006</c:v>
                </c:pt>
                <c:pt idx="9" formatCode="0\,00\,000;\-0\,00\,000;0">
                  <c:v>496940.56949999998</c:v>
                </c:pt>
                <c:pt idx="10" formatCode="#,##0">
                  <c:v>440262.21429999999</c:v>
                </c:pt>
                <c:pt idx="11" formatCode="0\,00\,000;\-0\,00\,000;0">
                  <c:v>449170.83260000002</c:v>
                </c:pt>
              </c:numCache>
            </c:numRef>
          </c:val>
          <c:smooth val="0"/>
          <c:extLst>
            <c:ext xmlns:c16="http://schemas.microsoft.com/office/drawing/2014/chart" uri="{C3380CC4-5D6E-409C-BE32-E72D297353CC}">
              <c16:uniqueId val="{00000001-0685-4816-852E-6EA028A42F3E}"/>
            </c:ext>
          </c:extLst>
        </c:ser>
        <c:dLbls>
          <c:showLegendKey val="0"/>
          <c:showVal val="0"/>
          <c:showCatName val="0"/>
          <c:showSerName val="0"/>
          <c:showPercent val="0"/>
          <c:showBubbleSize val="0"/>
        </c:dLbls>
        <c:marker val="1"/>
        <c:smooth val="0"/>
        <c:axId val="1962150111"/>
        <c:axId val="1962148447"/>
      </c:lineChart>
      <c:lineChart>
        <c:grouping val="standard"/>
        <c:varyColors val="0"/>
        <c:ser>
          <c:idx val="1"/>
          <c:order val="1"/>
          <c:tx>
            <c:strRef>
              <c:f>'F6'!$C$2</c:f>
              <c:strCache>
                <c:ptCount val="1"/>
                <c:pt idx="0">
                  <c:v>MSEI (RHS)</c:v>
                </c:pt>
              </c:strCache>
            </c:strRef>
          </c:tx>
          <c:spPr>
            <a:ln w="28575" cap="rnd">
              <a:solidFill>
                <a:schemeClr val="accent2"/>
              </a:solidFill>
              <a:round/>
            </a:ln>
            <a:effectLst/>
          </c:spPr>
          <c:marker>
            <c:symbol val="none"/>
          </c:marker>
          <c:cat>
            <c:numRef>
              <c:f>'F6'!$A$3:$A$14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'F6'!$C$3:$C$14</c:f>
              <c:numCache>
                <c:formatCode>[&gt;=10000000]#\,##\,##\,##0;[&gt;=100000]#\,##\,##0;##,##0</c:formatCode>
                <c:ptCount val="12"/>
                <c:pt idx="0">
                  <c:v>6404.1278092499997</c:v>
                </c:pt>
                <c:pt idx="1">
                  <c:v>1785.2814207500001</c:v>
                </c:pt>
                <c:pt idx="2">
                  <c:v>1702.4234337499997</c:v>
                </c:pt>
                <c:pt idx="3">
                  <c:v>2854.2512265</c:v>
                </c:pt>
                <c:pt idx="4" formatCode="#,##0;\-#,##0;0">
                  <c:v>4064.4222235000007</c:v>
                </c:pt>
                <c:pt idx="5" formatCode="#,##0;\-#,##0;0">
                  <c:v>5291.3987129999996</c:v>
                </c:pt>
                <c:pt idx="6" formatCode="#,##0;\-#,##0;0">
                  <c:v>6888.6162975000007</c:v>
                </c:pt>
                <c:pt idx="7" formatCode="#,##0;\-#,##0;0">
                  <c:v>9075.2012660000019</c:v>
                </c:pt>
                <c:pt idx="8" formatCode="#,##0;\-#,##0;0">
                  <c:v>12344.712834499998</c:v>
                </c:pt>
                <c:pt idx="9" formatCode="#,##0;\-#,##0;0">
                  <c:v>14310.276320249999</c:v>
                </c:pt>
                <c:pt idx="10" formatCode="#,##0;\-#,##0;0">
                  <c:v>13562.270864749999</c:v>
                </c:pt>
                <c:pt idx="11" formatCode="#,##0;\-#,##0;0">
                  <c:v>12191.89372125</c:v>
                </c:pt>
              </c:numCache>
            </c:numRef>
          </c:val>
          <c:smooth val="0"/>
          <c:extLst>
            <c:ext xmlns:c16="http://schemas.microsoft.com/office/drawing/2014/chart" uri="{C3380CC4-5D6E-409C-BE32-E72D297353CC}">
              <c16:uniqueId val="{00000002-0685-4816-852E-6EA028A42F3E}"/>
            </c:ext>
          </c:extLst>
        </c:ser>
        <c:dLbls>
          <c:showLegendKey val="0"/>
          <c:showVal val="0"/>
          <c:showCatName val="0"/>
          <c:showSerName val="0"/>
          <c:showPercent val="0"/>
          <c:showBubbleSize val="0"/>
        </c:dLbls>
        <c:marker val="1"/>
        <c:smooth val="0"/>
        <c:axId val="1942669647"/>
        <c:axId val="91238383"/>
      </c:lineChart>
      <c:dateAx>
        <c:axId val="196215011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48447"/>
        <c:crosses val="autoZero"/>
        <c:auto val="1"/>
        <c:lblOffset val="100"/>
        <c:baseTimeUnit val="months"/>
      </c:dateAx>
      <c:valAx>
        <c:axId val="1962148447"/>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62150111"/>
        <c:crosses val="autoZero"/>
        <c:crossBetween val="between"/>
      </c:valAx>
      <c:valAx>
        <c:axId val="91238383"/>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42669647"/>
        <c:crosses val="max"/>
        <c:crossBetween val="between"/>
      </c:valAx>
      <c:dateAx>
        <c:axId val="1942669647"/>
        <c:scaling>
          <c:orientation val="minMax"/>
        </c:scaling>
        <c:delete val="1"/>
        <c:axPos val="b"/>
        <c:numFmt formatCode="[$-409]mmm\-yy" sourceLinked="1"/>
        <c:majorTickMark val="out"/>
        <c:minorTickMark val="none"/>
        <c:tickLblPos val="nextTo"/>
        <c:crossAx val="91238383"/>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'F7'!$B$2</c:f>
              <c:strCache>
                <c:ptCount val="1"/>
                <c:pt idx="0">
                  <c:v>BSE</c:v>
                </c:pt>
              </c:strCache>
            </c:strRef>
          </c:tx>
          <c:spPr>
            <a:ln w="28575" cap="rnd">
              <a:solidFill>
                <a:schemeClr val="accent1"/>
              </a:solidFill>
              <a:round/>
            </a:ln>
            <a:effectLst/>
          </c:spPr>
          <c:marker>
            <c:symbol val="none"/>
          </c:marker>
          <c:cat>
            <c:numRef>
              <c:f>'F7'!$A$3:$A$14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'F7'!$B$3:$B$14</c:f>
              <c:numCache>
                <c:formatCode>#,##0;\-#,##0;0</c:formatCode>
                <c:ptCount val="12"/>
                <c:pt idx="0">
                  <c:v>11042.703600000001</c:v>
                </c:pt>
                <c:pt idx="1">
                  <c:v>2394.6293999999998</c:v>
                </c:pt>
                <c:pt idx="2">
                  <c:v>1898.7684999999999</c:v>
                </c:pt>
                <c:pt idx="3">
                  <c:v>4307.7403000000004</c:v>
                </c:pt>
                <c:pt idx="4">
                  <c:v>4082.3089</c:v>
                </c:pt>
                <c:pt idx="5">
                  <c:v>1339.4258</c:v>
                </c:pt>
                <c:pt idx="6">
                  <c:v>618.83699999999999</c:v>
                </c:pt>
                <c:pt idx="7">
                  <c:v>1949.4366000000005</c:v>
                </c:pt>
                <c:pt idx="8">
                  <c:v>3284.3459999999995</c:v>
                </c:pt>
                <c:pt idx="9">
                  <c:v>1087.3935000000001</c:v>
                </c:pt>
                <c:pt idx="10">
                  <c:v>1100.9360999999999</c:v>
                </c:pt>
                <c:pt idx="11">
                  <c:v>5520.3626999999997</c:v>
                </c:pt>
              </c:numCache>
            </c:numRef>
          </c:val>
          <c:smooth val="0"/>
          <c:extLst>
            <c:ext xmlns:c16="http://schemas.microsoft.com/office/drawing/2014/chart" uri="{C3380CC4-5D6E-409C-BE32-E72D297353CC}">
              <c16:uniqueId val="{00000000-2A7A-442C-824F-84BF228A217E}"/>
            </c:ext>
          </c:extLst>
        </c:ser>
        <c:ser>
          <c:idx val="1"/>
          <c:order val="1"/>
          <c:tx>
            <c:strRef>
              <c:f>'F7'!$C$2</c:f>
              <c:strCache>
                <c:ptCount val="1"/>
                <c:pt idx="0">
                  <c:v>NSE</c:v>
                </c:pt>
              </c:strCache>
            </c:strRef>
          </c:tx>
          <c:spPr>
            <a:ln w="28575" cap="rnd">
              <a:solidFill>
                <a:schemeClr val="accent2"/>
              </a:solidFill>
              <a:round/>
            </a:ln>
            <a:effectLst/>
          </c:spPr>
          <c:marker>
            <c:symbol val="none"/>
          </c:marker>
          <c:cat>
            <c:numRef>
              <c:f>'F7'!$A$3:$A$14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'F7'!$C$3:$C$14</c:f>
              <c:numCache>
                <c:formatCode>#,##0;\-#,##0;0</c:formatCode>
                <c:ptCount val="12"/>
                <c:pt idx="0">
                  <c:v>33798.002293999991</c:v>
                </c:pt>
                <c:pt idx="1">
                  <c:v>9733.7467485000016</c:v>
                </c:pt>
                <c:pt idx="2">
                  <c:v>12197.847997499997</c:v>
                </c:pt>
                <c:pt idx="3">
                  <c:v>16790.040404000003</c:v>
                </c:pt>
                <c:pt idx="4">
                  <c:v>11477.779758999999</c:v>
                </c:pt>
                <c:pt idx="5">
                  <c:v>8836.0223354999998</c:v>
                </c:pt>
                <c:pt idx="6">
                  <c:v>7968.2005550000003</c:v>
                </c:pt>
                <c:pt idx="7">
                  <c:v>5969.361613</c:v>
                </c:pt>
                <c:pt idx="8">
                  <c:v>3735.2176584999997</c:v>
                </c:pt>
                <c:pt idx="9">
                  <c:v>5464.1321635000004</c:v>
                </c:pt>
                <c:pt idx="10">
                  <c:v>4093.5442204999999</c:v>
                </c:pt>
                <c:pt idx="11">
                  <c:v>6734.7814850000004</c:v>
                </c:pt>
              </c:numCache>
            </c:numRef>
          </c:val>
          <c:smooth val="0"/>
          <c:extLst>
            <c:ext xmlns:c16="http://schemas.microsoft.com/office/drawing/2014/chart" uri="{C3380CC4-5D6E-409C-BE32-E72D297353CC}">
              <c16:uniqueId val="{00000001-2A7A-442C-824F-84BF228A217E}"/>
            </c:ext>
          </c:extLst>
        </c:ser>
        <c:dLbls>
          <c:showLegendKey val="0"/>
          <c:showVal val="0"/>
          <c:showCatName val="0"/>
          <c:showSerName val="0"/>
          <c:showPercent val="0"/>
          <c:showBubbleSize val="0"/>
        </c:dLbls>
        <c:smooth val="0"/>
        <c:axId val="1842193055"/>
        <c:axId val="1842195135"/>
      </c:lineChart>
      <c:dateAx>
        <c:axId val="1842193055"/>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5135"/>
        <c:crosses val="autoZero"/>
        <c:auto val="1"/>
        <c:lblOffset val="100"/>
        <c:baseTimeUnit val="months"/>
      </c:dateAx>
      <c:valAx>
        <c:axId val="1842195135"/>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84219305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'F11'!$B$3</c:f>
              <c:strCache>
                <c:ptCount val="1"/>
                <c:pt idx="0">
                  <c:v>BSE</c:v>
                </c:pt>
              </c:strCache>
            </c:strRef>
          </c:tx>
          <c:spPr>
            <a:solidFill>
              <a:srgbClr val="FF000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'F11'!$C$5:$C$16</c:f>
              <c:numCache>
                <c:formatCode>#,##0;\-#,##0;0</c:formatCode>
                <c:ptCount val="12"/>
                <c:pt idx="0">
                  <c:v>82283.460000000006</c:v>
                </c:pt>
                <c:pt idx="1">
                  <c:v>65285.07</c:v>
                </c:pt>
                <c:pt idx="2">
                  <c:v>64964.767999999996</c:v>
                </c:pt>
                <c:pt idx="3">
                  <c:v>76987.05</c:v>
                </c:pt>
                <c:pt idx="4">
                  <c:v>80074.63</c:v>
                </c:pt>
                <c:pt idx="5">
                  <c:v>53915.519999999997</c:v>
                </c:pt>
                <c:pt idx="6">
                  <c:v>50693.919999999998</c:v>
                </c:pt>
                <c:pt idx="7">
                  <c:v>42448.36</c:v>
                </c:pt>
                <c:pt idx="8">
                  <c:v>35255.333224302012</c:v>
                </c:pt>
                <c:pt idx="9">
                  <c:v>34626.160000000003</c:v>
                </c:pt>
                <c:pt idx="10">
                  <c:v>48384.845524290002</c:v>
                </c:pt>
                <c:pt idx="11">
                  <c:v>43534.32</c:v>
                </c:pt>
              </c:numCache>
            </c:numRef>
          </c:val>
          <c:extLst>
            <c:ext xmlns:c16="http://schemas.microsoft.com/office/drawing/2014/chart" uri="{C3380CC4-5D6E-409C-BE32-E72D297353CC}">
              <c16:uniqueId val="{00000000-BDEB-49F4-8304-70FD67DE1CA9}"/>
            </c:ext>
          </c:extLst>
        </c:ser>
        <c:ser>
          <c:idx val="1"/>
          <c:order val="1"/>
          <c:tx>
            <c:strRef>
              <c:f>'F11'!$D$3</c:f>
              <c:strCache>
                <c:ptCount val="1"/>
                <c:pt idx="0">
                  <c:v>NSE</c:v>
                </c:pt>
              </c:strCache>
            </c:strRef>
          </c:tx>
          <c:spPr>
            <a:solidFill>
              <a:srgbClr val="00B050"/>
            </a:solidFill>
            <a:ln>
              <a:noFill/>
            </a:ln>
            <a:effectLst/>
          </c:spPr>
          <c:invertIfNegative val="0"/>
          <c:dLbls>
            <c:spPr>
              <a:noFill/>
              <a:ln>
                <a:noFill/>
              </a:ln>
              <a:effectLst/>
            </c:spPr>
            <c:txPr>
              <a:bodyPr rot="-5400000" spcFirstLastPara="1" vertOverflow="ellipsis" wrap="square" anchor="ctr" anchorCtr="1"/>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'F11'!$A$5:$A$16</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'F11'!$E$5:$E$16</c:f>
              <c:numCache>
                <c:formatCode>0\,00\,000;\-0\,00\,000;0</c:formatCode>
                <c:ptCount val="12"/>
                <c:pt idx="0">
                  <c:v>149081.53</c:v>
                </c:pt>
                <c:pt idx="1">
                  <c:v>149229.69</c:v>
                </c:pt>
                <c:pt idx="2">
                  <c:v>131841.63199999998</c:v>
                </c:pt>
                <c:pt idx="3">
                  <c:v>130256.79</c:v>
                </c:pt>
                <c:pt idx="4">
                  <c:v>121730.01</c:v>
                </c:pt>
                <c:pt idx="5" formatCode="#,##0">
                  <c:v>89136.44</c:v>
                </c:pt>
                <c:pt idx="6" formatCode="#,##0">
                  <c:v>90782.64</c:v>
                </c:pt>
                <c:pt idx="7" formatCode="#,##0">
                  <c:v>88404.000000000015</c:v>
                </c:pt>
                <c:pt idx="8" formatCode="#,##0">
                  <c:v>79665.3</c:v>
                </c:pt>
                <c:pt idx="9" formatCode="#,##0">
                  <c:v>76874.000000000015</c:v>
                </c:pt>
                <c:pt idx="10" formatCode="#,##0">
                  <c:v>83618.37999999999</c:v>
                </c:pt>
                <c:pt idx="11" formatCode="#,##0">
                  <c:v>75565.039999999994</c:v>
                </c:pt>
              </c:numCache>
            </c:numRef>
          </c:val>
          <c:extLst>
            <c:ext xmlns:c16="http://schemas.microsoft.com/office/drawing/2014/chart" uri="{C3380CC4-5D6E-409C-BE32-E72D297353CC}">
              <c16:uniqueId val="{00000001-BDEB-49F4-8304-70FD67DE1CA9}"/>
            </c:ext>
          </c:extLst>
        </c:ser>
        <c:dLbls>
          <c:showLegendKey val="0"/>
          <c:showVal val="0"/>
          <c:showCatName val="0"/>
          <c:showSerName val="0"/>
          <c:showPercent val="0"/>
          <c:showBubbleSize val="0"/>
        </c:dLbls>
        <c:gapWidth val="219"/>
        <c:overlap val="-27"/>
        <c:axId val="1957239791"/>
        <c:axId val="1957237711"/>
      </c:barChart>
      <c:dateAx>
        <c:axId val="1957239791"/>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957237711"/>
        <c:crosses val="autoZero"/>
        <c:auto val="1"/>
        <c:lblOffset val="100"/>
        <c:baseTimeUnit val="months"/>
      </c:dateAx>
      <c:valAx>
        <c:axId val="1957237711"/>
        <c:scaling>
          <c:orientation val="minMax"/>
          <c:min val="30000"/>
        </c:scaling>
        <c:delete val="1"/>
        <c:axPos val="l"/>
        <c:numFmt formatCode="#,##0;\-#,##0;0" sourceLinked="1"/>
        <c:majorTickMark val="none"/>
        <c:minorTickMark val="none"/>
        <c:tickLblPos val="nextTo"/>
        <c:crossAx val="195723979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'F12'!$B$2</c:f>
              <c:strCache>
                <c:ptCount val="1"/>
                <c:pt idx="0">
                  <c:v>Equity</c:v>
                </c:pt>
              </c:strCache>
            </c:strRef>
          </c:tx>
          <c:spPr>
            <a:solidFill>
              <a:schemeClr val="accent1"/>
            </a:solidFill>
            <a:ln>
              <a:noFill/>
            </a:ln>
            <a:effectLst/>
          </c:spPr>
          <c:invertIfNegative val="0"/>
          <c:cat>
            <c:numRef>
              <c:f>'F12'!$A$3:$A$14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'F12'!$B$3:$B$14</c:f>
              <c:numCache>
                <c:formatCode>[&gt;9999999]##\,##\,##\,##0;[&gt;99999]##\,##\,##0;##,##0</c:formatCode>
                <c:ptCount val="12"/>
                <c:pt idx="0">
                  <c:v>30285.64</c:v>
                </c:pt>
                <c:pt idx="1">
                  <c:v>-7965.5</c:v>
                </c:pt>
                <c:pt idx="2">
                  <c:v>6522.45</c:v>
                </c:pt>
                <c:pt idx="3">
                  <c:v>-501.5</c:v>
                </c:pt>
                <c:pt idx="4" formatCode="#,##0;\-#,##0;0">
                  <c:v>-9195.0400000000009</c:v>
                </c:pt>
                <c:pt idx="5" formatCode="#,##0;\-#,##0;0">
                  <c:v>-9213.44</c:v>
                </c:pt>
                <c:pt idx="6" formatCode="#,##0;\-#,##0;0">
                  <c:v>-4134.37</c:v>
                </c:pt>
                <c:pt idx="7" formatCode="#,##0;\-#,##0;0">
                  <c:v>-14491.79</c:v>
                </c:pt>
                <c:pt idx="8" formatCode="#,##0;\-#,##0;0">
                  <c:v>-30760.07</c:v>
                </c:pt>
                <c:pt idx="9" formatCode="#,##0;\-#,##0;0">
                  <c:v>-26427.83</c:v>
                </c:pt>
                <c:pt idx="10" formatCode="#,##0;\-#,##0;0">
                  <c:v>-13031.78</c:v>
                </c:pt>
                <c:pt idx="11" formatCode="#,##0;\-#,##0;0">
                  <c:v>-16306</c:v>
                </c:pt>
              </c:numCache>
            </c:numRef>
          </c:val>
          <c:extLst>
            <c:ext xmlns:c16="http://schemas.microsoft.com/office/drawing/2014/chart" uri="{C3380CC4-5D6E-409C-BE32-E72D297353CC}">
              <c16:uniqueId val="{00000000-428C-43CC-8D64-4F3072B7D581}"/>
            </c:ext>
          </c:extLst>
        </c:ser>
        <c:ser>
          <c:idx val="1"/>
          <c:order val="1"/>
          <c:tx>
            <c:strRef>
              <c:f>'F12'!$C$2</c:f>
              <c:strCache>
                <c:ptCount val="1"/>
                <c:pt idx="0">
                  <c:v>Debt</c:v>
                </c:pt>
              </c:strCache>
            </c:strRef>
          </c:tx>
          <c:spPr>
            <a:solidFill>
              <a:schemeClr val="accent2"/>
            </a:solidFill>
            <a:ln>
              <a:noFill/>
            </a:ln>
            <a:effectLst/>
          </c:spPr>
          <c:invertIfNegative val="0"/>
          <c:cat>
            <c:numRef>
              <c:f>'F12'!$A$3:$A$14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'F12'!$C$3:$C$14</c:f>
              <c:numCache>
                <c:formatCode>[&gt;9999999]##\,##\,##\,##0;[&gt;99999]##\,##\,##0;##,##0</c:formatCode>
                <c:ptCount val="12"/>
                <c:pt idx="0">
                  <c:v>-19645.759999999998</c:v>
                </c:pt>
                <c:pt idx="1">
                  <c:v>-9794.5400000000009</c:v>
                </c:pt>
                <c:pt idx="2">
                  <c:v>10699.37</c:v>
                </c:pt>
                <c:pt idx="3">
                  <c:v>41364.71</c:v>
                </c:pt>
                <c:pt idx="4" formatCode="#,##0;\-#,##0;0">
                  <c:v>31897.85</c:v>
                </c:pt>
                <c:pt idx="5" formatCode="#,##0;\-#,##0;0">
                  <c:v>25780.28</c:v>
                </c:pt>
                <c:pt idx="6" formatCode="#,##0;\-#,##0;0">
                  <c:v>17004.97</c:v>
                </c:pt>
                <c:pt idx="7" formatCode="#,##0;\-#,##0;0">
                  <c:v>31975.11</c:v>
                </c:pt>
                <c:pt idx="8" formatCode="#,##0;\-#,##0;0">
                  <c:v>20349.349999999999</c:v>
                </c:pt>
                <c:pt idx="9" formatCode="#,##0;\-#,##0;0">
                  <c:v>23368.42</c:v>
                </c:pt>
                <c:pt idx="10" formatCode="#,##0;\-#,##0;0">
                  <c:v>11831.74</c:v>
                </c:pt>
                <c:pt idx="11" formatCode="#,##0;\-#,##0;0">
                  <c:v>8161.78</c:v>
                </c:pt>
              </c:numCache>
            </c:numRef>
          </c:val>
          <c:extLst>
            <c:ext xmlns:c16="http://schemas.microsoft.com/office/drawing/2014/chart" uri="{C3380CC4-5D6E-409C-BE32-E72D297353CC}">
              <c16:uniqueId val="{00000001-428C-43CC-8D64-4F3072B7D581}"/>
            </c:ext>
          </c:extLst>
        </c:ser>
        <c:dLbls>
          <c:showLegendKey val="0"/>
          <c:showVal val="0"/>
          <c:showCatName val="0"/>
          <c:showSerName val="0"/>
          <c:showPercent val="0"/>
          <c:showBubbleSize val="0"/>
        </c:dLbls>
        <c:gapWidth val="219"/>
        <c:overlap val="-27"/>
        <c:axId val="1066097183"/>
        <c:axId val="1066098015"/>
      </c:barChart>
      <c:lineChart>
        <c:grouping val="standard"/>
        <c:varyColors val="0"/>
        <c:ser>
          <c:idx val="2"/>
          <c:order val="2"/>
          <c:tx>
            <c:strRef>
              <c:f>'F12'!$D$2</c:f>
              <c:strCache>
                <c:ptCount val="1"/>
                <c:pt idx="0">
                  <c:v>Total</c:v>
                </c:pt>
              </c:strCache>
            </c:strRef>
          </c:tx>
          <c:spPr>
            <a:ln w="28575" cap="rnd">
              <a:solidFill>
                <a:schemeClr val="accent3"/>
              </a:solidFill>
              <a:round/>
            </a:ln>
            <a:effectLst/>
          </c:spPr>
          <c:marker>
            <c:symbol val="none"/>
          </c:marker>
          <c:cat>
            <c:numRef>
              <c:f>'F12'!$A$3:$A$14</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'F12'!$D$3:$D$14</c:f>
              <c:numCache>
                <c:formatCode>[&gt;9999999]##\,##\,##\,##0;[&gt;99999]##\,##\,##0;##,##0</c:formatCode>
                <c:ptCount val="12"/>
                <c:pt idx="0">
                  <c:v>10639.880000000001</c:v>
                </c:pt>
                <c:pt idx="1">
                  <c:v>-17760.04</c:v>
                </c:pt>
                <c:pt idx="2">
                  <c:v>17221.82</c:v>
                </c:pt>
                <c:pt idx="3">
                  <c:v>40863.21</c:v>
                </c:pt>
                <c:pt idx="4">
                  <c:v>22702.809999999998</c:v>
                </c:pt>
                <c:pt idx="5">
                  <c:v>16566.839999999997</c:v>
                </c:pt>
                <c:pt idx="6">
                  <c:v>12870.600000000002</c:v>
                </c:pt>
                <c:pt idx="7">
                  <c:v>17483.32</c:v>
                </c:pt>
                <c:pt idx="8">
                  <c:v>-10410.720000000001</c:v>
                </c:pt>
                <c:pt idx="9">
                  <c:v>-3059.4100000000035</c:v>
                </c:pt>
                <c:pt idx="10">
                  <c:v>-1200.0400000000009</c:v>
                </c:pt>
                <c:pt idx="11">
                  <c:v>-8144.22</c:v>
                </c:pt>
              </c:numCache>
            </c:numRef>
          </c:val>
          <c:smooth val="0"/>
          <c:extLst>
            <c:ext xmlns:c16="http://schemas.microsoft.com/office/drawing/2014/chart" uri="{C3380CC4-5D6E-409C-BE32-E72D297353CC}">
              <c16:uniqueId val="{00000002-428C-43CC-8D64-4F3072B7D581}"/>
            </c:ext>
          </c:extLst>
        </c:ser>
        <c:dLbls>
          <c:showLegendKey val="0"/>
          <c:showVal val="0"/>
          <c:showCatName val="0"/>
          <c:showSerName val="0"/>
          <c:showPercent val="0"/>
          <c:showBubbleSize val="0"/>
        </c:dLbls>
        <c:marker val="1"/>
        <c:smooth val="0"/>
        <c:axId val="1066097183"/>
        <c:axId val="1066098015"/>
      </c:lineChart>
      <c:dateAx>
        <c:axId val="1066097183"/>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8015"/>
        <c:crosses val="autoZero"/>
        <c:auto val="1"/>
        <c:lblOffset val="100"/>
        <c:baseTimeUnit val="months"/>
      </c:dateAx>
      <c:valAx>
        <c:axId val="1066098015"/>
        <c:scaling>
          <c:orientation val="minMax"/>
        </c:scaling>
        <c:delete val="0"/>
        <c:axPos val="l"/>
        <c:numFmt formatCode="[&gt;9999999]##\,##\,##\,##0;[&gt;99999]##\,##\,##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066097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 13'!$B$4:$B$15</c:f>
              <c:numCache>
                <c:formatCode>#,##0</c:formatCode>
                <c:ptCount val="12"/>
                <c:pt idx="0">
                  <c:v>-61973</c:v>
                </c:pt>
                <c:pt idx="1">
                  <c:v>-6884</c:v>
                </c:pt>
                <c:pt idx="2">
                  <c:v>14569</c:v>
                </c:pt>
                <c:pt idx="3">
                  <c:v>21832</c:v>
                </c:pt>
                <c:pt idx="4">
                  <c:v>7563</c:v>
                </c:pt>
                <c:pt idx="5">
                  <c:v>47080</c:v>
                </c:pt>
                <c:pt idx="6">
                  <c:v>-7783</c:v>
                </c:pt>
                <c:pt idx="7">
                  <c:v>19541</c:v>
                </c:pt>
                <c:pt idx="8">
                  <c:v>60358</c:v>
                </c:pt>
                <c:pt idx="9">
                  <c:v>62016</c:v>
                </c:pt>
                <c:pt idx="10">
                  <c:v>19473</c:v>
                </c:pt>
                <c:pt idx="11">
                  <c:v>25787</c:v>
                </c:pt>
              </c:numCache>
            </c:numRef>
          </c:val>
          <c:extLst>
            <c:ext xmlns:c16="http://schemas.microsoft.com/office/drawing/2014/chart" uri="{C3380CC4-5D6E-409C-BE32-E72D297353CC}">
              <c16:uniqueId val="{00000000-C795-40B1-B876-C13F1BAD34FA}"/>
            </c:ext>
          </c:extLst>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 13'!$C$4:$C$15</c:f>
              <c:numCache>
                <c:formatCode>#,##0</c:formatCode>
                <c:ptCount val="12"/>
                <c:pt idx="0">
                  <c:v>-60376</c:v>
                </c:pt>
                <c:pt idx="1">
                  <c:v>-12552</c:v>
                </c:pt>
                <c:pt idx="2">
                  <c:v>-22935</c:v>
                </c:pt>
                <c:pt idx="3">
                  <c:v>-1545</c:v>
                </c:pt>
                <c:pt idx="4">
                  <c:v>-2476</c:v>
                </c:pt>
                <c:pt idx="5">
                  <c:v>-3310</c:v>
                </c:pt>
                <c:pt idx="6">
                  <c:v>3958</c:v>
                </c:pt>
                <c:pt idx="7">
                  <c:v>1641</c:v>
                </c:pt>
                <c:pt idx="8">
                  <c:v>-1806</c:v>
                </c:pt>
                <c:pt idx="9">
                  <c:v>4079</c:v>
                </c:pt>
                <c:pt idx="10">
                  <c:v>-2518</c:v>
                </c:pt>
                <c:pt idx="11">
                  <c:v>-6488</c:v>
                </c:pt>
              </c:numCache>
            </c:numRef>
          </c:val>
          <c:extLst>
            <c:ext xmlns:c16="http://schemas.microsoft.com/office/drawing/2014/chart" uri="{C3380CC4-5D6E-409C-BE32-E72D297353CC}">
              <c16:uniqueId val="{00000001-C795-40B1-B876-C13F1BAD34FA}"/>
            </c:ext>
          </c:extLst>
        </c:ser>
        <c:dLbls>
          <c:showLegendKey val="0"/>
          <c:showVal val="0"/>
          <c:showCatName val="0"/>
          <c:showSerName val="0"/>
          <c:showPercent val="0"/>
          <c:showBubbleSize val="0"/>
        </c:dLbls>
        <c:gapWidth val="219"/>
        <c:overlap val="-27"/>
        <c:axId val="898351007"/>
        <c:axId val="898352255"/>
      </c:barChart>
      <c:barChart>
        <c:barDir val="col"/>
        <c:grouping val="clustered"/>
        <c:varyColors val="0"/>
        <c:ser>
          <c:idx val="2"/>
          <c:order val="2"/>
          <c:tx>
            <c:strRef>
              <c:f>'F 13'!$D$3</c:f>
              <c:strCache>
                <c:ptCount val="1"/>
                <c:pt idx="0">
                  <c:v>Debt-VRR (RHS)</c:v>
                </c:pt>
              </c:strCache>
            </c:strRef>
          </c:tx>
          <c:spPr>
            <a:solidFill>
              <a:schemeClr val="accent3"/>
            </a:solidFill>
            <a:ln>
              <a:noFill/>
            </a:ln>
            <a:effectLst/>
          </c:spPr>
          <c:invertIfNegative val="0"/>
          <c:cat>
            <c:numRef>
              <c:f>'F 13'!$A$4:$A$15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 13'!$D$4:$D$15</c:f>
              <c:numCache>
                <c:formatCode>#,##0</c:formatCode>
                <c:ptCount val="12"/>
                <c:pt idx="0">
                  <c:v>4165</c:v>
                </c:pt>
                <c:pt idx="1">
                  <c:v>4033</c:v>
                </c:pt>
                <c:pt idx="2">
                  <c:v>1000</c:v>
                </c:pt>
                <c:pt idx="3">
                  <c:v>3766</c:v>
                </c:pt>
                <c:pt idx="4">
                  <c:v>-1786</c:v>
                </c:pt>
                <c:pt idx="5">
                  <c:v>2762</c:v>
                </c:pt>
                <c:pt idx="6">
                  <c:v>406</c:v>
                </c:pt>
                <c:pt idx="7">
                  <c:v>851</c:v>
                </c:pt>
                <c:pt idx="8">
                  <c:v>4399</c:v>
                </c:pt>
                <c:pt idx="9">
                  <c:v>2463</c:v>
                </c:pt>
                <c:pt idx="10">
                  <c:v>-2306</c:v>
                </c:pt>
                <c:pt idx="11">
                  <c:v>4364</c:v>
                </c:pt>
              </c:numCache>
            </c:numRef>
          </c:val>
          <c:extLst>
            <c:ext xmlns:c16="http://schemas.microsoft.com/office/drawing/2014/chart" uri="{C3380CC4-5D6E-409C-BE32-E72D297353CC}">
              <c16:uniqueId val="{00000002-C795-40B1-B876-C13F1BAD34FA}"/>
            </c:ext>
          </c:extLst>
        </c:ser>
        <c:ser>
          <c:idx val="3"/>
          <c:order val="3"/>
          <c:tx>
            <c:strRef>
              <c:f>'F 13'!$E$3</c:f>
              <c:strCache>
                <c:ptCount val="1"/>
                <c:pt idx="0">
                  <c:v>Hybrid  (RHS)</c:v>
                </c:pt>
              </c:strCache>
            </c:strRef>
          </c:tx>
          <c:spPr>
            <a:solidFill>
              <a:schemeClr val="accent4"/>
            </a:solidFill>
            <a:ln>
              <a:noFill/>
            </a:ln>
            <a:effectLst/>
          </c:spPr>
          <c:invertIfNegative val="0"/>
          <c:cat>
            <c:numRef>
              <c:f>'F 13'!$A$4:$A$15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 13'!$E$4:$E$15</c:f>
              <c:numCache>
                <c:formatCode>#,##0</c:formatCode>
                <c:ptCount val="12"/>
                <c:pt idx="0">
                  <c:v>-19</c:v>
                </c:pt>
                <c:pt idx="1">
                  <c:v>544</c:v>
                </c:pt>
                <c:pt idx="2">
                  <c:v>11</c:v>
                </c:pt>
                <c:pt idx="3">
                  <c:v>1957</c:v>
                </c:pt>
                <c:pt idx="4">
                  <c:v>1</c:v>
                </c:pt>
                <c:pt idx="5">
                  <c:v>3347</c:v>
                </c:pt>
                <c:pt idx="6">
                  <c:v>2222</c:v>
                </c:pt>
                <c:pt idx="7">
                  <c:v>-207</c:v>
                </c:pt>
                <c:pt idx="8">
                  <c:v>-169</c:v>
                </c:pt>
                <c:pt idx="9">
                  <c:v>2489</c:v>
                </c:pt>
                <c:pt idx="10">
                  <c:v>-17</c:v>
                </c:pt>
                <c:pt idx="11">
                  <c:v>350</c:v>
                </c:pt>
              </c:numCache>
            </c:numRef>
          </c:val>
          <c:extLst>
            <c:ext xmlns:c16="http://schemas.microsoft.com/office/drawing/2014/chart" uri="{C3380CC4-5D6E-409C-BE32-E72D297353CC}">
              <c16:uniqueId val="{00000003-C795-40B1-B876-C13F1BAD34FA}"/>
            </c:ext>
          </c:extLst>
        </c:ser>
        <c:dLbls>
          <c:showLegendKey val="0"/>
          <c:showVal val="0"/>
          <c:showCatName val="0"/>
          <c:showSerName val="0"/>
          <c:showPercent val="0"/>
          <c:showBubbleSize val="0"/>
        </c:dLbls>
        <c:gapWidth val="219"/>
        <c:overlap val="-27"/>
        <c:axId val="1301685743"/>
        <c:axId val="1192661679"/>
      </c:barChart>
      <c:lineChart>
        <c:grouping val="standard"/>
        <c:varyColors val="0"/>
        <c:ser>
          <c:idx val="4"/>
          <c:order val="4"/>
          <c:tx>
            <c:strRef>
              <c:f>'F 13'!$F$3</c:f>
              <c:strCache>
                <c:ptCount val="1"/>
                <c:pt idx="0">
                  <c:v>Total (LHS)</c:v>
                </c:pt>
              </c:strCache>
            </c:strRef>
          </c:tx>
          <c:spPr>
            <a:ln w="28575" cap="rnd">
              <a:solidFill>
                <a:schemeClr val="accent5"/>
              </a:solidFill>
              <a:round/>
            </a:ln>
            <a:effectLst/>
          </c:spPr>
          <c:marker>
            <c:symbol val="none"/>
          </c:marker>
          <c:cat>
            <c:numRef>
              <c:f>'F 13'!$A$4:$A$15</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 13'!$F$4:$F$15</c:f>
              <c:numCache>
                <c:formatCode>#,##0</c:formatCode>
                <c:ptCount val="12"/>
                <c:pt idx="0">
                  <c:v>-118203</c:v>
                </c:pt>
                <c:pt idx="1">
                  <c:v>-14859</c:v>
                </c:pt>
                <c:pt idx="2">
                  <c:v>-7356</c:v>
                </c:pt>
                <c:pt idx="3">
                  <c:v>26009</c:v>
                </c:pt>
                <c:pt idx="4">
                  <c:v>3301</c:v>
                </c:pt>
                <c:pt idx="5">
                  <c:v>49879</c:v>
                </c:pt>
                <c:pt idx="6">
                  <c:v>-1196</c:v>
                </c:pt>
                <c:pt idx="7">
                  <c:v>21826</c:v>
                </c:pt>
                <c:pt idx="8">
                  <c:v>62782</c:v>
                </c:pt>
                <c:pt idx="9">
                  <c:v>71046</c:v>
                </c:pt>
                <c:pt idx="10">
                  <c:v>14631</c:v>
                </c:pt>
                <c:pt idx="11">
                  <c:v>24013</c:v>
                </c:pt>
              </c:numCache>
            </c:numRef>
          </c:val>
          <c:smooth val="0"/>
          <c:extLst>
            <c:ext xmlns:c16="http://schemas.microsoft.com/office/drawing/2014/chart" uri="{C3380CC4-5D6E-409C-BE32-E72D297353CC}">
              <c16:uniqueId val="{00000004-C795-40B1-B876-C13F1BAD34FA}"/>
            </c:ext>
          </c:extLst>
        </c:ser>
        <c:dLbls>
          <c:showLegendKey val="0"/>
          <c:showVal val="0"/>
          <c:showCatName val="0"/>
          <c:showSerName val="0"/>
          <c:showPercent val="0"/>
          <c:showBubbleSize val="0"/>
        </c:dLbls>
        <c:marker val="1"/>
        <c:smooth val="0"/>
        <c:axId val="898351007"/>
        <c:axId val="898352255"/>
      </c:lineChart>
      <c:dateAx>
        <c:axId val="898351007"/>
        <c:scaling>
          <c:orientation val="minMax"/>
        </c:scaling>
        <c:delete val="0"/>
        <c:axPos val="b"/>
        <c:numFmt formatCode="[$-409]mmm\-yy"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2255"/>
        <c:crosses val="autoZero"/>
        <c:auto val="1"/>
        <c:lblOffset val="100"/>
        <c:baseTimeUnit val="months"/>
      </c:dateAx>
      <c:valAx>
        <c:axId val="898352255"/>
        <c:scaling>
          <c:orientation val="minMax"/>
          <c:max val="80000"/>
          <c:min val="-12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98351007"/>
        <c:crosses val="autoZero"/>
        <c:crossBetween val="between"/>
      </c:valAx>
      <c:valAx>
        <c:axId val="1192661679"/>
        <c:scaling>
          <c:orientation val="minMax"/>
          <c:max val="8000"/>
          <c:min val="-12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01685743"/>
        <c:crosses val="max"/>
        <c:crossBetween val="between"/>
      </c:valAx>
      <c:dateAx>
        <c:axId val="1301685743"/>
        <c:scaling>
          <c:orientation val="minMax"/>
        </c:scaling>
        <c:delete val="1"/>
        <c:axPos val="b"/>
        <c:numFmt formatCode="[$-409]mmm\-yy" sourceLinked="1"/>
        <c:majorTickMark val="out"/>
        <c:minorTickMark val="none"/>
        <c:tickLblPos val="nextTo"/>
        <c:crossAx val="1192661679"/>
        <c:crosses val="autoZero"/>
        <c:auto val="1"/>
        <c:lblOffset val="100"/>
        <c:baseTimeUnit val="months"/>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'F14'!$I$4:$I$5</c:f>
              <c:strCache>
                <c:ptCount val="2"/>
                <c:pt idx="0">
                  <c:v>Closed Value (RHS)</c:v>
                </c:pt>
              </c:strCache>
            </c:strRef>
          </c:tx>
          <c:spPr>
            <a:solidFill>
              <a:srgbClr val="FF0000"/>
            </a:solidFill>
            <a:ln>
              <a:noFill/>
            </a:ln>
            <a:effectLst/>
          </c:spPr>
          <c:invertIfNegative val="0"/>
          <c:cat>
            <c:numRef>
              <c:f>'F14'!$A$6:$A$17</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'F14'!$I$6:$I$17</c:f>
              <c:numCache>
                <c:formatCode>#,##0;\-#,##0;0.0</c:formatCode>
                <c:ptCount val="12"/>
                <c:pt idx="0">
                  <c:v>465.13</c:v>
                </c:pt>
                <c:pt idx="1">
                  <c:v>3.72</c:v>
                </c:pt>
                <c:pt idx="2" formatCode="General">
                  <c:v>0</c:v>
                </c:pt>
                <c:pt idx="3">
                  <c:v>1088.1099999999999</c:v>
                </c:pt>
                <c:pt idx="4">
                  <c:v>528.16</c:v>
                </c:pt>
                <c:pt idx="5">
                  <c:v>3861.67</c:v>
                </c:pt>
                <c:pt idx="6">
                  <c:v>3010.3900000000003</c:v>
                </c:pt>
                <c:pt idx="7">
                  <c:v>480.5</c:v>
                </c:pt>
                <c:pt idx="8">
                  <c:v>0</c:v>
                </c:pt>
                <c:pt idx="9">
                  <c:v>47.49</c:v>
                </c:pt>
                <c:pt idx="10">
                  <c:v>140.80000000000001</c:v>
                </c:pt>
                <c:pt idx="11">
                  <c:v>211.18</c:v>
                </c:pt>
              </c:numCache>
            </c:numRef>
          </c:val>
          <c:extLst>
            <c:ext xmlns:c16="http://schemas.microsoft.com/office/drawing/2014/chart" uri="{C3380CC4-5D6E-409C-BE32-E72D297353CC}">
              <c16:uniqueId val="{00000000-1A84-49FB-955D-5B9543E09BB4}"/>
            </c:ext>
          </c:extLst>
        </c:ser>
        <c:dLbls>
          <c:showLegendKey val="0"/>
          <c:showVal val="0"/>
          <c:showCatName val="0"/>
          <c:showSerName val="0"/>
          <c:showPercent val="0"/>
          <c:showBubbleSize val="0"/>
        </c:dLbls>
        <c:gapWidth val="219"/>
        <c:axId val="1342813983"/>
        <c:axId val="1342813567"/>
      </c:barChart>
      <c:lineChart>
        <c:grouping val="standard"/>
        <c:varyColors val="0"/>
        <c:ser>
          <c:idx val="0"/>
          <c:order val="0"/>
          <c:tx>
            <c:strRef>
              <c:f>'F14'!$H$4:$H$5</c:f>
              <c:strCache>
                <c:ptCount val="2"/>
                <c:pt idx="0">
                  <c:v> Open Offers (LHS)</c:v>
                </c:pt>
              </c:strCache>
            </c:strRef>
          </c:tx>
          <c:spPr>
            <a:ln w="28575" cap="rnd">
              <a:solidFill>
                <a:srgbClr val="00B050"/>
              </a:solidFill>
              <a:round/>
            </a:ln>
            <a:effectLst/>
          </c:spPr>
          <c:marker>
            <c:symbol val="none"/>
          </c:marker>
          <c:cat>
            <c:numRef>
              <c:f>'F14'!$A$6:$A$17</c:f>
              <c:numCache>
                <c:formatCode>[$-409]mmm\-yy</c:formatCode>
                <c:ptCount val="12"/>
                <c:pt idx="0">
                  <c:v>43900</c:v>
                </c:pt>
                <c:pt idx="1">
                  <c:v>43931</c:v>
                </c:pt>
                <c:pt idx="2">
                  <c:v>43961</c:v>
                </c:pt>
                <c:pt idx="3">
                  <c:v>43992</c:v>
                </c:pt>
                <c:pt idx="4">
                  <c:v>44022</c:v>
                </c:pt>
                <c:pt idx="5">
                  <c:v>44053</c:v>
                </c:pt>
                <c:pt idx="6">
                  <c:v>44084</c:v>
                </c:pt>
                <c:pt idx="7">
                  <c:v>44114</c:v>
                </c:pt>
                <c:pt idx="8">
                  <c:v>44145</c:v>
                </c:pt>
                <c:pt idx="9">
                  <c:v>44175</c:v>
                </c:pt>
                <c:pt idx="10">
                  <c:v>44206</c:v>
                </c:pt>
                <c:pt idx="11">
                  <c:v>44237</c:v>
                </c:pt>
              </c:numCache>
            </c:numRef>
          </c:cat>
          <c:val>
            <c:numRef>
              <c:f>'F14'!$H$6:$H$17</c:f>
              <c:numCache>
                <c:formatCode>General</c:formatCode>
                <c:ptCount val="12"/>
                <c:pt idx="0">
                  <c:v>7</c:v>
                </c:pt>
                <c:pt idx="1">
                  <c:v>3</c:v>
                </c:pt>
                <c:pt idx="2">
                  <c:v>0</c:v>
                </c:pt>
                <c:pt idx="3">
                  <c:v>4</c:v>
                </c:pt>
                <c:pt idx="4">
                  <c:v>2</c:v>
                </c:pt>
                <c:pt idx="5">
                  <c:v>9</c:v>
                </c:pt>
                <c:pt idx="6">
                  <c:v>6</c:v>
                </c:pt>
                <c:pt idx="7">
                  <c:v>6</c:v>
                </c:pt>
                <c:pt idx="8">
                  <c:v>0</c:v>
                </c:pt>
                <c:pt idx="9">
                  <c:v>4</c:v>
                </c:pt>
                <c:pt idx="10">
                  <c:v>3</c:v>
                </c:pt>
                <c:pt idx="11">
                  <c:v>5</c:v>
                </c:pt>
              </c:numCache>
            </c:numRef>
          </c:val>
          <c:smooth val="0"/>
          <c:extLst>
            <c:ext xmlns:c16="http://schemas.microsoft.com/office/drawing/2014/chart" uri="{C3380CC4-5D6E-409C-BE32-E72D297353CC}">
              <c16:uniqueId val="{00000001-1A84-49FB-955D-5B9543E09BB4}"/>
            </c:ext>
          </c:extLst>
        </c:ser>
        <c:dLbls>
          <c:showLegendKey val="0"/>
          <c:showVal val="0"/>
          <c:showCatName val="0"/>
          <c:showSerName val="0"/>
          <c:showPercent val="0"/>
          <c:showBubbleSize val="0"/>
        </c:dLbls>
        <c:marker val="1"/>
        <c:smooth val="0"/>
        <c:axId val="1192658767"/>
        <c:axId val="1192659599"/>
      </c:lineChart>
      <c:dateAx>
        <c:axId val="1192658767"/>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9599"/>
        <c:crosses val="autoZero"/>
        <c:auto val="1"/>
        <c:lblOffset val="100"/>
        <c:baseTimeUnit val="months"/>
      </c:dateAx>
      <c:valAx>
        <c:axId val="119265959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US"/>
                  <a:t>Number</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192658767"/>
        <c:crosses val="autoZero"/>
        <c:crossBetween val="between"/>
        <c:majorUnit val="2"/>
      </c:valAx>
      <c:valAx>
        <c:axId val="1342813567"/>
        <c:scaling>
          <c:orientation val="minMax"/>
          <c:max val="4000"/>
        </c:scaling>
        <c:delete val="0"/>
        <c:axPos val="r"/>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r>
                  <a:rPr lang="en-IN" sz="1000" b="1" i="0" u="none" strike="noStrike" kern="1200" baseline="0">
                    <a:solidFill>
                      <a:sysClr val="windowText" lastClr="000000">
                        <a:lumMod val="65000"/>
                        <a:lumOff val="35000"/>
                      </a:sysClr>
                    </a:solidFill>
                    <a:latin typeface="Palatino Linotype" panose="02040502050505030304" pitchFamily="18" charset="0"/>
                    <a:ea typeface="+mn-ea"/>
                    <a:cs typeface="+mn-cs"/>
                  </a:rPr>
                  <a:t>`</a:t>
                </a:r>
                <a:r>
                  <a:rPr lang="en-IN"/>
                  <a:t> Crore</a:t>
                </a:r>
              </a:p>
            </c:rich>
          </c:tx>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title>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1342813983"/>
        <c:crosses val="max"/>
        <c:crossBetween val="between"/>
      </c:valAx>
      <c:dateAx>
        <c:axId val="1342813983"/>
        <c:scaling>
          <c:orientation val="minMax"/>
        </c:scaling>
        <c:delete val="1"/>
        <c:axPos val="b"/>
        <c:numFmt formatCode="[$-409]mmm\-yy" sourceLinked="1"/>
        <c:majorTickMark val="out"/>
        <c:minorTickMark val="none"/>
        <c:tickLblPos val="nextTo"/>
        <c:crossAx val="1342813567"/>
        <c:crosses val="autoZero"/>
        <c:auto val="1"/>
        <c:lblOffset val="100"/>
        <c:baseTimeUnit val="months"/>
        <c:majorUnit val="1"/>
        <c:minorUnit val="1"/>
      </c:date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Palatino Linotype" panose="02040502050505030304" pitchFamily="18"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MCX iComdex Composite index</c:v>
          </c:tx>
          <c:spPr>
            <a:ln w="28575" cap="rnd">
              <a:solidFill>
                <a:schemeClr val="accent1"/>
              </a:solidFill>
              <a:round/>
            </a:ln>
            <a:effectLst/>
          </c:spPr>
          <c:marker>
            <c:symbol val="none"/>
          </c:marker>
          <c:cat>
            <c:numRef>
              <c:f>Graph!$D$215:$D$235</c:f>
              <c:numCache>
                <c:formatCode>d\-mmm\-yy</c:formatCode>
                <c:ptCount val="21"/>
                <c:pt idx="0">
                  <c:v>44225</c:v>
                </c:pt>
                <c:pt idx="1">
                  <c:v>44228</c:v>
                </c:pt>
                <c:pt idx="2">
                  <c:v>44229</c:v>
                </c:pt>
                <c:pt idx="3">
                  <c:v>44230</c:v>
                </c:pt>
                <c:pt idx="4">
                  <c:v>44231</c:v>
                </c:pt>
                <c:pt idx="5">
                  <c:v>44232</c:v>
                </c:pt>
                <c:pt idx="6">
                  <c:v>44235</c:v>
                </c:pt>
                <c:pt idx="7">
                  <c:v>44236</c:v>
                </c:pt>
                <c:pt idx="8">
                  <c:v>44237</c:v>
                </c:pt>
                <c:pt idx="9">
                  <c:v>44238</c:v>
                </c:pt>
                <c:pt idx="10">
                  <c:v>44239</c:v>
                </c:pt>
                <c:pt idx="11">
                  <c:v>44242</c:v>
                </c:pt>
                <c:pt idx="12">
                  <c:v>44243</c:v>
                </c:pt>
                <c:pt idx="13">
                  <c:v>44244</c:v>
                </c:pt>
                <c:pt idx="14">
                  <c:v>44245</c:v>
                </c:pt>
                <c:pt idx="15">
                  <c:v>44246</c:v>
                </c:pt>
                <c:pt idx="16">
                  <c:v>44249</c:v>
                </c:pt>
                <c:pt idx="17">
                  <c:v>44250</c:v>
                </c:pt>
                <c:pt idx="18">
                  <c:v>44251</c:v>
                </c:pt>
                <c:pt idx="19">
                  <c:v>44252</c:v>
                </c:pt>
                <c:pt idx="20">
                  <c:v>44253</c:v>
                </c:pt>
              </c:numCache>
            </c:numRef>
          </c:cat>
          <c:val>
            <c:numRef>
              <c:f>Graph!$E$195:$E$235</c:f>
              <c:numCache>
                <c:formatCode>_(* #,##0.00_);_(* \(#,##0.00\);_(* "-"??_);_(@_)</c:formatCode>
                <c:ptCount val="41"/>
                <c:pt idx="0">
                  <c:v>100</c:v>
                </c:pt>
                <c:pt idx="1">
                  <c:v>100.17298534432366</c:v>
                </c:pt>
                <c:pt idx="2">
                  <c:v>101.91607211879914</c:v>
                </c:pt>
                <c:pt idx="3">
                  <c:v>103.55776682299133</c:v>
                </c:pt>
                <c:pt idx="4">
                  <c:v>102.90019402538894</c:v>
                </c:pt>
                <c:pt idx="5">
                  <c:v>103.70647519274013</c:v>
                </c:pt>
                <c:pt idx="6">
                  <c:v>100.90976772171541</c:v>
                </c:pt>
                <c:pt idx="7">
                  <c:v>100.73183177865491</c:v>
                </c:pt>
                <c:pt idx="8">
                  <c:v>101.23936335300242</c:v>
                </c:pt>
                <c:pt idx="9">
                  <c:v>101.40492279922084</c:v>
                </c:pt>
                <c:pt idx="10">
                  <c:v>101.60665969774689</c:v>
                </c:pt>
                <c:pt idx="11">
                  <c:v>100.04969639501206</c:v>
                </c:pt>
                <c:pt idx="12">
                  <c:v>100.38576588618571</c:v>
                </c:pt>
                <c:pt idx="13">
                  <c:v>100.72735719902738</c:v>
                </c:pt>
                <c:pt idx="14">
                  <c:v>101.56629327727728</c:v>
                </c:pt>
                <c:pt idx="15">
                  <c:v>101.63655369781161</c:v>
                </c:pt>
                <c:pt idx="16">
                  <c:v>100.85036053687335</c:v>
                </c:pt>
                <c:pt idx="17">
                  <c:v>100.9449931358044</c:v>
                </c:pt>
                <c:pt idx="18">
                  <c:v>100.64348263196673</c:v>
                </c:pt>
                <c:pt idx="19">
                  <c:v>100.55675195025024</c:v>
                </c:pt>
                <c:pt idx="20">
                  <c:v>100</c:v>
                </c:pt>
                <c:pt idx="21">
                  <c:v>101.08093525010786</c:v>
                </c:pt>
                <c:pt idx="22">
                  <c:v>99.149934997241004</c:v>
                </c:pt>
                <c:pt idx="23">
                  <c:v>99.594097016265238</c:v>
                </c:pt>
                <c:pt idx="24">
                  <c:v>98.560539048186612</c:v>
                </c:pt>
                <c:pt idx="25">
                  <c:v>100.19561929345805</c:v>
                </c:pt>
                <c:pt idx="26">
                  <c:v>101.42846265419939</c:v>
                </c:pt>
                <c:pt idx="27">
                  <c:v>101.84846601949046</c:v>
                </c:pt>
                <c:pt idx="28">
                  <c:v>102.08394239148109</c:v>
                </c:pt>
                <c:pt idx="29">
                  <c:v>101.5893010064852</c:v>
                </c:pt>
                <c:pt idx="30">
                  <c:v>102.0063902929213</c:v>
                </c:pt>
                <c:pt idx="31">
                  <c:v>102.58854804611009</c:v>
                </c:pt>
                <c:pt idx="32">
                  <c:v>102.41830943945341</c:v>
                </c:pt>
                <c:pt idx="33">
                  <c:v>102.06880798194398</c:v>
                </c:pt>
                <c:pt idx="34">
                  <c:v>102.15463230435013</c:v>
                </c:pt>
                <c:pt idx="35">
                  <c:v>102.6512477427639</c:v>
                </c:pt>
                <c:pt idx="36">
                  <c:v>104.15105832763832</c:v>
                </c:pt>
                <c:pt idx="37">
                  <c:v>103.97113745897961</c:v>
                </c:pt>
                <c:pt idx="38">
                  <c:v>104.44237221059201</c:v>
                </c:pt>
                <c:pt idx="39">
                  <c:v>104.04145136167384</c:v>
                </c:pt>
                <c:pt idx="40">
                  <c:v>102.65049572241422</c:v>
                </c:pt>
              </c:numCache>
            </c:numRef>
          </c:val>
          <c:smooth val="0"/>
          <c:extLst>
            <c:ext xmlns:c16="http://schemas.microsoft.com/office/drawing/2014/chart" uri="{C3380CC4-5D6E-409C-BE32-E72D297353CC}">
              <c16:uniqueId val="{00000000-0E20-47D4-9A1F-AEC255F9805F}"/>
            </c:ext>
          </c:extLst>
        </c:ser>
        <c:ser>
          <c:idx val="1"/>
          <c:order val="1"/>
          <c:tx>
            <c:v>NCDEX Nkrishi Index</c:v>
          </c:tx>
          <c:spPr>
            <a:ln w="28575" cap="rnd">
              <a:solidFill>
                <a:schemeClr val="accent2"/>
              </a:solidFill>
              <a:round/>
            </a:ln>
            <a:effectLst/>
          </c:spPr>
          <c:marker>
            <c:symbol val="none"/>
          </c:marker>
          <c:cat>
            <c:numRef>
              <c:f>Graph!$D$215:$D$235</c:f>
              <c:numCache>
                <c:formatCode>d\-mmm\-yy</c:formatCode>
                <c:ptCount val="21"/>
                <c:pt idx="0">
                  <c:v>44225</c:v>
                </c:pt>
                <c:pt idx="1">
                  <c:v>44228</c:v>
                </c:pt>
                <c:pt idx="2">
                  <c:v>44229</c:v>
                </c:pt>
                <c:pt idx="3">
                  <c:v>44230</c:v>
                </c:pt>
                <c:pt idx="4">
                  <c:v>44231</c:v>
                </c:pt>
                <c:pt idx="5">
                  <c:v>44232</c:v>
                </c:pt>
                <c:pt idx="6">
                  <c:v>44235</c:v>
                </c:pt>
                <c:pt idx="7">
                  <c:v>44236</c:v>
                </c:pt>
                <c:pt idx="8">
                  <c:v>44237</c:v>
                </c:pt>
                <c:pt idx="9">
                  <c:v>44238</c:v>
                </c:pt>
                <c:pt idx="10">
                  <c:v>44239</c:v>
                </c:pt>
                <c:pt idx="11">
                  <c:v>44242</c:v>
                </c:pt>
                <c:pt idx="12">
                  <c:v>44243</c:v>
                </c:pt>
                <c:pt idx="13">
                  <c:v>44244</c:v>
                </c:pt>
                <c:pt idx="14">
                  <c:v>44245</c:v>
                </c:pt>
                <c:pt idx="15">
                  <c:v>44246</c:v>
                </c:pt>
                <c:pt idx="16">
                  <c:v>44249</c:v>
                </c:pt>
                <c:pt idx="17">
                  <c:v>44250</c:v>
                </c:pt>
                <c:pt idx="18">
                  <c:v>44251</c:v>
                </c:pt>
                <c:pt idx="19">
                  <c:v>44252</c:v>
                </c:pt>
                <c:pt idx="20">
                  <c:v>44253</c:v>
                </c:pt>
              </c:numCache>
            </c:numRef>
          </c:cat>
          <c:val>
            <c:numRef>
              <c:f>Graph!$F$215:$F$235</c:f>
              <c:numCache>
                <c:formatCode>_(* #,##0.00_);_(* \(#,##0.00\);_(* "-"??_);_(@_)</c:formatCode>
                <c:ptCount val="21"/>
                <c:pt idx="0">
                  <c:v>100</c:v>
                </c:pt>
                <c:pt idx="1">
                  <c:v>99.482742811527444</c:v>
                </c:pt>
                <c:pt idx="2">
                  <c:v>100.10625616906059</c:v>
                </c:pt>
                <c:pt idx="3">
                  <c:v>100.30852045026728</c:v>
                </c:pt>
                <c:pt idx="4">
                  <c:v>101.97733561307655</c:v>
                </c:pt>
                <c:pt idx="5">
                  <c:v>102.40424808927679</c:v>
                </c:pt>
                <c:pt idx="6">
                  <c:v>102.23461577877146</c:v>
                </c:pt>
                <c:pt idx="7">
                  <c:v>102.76293008128332</c:v>
                </c:pt>
                <c:pt idx="8">
                  <c:v>102.14939509495638</c:v>
                </c:pt>
                <c:pt idx="9">
                  <c:v>101.8047367597802</c:v>
                </c:pt>
                <c:pt idx="10">
                  <c:v>102.07442246805577</c:v>
                </c:pt>
                <c:pt idx="11">
                  <c:v>102.43283477435401</c:v>
                </c:pt>
                <c:pt idx="12">
                  <c:v>103.52506189287008</c:v>
                </c:pt>
                <c:pt idx="13">
                  <c:v>103.90990339857932</c:v>
                </c:pt>
                <c:pt idx="14">
                  <c:v>103.32333698307994</c:v>
                </c:pt>
                <c:pt idx="15">
                  <c:v>102.6801365688427</c:v>
                </c:pt>
                <c:pt idx="16">
                  <c:v>102.97975739073686</c:v>
                </c:pt>
                <c:pt idx="17">
                  <c:v>103.50645357899906</c:v>
                </c:pt>
                <c:pt idx="18">
                  <c:v>103.69550326050025</c:v>
                </c:pt>
                <c:pt idx="19">
                  <c:v>106.2542812606189</c:v>
                </c:pt>
                <c:pt idx="20">
                  <c:v>105.19441642709589</c:v>
                </c:pt>
              </c:numCache>
            </c:numRef>
          </c:val>
          <c:smooth val="0"/>
          <c:extLst>
            <c:ext xmlns:c16="http://schemas.microsoft.com/office/drawing/2014/chart" uri="{C3380CC4-5D6E-409C-BE32-E72D297353CC}">
              <c16:uniqueId val="{00000001-0E20-47D4-9A1F-AEC255F9805F}"/>
            </c:ext>
          </c:extLst>
        </c:ser>
        <c:dLbls>
          <c:showLegendKey val="0"/>
          <c:showVal val="0"/>
          <c:showCatName val="0"/>
          <c:showSerName val="0"/>
          <c:showPercent val="0"/>
          <c:showBubbleSize val="0"/>
        </c:dLbls>
        <c:smooth val="0"/>
        <c:axId val="372199384"/>
        <c:axId val="372202912"/>
      </c:lineChart>
      <c:dateAx>
        <c:axId val="372199384"/>
        <c:scaling>
          <c:orientation val="minMax"/>
        </c:scaling>
        <c:delete val="0"/>
        <c:axPos val="b"/>
        <c:numFmt formatCode="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72202912"/>
        <c:crosses val="autoZero"/>
        <c:auto val="1"/>
        <c:lblOffset val="100"/>
        <c:baseTimeUnit val="days"/>
        <c:majorUnit val="2"/>
        <c:majorTimeUnit val="days"/>
      </c:dateAx>
      <c:valAx>
        <c:axId val="372202912"/>
        <c:scaling>
          <c:orientation val="minMax"/>
          <c:max val="107"/>
          <c:min val="98"/>
        </c:scaling>
        <c:delete val="0"/>
        <c:axPos val="l"/>
        <c:majorGridlines>
          <c:spPr>
            <a:ln w="9525" cap="flat" cmpd="sng" algn="ctr">
              <a:solidFill>
                <a:srgbClr val="0070C0"/>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372199384"/>
        <c:crosses val="autoZero"/>
        <c:crossBetween val="between"/>
        <c:majorUnit val="2"/>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27752615371433"/>
          <c:y val="2.3414388003439247E-2"/>
          <c:w val="0.78749864010268145"/>
          <c:h val="0.64042712487673603"/>
        </c:manualLayout>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charts'!$A$42:$A$54</c:f>
              <c:numCache>
                <c:formatCode>mmm\-yy</c:formatCode>
                <c:ptCount val="12"/>
                <c:pt idx="0">
                  <c:v>43891</c:v>
                </c:pt>
                <c:pt idx="1">
                  <c:v>43922</c:v>
                </c:pt>
                <c:pt idx="2">
                  <c:v>43952</c:v>
                </c:pt>
                <c:pt idx="3">
                  <c:v>43983</c:v>
                </c:pt>
                <c:pt idx="4">
                  <c:v>44013</c:v>
                </c:pt>
                <c:pt idx="5">
                  <c:v>44044</c:v>
                </c:pt>
                <c:pt idx="6">
                  <c:v>44075</c:v>
                </c:pt>
                <c:pt idx="7">
                  <c:v>44105</c:v>
                </c:pt>
                <c:pt idx="8">
                  <c:v>44136</c:v>
                </c:pt>
                <c:pt idx="9">
                  <c:v>44166</c:v>
                </c:pt>
                <c:pt idx="10">
                  <c:v>44197</c:v>
                </c:pt>
                <c:pt idx="11">
                  <c:v>44228</c:v>
                </c:pt>
              </c:numCache>
              <c:extLst/>
            </c:numRef>
          </c:cat>
          <c:val>
            <c:numRef>
              <c:f>'Turnover charts'!$B$42:$B$54</c:f>
              <c:numCache>
                <c:formatCode>#,##0</c:formatCode>
                <c:ptCount val="12"/>
                <c:pt idx="0">
                  <c:v>9969.8466008000014</c:v>
                </c:pt>
                <c:pt idx="1">
                  <c:v>3671.8557304000001</c:v>
                </c:pt>
                <c:pt idx="2">
                  <c:v>4106.3184176000004</c:v>
                </c:pt>
                <c:pt idx="3">
                  <c:v>6367.6581902000007</c:v>
                </c:pt>
                <c:pt idx="4">
                  <c:v>7277.3962512000026</c:v>
                </c:pt>
                <c:pt idx="5">
                  <c:v>5824.4504842000024</c:v>
                </c:pt>
                <c:pt idx="6">
                  <c:v>6838.5318600000001</c:v>
                </c:pt>
                <c:pt idx="7">
                  <c:v>7096.0901250000006</c:v>
                </c:pt>
                <c:pt idx="8">
                  <c:v>10138.218927400003</c:v>
                </c:pt>
                <c:pt idx="9">
                  <c:v>10747.937155000003</c:v>
                </c:pt>
                <c:pt idx="10">
                  <c:v>12653.105590599998</c:v>
                </c:pt>
                <c:pt idx="11">
                  <c:v>12289.256776399998</c:v>
                </c:pt>
              </c:numCache>
              <c:extLst/>
            </c:numRef>
          </c:val>
          <c:extLst>
            <c:ext xmlns:c16="http://schemas.microsoft.com/office/drawing/2014/chart" uri="{C3380CC4-5D6E-409C-BE32-E72D297353CC}">
              <c16:uniqueId val="{00000000-BF4F-4F7D-BCDC-E2440ABC5E52}"/>
            </c:ext>
          </c:extLst>
        </c:ser>
        <c:ser>
          <c:idx val="1"/>
          <c:order val="1"/>
          <c:tx>
            <c:strRef>
              <c:f>'Turnover charts'!$C$3</c:f>
              <c:strCache>
                <c:ptCount val="1"/>
                <c:pt idx="0">
                  <c:v>NCDEX Agri Futures &amp; Options (LHS)</c:v>
                </c:pt>
              </c:strCache>
            </c:strRef>
          </c:tx>
          <c:spPr>
            <a:solidFill>
              <a:srgbClr val="00B050"/>
            </a:solidFill>
            <a:ln>
              <a:solidFill>
                <a:schemeClr val="accent3">
                  <a:lumMod val="75000"/>
                </a:schemeClr>
              </a:solidFill>
            </a:ln>
            <a:effectLst/>
          </c:spPr>
          <c:invertIfNegative val="0"/>
          <c:cat>
            <c:numRef>
              <c:f>'Turnover charts'!$A$42:$A$54</c:f>
              <c:numCache>
                <c:formatCode>mmm\-yy</c:formatCode>
                <c:ptCount val="12"/>
                <c:pt idx="0">
                  <c:v>43891</c:v>
                </c:pt>
                <c:pt idx="1">
                  <c:v>43922</c:v>
                </c:pt>
                <c:pt idx="2">
                  <c:v>43952</c:v>
                </c:pt>
                <c:pt idx="3">
                  <c:v>43983</c:v>
                </c:pt>
                <c:pt idx="4">
                  <c:v>44013</c:v>
                </c:pt>
                <c:pt idx="5">
                  <c:v>44044</c:v>
                </c:pt>
                <c:pt idx="6">
                  <c:v>44075</c:v>
                </c:pt>
                <c:pt idx="7">
                  <c:v>44105</c:v>
                </c:pt>
                <c:pt idx="8">
                  <c:v>44136</c:v>
                </c:pt>
                <c:pt idx="9">
                  <c:v>44166</c:v>
                </c:pt>
                <c:pt idx="10">
                  <c:v>44197</c:v>
                </c:pt>
                <c:pt idx="11">
                  <c:v>44228</c:v>
                </c:pt>
              </c:numCache>
              <c:extLst/>
            </c:numRef>
          </c:cat>
          <c:val>
            <c:numRef>
              <c:f>'Turnover charts'!$C$42:$C$54</c:f>
              <c:numCache>
                <c:formatCode>#,##0</c:formatCode>
                <c:ptCount val="12"/>
                <c:pt idx="0">
                  <c:v>25485.03999999999</c:v>
                </c:pt>
                <c:pt idx="1">
                  <c:v>12561.501194999999</c:v>
                </c:pt>
                <c:pt idx="2">
                  <c:v>11168.988342500001</c:v>
                </c:pt>
                <c:pt idx="3">
                  <c:v>18922.815102500001</c:v>
                </c:pt>
                <c:pt idx="4">
                  <c:v>18054.253055000005</c:v>
                </c:pt>
                <c:pt idx="5">
                  <c:v>23929.732684999995</c:v>
                </c:pt>
                <c:pt idx="6">
                  <c:v>28599.374342499999</c:v>
                </c:pt>
                <c:pt idx="7">
                  <c:v>32560.999704999991</c:v>
                </c:pt>
                <c:pt idx="8">
                  <c:v>31297.897227500001</c:v>
                </c:pt>
                <c:pt idx="9">
                  <c:v>34267.000512499995</c:v>
                </c:pt>
                <c:pt idx="10">
                  <c:v>32707.133774999988</c:v>
                </c:pt>
                <c:pt idx="11">
                  <c:v>30761.034117499996</c:v>
                </c:pt>
              </c:numCache>
              <c:extLst/>
            </c:numRef>
          </c:val>
          <c:extLst>
            <c:ext xmlns:c16="http://schemas.microsoft.com/office/drawing/2014/chart" uri="{C3380CC4-5D6E-409C-BE32-E72D297353CC}">
              <c16:uniqueId val="{00000001-BF4F-4F7D-BCDC-E2440ABC5E52}"/>
            </c:ext>
          </c:extLst>
        </c:ser>
        <c:dLbls>
          <c:showLegendKey val="0"/>
          <c:showVal val="0"/>
          <c:showCatName val="0"/>
          <c:showSerName val="0"/>
          <c:showPercent val="0"/>
          <c:showBubbleSize val="0"/>
        </c:dLbls>
        <c:gapWidth val="219"/>
        <c:axId val="375371576"/>
        <c:axId val="375372752"/>
      </c:barChart>
      <c:lineChart>
        <c:grouping val="standard"/>
        <c:varyColors val="0"/>
        <c:ser>
          <c:idx val="2"/>
          <c:order val="2"/>
          <c:tx>
            <c:strRef>
              <c:f>'Turnover charts'!$D$3</c:f>
              <c:strCache>
                <c:ptCount val="1"/>
                <c:pt idx="0">
                  <c:v>ICEX Agri Futures (RHS)</c:v>
                </c:pt>
              </c:strCache>
            </c:strRef>
          </c:tx>
          <c:spPr>
            <a:ln w="28575" cap="rnd">
              <a:solidFill>
                <a:schemeClr val="accent6"/>
              </a:solidFill>
              <a:round/>
            </a:ln>
            <a:effectLst/>
          </c:spPr>
          <c:marker>
            <c:symbol val="none"/>
          </c:marker>
          <c:cat>
            <c:numRef>
              <c:f>'Turnover charts'!$A$42:$A$54</c:f>
              <c:numCache>
                <c:formatCode>mmm\-yy</c:formatCode>
                <c:ptCount val="12"/>
                <c:pt idx="0">
                  <c:v>43891</c:v>
                </c:pt>
                <c:pt idx="1">
                  <c:v>43922</c:v>
                </c:pt>
                <c:pt idx="2">
                  <c:v>43952</c:v>
                </c:pt>
                <c:pt idx="3">
                  <c:v>43983</c:v>
                </c:pt>
                <c:pt idx="4">
                  <c:v>44013</c:v>
                </c:pt>
                <c:pt idx="5">
                  <c:v>44044</c:v>
                </c:pt>
                <c:pt idx="6">
                  <c:v>44075</c:v>
                </c:pt>
                <c:pt idx="7">
                  <c:v>44105</c:v>
                </c:pt>
                <c:pt idx="8">
                  <c:v>44136</c:v>
                </c:pt>
                <c:pt idx="9">
                  <c:v>44166</c:v>
                </c:pt>
                <c:pt idx="10">
                  <c:v>44197</c:v>
                </c:pt>
                <c:pt idx="11">
                  <c:v>44228</c:v>
                </c:pt>
              </c:numCache>
              <c:extLst/>
            </c:numRef>
          </c:cat>
          <c:val>
            <c:numRef>
              <c:f>'Turnover charts'!$D$42:$D$54</c:f>
              <c:numCache>
                <c:formatCode>#,##0</c:formatCode>
                <c:ptCount val="12"/>
                <c:pt idx="0">
                  <c:v>432.61574500000017</c:v>
                </c:pt>
                <c:pt idx="1">
                  <c:v>213.02189999999999</c:v>
                </c:pt>
                <c:pt idx="2">
                  <c:v>53.65</c:v>
                </c:pt>
                <c:pt idx="3">
                  <c:v>16.16</c:v>
                </c:pt>
                <c:pt idx="4">
                  <c:v>22.481598000000002</c:v>
                </c:pt>
                <c:pt idx="5">
                  <c:v>2.2767149999999998</c:v>
                </c:pt>
                <c:pt idx="6" formatCode="#,##0.0">
                  <c:v>4.0599999999999997E-2</c:v>
                </c:pt>
                <c:pt idx="7" formatCode="#,##0.0">
                  <c:v>0</c:v>
                </c:pt>
                <c:pt idx="8" formatCode="#,##0.0">
                  <c:v>0</c:v>
                </c:pt>
                <c:pt idx="9" formatCode="#,##0.0">
                  <c:v>0.89</c:v>
                </c:pt>
                <c:pt idx="10" formatCode="#,##0.0">
                  <c:v>2.819</c:v>
                </c:pt>
                <c:pt idx="11" formatCode="#,##0.0">
                  <c:v>2.5779999999999998</c:v>
                </c:pt>
              </c:numCache>
              <c:extLst/>
            </c:numRef>
          </c:val>
          <c:smooth val="0"/>
          <c:extLst>
            <c:ext xmlns:c16="http://schemas.microsoft.com/office/drawing/2014/chart" uri="{C3380CC4-5D6E-409C-BE32-E72D297353CC}">
              <c16:uniqueId val="{00000002-BF4F-4F7D-BCDC-E2440ABC5E52}"/>
            </c:ext>
          </c:extLst>
        </c:ser>
        <c:ser>
          <c:idx val="3"/>
          <c:order val="3"/>
          <c:tx>
            <c:strRef>
              <c:f>'Turnover charts'!$E$3</c:f>
              <c:strCache>
                <c:ptCount val="1"/>
                <c:pt idx="0">
                  <c:v>BSE Agri Futures (RHS)</c:v>
                </c:pt>
              </c:strCache>
            </c:strRef>
          </c:tx>
          <c:spPr>
            <a:ln w="28575" cap="rnd">
              <a:solidFill>
                <a:schemeClr val="tx1"/>
              </a:solidFill>
              <a:round/>
            </a:ln>
            <a:effectLst/>
          </c:spPr>
          <c:marker>
            <c:symbol val="none"/>
          </c:marker>
          <c:cat>
            <c:numRef>
              <c:f>'Turnover charts'!$A$42:$A$54</c:f>
              <c:numCache>
                <c:formatCode>mmm\-yy</c:formatCode>
                <c:ptCount val="12"/>
                <c:pt idx="0">
                  <c:v>43891</c:v>
                </c:pt>
                <c:pt idx="1">
                  <c:v>43922</c:v>
                </c:pt>
                <c:pt idx="2">
                  <c:v>43952</c:v>
                </c:pt>
                <c:pt idx="3">
                  <c:v>43983</c:v>
                </c:pt>
                <c:pt idx="4">
                  <c:v>44013</c:v>
                </c:pt>
                <c:pt idx="5">
                  <c:v>44044</c:v>
                </c:pt>
                <c:pt idx="6">
                  <c:v>44075</c:v>
                </c:pt>
                <c:pt idx="7">
                  <c:v>44105</c:v>
                </c:pt>
                <c:pt idx="8">
                  <c:v>44136</c:v>
                </c:pt>
                <c:pt idx="9">
                  <c:v>44166</c:v>
                </c:pt>
                <c:pt idx="10">
                  <c:v>44197</c:v>
                </c:pt>
                <c:pt idx="11">
                  <c:v>44228</c:v>
                </c:pt>
              </c:numCache>
              <c:extLst/>
            </c:numRef>
          </c:cat>
          <c:val>
            <c:numRef>
              <c:f>'Turnover charts'!$E$42:$E$54</c:f>
              <c:numCache>
                <c:formatCode>#,##0</c:formatCode>
                <c:ptCount val="12"/>
                <c:pt idx="0">
                  <c:v>2006.22</c:v>
                </c:pt>
                <c:pt idx="1">
                  <c:v>1001.73313</c:v>
                </c:pt>
                <c:pt idx="2">
                  <c:v>847.49</c:v>
                </c:pt>
                <c:pt idx="3">
                  <c:v>1565.29</c:v>
                </c:pt>
                <c:pt idx="4">
                  <c:v>323.74</c:v>
                </c:pt>
                <c:pt idx="5">
                  <c:v>153.78</c:v>
                </c:pt>
                <c:pt idx="6">
                  <c:v>181.2</c:v>
                </c:pt>
                <c:pt idx="7">
                  <c:v>236.58</c:v>
                </c:pt>
                <c:pt idx="8">
                  <c:v>165.86</c:v>
                </c:pt>
                <c:pt idx="9">
                  <c:v>110.01</c:v>
                </c:pt>
                <c:pt idx="10">
                  <c:v>86.66</c:v>
                </c:pt>
                <c:pt idx="11">
                  <c:v>83.13</c:v>
                </c:pt>
              </c:numCache>
              <c:extLst/>
            </c:numRef>
          </c:val>
          <c:smooth val="0"/>
          <c:extLst>
            <c:ext xmlns:c16="http://schemas.microsoft.com/office/drawing/2014/chart" uri="{C3380CC4-5D6E-409C-BE32-E72D297353CC}">
              <c16:uniqueId val="{00000003-BF4F-4F7D-BCDC-E2440ABC5E52}"/>
            </c:ext>
          </c:extLst>
        </c:ser>
        <c:ser>
          <c:idx val="4"/>
          <c:order val="4"/>
          <c:tx>
            <c:strRef>
              <c:f>'Turnover charts'!$F$3</c:f>
              <c:strCache>
                <c:ptCount val="1"/>
                <c:pt idx="0">
                  <c:v>NSE Agri. Futures(RHS)</c:v>
                </c:pt>
              </c:strCache>
            </c:strRef>
          </c:tx>
          <c:spPr>
            <a:ln w="28575" cap="rnd">
              <a:solidFill>
                <a:srgbClr val="C00000"/>
              </a:solidFill>
              <a:round/>
            </a:ln>
            <a:effectLst/>
          </c:spPr>
          <c:marker>
            <c:symbol val="diamond"/>
            <c:size val="9"/>
            <c:spPr>
              <a:solidFill>
                <a:srgbClr val="C00000"/>
              </a:solidFill>
              <a:ln w="9525">
                <a:solidFill>
                  <a:srgbClr val="C00000"/>
                </a:solidFill>
              </a:ln>
              <a:effectLst/>
            </c:spPr>
          </c:marker>
          <c:cat>
            <c:numRef>
              <c:f>'Turnover charts'!$A$42:$A$54</c:f>
              <c:numCache>
                <c:formatCode>mmm\-yy</c:formatCode>
                <c:ptCount val="12"/>
                <c:pt idx="0">
                  <c:v>43891</c:v>
                </c:pt>
                <c:pt idx="1">
                  <c:v>43922</c:v>
                </c:pt>
                <c:pt idx="2">
                  <c:v>43952</c:v>
                </c:pt>
                <c:pt idx="3">
                  <c:v>43983</c:v>
                </c:pt>
                <c:pt idx="4">
                  <c:v>44013</c:v>
                </c:pt>
                <c:pt idx="5">
                  <c:v>44044</c:v>
                </c:pt>
                <c:pt idx="6">
                  <c:v>44075</c:v>
                </c:pt>
                <c:pt idx="7">
                  <c:v>44105</c:v>
                </c:pt>
                <c:pt idx="8">
                  <c:v>44136</c:v>
                </c:pt>
                <c:pt idx="9">
                  <c:v>44166</c:v>
                </c:pt>
                <c:pt idx="10">
                  <c:v>44197</c:v>
                </c:pt>
                <c:pt idx="11">
                  <c:v>44228</c:v>
                </c:pt>
              </c:numCache>
              <c:extLst/>
            </c:numRef>
          </c:cat>
          <c:val>
            <c:numRef>
              <c:f>'Turnover charts'!$F$42:$F$54</c:f>
              <c:numCache>
                <c:formatCode>#,##0</c:formatCode>
                <c:ptCount val="12"/>
                <c:pt idx="0">
                  <c:v>0</c:v>
                </c:pt>
                <c:pt idx="1">
                  <c:v>0</c:v>
                </c:pt>
                <c:pt idx="2">
                  <c:v>0</c:v>
                </c:pt>
                <c:pt idx="3">
                  <c:v>0</c:v>
                </c:pt>
                <c:pt idx="4">
                  <c:v>0</c:v>
                </c:pt>
                <c:pt idx="5">
                  <c:v>0</c:v>
                </c:pt>
                <c:pt idx="6">
                  <c:v>0</c:v>
                </c:pt>
                <c:pt idx="7">
                  <c:v>0</c:v>
                </c:pt>
                <c:pt idx="8">
                  <c:v>0</c:v>
                </c:pt>
                <c:pt idx="9">
                  <c:v>1433.9238400000006</c:v>
                </c:pt>
                <c:pt idx="10">
                  <c:v>826.19159999999999</c:v>
                </c:pt>
                <c:pt idx="11">
                  <c:v>920.27394000000004</c:v>
                </c:pt>
              </c:numCache>
              <c:extLst/>
            </c:numRef>
          </c:val>
          <c:smooth val="0"/>
          <c:extLst>
            <c:ext xmlns:c16="http://schemas.microsoft.com/office/drawing/2014/chart" uri="{C3380CC4-5D6E-409C-BE32-E72D297353CC}">
              <c16:uniqueId val="{00000004-BF4F-4F7D-BCDC-E2440ABC5E52}"/>
            </c:ext>
          </c:extLst>
        </c:ser>
        <c:dLbls>
          <c:showLegendKey val="0"/>
          <c:showVal val="0"/>
          <c:showCatName val="0"/>
          <c:showSerName val="0"/>
          <c:showPercent val="0"/>
          <c:showBubbleSize val="0"/>
        </c:dLbls>
        <c:marker val="1"/>
        <c:smooth val="0"/>
        <c:axId val="441141992"/>
        <c:axId val="426593856"/>
      </c:lineChart>
      <c:dateAx>
        <c:axId val="375371576"/>
        <c:scaling>
          <c:orientation val="minMax"/>
          <c:max val="44228"/>
          <c:min val="43891"/>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75372752"/>
        <c:crosses val="autoZero"/>
        <c:auto val="0"/>
        <c:lblOffset val="100"/>
        <c:baseTimeUnit val="months"/>
        <c:majorUnit val="1"/>
        <c:majorTimeUnit val="months"/>
      </c:dateAx>
      <c:valAx>
        <c:axId val="375372752"/>
        <c:scaling>
          <c:orientation val="minMax"/>
          <c:max val="4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375371576"/>
        <c:crosses val="autoZero"/>
        <c:crossBetween val="between"/>
      </c:valAx>
      <c:valAx>
        <c:axId val="426593856"/>
        <c:scaling>
          <c:orientation val="minMax"/>
          <c:max val="3000"/>
          <c:min val="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41141992"/>
        <c:crosses val="max"/>
        <c:crossBetween val="between"/>
        <c:majorUnit val="1000"/>
      </c:valAx>
      <c:dateAx>
        <c:axId val="441141992"/>
        <c:scaling>
          <c:orientation val="minMax"/>
        </c:scaling>
        <c:delete val="1"/>
        <c:axPos val="b"/>
        <c:numFmt formatCode="mmm\-yy" sourceLinked="1"/>
        <c:majorTickMark val="out"/>
        <c:minorTickMark val="none"/>
        <c:tickLblPos val="nextTo"/>
        <c:crossAx val="426593856"/>
        <c:crosses val="autoZero"/>
        <c:auto val="0"/>
        <c:lblOffset val="100"/>
        <c:baseTimeUnit val="months"/>
      </c:dateAx>
      <c:spPr>
        <a:noFill/>
        <a:ln>
          <a:noFill/>
        </a:ln>
        <a:effectLst/>
      </c:spPr>
    </c:plotArea>
    <c:legend>
      <c:legendPos val="b"/>
      <c:layout>
        <c:manualLayout>
          <c:xMode val="edge"/>
          <c:yMode val="edge"/>
          <c:x val="0.10164675814571447"/>
          <c:y val="0.81530778480276167"/>
          <c:w val="0.82665128174197633"/>
          <c:h val="0.18469224503435744"/>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bg1">
          <a:lumMod val="65000"/>
        </a:scheme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3940947124360035"/>
          <c:h val="0.72457814568050793"/>
        </c:manualLayout>
      </c:layout>
      <c:barChart>
        <c:barDir val="col"/>
        <c:grouping val="stacked"/>
        <c:varyColors val="0"/>
        <c:ser>
          <c:idx val="0"/>
          <c:order val="0"/>
          <c:tx>
            <c:strRef>
              <c:f>'Turnover charts'!$K$3</c:f>
              <c:strCache>
                <c:ptCount val="1"/>
                <c:pt idx="0">
                  <c:v>MCX Futures (RHS)</c:v>
                </c:pt>
              </c:strCache>
            </c:strRef>
          </c:tx>
          <c:spPr>
            <a:solidFill>
              <a:srgbClr val="92D050"/>
            </a:solidFill>
            <a:ln>
              <a:solidFill>
                <a:sysClr val="windowText" lastClr="000000"/>
              </a:solidFill>
            </a:ln>
            <a:effectLst/>
          </c:spPr>
          <c:invertIfNegative val="0"/>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charts'!$K$4:$K$54</c:f>
              <c:numCache>
                <c:formatCode>_(* #,##0_);_(* \(#,##0\);_(* "-"??_);_(@_)</c:formatCode>
                <c:ptCount val="36"/>
                <c:pt idx="0">
                  <c:v>502333.84615715011</c:v>
                </c:pt>
                <c:pt idx="1">
                  <c:v>554481.07702095003</c:v>
                </c:pt>
                <c:pt idx="2">
                  <c:v>514263.34081070009</c:v>
                </c:pt>
                <c:pt idx="3">
                  <c:v>488935.25250099995</c:v>
                </c:pt>
                <c:pt idx="4">
                  <c:v>510099.26815124979</c:v>
                </c:pt>
                <c:pt idx="5">
                  <c:v>503460.0791320501</c:v>
                </c:pt>
                <c:pt idx="6">
                  <c:v>540136.1876240999</c:v>
                </c:pt>
                <c:pt idx="7">
                  <c:v>602393.52301564987</c:v>
                </c:pt>
                <c:pt idx="8">
                  <c:v>560373.39216535003</c:v>
                </c:pt>
                <c:pt idx="9">
                  <c:v>515431.74569595006</c:v>
                </c:pt>
                <c:pt idx="10">
                  <c:v>600469.55308069987</c:v>
                </c:pt>
                <c:pt idx="11">
                  <c:v>532389.84253700008</c:v>
                </c:pt>
                <c:pt idx="12">
                  <c:v>567761.35483295005</c:v>
                </c:pt>
                <c:pt idx="13">
                  <c:v>516307.34400520008</c:v>
                </c:pt>
                <c:pt idx="14">
                  <c:v>615537.92995134997</c:v>
                </c:pt>
                <c:pt idx="15">
                  <c:v>569240.9336420499</c:v>
                </c:pt>
                <c:pt idx="16">
                  <c:v>716525.07049199997</c:v>
                </c:pt>
                <c:pt idx="17">
                  <c:v>728211.15374000021</c:v>
                </c:pt>
                <c:pt idx="18">
                  <c:v>781695.78193319985</c:v>
                </c:pt>
                <c:pt idx="19">
                  <c:v>668208.51480580005</c:v>
                </c:pt>
                <c:pt idx="20">
                  <c:v>672255.75945409993</c:v>
                </c:pt>
                <c:pt idx="21">
                  <c:v>644422.79156839987</c:v>
                </c:pt>
                <c:pt idx="22">
                  <c:v>827755.84935100004</c:v>
                </c:pt>
                <c:pt idx="23">
                  <c:v>781969.06022450014</c:v>
                </c:pt>
                <c:pt idx="24">
                  <c:v>774725.27535569982</c:v>
                </c:pt>
                <c:pt idx="25">
                  <c:v>278174.58910059999</c:v>
                </c:pt>
                <c:pt idx="26">
                  <c:v>494950.96162219997</c:v>
                </c:pt>
                <c:pt idx="27">
                  <c:v>623568.06468549999</c:v>
                </c:pt>
                <c:pt idx="28">
                  <c:v>846844.32924410037</c:v>
                </c:pt>
                <c:pt idx="29">
                  <c:v>904796.19616849977</c:v>
                </c:pt>
                <c:pt idx="30">
                  <c:v>745965.04735440004</c:v>
                </c:pt>
                <c:pt idx="31">
                  <c:v>691669.15749930032</c:v>
                </c:pt>
                <c:pt idx="32">
                  <c:v>722827.83065649983</c:v>
                </c:pt>
                <c:pt idx="33">
                  <c:v>649285.71545270004</c:v>
                </c:pt>
                <c:pt idx="34">
                  <c:v>631081.49217339978</c:v>
                </c:pt>
                <c:pt idx="35">
                  <c:v>732338.52416479995</c:v>
                </c:pt>
              </c:numCache>
            </c:numRef>
          </c:val>
          <c:extLst xmlns:c15="http://schemas.microsoft.com/office/drawing/2012/chart">
            <c:ext xmlns:c16="http://schemas.microsoft.com/office/drawing/2014/chart" uri="{C3380CC4-5D6E-409C-BE32-E72D297353CC}">
              <c16:uniqueId val="{00000000-8828-4E6B-A103-6AD37F27D2C6}"/>
            </c:ext>
          </c:extLst>
        </c:ser>
        <c:dLbls>
          <c:showLegendKey val="0"/>
          <c:showVal val="0"/>
          <c:showCatName val="0"/>
          <c:showSerName val="0"/>
          <c:showPercent val="0"/>
          <c:showBubbleSize val="0"/>
        </c:dLbls>
        <c:gapWidth val="219"/>
        <c:overlap val="100"/>
        <c:axId val="529592752"/>
        <c:axId val="441141600"/>
        <c:extLst>
          <c:ext xmlns:c15="http://schemas.microsoft.com/office/drawing/2012/chart" uri="{02D57815-91ED-43cb-92C2-25804820EDAC}">
            <c15:filteredBarSeries>
              <c15:ser>
                <c:idx val="1"/>
                <c:order val="1"/>
                <c:tx>
                  <c:strRef>
                    <c:extLst>
                      <c:ext uri="{02D57815-91ED-43cb-92C2-25804820EDAC}">
                        <c15:formulaRef>
                          <c15:sqref>'Turnover charts'!$L$3</c15:sqref>
                        </c15:formulaRef>
                      </c:ext>
                    </c:extLst>
                    <c:strCache>
                      <c:ptCount val="1"/>
                      <c:pt idx="0">
                        <c:v>MCX Options (LHS)</c:v>
                      </c:pt>
                    </c:strCache>
                  </c:strRef>
                </c:tx>
                <c:spPr>
                  <a:solidFill>
                    <a:srgbClr val="92D050"/>
                  </a:solidFill>
                  <a:ln w="12700">
                    <a:solidFill>
                      <a:schemeClr val="tx1">
                        <a:lumMod val="75000"/>
                        <a:lumOff val="25000"/>
                      </a:schemeClr>
                    </a:solidFill>
                  </a:ln>
                  <a:effectLst/>
                </c:spPr>
                <c:invertIfNegative val="0"/>
                <c:cat>
                  <c:numRef>
                    <c:extLst>
                      <c:ext uri="{02D57815-91ED-43cb-92C2-25804820EDAC}">
                        <c15:formulaRef>
                          <c15:sqref>'Turnover charts'!$J$4:$J$54</c15:sqref>
                        </c15:formulaRef>
                      </c:ext>
                    </c:extLst>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extLst>
                      <c:ext uri="{02D57815-91ED-43cb-92C2-25804820EDAC}">
                        <c15:formulaRef>
                          <c15:sqref>'Turnover charts'!$L$4:$L$53</c15:sqref>
                        </c15:formulaRef>
                      </c:ext>
                    </c:extLst>
                    <c:numCache>
                      <c:formatCode>_(* #,##0_);_(* \(#,##0\);_(* "-"??_);_(@_)</c:formatCode>
                      <c:ptCount val="35"/>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numCache>
                  </c:numRef>
                </c:val>
                <c:extLst>
                  <c:ext xmlns:c16="http://schemas.microsoft.com/office/drawing/2014/chart" uri="{C3380CC4-5D6E-409C-BE32-E72D297353CC}">
                    <c16:uniqueId val="{00000005-8828-4E6B-A103-6AD37F27D2C6}"/>
                  </c:ext>
                </c:extLst>
              </c15:ser>
            </c15:filteredBarSeries>
          </c:ext>
        </c:extLst>
      </c:barChart>
      <c:lineChart>
        <c:grouping val="standard"/>
        <c:varyColors val="0"/>
        <c:ser>
          <c:idx val="2"/>
          <c:order val="2"/>
          <c:tx>
            <c:strRef>
              <c:f>'Turnover charts'!$M$3</c:f>
              <c:strCache>
                <c:ptCount val="1"/>
                <c:pt idx="0">
                  <c:v>BSE Futures (LHS)</c:v>
                </c:pt>
              </c:strCache>
            </c:strRef>
          </c:tx>
          <c:spPr>
            <a:ln w="19050" cap="rnd">
              <a:solidFill>
                <a:srgbClr val="0070C0"/>
              </a:solidFill>
              <a:prstDash val="dash"/>
              <a:round/>
            </a:ln>
            <a:effectLst/>
          </c:spPr>
          <c:marker>
            <c:symbol val="diamond"/>
            <c:size val="5"/>
            <c:spPr>
              <a:solidFill>
                <a:srgbClr val="7030A0"/>
              </a:solidFill>
              <a:ln w="19050">
                <a:solidFill>
                  <a:srgbClr val="0070C0"/>
                </a:solidFill>
                <a:prstDash val="dash"/>
              </a:ln>
              <a:effectLst/>
            </c:spPr>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charts'!$M$5:$M$54</c:f>
              <c:numCache>
                <c:formatCode>General</c:formatCode>
                <c:ptCount val="36"/>
                <c:pt idx="7" formatCode="_(* #,##0_);_(* \(#,##0\);_(* &quot;-&quot;??_);_(@_)">
                  <c:v>7049.36</c:v>
                </c:pt>
                <c:pt idx="8" formatCode="_(* #,##0_);_(* \(#,##0\);_(* &quot;-&quot;??_);_(@_)">
                  <c:v>7228.18</c:v>
                </c:pt>
                <c:pt idx="9" formatCode="_(* #,##0_);_(* \(#,##0\);_(* &quot;-&quot;??_);_(@_)">
                  <c:v>3754.7995000000001</c:v>
                </c:pt>
                <c:pt idx="10" formatCode="_(* #,##0_);_(* \(#,##0\);_(* &quot;-&quot;??_);_(@_)">
                  <c:v>6538.5090380000001</c:v>
                </c:pt>
                <c:pt idx="11" formatCode="_(* #,##0_);_(* \(#,##0\);_(* &quot;-&quot;??_);_(@_)">
                  <c:v>1990.250556</c:v>
                </c:pt>
                <c:pt idx="12" formatCode="_(* #,##0_);_(* \(#,##0\);_(* &quot;-&quot;??_);_(@_)">
                  <c:v>1523.74</c:v>
                </c:pt>
                <c:pt idx="13" formatCode="_(* #,##0_);_(* \(#,##0\);_(* &quot;-&quot;??_);_(@_)">
                  <c:v>2218.23</c:v>
                </c:pt>
                <c:pt idx="14" formatCode="_(* #,##0_);_(* \(#,##0\);_(* &quot;-&quot;??_);_(@_)">
                  <c:v>2157.7899499999999</c:v>
                </c:pt>
                <c:pt idx="15" formatCode="_(* #,##0_);_(* \(#,##0\);_(* &quot;-&quot;??_);_(@_)">
                  <c:v>1756.83</c:v>
                </c:pt>
                <c:pt idx="16" formatCode="_(* #,##0_);_(* \(#,##0\);_(* &quot;-&quot;??_);_(@_)">
                  <c:v>713.38525000000004</c:v>
                </c:pt>
                <c:pt idx="17" formatCode="_(* #,##0_);_(* \(#,##0\);_(* &quot;-&quot;??_);_(@_)">
                  <c:v>521.28</c:v>
                </c:pt>
                <c:pt idx="18" formatCode="_(* #,##0_);_(* \(#,##0\);_(* &quot;-&quot;??_);_(@_)">
                  <c:v>523.60118499999999</c:v>
                </c:pt>
                <c:pt idx="19" formatCode="_(* #,##0_);_(* \(#,##0\);_(* &quot;-&quot;??_);_(@_)">
                  <c:v>317.45999999999998</c:v>
                </c:pt>
                <c:pt idx="20" formatCode="_(* #,##0_);_(* \(#,##0\);_(* &quot;-&quot;??_);_(@_)">
                  <c:v>102.15</c:v>
                </c:pt>
                <c:pt idx="21" formatCode="_(* #,##0_);_(* \(#,##0\);_(* &quot;-&quot;??_);_(@_)">
                  <c:v>49.92</c:v>
                </c:pt>
                <c:pt idx="22" formatCode="_(* #,##0_);_(* \(#,##0\);_(* &quot;-&quot;??_);_(@_)">
                  <c:v>506.52000000000004</c:v>
                </c:pt>
                <c:pt idx="23" formatCode="_(* #,##0_);_(* \(#,##0\);_(* &quot;-&quot;??_);_(@_)">
                  <c:v>995.73</c:v>
                </c:pt>
                <c:pt idx="24" formatCode="_(* #,##0_);_(* \(#,##0\);_(* &quot;-&quot;??_);_(@_)">
                  <c:v>259.89</c:v>
                </c:pt>
                <c:pt idx="25" formatCode="0.00">
                  <c:v>0</c:v>
                </c:pt>
                <c:pt idx="26" formatCode="_(* #,##0_);_(* \(#,##0\);_(* &quot;-&quot;??_);_(@_)">
                  <c:v>0</c:v>
                </c:pt>
                <c:pt idx="27" formatCode="_(* #,##0_);_(* \(#,##0\);_(* &quot;-&quot;??_);_(@_)">
                  <c:v>18.64</c:v>
                </c:pt>
                <c:pt idx="28" formatCode="0.00">
                  <c:v>0</c:v>
                </c:pt>
                <c:pt idx="29" formatCode="0.00">
                  <c:v>0</c:v>
                </c:pt>
                <c:pt idx="30" formatCode="_(* #,##0_);_(* \(#,##0\);_(* &quot;-&quot;??_);_(@_)">
                  <c:v>4.01</c:v>
                </c:pt>
                <c:pt idx="31" formatCode="_(* #,##0_);_(* \(#,##0\);_(* &quot;-&quot;??_);_(@_)">
                  <c:v>11.15</c:v>
                </c:pt>
                <c:pt idx="32" formatCode="_(* #,##0_);_(* \(#,##0\);_(* &quot;-&quot;??_);_(@_)">
                  <c:v>10.53</c:v>
                </c:pt>
                <c:pt idx="33" formatCode="_(* #,##0_);_(* \(#,##0\);_(* &quot;-&quot;??_);_(@_)">
                  <c:v>11.42</c:v>
                </c:pt>
                <c:pt idx="34" formatCode="_(* #,##0_);_(* \(#,##0\);_(* &quot;-&quot;??_);_(@_)">
                  <c:v>10.02</c:v>
                </c:pt>
                <c:pt idx="35" formatCode="_(* #,##0_);_(* \(#,##0\);_(* &quot;-&quot;??_);_(@_)">
                  <c:v>9.8699999999999992</c:v>
                </c:pt>
              </c:numCache>
            </c:numRef>
          </c:val>
          <c:smooth val="0"/>
          <c:extLst>
            <c:ext xmlns:c16="http://schemas.microsoft.com/office/drawing/2014/chart" uri="{C3380CC4-5D6E-409C-BE32-E72D297353CC}">
              <c16:uniqueId val="{00000001-8828-4E6B-A103-6AD37F27D2C6}"/>
            </c:ext>
          </c:extLst>
        </c:ser>
        <c:ser>
          <c:idx val="4"/>
          <c:order val="4"/>
          <c:tx>
            <c:strRef>
              <c:f>'Turnover charts'!$O$3</c:f>
              <c:strCache>
                <c:ptCount val="1"/>
                <c:pt idx="0">
                  <c:v>NSE Futures (LHS)</c:v>
                </c:pt>
              </c:strCache>
            </c:strRef>
          </c:tx>
          <c:spPr>
            <a:ln w="19050" cap="rnd">
              <a:solidFill>
                <a:sysClr val="windowText" lastClr="000000"/>
              </a:solidFill>
              <a:prstDash val="sysDash"/>
              <a:round/>
            </a:ln>
            <a:effectLst/>
          </c:spPr>
          <c:marker>
            <c:symbol val="none"/>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charts'!$O$4:$O$54</c:f>
              <c:numCache>
                <c:formatCode>General</c:formatCode>
                <c:ptCount val="36"/>
                <c:pt idx="7" formatCode="_(* #,##0_);_(* \(#,##0\);_(* &quot;-&quot;??_);_(@_)">
                  <c:v>696</c:v>
                </c:pt>
                <c:pt idx="8" formatCode="_(* #,##0_);_(* \(#,##0\);_(* &quot;-&quot;??_);_(@_)">
                  <c:v>838</c:v>
                </c:pt>
                <c:pt idx="9" formatCode="_(* #,##0_);_(* \(#,##0\);_(* &quot;-&quot;??_);_(@_)">
                  <c:v>532.61176099999989</c:v>
                </c:pt>
                <c:pt idx="10" formatCode="_(* #,##0_);_(* \(#,##0\);_(* &quot;-&quot;??_);_(@_)">
                  <c:v>448.81896000000006</c:v>
                </c:pt>
                <c:pt idx="11" formatCode="_(* #,##0_);_(* \(#,##0\);_(* &quot;-&quot;??_);_(@_)">
                  <c:v>498.68747400000018</c:v>
                </c:pt>
                <c:pt idx="12" formatCode="_(* #,##0_);_(* \(#,##0\);_(* &quot;-&quot;??_);_(@_)">
                  <c:v>429.59991599999989</c:v>
                </c:pt>
                <c:pt idx="13" formatCode="_ * #,##0_ ;_ * \-#,##0_ ;_ * &quot;-&quot;??_ ;_ @_ ">
                  <c:v>489.78634199999982</c:v>
                </c:pt>
                <c:pt idx="14" formatCode="_ * #,##0_ ;_ * \-#,##0_ ;_ * &quot;-&quot;??_ ;_ @_ ">
                  <c:v>442.31177699999989</c:v>
                </c:pt>
                <c:pt idx="15" formatCode="_ * #,##0_ ;_ * \-#,##0_ ;_ * &quot;-&quot;??_ ;_ @_ ">
                  <c:v>433.71475299999997</c:v>
                </c:pt>
                <c:pt idx="16" formatCode="_ * #,##0_ ;_ * \-#,##0_ ;_ * &quot;-&quot;??_ ;_ @_ ">
                  <c:v>503.29481899999996</c:v>
                </c:pt>
                <c:pt idx="17" formatCode="_ * #,##0_ ;_ * \-#,##0_ ;_ * &quot;-&quot;??_ ;_ @_ ">
                  <c:v>1488.9719589999997</c:v>
                </c:pt>
                <c:pt idx="18" formatCode="_ * #,##0_ ;_ * \-#,##0_ ;_ * &quot;-&quot;??_ ;_ @_ ">
                  <c:v>935.04276299999981</c:v>
                </c:pt>
                <c:pt idx="19" formatCode="_ * #,##0_ ;_ * \-#,##0_ ;_ * &quot;-&quot;??_ ;_ @_ ">
                  <c:v>866.89360199999999</c:v>
                </c:pt>
                <c:pt idx="20" formatCode="_ * #,##0_ ;_ * \-#,##0_ ;_ * &quot;-&quot;??_ ;_ @_ ">
                  <c:v>721.01195100000018</c:v>
                </c:pt>
                <c:pt idx="21" formatCode="_ * #,##0_ ;_ * \-#,##0_ ;_ * &quot;-&quot;??_ ;_ @_ ">
                  <c:v>118.52533</c:v>
                </c:pt>
                <c:pt idx="22" formatCode="_ * #,##0_ ;_ * \-#,##0_ ;_ * &quot;-&quot;??_ ;_ @_ ">
                  <c:v>112.63363</c:v>
                </c:pt>
                <c:pt idx="23" formatCode="_ * #,##0_ ;_ * \-#,##0_ ;_ * &quot;-&quot;??_ ;_ @_ ">
                  <c:v>157.351113</c:v>
                </c:pt>
                <c:pt idx="24" formatCode="_(* #,##0_);_(* \(#,##0\);_(* &quot;-&quot;??_);_(@_)">
                  <c:v>92.761235999999997</c:v>
                </c:pt>
                <c:pt idx="25" formatCode="_(* #,##0_);_(* \(#,##0\);_(* &quot;-&quot;??_);_(@_)">
                  <c:v>57.360366999999997</c:v>
                </c:pt>
                <c:pt idx="26" formatCode="_(* #,##0_);_(* \(#,##0\);_(* &quot;-&quot;??_);_(@_)">
                  <c:v>76.517431000000016</c:v>
                </c:pt>
                <c:pt idx="27" formatCode="_(* #,##0_);_(* \(#,##0\);_(* &quot;-&quot;??_);_(@_)">
                  <c:v>209.17937999999998</c:v>
                </c:pt>
                <c:pt idx="28" formatCode="_(* #,##0_);_(* \(#,##0\);_(* &quot;-&quot;??_);_(@_)">
                  <c:v>45.493170000000013</c:v>
                </c:pt>
                <c:pt idx="29" formatCode="_(* #,##0_);_(* \(#,##0\);_(* &quot;-&quot;??_);_(@_)">
                  <c:v>92.012484999999998</c:v>
                </c:pt>
                <c:pt idx="30" formatCode="_(* #,##0_);_(* \(#,##0\);_(* &quot;-&quot;??_);_(@_)">
                  <c:v>65.526607000000013</c:v>
                </c:pt>
                <c:pt idx="31" formatCode="_(* #,##0_);_(* \(#,##0\);_(* &quot;-&quot;??_);_(@_)">
                  <c:v>14.122890999999999</c:v>
                </c:pt>
                <c:pt idx="32" formatCode="_(* #,##0_);_(* \(#,##0\);_(* &quot;-&quot;??_);_(@_)">
                  <c:v>18.669679000000002</c:v>
                </c:pt>
                <c:pt idx="33" formatCode="_(* #,##0_);_(* \(#,##0\);_(* &quot;-&quot;??_);_(@_)">
                  <c:v>15.143264000000002</c:v>
                </c:pt>
                <c:pt idx="34" formatCode="_(* #,##0_);_(* \(#,##0\);_(* &quot;-&quot;??_);_(@_)">
                  <c:v>11.035423000000002</c:v>
                </c:pt>
                <c:pt idx="35" formatCode="_(* #,##0_);_(* \(#,##0\);_(* &quot;-&quot;??_);_(@_)">
                  <c:v>14</c:v>
                </c:pt>
              </c:numCache>
            </c:numRef>
          </c:val>
          <c:smooth val="0"/>
          <c:extLst>
            <c:ext xmlns:c16="http://schemas.microsoft.com/office/drawing/2014/chart" uri="{C3380CC4-5D6E-409C-BE32-E72D297353CC}">
              <c16:uniqueId val="{00000002-8828-4E6B-A103-6AD37F27D2C6}"/>
            </c:ext>
          </c:extLst>
        </c:ser>
        <c:ser>
          <c:idx val="7"/>
          <c:order val="7"/>
          <c:tx>
            <c:strRef>
              <c:f>'Turnover charts'!$R$3</c:f>
              <c:strCache>
                <c:ptCount val="1"/>
                <c:pt idx="0">
                  <c:v>ICEX Futures (LHS)</c:v>
                </c:pt>
              </c:strCache>
            </c:strRef>
          </c:tx>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charts'!$R$4:$R$54</c:f>
              <c:numCache>
                <c:formatCode>_(* #,##0_);_(* \(#,##0\);_(* "-"??_);_(@_)</c:formatCode>
                <c:ptCount val="36"/>
                <c:pt idx="0">
                  <c:v>416.07</c:v>
                </c:pt>
                <c:pt idx="1">
                  <c:v>479.26</c:v>
                </c:pt>
                <c:pt idx="2">
                  <c:v>362.4169</c:v>
                </c:pt>
                <c:pt idx="3">
                  <c:v>294.87927165000002</c:v>
                </c:pt>
                <c:pt idx="4">
                  <c:v>465.09</c:v>
                </c:pt>
                <c:pt idx="5">
                  <c:v>432.48</c:v>
                </c:pt>
                <c:pt idx="6">
                  <c:v>931.1400000000001</c:v>
                </c:pt>
                <c:pt idx="7">
                  <c:v>1605.41</c:v>
                </c:pt>
                <c:pt idx="8">
                  <c:v>2282</c:v>
                </c:pt>
                <c:pt idx="9">
                  <c:v>2864.81</c:v>
                </c:pt>
                <c:pt idx="10">
                  <c:v>3465.17</c:v>
                </c:pt>
                <c:pt idx="11" formatCode="_ * #,##0_ ;_ * \-#,##0_ ;_ * &quot;-&quot;??_ ;_ @_ ">
                  <c:v>5142.6001000000006</c:v>
                </c:pt>
                <c:pt idx="12" formatCode="_ * #,##0_ ;_ * \-#,##0_ ;_ * &quot;-&quot;??_ ;_ @_ ">
                  <c:v>4639</c:v>
                </c:pt>
                <c:pt idx="13" formatCode="_ * #,##0_ ;_ * \-#,##0_ ;_ * &quot;-&quot;??_ ;_ @_ ">
                  <c:v>4213.75</c:v>
                </c:pt>
                <c:pt idx="14" formatCode="_ * #,##0_ ;_ * \-#,##0_ ;_ * &quot;-&quot;??_ ;_ @_ ">
                  <c:v>4377.28</c:v>
                </c:pt>
                <c:pt idx="15" formatCode="_ * #,##0_ ;_ * \-#,##0_ ;_ * &quot;-&quot;??_ ;_ @_ ">
                  <c:v>2098.69</c:v>
                </c:pt>
                <c:pt idx="16" formatCode="_ * #,##0_ ;_ * \-#,##0_ ;_ * &quot;-&quot;??_ ;_ @_ ">
                  <c:v>1620.43</c:v>
                </c:pt>
                <c:pt idx="17" formatCode="_ * #,##0_ ;_ * \-#,##0_ ;_ * &quot;-&quot;??_ ;_ @_ ">
                  <c:v>1905.46</c:v>
                </c:pt>
                <c:pt idx="18" formatCode="_ * #,##0_ ;_ * \-#,##0_ ;_ * &quot;-&quot;??_ ;_ @_ ">
                  <c:v>1203.5981999999999</c:v>
                </c:pt>
                <c:pt idx="19" formatCode="_ * #,##0_ ;_ * \-#,##0_ ;_ * &quot;-&quot;??_ ;_ @_ ">
                  <c:v>3028.555050220004</c:v>
                </c:pt>
                <c:pt idx="20" formatCode="_ * #,##0_ ;_ * \-#,##0_ ;_ * &quot;-&quot;??_ ;_ @_ ">
                  <c:v>2871.1499999999996</c:v>
                </c:pt>
                <c:pt idx="21" formatCode="_ * #,##0_ ;_ * \-#,##0_ ;_ * &quot;-&quot;??_ ;_ @_ ">
                  <c:v>3042.59</c:v>
                </c:pt>
                <c:pt idx="22" formatCode="_ * #,##0_ ;_ * \-#,##0_ ;_ * &quot;-&quot;??_ ;_ @_ ">
                  <c:v>4160.09</c:v>
                </c:pt>
                <c:pt idx="23" formatCode="_ * #,##0_ ;_ * \-#,##0_ ;_ * &quot;-&quot;??_ ;_ @_ ">
                  <c:v>3755.1499999999996</c:v>
                </c:pt>
                <c:pt idx="24" formatCode="_ * #,##0_ ;_ * \-#,##0_ ;_ * &quot;-&quot;??_ ;_ @_ ">
                  <c:v>2881.026557055</c:v>
                </c:pt>
                <c:pt idx="25" formatCode="_ * #,##0_ ;_ * \-#,##0_ ;_ * &quot;-&quot;??_ ;_ @_ ">
                  <c:v>723.36930000000007</c:v>
                </c:pt>
                <c:pt idx="26" formatCode="_ * #,##0_ ;_ * \-#,##0_ ;_ * &quot;-&quot;??_ ;_ @_ ">
                  <c:v>489.81</c:v>
                </c:pt>
                <c:pt idx="27" formatCode="_ * #,##0_ ;_ * \-#,##0_ ;_ * &quot;-&quot;??_ ;_ @_ ">
                  <c:v>83.703000000000003</c:v>
                </c:pt>
                <c:pt idx="28" formatCode="_ * #,##0_ ;_ * \-#,##0_ ;_ * &quot;-&quot;??_ ;_ @_ ">
                  <c:v>4.3270248599999999</c:v>
                </c:pt>
                <c:pt idx="29" formatCode="_ * #,##0.000_ ;_ * \-#,##0.000_ ;_ * &quot;-&quot;??_ ;_ @_ ">
                  <c:v>1.6379999999999999E-3</c:v>
                </c:pt>
                <c:pt idx="30" formatCode="_ * #,##0.0_ ;_ * \-#,##0.0_ ;_ * &quot;-&quot;??_ ;_ @_ ">
                  <c:v>0.1153</c:v>
                </c:pt>
                <c:pt idx="31" formatCode="_ * #,##0.0_ ;_ * \-#,##0.0_ ;_ * &quot;-&quot;??_ ;_ @_ ">
                  <c:v>0.1066</c:v>
                </c:pt>
                <c:pt idx="32" formatCode="_(* #,##0.00_);_(* \(#,##0.00\);_(* &quot;-&quot;??_);_(@_)">
                  <c:v>2.7824999999999999E-2</c:v>
                </c:pt>
                <c:pt idx="33">
                  <c:v>1.8845000000000001</c:v>
                </c:pt>
                <c:pt idx="34">
                  <c:v>10.392370000000001</c:v>
                </c:pt>
                <c:pt idx="35">
                  <c:v>16.025917</c:v>
                </c:pt>
              </c:numCache>
            </c:numRef>
          </c:val>
          <c:smooth val="0"/>
          <c:extLst>
            <c:ext xmlns:c16="http://schemas.microsoft.com/office/drawing/2014/chart" uri="{C3380CC4-5D6E-409C-BE32-E72D297353CC}">
              <c16:uniqueId val="{00000003-8828-4E6B-A103-6AD37F27D2C6}"/>
            </c:ext>
          </c:extLst>
        </c:ser>
        <c:dLbls>
          <c:showLegendKey val="0"/>
          <c:showVal val="0"/>
          <c:showCatName val="0"/>
          <c:showSerName val="0"/>
          <c:showPercent val="0"/>
          <c:showBubbleSize val="0"/>
        </c:dLbls>
        <c:marker val="1"/>
        <c:smooth val="0"/>
        <c:axId val="441140816"/>
        <c:axId val="441141208"/>
        <c:extLst>
          <c:ext xmlns:c15="http://schemas.microsoft.com/office/drawing/2012/chart" uri="{02D57815-91ED-43cb-92C2-25804820EDAC}">
            <c15:filteredLineSeries>
              <c15:ser>
                <c:idx val="3"/>
                <c:order val="3"/>
                <c:tx>
                  <c:strRef>
                    <c:extLst>
                      <c:ext uri="{02D57815-91ED-43cb-92C2-25804820EDAC}">
                        <c15:formulaRef>
                          <c15:sqref>'Turnover charts'!$N$3</c15:sqref>
                        </c15:formulaRef>
                      </c:ext>
                    </c:extLst>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extLst>
                      <c:ext uri="{02D57815-91ED-43cb-92C2-25804820EDAC}">
                        <c15:formulaRef>
                          <c15:sqref>'Turnover charts'!$J$4:$J$54</c15:sqref>
                        </c15:formulaRef>
                      </c:ext>
                    </c:extLst>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extLst>
                      <c:ext uri="{02D57815-91ED-43cb-92C2-25804820EDAC}">
                        <c15:formulaRef>
                          <c15:sqref>'Turnover charts'!$N$4:$N$53</c15:sqref>
                        </c15:formulaRef>
                      </c:ext>
                    </c:extLst>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numCache>
                  </c:numRef>
                </c:val>
                <c:smooth val="0"/>
                <c:extLst>
                  <c:ext xmlns:c16="http://schemas.microsoft.com/office/drawing/2014/chart" uri="{C3380CC4-5D6E-409C-BE32-E72D297353CC}">
                    <c16:uniqueId val="{00000006-8828-4E6B-A103-6AD37F27D2C6}"/>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'Turnover charts'!$P$3</c15:sqref>
                        </c15:formulaRef>
                      </c:ext>
                    </c:extLst>
                    <c:strCache>
                      <c:ptCount val="1"/>
                      <c:pt idx="0">
                        <c:v>NSE option (RHS)</c:v>
                      </c:pt>
                    </c:strCache>
                  </c:strRef>
                </c:tx>
                <c:spPr>
                  <a:ln w="28575" cap="rnd">
                    <a:solidFill>
                      <a:schemeClr val="accent6"/>
                    </a:solidFill>
                    <a:round/>
                  </a:ln>
                  <a:effectLst/>
                </c:spPr>
                <c:marker>
                  <c:symbol val="none"/>
                </c:marker>
                <c:cat>
                  <c:numRef>
                    <c:extLst xmlns:c15="http://schemas.microsoft.com/office/drawing/2012/chart">
                      <c:ext xmlns:c15="http://schemas.microsoft.com/office/drawing/2012/chart" uri="{02D57815-91ED-43cb-92C2-25804820EDAC}">
                        <c15:formulaRef>
                          <c15:sqref>'Turnover charts'!$J$4:$J$54</c15:sqref>
                        </c15:formulaRef>
                      </c:ext>
                    </c:extLst>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extLst xmlns:c15="http://schemas.microsoft.com/office/drawing/2012/chart">
                      <c:ext xmlns:c15="http://schemas.microsoft.com/office/drawing/2012/chart" uri="{02D57815-91ED-43cb-92C2-25804820EDAC}">
                        <c15:formulaRef>
                          <c15:sqref>'Turnover charts'!$P$4:$P$53</c15:sqref>
                        </c15:formulaRef>
                      </c:ext>
                    </c:extLst>
                    <c:numCache>
                      <c:formatCode>General</c:formatCode>
                      <c:ptCount val="35"/>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numCache>
                  </c:numRef>
                </c:val>
                <c:smooth val="0"/>
                <c:extLst xmlns:c15="http://schemas.microsoft.com/office/drawing/2012/chart">
                  <c:ext xmlns:c16="http://schemas.microsoft.com/office/drawing/2014/chart" uri="{C3380CC4-5D6E-409C-BE32-E72D297353CC}">
                    <c16:uniqueId val="{00000007-8828-4E6B-A103-6AD37F27D2C6}"/>
                  </c:ext>
                </c:extLst>
              </c15:ser>
            </c15:filteredLineSeries>
          </c:ext>
        </c:extLst>
      </c:lineChart>
      <c:lineChart>
        <c:grouping val="standard"/>
        <c:varyColors val="0"/>
        <c:ser>
          <c:idx val="6"/>
          <c:order val="6"/>
          <c:tx>
            <c:strRef>
              <c:f>'Turnover charts'!$Q$3</c:f>
              <c:strCache>
                <c:ptCount val="1"/>
                <c:pt idx="0">
                  <c:v>NCDEX futures (LHS)</c:v>
                </c:pt>
              </c:strCache>
            </c:strRef>
          </c:tx>
          <c:spPr>
            <a:ln w="19050" cap="rnd">
              <a:solidFill>
                <a:srgbClr val="FF0000"/>
              </a:solidFill>
              <a:round/>
            </a:ln>
            <a:effectLst/>
          </c:spPr>
          <c:marker>
            <c:symbol val="circle"/>
            <c:size val="5"/>
            <c:spPr>
              <a:solidFill>
                <a:schemeClr val="accent1">
                  <a:lumMod val="60000"/>
                </a:schemeClr>
              </a:solidFill>
              <a:ln w="9525">
                <a:solidFill>
                  <a:srgbClr val="FF0000"/>
                </a:solidFill>
              </a:ln>
              <a:effectLst/>
            </c:spPr>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charts'!$Q$4:$Q$54</c:f>
              <c:numCache>
                <c:formatCode>_(* #,##0_);_(* \(#,##0\);_(* "-"??_);_(@_)</c:formatCode>
                <c:ptCount val="36"/>
                <c:pt idx="0">
                  <c:v>0</c:v>
                </c:pt>
                <c:pt idx="1">
                  <c:v>0</c:v>
                </c:pt>
                <c:pt idx="2">
                  <c:v>0</c:v>
                </c:pt>
                <c:pt idx="3">
                  <c:v>0</c:v>
                </c:pt>
                <c:pt idx="4">
                  <c:v>0</c:v>
                </c:pt>
                <c:pt idx="5">
                  <c:v>0</c:v>
                </c:pt>
                <c:pt idx="6" formatCode="_ * #,##0_ ;_ * \-#,##0_ ;_ * &quot;-&quot;??_ ;_ @_ ">
                  <c:v>0</c:v>
                </c:pt>
                <c:pt idx="7" formatCode="_ * #,##0_ ;_ * \-#,##0_ ;_ * &quot;-&quot;??_ ;_ @_ ">
                  <c:v>0</c:v>
                </c:pt>
                <c:pt idx="8" formatCode="_ * #,##0_ ;_ * \-#,##0_ ;_ * &quot;-&quot;??_ ;_ @_ ">
                  <c:v>0</c:v>
                </c:pt>
                <c:pt idx="9" formatCode="_ * #,##0_ ;_ * \-#,##0_ ;_ * &quot;-&quot;??_ ;_ @_ ">
                  <c:v>0</c:v>
                </c:pt>
                <c:pt idx="10" formatCode="_ * #,##0_ ;_ * \-#,##0_ ;_ * &quot;-&quot;??_ ;_ @_ ">
                  <c:v>0</c:v>
                </c:pt>
                <c:pt idx="11" formatCode="_ * #,##0_ ;_ * \-#,##0_ ;_ * &quot;-&quot;??_ ;_ @_ ">
                  <c:v>0</c:v>
                </c:pt>
                <c:pt idx="12" formatCode="_ * #,##0_ ;_ * \-#,##0_ ;_ * &quot;-&quot;??_ ;_ @_ ">
                  <c:v>0</c:v>
                </c:pt>
                <c:pt idx="13" formatCode="_ * #,##0_ ;_ * \-#,##0_ ;_ * &quot;-&quot;??_ ;_ @_ ">
                  <c:v>0</c:v>
                </c:pt>
                <c:pt idx="14" formatCode="_ * #,##0_ ;_ * \-#,##0_ ;_ * &quot;-&quot;??_ ;_ @_ ">
                  <c:v>0</c:v>
                </c:pt>
                <c:pt idx="15" formatCode="_ * #,##0_ ;_ * \-#,##0_ ;_ * &quot;-&quot;??_ ;_ @_ ">
                  <c:v>0</c:v>
                </c:pt>
                <c:pt idx="16" formatCode="_ * #,##0_ ;_ * \-#,##0_ ;_ * &quot;-&quot;??_ ;_ @_ ">
                  <c:v>0</c:v>
                </c:pt>
                <c:pt idx="17">
                  <c:v>0</c:v>
                </c:pt>
                <c:pt idx="18">
                  <c:v>0</c:v>
                </c:pt>
                <c:pt idx="19">
                  <c:v>0</c:v>
                </c:pt>
                <c:pt idx="20">
                  <c:v>0</c:v>
                </c:pt>
                <c:pt idx="21">
                  <c:v>0</c:v>
                </c:pt>
                <c:pt idx="22">
                  <c:v>0</c:v>
                </c:pt>
                <c:pt idx="23">
                  <c:v>0</c:v>
                </c:pt>
                <c:pt idx="24">
                  <c:v>0</c:v>
                </c:pt>
                <c:pt idx="25">
                  <c:v>0</c:v>
                </c:pt>
                <c:pt idx="26" formatCode="_ * #,##0_ ;_ * \-#,##0_ ;_ * &quot;-&quot;??_ ;_ @_ ">
                  <c:v>0</c:v>
                </c:pt>
                <c:pt idx="27" formatCode="_ * #,##0_ ;_ * \-#,##0_ ;_ * &quot;-&quot;??_ ;_ @_ ">
                  <c:v>0</c:v>
                </c:pt>
                <c:pt idx="28" formatCode="_ * #,##0_ ;_ * \-#,##0_ ;_ * &quot;-&quot;??_ ;_ @_ ">
                  <c:v>0</c:v>
                </c:pt>
                <c:pt idx="29" formatCode="_ * #,##0_ ;_ * \-#,##0_ ;_ * &quot;-&quot;??_ ;_ @_ ">
                  <c:v>0</c:v>
                </c:pt>
                <c:pt idx="30" formatCode="_ * #,##0_ ;_ * \-#,##0_ ;_ * &quot;-&quot;??_ ;_ @_ ">
                  <c:v>0</c:v>
                </c:pt>
                <c:pt idx="31" formatCode="_ * #,##0_ ;_ * \-#,##0_ ;_ * &quot;-&quot;??_ ;_ @_ ">
                  <c:v>0</c:v>
                </c:pt>
                <c:pt idx="32" formatCode="_ * #,##0_ ;_ * \-#,##0_ ;_ * &quot;-&quot;??_ ;_ @_ ">
                  <c:v>0</c:v>
                </c:pt>
                <c:pt idx="33" formatCode="_ * #,##0_ ;_ * \-#,##0_ ;_ * &quot;-&quot;??_ ;_ @_ ">
                  <c:v>0</c:v>
                </c:pt>
                <c:pt idx="34" formatCode="_ * #,##0_ ;_ * \-#,##0_ ;_ * &quot;-&quot;??_ ;_ @_ ">
                  <c:v>24.235309999999998</c:v>
                </c:pt>
                <c:pt idx="35" formatCode="_ * #,##0_ ;_ * \-#,##0_ ;_ * &quot;-&quot;??_ ;_ @_ ">
                  <c:v>38.773069999999997</c:v>
                </c:pt>
              </c:numCache>
            </c:numRef>
          </c:val>
          <c:smooth val="0"/>
          <c:extLst>
            <c:ext xmlns:c16="http://schemas.microsoft.com/office/drawing/2014/chart" uri="{C3380CC4-5D6E-409C-BE32-E72D297353CC}">
              <c16:uniqueId val="{00000004-8828-4E6B-A103-6AD37F27D2C6}"/>
            </c:ext>
          </c:extLst>
        </c:ser>
        <c:dLbls>
          <c:showLegendKey val="0"/>
          <c:showVal val="0"/>
          <c:showCatName val="0"/>
          <c:showSerName val="0"/>
          <c:showPercent val="0"/>
          <c:showBubbleSize val="0"/>
        </c:dLbls>
        <c:marker val="1"/>
        <c:smooth val="0"/>
        <c:axId val="529592752"/>
        <c:axId val="441141600"/>
      </c:lineChart>
      <c:dateAx>
        <c:axId val="441140816"/>
        <c:scaling>
          <c:orientation val="minMax"/>
          <c:min val="4389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41141208"/>
        <c:crosses val="autoZero"/>
        <c:auto val="1"/>
        <c:lblOffset val="100"/>
        <c:baseTimeUnit val="months"/>
      </c:dateAx>
      <c:valAx>
        <c:axId val="441141208"/>
        <c:scaling>
          <c:orientation val="minMax"/>
          <c:max val="5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41140816"/>
        <c:crosses val="autoZero"/>
        <c:crossBetween val="between"/>
        <c:majorUnit val="1000"/>
      </c:valAx>
      <c:valAx>
        <c:axId val="441141600"/>
        <c:scaling>
          <c:orientation val="minMax"/>
          <c:max val="1000000"/>
        </c:scaling>
        <c:delete val="0"/>
        <c:axPos val="r"/>
        <c:title>
          <c:tx>
            <c:rich>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r>
                  <a:rPr lang="en-US" sz="900" b="0" i="0" baseline="0">
                    <a:effectLst/>
                  </a:rPr>
                  <a:t>₹</a:t>
                </a:r>
                <a:r>
                  <a:rPr lang="en-IN" sz="900" b="0" i="0" baseline="0">
                    <a:effectLst/>
                  </a:rPr>
                  <a:t> crore</a:t>
                </a:r>
                <a:endParaRPr lang="en-IN" sz="900">
                  <a:effectLst/>
                </a:endParaRPr>
              </a:p>
            </c:rich>
          </c:tx>
          <c:layout/>
          <c:overlay val="0"/>
          <c:spPr>
            <a:noFill/>
            <a:ln>
              <a:noFill/>
            </a:ln>
            <a:effectLst/>
          </c:spPr>
          <c:txPr>
            <a:bodyPr rot="5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529592752"/>
        <c:crosses val="max"/>
        <c:crossBetween val="between"/>
      </c:valAx>
      <c:dateAx>
        <c:axId val="529592752"/>
        <c:scaling>
          <c:orientation val="minMax"/>
        </c:scaling>
        <c:delete val="1"/>
        <c:axPos val="b"/>
        <c:numFmt formatCode="mmm\-yy" sourceLinked="1"/>
        <c:majorTickMark val="out"/>
        <c:minorTickMark val="none"/>
        <c:tickLblPos val="nextTo"/>
        <c:crossAx val="441141600"/>
        <c:crosses val="autoZero"/>
        <c:auto val="1"/>
        <c:lblOffset val="100"/>
        <c:baseTimeUnit val="months"/>
        <c:majorUnit val="1"/>
        <c:minorUnit val="1"/>
      </c:dateAx>
      <c:spPr>
        <a:noFill/>
        <a:ln>
          <a:noFill/>
        </a:ln>
        <a:effectLst/>
      </c:spPr>
    </c:plotArea>
    <c:legend>
      <c:legendPos val="b"/>
      <c:layout>
        <c:manualLayout>
          <c:xMode val="edge"/>
          <c:yMode val="edge"/>
          <c:x val="0.10228638086905803"/>
          <c:y val="0.88298072419128193"/>
          <c:w val="0.73554005798164013"/>
          <c:h val="0.10445475312146978"/>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923031447844071"/>
          <c:y val="2.5425336553711E-2"/>
          <c:w val="0.76899943817894811"/>
          <c:h val="0.72457814568050793"/>
        </c:manualLayout>
      </c:layout>
      <c:barChart>
        <c:barDir val="col"/>
        <c:grouping val="stacked"/>
        <c:varyColors val="0"/>
        <c:ser>
          <c:idx val="1"/>
          <c:order val="0"/>
          <c:tx>
            <c:v>MCX Options (LHS)</c:v>
          </c:tx>
          <c:spPr>
            <a:solidFill>
              <a:schemeClr val="accent2"/>
            </a:solidFill>
            <a:ln w="12700">
              <a:solidFill>
                <a:schemeClr val="tx1">
                  <a:lumMod val="75000"/>
                  <a:lumOff val="25000"/>
                </a:schemeClr>
              </a:solidFill>
            </a:ln>
            <a:effectLst/>
          </c:spPr>
          <c:invertIfNegative val="0"/>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charts'!$L$4:$L$54</c:f>
              <c:numCache>
                <c:formatCode>_(* #,##0_);_(* \(#,##0\);_(* "-"??_);_(@_)</c:formatCode>
                <c:ptCount val="36"/>
                <c:pt idx="0">
                  <c:v>703.93000000000006</c:v>
                </c:pt>
                <c:pt idx="1">
                  <c:v>2640.42</c:v>
                </c:pt>
                <c:pt idx="2">
                  <c:v>16870.32</c:v>
                </c:pt>
                <c:pt idx="3">
                  <c:v>15987.750000000002</c:v>
                </c:pt>
                <c:pt idx="4">
                  <c:v>19672.011136500001</c:v>
                </c:pt>
                <c:pt idx="5">
                  <c:v>11041.360000000002</c:v>
                </c:pt>
                <c:pt idx="6">
                  <c:v>46624.133279499998</c:v>
                </c:pt>
                <c:pt idx="7">
                  <c:v>15644.809233</c:v>
                </c:pt>
                <c:pt idx="8">
                  <c:v>10235</c:v>
                </c:pt>
                <c:pt idx="9">
                  <c:v>9813.9104735000001</c:v>
                </c:pt>
                <c:pt idx="10">
                  <c:v>10472.720000000001</c:v>
                </c:pt>
                <c:pt idx="11">
                  <c:v>9291.3051825000002</c:v>
                </c:pt>
                <c:pt idx="12">
                  <c:v>12651.029999999999</c:v>
                </c:pt>
                <c:pt idx="13">
                  <c:v>8685.25</c:v>
                </c:pt>
                <c:pt idx="14">
                  <c:v>16861.852479000001</c:v>
                </c:pt>
                <c:pt idx="15">
                  <c:v>14616.749534499999</c:v>
                </c:pt>
                <c:pt idx="16">
                  <c:v>21042.729179999998</c:v>
                </c:pt>
                <c:pt idx="17">
                  <c:v>23329.757045500002</c:v>
                </c:pt>
                <c:pt idx="18">
                  <c:v>31458.28</c:v>
                </c:pt>
                <c:pt idx="19">
                  <c:v>17859.342895000002</c:v>
                </c:pt>
                <c:pt idx="20">
                  <c:v>21219.491989000002</c:v>
                </c:pt>
                <c:pt idx="21">
                  <c:v>15383.161334999999</c:v>
                </c:pt>
                <c:pt idx="22">
                  <c:v>40469.633901499998</c:v>
                </c:pt>
                <c:pt idx="23">
                  <c:v>33997.311160500001</c:v>
                </c:pt>
                <c:pt idx="24">
                  <c:v>46819.111044999998</c:v>
                </c:pt>
                <c:pt idx="25">
                  <c:v>8497.2066059999997</c:v>
                </c:pt>
                <c:pt idx="26">
                  <c:v>16049.714781499999</c:v>
                </c:pt>
                <c:pt idx="27">
                  <c:v>15138.664696</c:v>
                </c:pt>
                <c:pt idx="28">
                  <c:v>21064.531812000001</c:v>
                </c:pt>
                <c:pt idx="29">
                  <c:v>28998.239947999999</c:v>
                </c:pt>
                <c:pt idx="30">
                  <c:v>26027.212639000005</c:v>
                </c:pt>
                <c:pt idx="31">
                  <c:v>9915.5255409999991</c:v>
                </c:pt>
                <c:pt idx="32">
                  <c:v>26564.103460999999</c:v>
                </c:pt>
                <c:pt idx="33">
                  <c:v>15258.518517999999</c:v>
                </c:pt>
                <c:pt idx="34">
                  <c:v>25959.086283000004</c:v>
                </c:pt>
                <c:pt idx="35">
                  <c:v>17156.310860000001</c:v>
                </c:pt>
              </c:numCache>
            </c:numRef>
          </c:val>
          <c:extLst>
            <c:ext xmlns:c16="http://schemas.microsoft.com/office/drawing/2014/chart" uri="{C3380CC4-5D6E-409C-BE32-E72D297353CC}">
              <c16:uniqueId val="{00000000-0B4C-4293-B4DB-DEE493EB07D6}"/>
            </c:ext>
          </c:extLst>
        </c:ser>
        <c:dLbls>
          <c:showLegendKey val="0"/>
          <c:showVal val="0"/>
          <c:showCatName val="0"/>
          <c:showSerName val="0"/>
          <c:showPercent val="0"/>
          <c:showBubbleSize val="0"/>
        </c:dLbls>
        <c:gapWidth val="219"/>
        <c:overlap val="100"/>
        <c:axId val="429753520"/>
        <c:axId val="429754696"/>
      </c:barChart>
      <c:lineChart>
        <c:grouping val="standard"/>
        <c:varyColors val="0"/>
        <c:ser>
          <c:idx val="5"/>
          <c:order val="2"/>
          <c:tx>
            <c:v>NSE Options (LHS)</c:v>
          </c:tx>
          <c:spPr>
            <a:ln w="28575" cap="rnd">
              <a:solidFill>
                <a:schemeClr val="accent6"/>
              </a:solidFill>
              <a:round/>
            </a:ln>
            <a:effectLst/>
          </c:spPr>
          <c:marker>
            <c:symbol val="none"/>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charts'!$P$4:$P$54</c:f>
              <c:numCache>
                <c:formatCode>General</c:formatCode>
                <c:ptCount val="36"/>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 #,##0_ ;_ * \-#,##0_ ;_ * &quot;-&quot;??_ ;_ @_ ">
                  <c:v>0</c:v>
                </c:pt>
                <c:pt idx="14" formatCode="_ * #,##0_ ;_ * \-#,##0_ ;_ * &quot;-&quot;??_ ;_ @_ ">
                  <c:v>0</c:v>
                </c:pt>
                <c:pt idx="15" formatCode="_ * #,##0_ ;_ * \-#,##0_ ;_ * &quot;-&quot;??_ ;_ @_ ">
                  <c:v>0</c:v>
                </c:pt>
                <c:pt idx="16" formatCode="_ * #,##0_ ;_ * \-#,##0_ ;_ * &quot;-&quot;??_ ;_ @_ ">
                  <c:v>0</c:v>
                </c:pt>
                <c:pt idx="17" formatCode="_ * #,##0_ ;_ * \-#,##0_ ;_ * &quot;-&quot;??_ ;_ @_ ">
                  <c:v>0</c:v>
                </c:pt>
                <c:pt idx="18" formatCode="_ * #,##0_ ;_ * \-#,##0_ ;_ * &quot;-&quot;??_ ;_ @_ ">
                  <c:v>0</c:v>
                </c:pt>
                <c:pt idx="19" formatCode="_ * #,##0_ ;_ * \-#,##0_ ;_ * &quot;-&quot;??_ ;_ @_ ">
                  <c:v>0</c:v>
                </c:pt>
                <c:pt idx="20" formatCode="_ * #,##0_ ;_ * \-#,##0_ ;_ * &quot;-&quot;??_ ;_ @_ ">
                  <c:v>0</c:v>
                </c:pt>
                <c:pt idx="21" formatCode="_ * #,##0_ ;_ * \-#,##0_ ;_ * &quot;-&quot;??_ ;_ @_ ">
                  <c:v>0</c:v>
                </c:pt>
                <c:pt idx="22" formatCode="_ * #,##0_ ;_ * \-#,##0_ ;_ * &quot;-&quot;??_ ;_ @_ ">
                  <c:v>0</c:v>
                </c:pt>
                <c:pt idx="23" formatCode="_ * #,##0_ ;_ * \-#,##0_ ;_ * &quot;-&quot;??_ ;_ @_ ">
                  <c:v>0</c:v>
                </c:pt>
                <c:pt idx="24" formatCode="_(* #,##0_);_(* \(#,##0\);_(* &quot;-&quot;??_);_(@_)">
                  <c:v>0</c:v>
                </c:pt>
                <c:pt idx="25" formatCode="_(* #,##0_);_(* \(#,##0\);_(* &quot;-&quot;??_);_(@_)">
                  <c:v>0</c:v>
                </c:pt>
                <c:pt idx="26" formatCode="_(* #,##0_);_(* \(#,##0\);_(* &quot;-&quot;??_);_(@_)">
                  <c:v>0</c:v>
                </c:pt>
                <c:pt idx="27" formatCode="_ * #,##0_ ;_ * \-#,##0_ ;_ * &quot;-&quot;??_ ;_ @_ ">
                  <c:v>1751.8752035000002</c:v>
                </c:pt>
                <c:pt idx="28" formatCode="_ * #,##0_ ;_ * \-#,##0_ ;_ * &quot;-&quot;??_ ;_ @_ ">
                  <c:v>6235.7549739999995</c:v>
                </c:pt>
                <c:pt idx="29" formatCode="_ * #,##0_ ;_ * \-#,##0_ ;_ * &quot;-&quot;??_ ;_ @_ ">
                  <c:v>2381.9200970000002</c:v>
                </c:pt>
                <c:pt idx="30" formatCode="_ * #,##0_ ;_ * \-#,##0_ ;_ * &quot;-&quot;??_ ;_ @_ ">
                  <c:v>1734.4075534999997</c:v>
                </c:pt>
                <c:pt idx="31" formatCode="_ * #,##0_ ;_ * \-#,##0_ ;_ * &quot;-&quot;??_ ;_ @_ ">
                  <c:v>1856.5995699999994</c:v>
                </c:pt>
                <c:pt idx="32" formatCode="_ * #,##0_ ;_ * \-#,##0_ ;_ * &quot;-&quot;??_ ;_ @_ ">
                  <c:v>2633.3125410000002</c:v>
                </c:pt>
                <c:pt idx="33" formatCode="_ * #,##0_ ;_ * \-#,##0_ ;_ * &quot;-&quot;??_ ;_ @_ ">
                  <c:v>1537.8181204999996</c:v>
                </c:pt>
                <c:pt idx="34" formatCode="_ * #,##0_ ;_ * \-#,##0_ ;_ * &quot;-&quot;??_ ;_ @_ ">
                  <c:v>1913.7781235000002</c:v>
                </c:pt>
                <c:pt idx="35" formatCode="_ * #,##0_ ;_ * \-#,##0_ ;_ * &quot;-&quot;??_ ;_ @_ ">
                  <c:v>1103.8054694999996</c:v>
                </c:pt>
              </c:numCache>
            </c:numRef>
          </c:val>
          <c:smooth val="0"/>
          <c:extLst>
            <c:ext xmlns:c16="http://schemas.microsoft.com/office/drawing/2014/chart" uri="{C3380CC4-5D6E-409C-BE32-E72D297353CC}">
              <c16:uniqueId val="{00000001-0B4C-4293-B4DB-DEE493EB07D6}"/>
            </c:ext>
          </c:extLst>
        </c:ser>
        <c:dLbls>
          <c:showLegendKey val="0"/>
          <c:showVal val="0"/>
          <c:showCatName val="0"/>
          <c:showSerName val="0"/>
          <c:showPercent val="0"/>
          <c:showBubbleSize val="0"/>
        </c:dLbls>
        <c:marker val="1"/>
        <c:smooth val="0"/>
        <c:axId val="429753520"/>
        <c:axId val="429754696"/>
      </c:lineChart>
      <c:lineChart>
        <c:grouping val="standard"/>
        <c:varyColors val="0"/>
        <c:ser>
          <c:idx val="3"/>
          <c:order val="1"/>
          <c:tx>
            <c:strRef>
              <c:f>'Turnover charts'!$N$3</c:f>
              <c:strCache>
                <c:ptCount val="1"/>
                <c:pt idx="0">
                  <c:v>BSE Options (RHS)</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numRef>
              <c:f>'Turnover charts'!$J$4:$J$54</c:f>
              <c:numCache>
                <c:formatCode>mmm\-yy</c:formatCode>
                <c:ptCount val="36"/>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pt idx="20">
                  <c:v>43770</c:v>
                </c:pt>
                <c:pt idx="21">
                  <c:v>43800</c:v>
                </c:pt>
                <c:pt idx="22">
                  <c:v>43831</c:v>
                </c:pt>
                <c:pt idx="23">
                  <c:v>43862</c:v>
                </c:pt>
                <c:pt idx="24">
                  <c:v>43891</c:v>
                </c:pt>
                <c:pt idx="25">
                  <c:v>43922</c:v>
                </c:pt>
                <c:pt idx="26">
                  <c:v>43952</c:v>
                </c:pt>
                <c:pt idx="27">
                  <c:v>43983</c:v>
                </c:pt>
                <c:pt idx="28">
                  <c:v>44013</c:v>
                </c:pt>
                <c:pt idx="29">
                  <c:v>44044</c:v>
                </c:pt>
                <c:pt idx="30">
                  <c:v>44075</c:v>
                </c:pt>
                <c:pt idx="31">
                  <c:v>44105</c:v>
                </c:pt>
                <c:pt idx="32">
                  <c:v>44136</c:v>
                </c:pt>
                <c:pt idx="33">
                  <c:v>44166</c:v>
                </c:pt>
                <c:pt idx="34">
                  <c:v>44197</c:v>
                </c:pt>
                <c:pt idx="35">
                  <c:v>44228</c:v>
                </c:pt>
              </c:numCache>
            </c:numRef>
          </c:cat>
          <c:val>
            <c:numRef>
              <c:f>'Turnover charts'!$N$4:$N$54</c:f>
              <c:numCache>
                <c:formatCode>General</c:formatCode>
                <c:ptCount val="36"/>
                <c:pt idx="7" formatCode="_(* #,##0_);_(* \(#,##0\);_(* &quot;-&quot;??_);_(@_)">
                  <c:v>0</c:v>
                </c:pt>
                <c:pt idx="8" formatCode="_(* #,##0_);_(* \(#,##0\);_(* &quot;-&quot;??_);_(@_)">
                  <c:v>0</c:v>
                </c:pt>
                <c:pt idx="9" formatCode="_(* #,##0_);_(* \(#,##0\);_(* &quot;-&quot;??_);_(@_)">
                  <c:v>0</c:v>
                </c:pt>
                <c:pt idx="10" formatCode="_(* #,##0_);_(* \(#,##0\);_(* &quot;-&quot;??_);_(@_)">
                  <c:v>0</c:v>
                </c:pt>
                <c:pt idx="11" formatCode="_(* #,##0_);_(* \(#,##0\);_(* &quot;-&quot;??_);_(@_)">
                  <c:v>0</c:v>
                </c:pt>
                <c:pt idx="12" formatCode="_(* #,##0_);_(* \(#,##0\);_(* &quot;-&quot;??_);_(@_)">
                  <c:v>0</c:v>
                </c:pt>
                <c:pt idx="13" formatCode="_(* #,##0_);_(* \(#,##0\);_(* &quot;-&quot;??_);_(@_)">
                  <c:v>0</c:v>
                </c:pt>
                <c:pt idx="14" formatCode="_(* #,##0_);_(* \(#,##0\);_(* &quot;-&quot;??_);_(@_)">
                  <c:v>0</c:v>
                </c:pt>
                <c:pt idx="15" formatCode="_(* #,##0_);_(* \(#,##0\);_(* &quot;-&quot;??_);_(@_)">
                  <c:v>0</c:v>
                </c:pt>
                <c:pt idx="16" formatCode="_(* #,##0_);_(* \(#,##0\);_(* &quot;-&quot;??_);_(@_)">
                  <c:v>0</c:v>
                </c:pt>
                <c:pt idx="17" formatCode="_(* #,##0_);_(* \(#,##0\);_(* &quot;-&quot;??_);_(@_)">
                  <c:v>0</c:v>
                </c:pt>
                <c:pt idx="18" formatCode="_(* #,##0_);_(* \(#,##0\);_(* &quot;-&quot;??_);_(@_)">
                  <c:v>0</c:v>
                </c:pt>
                <c:pt idx="19" formatCode="_(* #,##0_);_(* \(#,##0\);_(* &quot;-&quot;??_);_(@_)">
                  <c:v>0</c:v>
                </c:pt>
                <c:pt idx="20" formatCode="_(* #,##0_);_(* \(#,##0\);_(* &quot;-&quot;??_);_(@_)">
                  <c:v>0</c:v>
                </c:pt>
                <c:pt idx="21" formatCode="_(* #,##0_);_(* \(#,##0\);_(* &quot;-&quot;??_);_(@_)">
                  <c:v>0</c:v>
                </c:pt>
                <c:pt idx="22" formatCode="_(* #,##0_);_(* \(#,##0\);_(* &quot;-&quot;??_);_(@_)">
                  <c:v>0</c:v>
                </c:pt>
                <c:pt idx="23" formatCode="_(* #,##0_);_(* \(#,##0\);_(* &quot;-&quot;??_);_(@_)">
                  <c:v>0</c:v>
                </c:pt>
                <c:pt idx="24" formatCode="_(* #,##0_);_(* \(#,##0\);_(* &quot;-&quot;??_);_(@_)">
                  <c:v>0</c:v>
                </c:pt>
                <c:pt idx="25" formatCode="_(* #,##0_);_(* \(#,##0\);_(* &quot;-&quot;??_);_(@_)">
                  <c:v>0</c:v>
                </c:pt>
                <c:pt idx="26" formatCode="_(* #,##0_);_(* \(#,##0\);_(* &quot;-&quot;??_);_(@_)">
                  <c:v>0</c:v>
                </c:pt>
                <c:pt idx="27" formatCode="_ * #,##0_ ;_ * \-#,##0_ ;_ * &quot;-&quot;??_ ;_ @_ ">
                  <c:v>26816.769999999997</c:v>
                </c:pt>
                <c:pt idx="28" formatCode="_ * #,##0_ ;_ * \-#,##0_ ;_ * &quot;-&quot;??_ ;_ @_ ">
                  <c:v>72242.989999999991</c:v>
                </c:pt>
                <c:pt idx="29" formatCode="_ * #,##0_ ;_ * \-#,##0_ ;_ * &quot;-&quot;??_ ;_ @_ ">
                  <c:v>71670.850000000006</c:v>
                </c:pt>
                <c:pt idx="30" formatCode="_ * #,##0_ ;_ * \-#,##0_ ;_ * &quot;-&quot;??_ ;_ @_ ">
                  <c:v>58331.41</c:v>
                </c:pt>
                <c:pt idx="31" formatCode="_ * #,##0_ ;_ * \-#,##0_ ;_ * &quot;-&quot;??_ ;_ @_ ">
                  <c:v>56137.399999999994</c:v>
                </c:pt>
                <c:pt idx="32" formatCode="_ * #,##0_ ;_ * \-#,##0_ ;_ * &quot;-&quot;??_ ;_ @_ ">
                  <c:v>53954.21</c:v>
                </c:pt>
                <c:pt idx="33" formatCode="_ * #,##0_ ;_ * \-#,##0_ ;_ * &quot;-&quot;??_ ;_ @_ ">
                  <c:v>66801.039999999994</c:v>
                </c:pt>
                <c:pt idx="34" formatCode="_ * #,##0_ ;_ * \-#,##0_ ;_ * &quot;-&quot;??_ ;_ @_ ">
                  <c:v>62440.93</c:v>
                </c:pt>
                <c:pt idx="35" formatCode="_ * #,##0_ ;_ * \-#,##0_ ;_ * &quot;-&quot;??_ ;_ @_ ">
                  <c:v>65087.26</c:v>
                </c:pt>
              </c:numCache>
            </c:numRef>
          </c:val>
          <c:smooth val="0"/>
          <c:extLst>
            <c:ext xmlns:c16="http://schemas.microsoft.com/office/drawing/2014/chart" uri="{C3380CC4-5D6E-409C-BE32-E72D297353CC}">
              <c16:uniqueId val="{00000002-0B4C-4293-B4DB-DEE493EB07D6}"/>
            </c:ext>
          </c:extLst>
        </c:ser>
        <c:dLbls>
          <c:showLegendKey val="0"/>
          <c:showVal val="0"/>
          <c:showCatName val="0"/>
          <c:showSerName val="0"/>
          <c:showPercent val="0"/>
          <c:showBubbleSize val="0"/>
        </c:dLbls>
        <c:marker val="1"/>
        <c:smooth val="0"/>
        <c:axId val="429754304"/>
        <c:axId val="429753912"/>
      </c:lineChart>
      <c:dateAx>
        <c:axId val="429753520"/>
        <c:scaling>
          <c:orientation val="minMax"/>
          <c:min val="43891"/>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696"/>
        <c:crosses val="autoZero"/>
        <c:auto val="1"/>
        <c:lblOffset val="100"/>
        <c:baseTimeUnit val="months"/>
      </c:dateAx>
      <c:valAx>
        <c:axId val="429754696"/>
        <c:scaling>
          <c:orientation val="minMax"/>
          <c:max val="5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baseline="0"/>
                  <a:t> </a:t>
                </a:r>
                <a:r>
                  <a:rPr lang="en-IN"/>
                  <a:t> crore</a:t>
                </a:r>
              </a:p>
            </c:rich>
          </c:tx>
          <c:layout/>
          <c:overlay val="0"/>
          <c:spPr>
            <a:noFill/>
            <a:ln>
              <a:noFill/>
            </a:ln>
            <a:effectLst/>
          </c:spPr>
          <c:txPr>
            <a:bodyPr rot="-5400000" spcFirstLastPara="1" vertOverflow="ellipsis" vert="horz"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3520"/>
        <c:crosses val="autoZero"/>
        <c:crossBetween val="between"/>
        <c:majorUnit val="5000"/>
        <c:minorUnit val="5000"/>
      </c:valAx>
      <c:valAx>
        <c:axId val="429753912"/>
        <c:scaling>
          <c:orientation val="minMax"/>
          <c:max val="75000"/>
          <c:min val="0"/>
        </c:scaling>
        <c:delete val="0"/>
        <c:axPos val="r"/>
        <c:title>
          <c:tx>
            <c:rich>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r>
                  <a:rPr lang="en-US"/>
                  <a:t>₹</a:t>
                </a:r>
                <a:r>
                  <a:rPr lang="en-IN"/>
                  <a:t> crore</a:t>
                </a:r>
              </a:p>
            </c:rich>
          </c:tx>
          <c:layout>
            <c:manualLayout>
              <c:xMode val="edge"/>
              <c:yMode val="edge"/>
              <c:x val="0.96802305074641692"/>
              <c:y val="0.31903100347750651"/>
            </c:manualLayout>
          </c:layout>
          <c:overlay val="0"/>
          <c:spPr>
            <a:noFill/>
            <a:ln>
              <a:noFill/>
            </a:ln>
            <a:effectLst/>
          </c:spPr>
          <c:txPr>
            <a:bodyPr rot="5400000" spcFirstLastPara="1" vertOverflow="ellipsis" wrap="square" anchor="ctr" anchorCtr="1"/>
            <a:lstStyle/>
            <a:p>
              <a:pPr algn="ctr" rtl="0">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crossAx val="429754304"/>
        <c:crosses val="max"/>
        <c:crossBetween val="between"/>
        <c:majorUnit val="10000"/>
      </c:valAx>
      <c:dateAx>
        <c:axId val="429754304"/>
        <c:scaling>
          <c:orientation val="minMax"/>
        </c:scaling>
        <c:delete val="1"/>
        <c:axPos val="b"/>
        <c:numFmt formatCode="mmm\-yy" sourceLinked="1"/>
        <c:majorTickMark val="out"/>
        <c:minorTickMark val="none"/>
        <c:tickLblPos val="nextTo"/>
        <c:crossAx val="429753912"/>
        <c:crossesAt val="0"/>
        <c:auto val="1"/>
        <c:lblOffset val="100"/>
        <c:baseTimeUnit val="months"/>
      </c:dateAx>
      <c:spPr>
        <a:noFill/>
        <a:ln>
          <a:noFill/>
        </a:ln>
        <a:effectLst/>
      </c:spPr>
    </c:plotArea>
    <c:legend>
      <c:legendPos val="b"/>
      <c:layout>
        <c:manualLayout>
          <c:xMode val="edge"/>
          <c:yMode val="edge"/>
          <c:x val="0.10228638086905803"/>
          <c:y val="0.88298072419128193"/>
          <c:w val="0.82778999518551322"/>
          <c:h val="0.11701927580871811"/>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ysClr val="window" lastClr="FFFFFF">
          <a:lumMod val="65000"/>
        </a:sysClr>
      </a:solidFill>
      <a:round/>
    </a:ln>
    <a:effectLst/>
  </c:spPr>
  <c:txPr>
    <a:bodyPr/>
    <a:lstStyle/>
    <a:p>
      <a:pPr>
        <a:defRPr sz="900">
          <a:solidFill>
            <a:sysClr val="windowText" lastClr="000000"/>
          </a:solidFill>
          <a:latin typeface="Palatino Linotype" panose="0204050205050503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1.xml.rels>&#65279;<?xml version="1.0" encoding="utf-8"?><Relationships xmlns="http://schemas.openxmlformats.org/package/2006/relationships"><Relationship Type="http://schemas.openxmlformats.org/officeDocument/2006/relationships/customXmlProps" Target="/customXML/itemPropsd.xml" Id="R42752e58" /></Relationships>
</file>

<file path=customXML/_rels/itemc.xml.rels>&#65279;<?xml version="1.0" encoding="utf-8"?><Relationships xmlns="http://schemas.openxmlformats.org/package/2006/relationships"><Relationship Type="http://schemas.openxmlformats.org/officeDocument/2006/relationships/customXmlProps" Target="/customXML/itemPropsb.xml" Id="Re8ada987" /></Relationships>
</file>

<file path=customXML/_rels/iteme.xml.rels>&#65279;<?xml version="1.0" encoding="utf-8"?><Relationships xmlns="http://schemas.openxmlformats.org/package/2006/relationships"><Relationship Type="http://schemas.openxmlformats.org/officeDocument/2006/relationships/customXmlProps" Target="/customXML/itemPropsc.xml" Id="R165ff243" /></Relationships>
</file>

<file path=customXML/item11.xml><?xml version="1.0" encoding="utf-8"?>
<Klassify>
  <SNO>9</SNO>
  <KDate>2021-05-07 09:46:04</KDate>
  <Classification>SEBI-INTERNAL</Classification>
  <HostName>MUM0111649</HostName>
  <Domain_User>SEBINT/1649</Domain_User>
  <IPAdd>10.88.99.116</IPAdd>
  <FilePath>C:\Users\1649\AppData\Roaming\Klassify\27765\Bulletin-March 2021.docx</FilePath>
  <KID>7427EA48EFCA637066619672483538</KID>
</Klassify>
</file>

<file path=customXML/itemPropsb.xml><?xml version="1.0" encoding="utf-8"?>
<ds:datastoreItem xmlns:ds="http://schemas.openxmlformats.org/officeDocument/2006/customXml" ds:itemID="{D7543C77-5EBC-46F2-AC21-5D702358D3EF}">
  <ds:schemaRefs/>
</ds:datastoreItem>
</file>

<file path=customXML/itemPropsc.xml><?xml version="1.0" encoding="utf-8"?>
<ds:datastoreItem xmlns:ds="http://schemas.openxmlformats.org/officeDocument/2006/customXml" ds:itemID="{D7543C77-5EBC-46F2-AC21-5D702358D3EF}">
  <ds:schemaRefs/>
</ds:datastoreItem>
</file>

<file path=customXML/itemPropsd.xml><?xml version="1.0" encoding="utf-8"?>
<ds:datastoreItem xmlns:ds="http://schemas.openxmlformats.org/officeDocument/2006/customXml" ds:itemID="{D7543C77-5EBC-46F2-AC21-5D702358D3EF}">
  <ds:schemaRefs/>
</ds:datastoreItem>
</file>

<file path=customXML/itemb.xml>
</file>

<file path=customXML/itemc.xml><?xml version="1.0" encoding="utf-8"?>
<Klassify>
  <SNO>7</SNO>
  <KDate>2021-05-06 17:54:33</KDate>
  <Classification>SEBI-INTERNAL</Classification>
  <HostName>MUM0111649</HostName>
  <Domain_User>SEBINT/1649</Domain_User>
  <IPAdd>10.88.99.116</IPAdd>
  <FilePath>C:\Users\1649\AppData\Roaming\Klassify\77655\Bulletin-March 2021.docx</FilePath>
  <KID>7427EA48EFCA637066619672483538</KID>
</Klassify>
</file>

<file path=customXML/itemd.xml>
</file>

<file path=customXML/iteme.xml><?xml version="1.0" encoding="utf-8"?>
<Klassify>
  <SNO>8</SNO>
  <KDate>2021-05-06 17:55:16</KDate>
  <Classification>SEBI-INTERNAL</Classification>
  <HostName>MUM0111649</HostName>
  <Domain_User>SEBINT/1649</Domain_User>
  <IPAdd>10.88.99.116</IPAdd>
  <FilePath>C:\Users\1649\AppData\Roaming\Klassify\23956\Bulletin-March 2021.docx</FilePath>
  <KID>7427EA48EFCA637066619672483538</KID>
</Klassify>
</file>

<file path=customXML/itemf.xml>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Klassify>
  <SNO>5</SNO>
  <KDate>2021-03-04 12:15:09</KDate>
  <Classification>SEBI-INTERNAL</Classification>
  <HostName>MUM0111832</HostName>
  <Domain_User>SEBINT/1832</Domain_User>
  <IPAdd>10.88.99.209</IPAdd>
  <FilePath>C:\Users\1832\AppData\Roaming\Klassify\57909\Bulletin-February 2021.docx</FilePath>
  <KID>7427EA48EFCA637066619672483538</KID>
</Klassify>
</file>

<file path=customXml/item2.xml>
</file>

<file path=customXml/item3.xml>
</file>

<file path=customXml/item4.xml><?xml version="1.0" encoding="utf-8"?>
<Klassify>
  <SNO>3</SNO>
  <KDate>2021-03-03 12:56:47</KDate>
  <Classification>SEBI-INTERNAL</Classification>
  <HostName>MUM0111564</HostName>
  <Domain_User>SEBINT/1564</Domain_User>
  <IPAdd>10.88.101.238</IPAdd>
  <FilePath>C:\Users\1564\AppData\Roaming\Klassify\47103\Bulletin-February 2021.docx</FilePath>
  <KID>7427EA48EFCA637066619672483538</KID>
</Klassify>
</file>

<file path=customXml/item5.xml>
</file>

<file path=customXml/item6.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7.xml><?xml version="1.0" encoding="utf-8"?>
<Klassify>
  <SNO>6</SNO>
  <KDate>2021-03-04 13:03:23</KDate>
  <Classification>SEBI-PUBLIC</Classification>
  <HostName>MUM0111649</HostName>
  <Domain_User>SEBINT/1649</Domain_User>
  <IPAdd>10.88.99.116</IPAdd>
  <FilePath>C:\Users\1649\Desktop\Bulletin Feb 2021\Bulletin Files\Bulletin-February 2021 Revised.docx</FilePath>
  <KID>7427EA48EFCA637066619672483538</KID>
  <UniqueName/>
  <Suggested/>
  <Justification/>
</Klassify>
</file>

<file path=customXml/item8.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9.xml><?xml version="1.0" encoding="utf-8"?>
<Klassify>
  <SNO>4</SNO>
  <KDate>2021-03-04 12:07:01</KDate>
  <Classification>SEBI-INTERNAL</Classification>
  <HostName>MUM0111649</HostName>
  <Domain_User>SEBINT/1649</Domain_User>
  <IPAdd>10.88.99.116</IPAdd>
  <FilePath>C:\Users\1649\AppData\Roaming\Klassify\83779\Bulletin-February 2021.docx</FilePath>
  <KID>7427EA48EFCA637066619672483538</KID>
</Klassify>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43C77-5EBC-46F2-AC21-5D702358D3EF}">
  <ds:schemaRefs/>
</ds:datastoreItem>
</file>

<file path=customXml/itemProps2.xml><?xml version="1.0" encoding="utf-8"?>
<ds:datastoreItem xmlns:ds="http://schemas.openxmlformats.org/officeDocument/2006/customXml" ds:itemID="{F1A90E88-F8CE-47CC-B1F2-2802B9D4F2FE}"/>
</file>

<file path=customXml/itemProps3.xml><?xml version="1.0" encoding="utf-8"?>
<ds:datastoreItem xmlns:ds="http://schemas.openxmlformats.org/officeDocument/2006/customXml" ds:itemID="{FFFCDC47-2152-406C-A3E3-98A02192763B}"/>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8A5DE7B4-0207-485C-AD2D-76752FDBC33F}"/>
</file>

<file path=customXml/itemProps6.xml><?xml version="1.0" encoding="utf-8"?>
<ds:datastoreItem xmlns:ds="http://schemas.openxmlformats.org/officeDocument/2006/customXml" ds:itemID="{982F008C-5608-4977-B1FB-BF780A09BDC2}">
  <ds:schemaRefs/>
</ds:datastoreItem>
</file>

<file path=customXml/itemProps7.xml><?xml version="1.0" encoding="utf-8"?>
<ds:datastoreItem xmlns:ds="http://schemas.openxmlformats.org/officeDocument/2006/customXml" ds:itemID="{2C38164C-8094-471D-AC2C-77D018C8E0F2}">
  <ds:schemaRefs/>
</ds:datastoreItem>
</file>

<file path=customXml/itemProps8.xml><?xml version="1.0" encoding="utf-8"?>
<ds:datastoreItem xmlns:ds="http://schemas.openxmlformats.org/officeDocument/2006/customXml" ds:itemID="{AC874CF5-52D4-4685-80EC-6F1B86646A89}">
  <ds:schemaRefs/>
</ds:datastoreItem>
</file>

<file path=customXml/itemProps9.xml><?xml version="1.0" encoding="utf-8"?>
<ds:datastoreItem xmlns:ds="http://schemas.openxmlformats.org/officeDocument/2006/customXml" ds:itemID="{D7543C77-5EBC-46F2-AC21-5D702358D3EF}">
  <ds:schemaRefs/>
</ds:datastoreItem>
</file>

<file path=customXml/itemProps10.xml><?xml version="1.0" encoding="utf-8"?>
<ds:datastoreItem xmlns:ds="http://schemas.openxmlformats.org/officeDocument/2006/customXml" ds:itemID="{25ADDE0C-060D-4DA4-8804-E39CBE952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19505</Words>
  <Characters>111183</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 V SUBBA RAO</cp:lastModifiedBy>
  <cp:revision>2</cp:revision>
  <cp:lastPrinted>2021-01-25T05:51:00Z</cp:lastPrinted>
  <dcterms:created xsi:type="dcterms:W3CDTF">2021-05-06T12:21:00Z</dcterms:created>
  <dcterms:modified xsi:type="dcterms:W3CDTF">2021-05-06T12:21:00Z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Rules">
    <vt:lpwstr/>
  </op:property>
  <op:property fmtid="{D5CDD505-2E9C-101B-9397-08002B2CF9AE}" pid="3" name="Classification">
    <vt:lpwstr>SEBI-INTERNAL</vt:lpwstr>
  </op:property>
  <op:property fmtid="{D5CDD505-2E9C-101B-9397-08002B2CF9AE}" pid="4" name="KID">
    <vt:lpwstr>7427EA48EFCA637066619672483538</vt:lpwstr>
  </op:property>
</op:Properties>
</file>