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7.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1D4399"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 xml:space="preserve">APRIL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sidR="002361F1">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sidR="002361F1">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2361F1">
        <w:rPr>
          <w:rFonts w:ascii="Palatino Linotype" w:hAnsi="Palatino Linotype"/>
          <w:b/>
          <w:color w:val="FF0000"/>
          <w:sz w:val="22"/>
          <w:szCs w:val="22"/>
        </w:rPr>
        <w:t>0</w:t>
      </w:r>
      <w:r>
        <w:rPr>
          <w:rFonts w:ascii="Palatino Linotype" w:hAnsi="Palatino Linotype"/>
          <w:b/>
          <w:color w:val="FF0000"/>
          <w:sz w:val="22"/>
          <w:szCs w:val="22"/>
        </w:rPr>
        <w:t>4</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7"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8"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1136" w:rsidRDefault="002C1136"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B43812" w:rsidRDefault="00B43812" w:rsidP="00B43812">
      <w:pPr>
        <w:jc w:val="both"/>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1755DE" w:rsidRPr="001D4399" w:rsidRDefault="001755DE" w:rsidP="001755DE">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 xml:space="preserve">Trends in Resource Mobilisation by Corporates  </w:t>
      </w:r>
    </w:p>
    <w:p w:rsidR="001755DE" w:rsidRPr="001D4399" w:rsidRDefault="001755DE" w:rsidP="001755DE">
      <w:pPr>
        <w:widowControl w:val="0"/>
        <w:spacing w:line="276" w:lineRule="auto"/>
        <w:jc w:val="both"/>
        <w:rPr>
          <w:rFonts w:ascii="Palatino Linotype" w:eastAsia="Palatino Linotype" w:hAnsi="Palatino Linotype" w:cs="Palatino Linotype"/>
          <w:b/>
          <w:color w:val="2E74B5"/>
          <w:sz w:val="22"/>
          <w:szCs w:val="22"/>
          <w:highlight w:val="yellow"/>
        </w:rPr>
      </w:pPr>
    </w:p>
    <w:p w:rsidR="001755DE" w:rsidRPr="001D4399" w:rsidRDefault="001755DE" w:rsidP="001755DE">
      <w:pPr>
        <w:widowControl w:val="0"/>
        <w:spacing w:line="276" w:lineRule="auto"/>
        <w:jc w:val="both"/>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Table 1: Fund Mobilisation by Corporates (</w:t>
      </w:r>
      <w:r w:rsidRPr="001D4399">
        <w:rPr>
          <w:rFonts w:ascii="Tahoma" w:eastAsia="Tahoma" w:hAnsi="Tahoma" w:cs="Tahoma"/>
          <w:b/>
          <w:sz w:val="22"/>
          <w:szCs w:val="22"/>
        </w:rPr>
        <w:t>₹</w:t>
      </w:r>
      <w:r w:rsidRPr="001D4399">
        <w:rPr>
          <w:rFonts w:ascii="Times New Roman" w:eastAsia="Tahoma" w:hAnsi="Times New Roman"/>
          <w:b/>
          <w:sz w:val="22"/>
          <w:szCs w:val="22"/>
        </w:rPr>
        <w:t xml:space="preserve"> </w:t>
      </w:r>
      <w:r w:rsidRPr="001D4399">
        <w:rPr>
          <w:rFonts w:ascii="Palatino Linotype" w:eastAsia="Palatino Linotype" w:hAnsi="Palatino Linotype" w:cs="Palatino Linotype"/>
          <w:b/>
          <w:sz w:val="22"/>
          <w:szCs w:val="22"/>
        </w:rPr>
        <w:t xml:space="preserve">crore) </w:t>
      </w:r>
    </w:p>
    <w:tbl>
      <w:tblPr>
        <w:tblW w:w="9828" w:type="dxa"/>
        <w:tblInd w:w="-5" w:type="dxa"/>
        <w:tblLook w:val="04A0" w:firstRow="1" w:lastRow="0" w:firstColumn="1" w:lastColumn="0" w:noHBand="0" w:noVBand="1"/>
      </w:tblPr>
      <w:tblGrid>
        <w:gridCol w:w="5436"/>
        <w:gridCol w:w="2288"/>
        <w:gridCol w:w="2104"/>
      </w:tblGrid>
      <w:tr w:rsidR="001755DE" w:rsidRPr="00797A8B" w:rsidTr="00A91C39">
        <w:trPr>
          <w:trHeight w:val="259"/>
        </w:trPr>
        <w:tc>
          <w:tcPr>
            <w:tcW w:w="5436"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1755DE" w:rsidRPr="00797A8B" w:rsidRDefault="001755DE" w:rsidP="00A91C39">
            <w:pPr>
              <w:rPr>
                <w:rFonts w:ascii="Garamond" w:hAnsi="Garamond"/>
                <w:b/>
                <w:bCs/>
                <w:color w:val="000000"/>
                <w:sz w:val="22"/>
                <w:szCs w:val="22"/>
              </w:rPr>
            </w:pPr>
            <w:r w:rsidRPr="00797A8B">
              <w:rPr>
                <w:rFonts w:ascii="Garamond" w:hAnsi="Garamond"/>
                <w:b/>
                <w:bCs/>
                <w:color w:val="000000"/>
                <w:sz w:val="22"/>
                <w:szCs w:val="22"/>
              </w:rPr>
              <w:t>Particulars</w:t>
            </w:r>
          </w:p>
        </w:tc>
        <w:tc>
          <w:tcPr>
            <w:tcW w:w="2288" w:type="dxa"/>
            <w:tcBorders>
              <w:top w:val="single" w:sz="4" w:space="0" w:color="000000"/>
              <w:left w:val="nil"/>
              <w:bottom w:val="single" w:sz="4" w:space="0" w:color="000000"/>
              <w:right w:val="single" w:sz="4" w:space="0" w:color="000000"/>
            </w:tcBorders>
            <w:shd w:val="clear" w:color="A9D08E" w:fill="A9D08E"/>
            <w:noWrap/>
            <w:vAlign w:val="center"/>
            <w:hideMark/>
          </w:tcPr>
          <w:p w:rsidR="001755DE" w:rsidRPr="00797A8B" w:rsidRDefault="001755DE" w:rsidP="00A91C39">
            <w:pPr>
              <w:jc w:val="right"/>
              <w:rPr>
                <w:rFonts w:ascii="Garamond" w:hAnsi="Garamond"/>
                <w:b/>
                <w:bCs/>
                <w:color w:val="000000"/>
                <w:sz w:val="22"/>
                <w:szCs w:val="22"/>
              </w:rPr>
            </w:pPr>
            <w:r w:rsidRPr="00797A8B">
              <w:rPr>
                <w:rFonts w:ascii="Garamond" w:hAnsi="Garamond"/>
                <w:b/>
                <w:bCs/>
                <w:color w:val="000000"/>
                <w:sz w:val="22"/>
                <w:szCs w:val="22"/>
              </w:rPr>
              <w:t>Feb-21</w:t>
            </w:r>
          </w:p>
        </w:tc>
        <w:tc>
          <w:tcPr>
            <w:tcW w:w="2104" w:type="dxa"/>
            <w:tcBorders>
              <w:top w:val="single" w:sz="4" w:space="0" w:color="000000"/>
              <w:left w:val="nil"/>
              <w:bottom w:val="single" w:sz="4" w:space="0" w:color="000000"/>
              <w:right w:val="single" w:sz="4" w:space="0" w:color="000000"/>
            </w:tcBorders>
            <w:shd w:val="clear" w:color="A9D08E" w:fill="A9D08E"/>
            <w:noWrap/>
            <w:vAlign w:val="center"/>
            <w:hideMark/>
          </w:tcPr>
          <w:p w:rsidR="001755DE" w:rsidRPr="00797A8B" w:rsidRDefault="001755DE" w:rsidP="00A91C39">
            <w:pPr>
              <w:jc w:val="right"/>
              <w:rPr>
                <w:rFonts w:ascii="Garamond" w:hAnsi="Garamond"/>
                <w:b/>
                <w:bCs/>
                <w:color w:val="000000"/>
                <w:sz w:val="22"/>
                <w:szCs w:val="22"/>
              </w:rPr>
            </w:pPr>
            <w:r w:rsidRPr="00797A8B">
              <w:rPr>
                <w:rFonts w:ascii="Garamond" w:hAnsi="Garamond"/>
                <w:b/>
                <w:bCs/>
                <w:color w:val="000000"/>
                <w:sz w:val="22"/>
                <w:szCs w:val="22"/>
              </w:rPr>
              <w:t>Mar-21</w:t>
            </w:r>
          </w:p>
        </w:tc>
      </w:tr>
      <w:tr w:rsidR="001755DE" w:rsidRPr="00797A8B" w:rsidTr="00A91C39">
        <w:trPr>
          <w:trHeight w:val="259"/>
        </w:trPr>
        <w:tc>
          <w:tcPr>
            <w:tcW w:w="5436" w:type="dxa"/>
            <w:tcBorders>
              <w:top w:val="nil"/>
              <w:left w:val="single" w:sz="4" w:space="0" w:color="000000"/>
              <w:bottom w:val="single" w:sz="4" w:space="0" w:color="000000"/>
              <w:right w:val="nil"/>
            </w:tcBorders>
            <w:shd w:val="clear" w:color="auto" w:fill="auto"/>
            <w:vAlign w:val="center"/>
            <w:hideMark/>
          </w:tcPr>
          <w:p w:rsidR="001755DE" w:rsidRPr="00797A8B" w:rsidRDefault="001755DE" w:rsidP="00A91C39">
            <w:pPr>
              <w:rPr>
                <w:rFonts w:ascii="Garamond" w:hAnsi="Garamond"/>
                <w:b/>
                <w:bCs/>
                <w:i/>
                <w:iCs/>
                <w:color w:val="000000"/>
                <w:sz w:val="22"/>
                <w:szCs w:val="22"/>
              </w:rPr>
            </w:pPr>
            <w:r w:rsidRPr="00797A8B">
              <w:rPr>
                <w:rFonts w:ascii="Garamond" w:hAnsi="Garamond"/>
                <w:b/>
                <w:bCs/>
                <w:i/>
                <w:iCs/>
                <w:color w:val="000000"/>
                <w:sz w:val="22"/>
                <w:szCs w:val="22"/>
              </w:rPr>
              <w:t>I. Equity Issue</w:t>
            </w:r>
          </w:p>
        </w:tc>
        <w:tc>
          <w:tcPr>
            <w:tcW w:w="2288"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b/>
                <w:bCs/>
                <w:color w:val="000000"/>
                <w:sz w:val="22"/>
                <w:szCs w:val="22"/>
              </w:rPr>
            </w:pPr>
            <w:r w:rsidRPr="00797A8B">
              <w:rPr>
                <w:rFonts w:ascii="Garamond" w:hAnsi="Garamond"/>
                <w:b/>
                <w:bCs/>
                <w:color w:val="000000"/>
                <w:sz w:val="22"/>
                <w:szCs w:val="22"/>
              </w:rPr>
              <w:t>14,517</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b/>
                <w:bCs/>
                <w:color w:val="000000"/>
                <w:sz w:val="22"/>
                <w:szCs w:val="22"/>
              </w:rPr>
            </w:pPr>
            <w:r w:rsidRPr="00797A8B">
              <w:rPr>
                <w:rFonts w:ascii="Garamond" w:hAnsi="Garamond"/>
                <w:b/>
                <w:bCs/>
                <w:color w:val="000000"/>
                <w:sz w:val="22"/>
                <w:szCs w:val="22"/>
              </w:rPr>
              <w:t>20,127</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color w:val="000000"/>
                <w:sz w:val="22"/>
                <w:szCs w:val="22"/>
              </w:rPr>
            </w:pPr>
            <w:r w:rsidRPr="00797A8B">
              <w:rPr>
                <w:rFonts w:ascii="Garamond" w:hAnsi="Garamond"/>
                <w:color w:val="000000"/>
                <w:sz w:val="22"/>
                <w:szCs w:val="22"/>
              </w:rPr>
              <w:t>a. IPOs (i+ii)</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3,658</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6,352</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i/>
                <w:iCs/>
                <w:color w:val="000000"/>
                <w:sz w:val="22"/>
                <w:szCs w:val="22"/>
              </w:rPr>
            </w:pPr>
            <w:r w:rsidRPr="00797A8B">
              <w:rPr>
                <w:rFonts w:ascii="Garamond" w:hAnsi="Garamond"/>
                <w:i/>
                <w:iCs/>
                <w:color w:val="000000"/>
                <w:sz w:val="22"/>
                <w:szCs w:val="22"/>
              </w:rPr>
              <w:t xml:space="preserve">    i. Main Board</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3,655</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6,255</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i/>
                <w:iCs/>
                <w:color w:val="000000"/>
                <w:sz w:val="22"/>
                <w:szCs w:val="22"/>
              </w:rPr>
            </w:pPr>
            <w:r w:rsidRPr="00797A8B">
              <w:rPr>
                <w:rFonts w:ascii="Garamond" w:hAnsi="Garamond"/>
                <w:i/>
                <w:iCs/>
                <w:color w:val="000000"/>
                <w:sz w:val="22"/>
                <w:szCs w:val="22"/>
              </w:rPr>
              <w:t xml:space="preserve">    ii. SME Platform</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3</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97</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color w:val="000000"/>
                <w:sz w:val="22"/>
                <w:szCs w:val="22"/>
              </w:rPr>
            </w:pPr>
            <w:r w:rsidRPr="00797A8B">
              <w:rPr>
                <w:rFonts w:ascii="Garamond" w:hAnsi="Garamond"/>
                <w:color w:val="000000"/>
                <w:sz w:val="22"/>
                <w:szCs w:val="22"/>
              </w:rPr>
              <w:t>b. FPOs</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0</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30</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color w:val="000000"/>
                <w:sz w:val="22"/>
                <w:szCs w:val="22"/>
              </w:rPr>
            </w:pPr>
            <w:r w:rsidRPr="00797A8B">
              <w:rPr>
                <w:rFonts w:ascii="Garamond" w:hAnsi="Garamond"/>
                <w:color w:val="000000"/>
                <w:sz w:val="22"/>
                <w:szCs w:val="22"/>
              </w:rPr>
              <w:t>c. Equity Right Issue</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2,999</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72</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color w:val="000000"/>
                <w:sz w:val="22"/>
                <w:szCs w:val="22"/>
              </w:rPr>
            </w:pPr>
            <w:r w:rsidRPr="00797A8B">
              <w:rPr>
                <w:rFonts w:ascii="Garamond" w:hAnsi="Garamond"/>
                <w:color w:val="000000"/>
                <w:sz w:val="22"/>
                <w:szCs w:val="22"/>
              </w:rPr>
              <w:t>d. QIP/IPP</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2,645</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10,775</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color w:val="000000"/>
                <w:sz w:val="22"/>
                <w:szCs w:val="22"/>
              </w:rPr>
            </w:pPr>
            <w:r w:rsidRPr="00797A8B">
              <w:rPr>
                <w:rFonts w:ascii="Garamond" w:hAnsi="Garamond"/>
                <w:color w:val="000000"/>
                <w:sz w:val="22"/>
                <w:szCs w:val="22"/>
              </w:rPr>
              <w:t>e. Preferential Allotment</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5,216</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2,898</w:t>
            </w:r>
          </w:p>
        </w:tc>
      </w:tr>
      <w:tr w:rsidR="001755DE" w:rsidRPr="00797A8B" w:rsidTr="00A91C39">
        <w:trPr>
          <w:trHeight w:val="259"/>
        </w:trPr>
        <w:tc>
          <w:tcPr>
            <w:tcW w:w="5436" w:type="dxa"/>
            <w:tcBorders>
              <w:top w:val="nil"/>
              <w:left w:val="single" w:sz="4" w:space="0" w:color="000000"/>
              <w:bottom w:val="single" w:sz="4" w:space="0" w:color="000000"/>
              <w:right w:val="nil"/>
            </w:tcBorders>
            <w:shd w:val="clear" w:color="auto" w:fill="auto"/>
            <w:vAlign w:val="center"/>
            <w:hideMark/>
          </w:tcPr>
          <w:p w:rsidR="001755DE" w:rsidRPr="00797A8B" w:rsidRDefault="001755DE" w:rsidP="00A91C39">
            <w:pPr>
              <w:rPr>
                <w:rFonts w:ascii="Garamond" w:hAnsi="Garamond"/>
                <w:b/>
                <w:bCs/>
                <w:i/>
                <w:iCs/>
                <w:color w:val="000000"/>
                <w:sz w:val="22"/>
                <w:szCs w:val="22"/>
              </w:rPr>
            </w:pPr>
            <w:r w:rsidRPr="00797A8B">
              <w:rPr>
                <w:rFonts w:ascii="Garamond" w:hAnsi="Garamond"/>
                <w:b/>
                <w:bCs/>
                <w:i/>
                <w:iCs/>
                <w:color w:val="000000"/>
                <w:sz w:val="22"/>
                <w:szCs w:val="22"/>
              </w:rPr>
              <w:t xml:space="preserve">II. Debt Issue </w:t>
            </w:r>
          </w:p>
        </w:tc>
        <w:tc>
          <w:tcPr>
            <w:tcW w:w="2288"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b/>
                <w:bCs/>
                <w:color w:val="000000"/>
                <w:sz w:val="22"/>
                <w:szCs w:val="22"/>
              </w:rPr>
            </w:pPr>
            <w:r w:rsidRPr="00797A8B">
              <w:rPr>
                <w:rFonts w:ascii="Garamond" w:hAnsi="Garamond"/>
                <w:b/>
                <w:bCs/>
                <w:color w:val="000000"/>
                <w:sz w:val="22"/>
                <w:szCs w:val="22"/>
              </w:rPr>
              <w:t>45,902</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b/>
                <w:bCs/>
                <w:color w:val="000000"/>
                <w:sz w:val="22"/>
                <w:szCs w:val="22"/>
              </w:rPr>
            </w:pPr>
            <w:r w:rsidRPr="00797A8B">
              <w:rPr>
                <w:rFonts w:ascii="Garamond" w:hAnsi="Garamond"/>
                <w:b/>
                <w:bCs/>
                <w:color w:val="000000"/>
                <w:sz w:val="22"/>
                <w:szCs w:val="22"/>
              </w:rPr>
              <w:t>95,230</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color w:val="000000"/>
                <w:sz w:val="22"/>
                <w:szCs w:val="22"/>
              </w:rPr>
            </w:pPr>
            <w:r w:rsidRPr="00797A8B">
              <w:rPr>
                <w:rFonts w:ascii="Garamond" w:hAnsi="Garamond"/>
                <w:color w:val="000000"/>
                <w:sz w:val="22"/>
                <w:szCs w:val="22"/>
              </w:rPr>
              <w:t>a. Debt Public Issue</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216</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900</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color w:val="000000"/>
                <w:sz w:val="22"/>
                <w:szCs w:val="22"/>
              </w:rPr>
            </w:pPr>
            <w:r w:rsidRPr="00797A8B">
              <w:rPr>
                <w:rFonts w:ascii="Garamond" w:hAnsi="Garamond"/>
                <w:color w:val="000000"/>
                <w:sz w:val="22"/>
                <w:szCs w:val="22"/>
              </w:rPr>
              <w:t>b. Private Placement of Debt</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 xml:space="preserve">      45,685 </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color w:val="000000"/>
                <w:sz w:val="22"/>
                <w:szCs w:val="22"/>
              </w:rPr>
            </w:pPr>
            <w:r w:rsidRPr="00797A8B">
              <w:rPr>
                <w:rFonts w:ascii="Garamond" w:hAnsi="Garamond"/>
                <w:color w:val="000000"/>
                <w:sz w:val="22"/>
                <w:szCs w:val="22"/>
              </w:rPr>
              <w:t xml:space="preserve">      94,330 </w:t>
            </w:r>
          </w:p>
        </w:tc>
      </w:tr>
      <w:tr w:rsidR="001755DE" w:rsidRPr="00797A8B" w:rsidTr="00A91C39">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1755DE" w:rsidRPr="00797A8B" w:rsidRDefault="001755DE" w:rsidP="00A91C39">
            <w:pPr>
              <w:rPr>
                <w:rFonts w:ascii="Garamond" w:hAnsi="Garamond"/>
                <w:b/>
                <w:bCs/>
                <w:color w:val="000000"/>
                <w:sz w:val="22"/>
                <w:szCs w:val="22"/>
              </w:rPr>
            </w:pPr>
            <w:r w:rsidRPr="00797A8B">
              <w:rPr>
                <w:rFonts w:ascii="Garamond" w:hAnsi="Garamond"/>
                <w:b/>
                <w:bCs/>
                <w:color w:val="000000"/>
                <w:sz w:val="22"/>
                <w:szCs w:val="22"/>
              </w:rPr>
              <w:t>Total Funds Mobilised (I+II)</w:t>
            </w:r>
          </w:p>
        </w:tc>
        <w:tc>
          <w:tcPr>
            <w:tcW w:w="2288"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b/>
                <w:bCs/>
                <w:color w:val="000000"/>
                <w:sz w:val="22"/>
                <w:szCs w:val="22"/>
              </w:rPr>
            </w:pPr>
            <w:r w:rsidRPr="00797A8B">
              <w:rPr>
                <w:rFonts w:ascii="Garamond" w:hAnsi="Garamond"/>
                <w:b/>
                <w:bCs/>
                <w:color w:val="000000"/>
                <w:sz w:val="22"/>
                <w:szCs w:val="22"/>
              </w:rPr>
              <w:t>60,419</w:t>
            </w:r>
          </w:p>
        </w:tc>
        <w:tc>
          <w:tcPr>
            <w:tcW w:w="2104" w:type="dxa"/>
            <w:tcBorders>
              <w:top w:val="nil"/>
              <w:left w:val="nil"/>
              <w:bottom w:val="single" w:sz="4" w:space="0" w:color="000000"/>
              <w:right w:val="single" w:sz="4" w:space="0" w:color="000000"/>
            </w:tcBorders>
            <w:shd w:val="clear" w:color="auto" w:fill="auto"/>
            <w:noWrap/>
            <w:vAlign w:val="center"/>
            <w:hideMark/>
          </w:tcPr>
          <w:p w:rsidR="001755DE" w:rsidRPr="00797A8B" w:rsidRDefault="001755DE" w:rsidP="00A91C39">
            <w:pPr>
              <w:jc w:val="right"/>
              <w:rPr>
                <w:rFonts w:ascii="Garamond" w:hAnsi="Garamond"/>
                <w:b/>
                <w:bCs/>
                <w:color w:val="000000"/>
                <w:sz w:val="22"/>
                <w:szCs w:val="22"/>
              </w:rPr>
            </w:pPr>
            <w:r w:rsidRPr="00797A8B">
              <w:rPr>
                <w:rFonts w:ascii="Garamond" w:hAnsi="Garamond"/>
                <w:b/>
                <w:bCs/>
                <w:color w:val="000000"/>
                <w:sz w:val="22"/>
                <w:szCs w:val="22"/>
              </w:rPr>
              <w:t>1,15,356</w:t>
            </w:r>
          </w:p>
        </w:tc>
      </w:tr>
    </w:tbl>
    <w:p w:rsidR="001755DE" w:rsidRPr="001D4399" w:rsidRDefault="001755DE" w:rsidP="001755DE">
      <w:pPr>
        <w:widowControl w:val="0"/>
        <w:tabs>
          <w:tab w:val="right" w:pos="9888"/>
        </w:tabs>
        <w:spacing w:line="276" w:lineRule="auto"/>
        <w:jc w:val="both"/>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SEBI, NSE, BSE and MSEI</w:t>
      </w:r>
    </w:p>
    <w:p w:rsidR="001755DE" w:rsidRPr="001D4399" w:rsidRDefault="001755DE" w:rsidP="001755DE">
      <w:pPr>
        <w:widowControl w:val="0"/>
        <w:tabs>
          <w:tab w:val="right" w:pos="9888"/>
        </w:tabs>
        <w:spacing w:line="276" w:lineRule="auto"/>
        <w:jc w:val="both"/>
        <w:rPr>
          <w:rFonts w:ascii="Palatino Linotype" w:eastAsia="Palatino Linotype" w:hAnsi="Palatino Linotype" w:cs="Palatino Linotype"/>
          <w:b/>
          <w:sz w:val="22"/>
          <w:szCs w:val="22"/>
          <w:highlight w:val="yellow"/>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During March 2021, there were nine main board IPO issues and six SME IPO mobilising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6,352 crore and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97 crore respectively </w:t>
      </w:r>
      <w:r>
        <w:rPr>
          <w:rFonts w:ascii="Palatino Linotype" w:eastAsia="Palatino Linotype" w:hAnsi="Palatino Linotype" w:cs="Palatino Linotype"/>
          <w:sz w:val="22"/>
          <w:szCs w:val="22"/>
        </w:rPr>
        <w:t xml:space="preserve">as </w:t>
      </w:r>
      <w:r w:rsidRPr="001D4399">
        <w:rPr>
          <w:rFonts w:ascii="Palatino Linotype" w:eastAsia="Palatino Linotype" w:hAnsi="Palatino Linotype" w:cs="Palatino Linotype"/>
          <w:sz w:val="22"/>
          <w:szCs w:val="22"/>
        </w:rPr>
        <w:t xml:space="preserve">compared to five main board IPO issues and one SME IPO mobilising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3,652 crore and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three</w:t>
      </w:r>
      <w:r w:rsidRPr="001D4399">
        <w:rPr>
          <w:rFonts w:ascii="Palatino Linotype" w:eastAsia="Palatino Linotype" w:hAnsi="Palatino Linotype" w:cs="Palatino Linotype"/>
          <w:sz w:val="22"/>
          <w:szCs w:val="22"/>
        </w:rPr>
        <w:t xml:space="preserve"> crore respectively </w:t>
      </w:r>
      <w:r>
        <w:rPr>
          <w:rFonts w:ascii="Palatino Linotype" w:eastAsia="Palatino Linotype" w:hAnsi="Palatino Linotype" w:cs="Palatino Linotype"/>
          <w:sz w:val="22"/>
          <w:szCs w:val="22"/>
        </w:rPr>
        <w:t xml:space="preserve">in </w:t>
      </w:r>
      <w:r w:rsidRPr="001D4399">
        <w:rPr>
          <w:rFonts w:ascii="Palatino Linotype" w:eastAsia="Palatino Linotype" w:hAnsi="Palatino Linotype" w:cs="Palatino Linotype"/>
          <w:sz w:val="22"/>
          <w:szCs w:val="22"/>
        </w:rPr>
        <w:t xml:space="preserve">February 2021.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During March 2021, there was </w:t>
      </w:r>
      <w:r>
        <w:rPr>
          <w:rFonts w:ascii="Palatino Linotype" w:eastAsia="Palatino Linotype" w:hAnsi="Palatino Linotype" w:cs="Palatino Linotype"/>
          <w:sz w:val="22"/>
          <w:szCs w:val="22"/>
        </w:rPr>
        <w:t xml:space="preserve">only </w:t>
      </w:r>
      <w:r w:rsidRPr="001D4399">
        <w:rPr>
          <w:rFonts w:ascii="Palatino Linotype" w:eastAsia="Palatino Linotype" w:hAnsi="Palatino Linotype" w:cs="Palatino Linotype"/>
          <w:sz w:val="22"/>
          <w:szCs w:val="22"/>
        </w:rPr>
        <w:t xml:space="preserve">one FPO issue mobilizing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30 crore.</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Th</w:t>
      </w:r>
      <w:r w:rsidRPr="001D4399">
        <w:rPr>
          <w:rFonts w:ascii="Palatino Linotype" w:eastAsia="Palatino Linotype" w:hAnsi="Palatino Linotype" w:cs="Palatino Linotype"/>
          <w:sz w:val="22"/>
          <w:szCs w:val="22"/>
        </w:rPr>
        <w:t xml:space="preserve">ere </w:t>
      </w:r>
      <w:r>
        <w:rPr>
          <w:rFonts w:ascii="Palatino Linotype" w:eastAsia="Palatino Linotype" w:hAnsi="Palatino Linotype" w:cs="Palatino Linotype"/>
          <w:sz w:val="22"/>
          <w:szCs w:val="22"/>
        </w:rPr>
        <w:t xml:space="preserve">were </w:t>
      </w:r>
      <w:r w:rsidRPr="001D4399">
        <w:rPr>
          <w:rFonts w:ascii="Palatino Linotype" w:eastAsia="Palatino Linotype" w:hAnsi="Palatino Linotype" w:cs="Palatino Linotype"/>
          <w:sz w:val="22"/>
          <w:szCs w:val="22"/>
        </w:rPr>
        <w:t xml:space="preserve">three rights issues </w:t>
      </w:r>
      <w:r>
        <w:rPr>
          <w:rFonts w:ascii="Palatino Linotype" w:eastAsia="Palatino Linotype" w:hAnsi="Palatino Linotype" w:cs="Palatino Linotype"/>
          <w:sz w:val="22"/>
          <w:szCs w:val="22"/>
        </w:rPr>
        <w:t xml:space="preserve">in the month of March 2021 </w:t>
      </w:r>
      <w:r w:rsidRPr="001D4399">
        <w:rPr>
          <w:rFonts w:ascii="Palatino Linotype" w:eastAsia="Palatino Linotype" w:hAnsi="Palatino Linotype" w:cs="Palatino Linotype"/>
          <w:sz w:val="22"/>
          <w:szCs w:val="22"/>
        </w:rPr>
        <w:t xml:space="preserve">mobilizing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72 crore </w:t>
      </w:r>
      <w:r>
        <w:rPr>
          <w:rFonts w:ascii="Palatino Linotype" w:eastAsia="Palatino Linotype" w:hAnsi="Palatino Linotype" w:cs="Palatino Linotype"/>
          <w:sz w:val="22"/>
          <w:szCs w:val="22"/>
        </w:rPr>
        <w:t xml:space="preserve">as </w:t>
      </w:r>
      <w:r w:rsidRPr="001D4399">
        <w:rPr>
          <w:rFonts w:ascii="Palatino Linotype" w:eastAsia="Palatino Linotype" w:hAnsi="Palatino Linotype" w:cs="Palatino Linotype"/>
          <w:sz w:val="22"/>
          <w:szCs w:val="22"/>
        </w:rPr>
        <w:t xml:space="preserve">compared to one rights issue mobilizing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2,999 crore in February 2021.</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March 2021</w:t>
      </w:r>
      <w:r>
        <w:rPr>
          <w:rFonts w:ascii="Palatino Linotype" w:eastAsia="Palatino Linotype" w:hAnsi="Palatino Linotype" w:cs="Palatino Linotype"/>
          <w:sz w:val="22"/>
          <w:szCs w:val="22"/>
        </w:rPr>
        <w:t xml:space="preserve"> also witnessed </w:t>
      </w:r>
      <w:r w:rsidRPr="001D4399">
        <w:rPr>
          <w:rFonts w:ascii="Palatino Linotype" w:eastAsia="Palatino Linotype" w:hAnsi="Palatino Linotype" w:cs="Palatino Linotype"/>
          <w:sz w:val="22"/>
          <w:szCs w:val="22"/>
        </w:rPr>
        <w:t xml:space="preserve"> two public issues of corporate bonds, amounting to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900 crore </w:t>
      </w:r>
      <w:r>
        <w:rPr>
          <w:rFonts w:ascii="Palatino Linotype" w:eastAsia="Palatino Linotype" w:hAnsi="Palatino Linotype" w:cs="Palatino Linotype"/>
          <w:sz w:val="22"/>
          <w:szCs w:val="22"/>
        </w:rPr>
        <w:t xml:space="preserve">as </w:t>
      </w:r>
      <w:r w:rsidRPr="001D4399">
        <w:rPr>
          <w:rFonts w:ascii="Palatino Linotype" w:eastAsia="Palatino Linotype" w:hAnsi="Palatino Linotype" w:cs="Palatino Linotype"/>
          <w:sz w:val="22"/>
          <w:szCs w:val="22"/>
        </w:rPr>
        <w:t xml:space="preserve">compared to one public issue, amounting to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216 crore during February 2021.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An amount of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13,673 crore was raised through private placement of equity (i.e. preferential allotment and QIP) during </w:t>
      </w:r>
      <w:r>
        <w:rPr>
          <w:rFonts w:ascii="Palatino Linotype" w:eastAsia="Palatino Linotype" w:hAnsi="Palatino Linotype" w:cs="Palatino Linotype"/>
          <w:sz w:val="22"/>
          <w:szCs w:val="22"/>
        </w:rPr>
        <w:t>March</w:t>
      </w:r>
      <w:r w:rsidRPr="001D4399">
        <w:rPr>
          <w:rFonts w:ascii="Palatino Linotype" w:eastAsia="Palatino Linotype" w:hAnsi="Palatino Linotype" w:cs="Palatino Linotype"/>
          <w:sz w:val="22"/>
          <w:szCs w:val="22"/>
        </w:rPr>
        <w:t xml:space="preserve"> 2021 against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7,861 crore during February 2021.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Private placement of corporate debt reported on exchanges stood at </w:t>
      </w:r>
      <w:r w:rsidRPr="001D4399">
        <w:rPr>
          <w:rFonts w:ascii="Tahoma" w:eastAsia="Palatino Linotype" w:hAnsi="Tahoma" w:cs="Tahoma"/>
          <w:sz w:val="22"/>
          <w:szCs w:val="22"/>
        </w:rPr>
        <w:t>₹</w:t>
      </w:r>
      <w:r w:rsidRPr="001D4399">
        <w:rPr>
          <w:rFonts w:ascii="Palatino Linotype" w:hAnsi="Palatino Linotype"/>
          <w:color w:val="000000"/>
          <w:sz w:val="22"/>
          <w:szCs w:val="22"/>
        </w:rPr>
        <w:t xml:space="preserve">  94,330 </w:t>
      </w:r>
      <w:r w:rsidRPr="001D4399">
        <w:rPr>
          <w:rFonts w:ascii="Palatino Linotype" w:eastAsia="Palatino Linotype" w:hAnsi="Palatino Linotype" w:cs="Palatino Linotype"/>
          <w:sz w:val="22"/>
          <w:szCs w:val="22"/>
        </w:rPr>
        <w:t xml:space="preserve">crore during March 2021, compared to </w:t>
      </w:r>
      <w:r w:rsidRPr="001D4399">
        <w:rPr>
          <w:rFonts w:ascii="Tahoma" w:eastAsia="Palatino Linotype" w:hAnsi="Tahoma" w:cs="Tahoma"/>
          <w:sz w:val="22"/>
          <w:szCs w:val="22"/>
        </w:rPr>
        <w:t>₹</w:t>
      </w:r>
      <w:r w:rsidRPr="001D4399">
        <w:rPr>
          <w:rFonts w:ascii="Palatino Linotype" w:hAnsi="Palatino Linotype"/>
          <w:color w:val="000000"/>
          <w:sz w:val="22"/>
          <w:szCs w:val="22"/>
        </w:rPr>
        <w:t xml:space="preserve"> 45,685 </w:t>
      </w:r>
      <w:r w:rsidRPr="001D4399">
        <w:rPr>
          <w:rFonts w:ascii="Palatino Linotype" w:eastAsia="Palatino Linotype" w:hAnsi="Palatino Linotype" w:cs="Palatino Linotype"/>
          <w:sz w:val="22"/>
          <w:szCs w:val="22"/>
        </w:rPr>
        <w:t xml:space="preserve">crore during February 2021.  </w:t>
      </w:r>
    </w:p>
    <w:p w:rsidR="001755DE" w:rsidRPr="001D4399" w:rsidRDefault="001755DE" w:rsidP="001755DE">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1755DE" w:rsidRPr="001D4399" w:rsidRDefault="001755DE" w:rsidP="001755DE">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Trends in the Secondary Market</w:t>
      </w:r>
    </w:p>
    <w:p w:rsidR="001755DE" w:rsidRPr="001D4399" w:rsidRDefault="001755DE" w:rsidP="001755DE">
      <w:pPr>
        <w:widowControl w:val="0"/>
        <w:tabs>
          <w:tab w:val="left" w:pos="3915"/>
        </w:tabs>
        <w:spacing w:line="276" w:lineRule="auto"/>
        <w:jc w:val="both"/>
        <w:rPr>
          <w:rFonts w:ascii="Palatino Linotype" w:eastAsia="Palatino Linotype" w:hAnsi="Palatino Linotype" w:cs="Palatino Linotype"/>
          <w:b/>
          <w:sz w:val="22"/>
          <w:szCs w:val="22"/>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At the end of March 2021, Nifty 50 closed at 14,691 as compared to the closing value of 14,529 at the end of February 2021</w:t>
      </w:r>
      <w:r>
        <w:rPr>
          <w:rFonts w:ascii="Palatino Linotype" w:eastAsia="Palatino Linotype" w:hAnsi="Palatino Linotype" w:cs="Palatino Linotype"/>
          <w:sz w:val="22"/>
          <w:szCs w:val="22"/>
        </w:rPr>
        <w:t xml:space="preserve"> </w:t>
      </w:r>
      <w:r w:rsidRPr="001D4399">
        <w:rPr>
          <w:rFonts w:ascii="Palatino Linotype" w:eastAsia="Palatino Linotype" w:hAnsi="Palatino Linotype" w:cs="Palatino Linotype"/>
          <w:sz w:val="22"/>
          <w:szCs w:val="22"/>
        </w:rPr>
        <w:t>registering an increase of 1.1 per cent.</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S&amp;P BSE Sensex closed at 49,509 at the end of March 2021, as compared to the 49,100 at the end of February 2021</w:t>
      </w:r>
      <w:r>
        <w:rPr>
          <w:rFonts w:ascii="Palatino Linotype" w:eastAsia="Palatino Linotype" w:hAnsi="Palatino Linotype" w:cs="Palatino Linotype"/>
          <w:sz w:val="22"/>
          <w:szCs w:val="22"/>
        </w:rPr>
        <w:t xml:space="preserve"> </w:t>
      </w:r>
      <w:r w:rsidRPr="001D4399">
        <w:rPr>
          <w:rFonts w:ascii="Palatino Linotype" w:eastAsia="Palatino Linotype" w:hAnsi="Palatino Linotype" w:cs="Palatino Linotype"/>
          <w:sz w:val="22"/>
          <w:szCs w:val="22"/>
        </w:rPr>
        <w:t>indicating an increase of 0.8 per cent.</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Nifty 50 </w:t>
      </w:r>
      <w:r>
        <w:rPr>
          <w:rFonts w:ascii="Palatino Linotype" w:eastAsia="Palatino Linotype" w:hAnsi="Palatino Linotype" w:cs="Palatino Linotype"/>
          <w:sz w:val="22"/>
          <w:szCs w:val="22"/>
        </w:rPr>
        <w:t xml:space="preserve">and </w:t>
      </w:r>
      <w:r w:rsidRPr="001D4399">
        <w:rPr>
          <w:rFonts w:ascii="Palatino Linotype" w:eastAsia="Palatino Linotype" w:hAnsi="Palatino Linotype" w:cs="Palatino Linotype"/>
          <w:sz w:val="22"/>
          <w:szCs w:val="22"/>
        </w:rPr>
        <w:t xml:space="preserve">S&amp;P BSE Sensex reached </w:t>
      </w:r>
      <w:r>
        <w:rPr>
          <w:rFonts w:ascii="Palatino Linotype" w:eastAsia="Palatino Linotype" w:hAnsi="Palatino Linotype" w:cs="Palatino Linotype"/>
          <w:sz w:val="22"/>
          <w:szCs w:val="22"/>
        </w:rPr>
        <w:t>their</w:t>
      </w:r>
      <w:r w:rsidRPr="001D4399">
        <w:rPr>
          <w:rFonts w:ascii="Palatino Linotype" w:eastAsia="Palatino Linotype" w:hAnsi="Palatino Linotype" w:cs="Palatino Linotype"/>
          <w:sz w:val="22"/>
          <w:szCs w:val="22"/>
        </w:rPr>
        <w:t xml:space="preserve"> intraday high for the month at 15,336 </w:t>
      </w:r>
      <w:r>
        <w:rPr>
          <w:rFonts w:ascii="Palatino Linotype" w:eastAsia="Palatino Linotype" w:hAnsi="Palatino Linotype" w:cs="Palatino Linotype"/>
          <w:sz w:val="22"/>
          <w:szCs w:val="22"/>
        </w:rPr>
        <w:t xml:space="preserve">and </w:t>
      </w:r>
      <w:r w:rsidRPr="001D4399">
        <w:rPr>
          <w:rFonts w:ascii="Palatino Linotype" w:eastAsia="Palatino Linotype" w:hAnsi="Palatino Linotype" w:cs="Palatino Linotype"/>
          <w:sz w:val="22"/>
          <w:szCs w:val="22"/>
        </w:rPr>
        <w:t xml:space="preserve">51,822 </w:t>
      </w:r>
      <w:r>
        <w:rPr>
          <w:rFonts w:ascii="Palatino Linotype" w:eastAsia="Palatino Linotype" w:hAnsi="Palatino Linotype" w:cs="Palatino Linotype"/>
          <w:sz w:val="22"/>
          <w:szCs w:val="22"/>
        </w:rPr>
        <w:t xml:space="preserve">respectively </w:t>
      </w:r>
      <w:r w:rsidRPr="001D4399">
        <w:rPr>
          <w:rFonts w:ascii="Palatino Linotype" w:eastAsia="Palatino Linotype" w:hAnsi="Palatino Linotype" w:cs="Palatino Linotype"/>
          <w:sz w:val="22"/>
          <w:szCs w:val="22"/>
        </w:rPr>
        <w:t>on March 12, 2021</w:t>
      </w:r>
      <w:r>
        <w:rPr>
          <w:rFonts w:ascii="Palatino Linotype" w:eastAsia="Palatino Linotype" w:hAnsi="Palatino Linotype" w:cs="Palatino Linotype"/>
          <w:sz w:val="22"/>
          <w:szCs w:val="22"/>
        </w:rPr>
        <w:t xml:space="preserve">. Both the indices reached their </w:t>
      </w:r>
      <w:r w:rsidRPr="001D4399">
        <w:rPr>
          <w:rFonts w:ascii="Palatino Linotype" w:eastAsia="Palatino Linotype" w:hAnsi="Palatino Linotype" w:cs="Palatino Linotype"/>
          <w:sz w:val="22"/>
          <w:szCs w:val="22"/>
        </w:rPr>
        <w:t xml:space="preserve">intraday low for the month at 14,264 </w:t>
      </w:r>
      <w:r>
        <w:rPr>
          <w:rFonts w:ascii="Palatino Linotype" w:eastAsia="Palatino Linotype" w:hAnsi="Palatino Linotype" w:cs="Palatino Linotype"/>
          <w:sz w:val="22"/>
          <w:szCs w:val="22"/>
        </w:rPr>
        <w:t>and</w:t>
      </w:r>
      <w:r w:rsidRPr="001D4399">
        <w:rPr>
          <w:rFonts w:ascii="Palatino Linotype" w:eastAsia="Palatino Linotype" w:hAnsi="Palatino Linotype" w:cs="Palatino Linotype"/>
          <w:sz w:val="22"/>
          <w:szCs w:val="22"/>
        </w:rPr>
        <w:t xml:space="preserve"> 48,236 for the month on March 25, 2021.</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The P/E ratios of S&amp;P BSE Sensex and Nifty 50 were 34.4 and 33.2, respectively, at the end of </w:t>
      </w:r>
      <w:r>
        <w:rPr>
          <w:rFonts w:ascii="Palatino Linotype" w:eastAsia="Palatino Linotype" w:hAnsi="Palatino Linotype" w:cs="Palatino Linotype"/>
          <w:sz w:val="22"/>
          <w:szCs w:val="22"/>
        </w:rPr>
        <w:t>March</w:t>
      </w:r>
      <w:r w:rsidRPr="001D4399">
        <w:rPr>
          <w:rFonts w:ascii="Palatino Linotype" w:eastAsia="Palatino Linotype" w:hAnsi="Palatino Linotype" w:cs="Palatino Linotype"/>
          <w:sz w:val="22"/>
          <w:szCs w:val="22"/>
        </w:rPr>
        <w:t xml:space="preserve"> 2021 compared to 33.9 and 39.7 respectively, at the end of February 2021.</w:t>
      </w:r>
    </w:p>
    <w:p w:rsidR="001755DE" w:rsidRPr="001D4399" w:rsidRDefault="001755DE" w:rsidP="001755DE">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 xml:space="preserve">Table 2: Snapshot of Indian Capital Market </w:t>
      </w:r>
    </w:p>
    <w:tbl>
      <w:tblPr>
        <w:tblW w:w="9586" w:type="dxa"/>
        <w:tblLook w:val="04A0" w:firstRow="1" w:lastRow="0" w:firstColumn="1" w:lastColumn="0" w:noHBand="0" w:noVBand="1"/>
      </w:tblPr>
      <w:tblGrid>
        <w:gridCol w:w="3421"/>
        <w:gridCol w:w="1933"/>
        <w:gridCol w:w="1933"/>
        <w:gridCol w:w="2299"/>
      </w:tblGrid>
      <w:tr w:rsidR="001755DE" w:rsidRPr="00797A8B" w:rsidTr="00A91C39">
        <w:trPr>
          <w:trHeight w:val="634"/>
        </w:trPr>
        <w:tc>
          <w:tcPr>
            <w:tcW w:w="3421"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Description</w:t>
            </w:r>
          </w:p>
        </w:tc>
        <w:tc>
          <w:tcPr>
            <w:tcW w:w="1932" w:type="dxa"/>
            <w:tcBorders>
              <w:top w:val="single" w:sz="4" w:space="0" w:color="000000"/>
              <w:left w:val="nil"/>
              <w:bottom w:val="single" w:sz="4" w:space="0" w:color="000000"/>
              <w:right w:val="single" w:sz="4" w:space="0" w:color="000000"/>
            </w:tcBorders>
            <w:shd w:val="clear" w:color="92CDDC" w:fill="92CDDC"/>
            <w:noWrap/>
            <w:vAlign w:val="center"/>
            <w:hideMark/>
          </w:tcPr>
          <w:p w:rsidR="001755DE" w:rsidRPr="001D4399" w:rsidRDefault="001755DE" w:rsidP="00A91C39">
            <w:pPr>
              <w:jc w:val="cente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Feb-21</w:t>
            </w:r>
          </w:p>
        </w:tc>
        <w:tc>
          <w:tcPr>
            <w:tcW w:w="1932" w:type="dxa"/>
            <w:tcBorders>
              <w:top w:val="single" w:sz="4" w:space="0" w:color="000000"/>
              <w:left w:val="nil"/>
              <w:bottom w:val="single" w:sz="4" w:space="0" w:color="000000"/>
              <w:right w:val="single" w:sz="4" w:space="0" w:color="000000"/>
            </w:tcBorders>
            <w:shd w:val="clear" w:color="92CDDC" w:fill="92CDDC"/>
            <w:noWrap/>
            <w:vAlign w:val="center"/>
            <w:hideMark/>
          </w:tcPr>
          <w:p w:rsidR="001755DE" w:rsidRPr="001D4399" w:rsidRDefault="001755DE" w:rsidP="00A91C39">
            <w:pPr>
              <w:jc w:val="cente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Mar-21</w:t>
            </w:r>
          </w:p>
        </w:tc>
        <w:tc>
          <w:tcPr>
            <w:tcW w:w="2298" w:type="dxa"/>
            <w:tcBorders>
              <w:top w:val="single" w:sz="4" w:space="0" w:color="000000"/>
              <w:left w:val="nil"/>
              <w:bottom w:val="single" w:sz="4" w:space="0" w:color="000000"/>
              <w:right w:val="single" w:sz="4" w:space="0" w:color="000000"/>
            </w:tcBorders>
            <w:shd w:val="clear" w:color="92CDDC" w:fill="92CDDC"/>
            <w:vAlign w:val="center"/>
            <w:hideMark/>
          </w:tcPr>
          <w:p w:rsidR="001755DE" w:rsidRPr="001D4399" w:rsidRDefault="001755DE" w:rsidP="00A91C39">
            <w:pPr>
              <w:jc w:val="cente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Change during the Month</w:t>
            </w:r>
          </w:p>
        </w:tc>
      </w:tr>
      <w:tr w:rsidR="001755DE" w:rsidRPr="00797A8B" w:rsidTr="00A91C39">
        <w:trPr>
          <w:trHeight w:val="256"/>
        </w:trPr>
        <w:tc>
          <w:tcPr>
            <w:tcW w:w="3421" w:type="dxa"/>
            <w:tcBorders>
              <w:top w:val="nil"/>
              <w:left w:val="single" w:sz="4" w:space="0" w:color="000000"/>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Index in Equity Market</w:t>
            </w:r>
          </w:p>
        </w:tc>
        <w:tc>
          <w:tcPr>
            <w:tcW w:w="1932" w:type="dxa"/>
            <w:tcBorders>
              <w:top w:val="nil"/>
              <w:left w:val="nil"/>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c>
          <w:tcPr>
            <w:tcW w:w="1932" w:type="dxa"/>
            <w:tcBorders>
              <w:top w:val="nil"/>
              <w:left w:val="nil"/>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c>
          <w:tcPr>
            <w:tcW w:w="2298" w:type="dxa"/>
            <w:tcBorders>
              <w:top w:val="nil"/>
              <w:left w:val="nil"/>
              <w:bottom w:val="single" w:sz="4" w:space="0" w:color="000000"/>
              <w:right w:val="single" w:sz="4" w:space="0" w:color="000000"/>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Nifty 50</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14,529</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14,691</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1.1</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Sensex</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49,100</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49,509</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0.8</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Nifty Midcap</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                    6,797 </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                    6,772 </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-0.4</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Nifty Smallcap</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                    8,050 </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                    8,113 </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0.8</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BSE Midcap</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                 19,979 </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                 20,181 </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1.0</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BSE Smallcap</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                 20,155 </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                 20,649 </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2.5</w:t>
            </w:r>
          </w:p>
        </w:tc>
      </w:tr>
      <w:tr w:rsidR="001755DE" w:rsidRPr="00797A8B" w:rsidTr="00A91C39">
        <w:trPr>
          <w:trHeight w:val="256"/>
        </w:trPr>
        <w:tc>
          <w:tcPr>
            <w:tcW w:w="5354"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Market Capitalisation (</w:t>
            </w:r>
            <w:r w:rsidRPr="001D4399">
              <w:rPr>
                <w:rFonts w:ascii="Tahoma" w:eastAsia="Times New Roman" w:hAnsi="Tahoma" w:cs="Tahoma"/>
                <w:b/>
                <w:bCs/>
                <w:sz w:val="20"/>
                <w:szCs w:val="20"/>
                <w:lang w:val="en-IN" w:eastAsia="en-IN" w:bidi="hi-IN"/>
              </w:rPr>
              <w:t>₹</w:t>
            </w:r>
            <w:r w:rsidRPr="001D4399">
              <w:rPr>
                <w:rFonts w:ascii="Palatino Linotype" w:eastAsia="Times New Roman" w:hAnsi="Palatino Linotype"/>
                <w:b/>
                <w:bCs/>
                <w:sz w:val="20"/>
                <w:szCs w:val="20"/>
                <w:lang w:val="en-IN" w:eastAsia="en-IN" w:bidi="hi-IN"/>
              </w:rPr>
              <w:t xml:space="preserve"> crore)</w:t>
            </w:r>
          </w:p>
        </w:tc>
        <w:tc>
          <w:tcPr>
            <w:tcW w:w="1932" w:type="dxa"/>
            <w:tcBorders>
              <w:top w:val="nil"/>
              <w:left w:val="nil"/>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c>
          <w:tcPr>
            <w:tcW w:w="2298" w:type="dxa"/>
            <w:tcBorders>
              <w:top w:val="nil"/>
              <w:left w:val="nil"/>
              <w:bottom w:val="single" w:sz="4" w:space="0" w:color="000000"/>
              <w:right w:val="single" w:sz="4" w:space="0" w:color="000000"/>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BSE </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2,00,81,096</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2,04,30,815</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1.7</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NSE</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1,99,63,826</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2,02,95,813</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1.7</w:t>
            </w:r>
          </w:p>
        </w:tc>
      </w:tr>
      <w:tr w:rsidR="001755DE" w:rsidRPr="00797A8B" w:rsidTr="00A91C39">
        <w:trPr>
          <w:trHeight w:val="256"/>
        </w:trPr>
        <w:tc>
          <w:tcPr>
            <w:tcW w:w="3421" w:type="dxa"/>
            <w:tcBorders>
              <w:top w:val="nil"/>
              <w:left w:val="single" w:sz="4" w:space="0" w:color="000000"/>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P/E Ratio</w:t>
            </w:r>
          </w:p>
        </w:tc>
        <w:tc>
          <w:tcPr>
            <w:tcW w:w="1932" w:type="dxa"/>
            <w:tcBorders>
              <w:top w:val="nil"/>
              <w:left w:val="nil"/>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c>
          <w:tcPr>
            <w:tcW w:w="1932" w:type="dxa"/>
            <w:tcBorders>
              <w:top w:val="nil"/>
              <w:left w:val="nil"/>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c>
          <w:tcPr>
            <w:tcW w:w="2298" w:type="dxa"/>
            <w:tcBorders>
              <w:top w:val="nil"/>
              <w:left w:val="nil"/>
              <w:bottom w:val="single" w:sz="4" w:space="0" w:color="000000"/>
              <w:right w:val="single" w:sz="4" w:space="0" w:color="000000"/>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Sensex</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33.9</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34.4</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1.5</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Nifty 50#</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39.7</w:t>
            </w:r>
          </w:p>
        </w:tc>
        <w:tc>
          <w:tcPr>
            <w:tcW w:w="1932"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33.2</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-16.3</w:t>
            </w:r>
          </w:p>
        </w:tc>
      </w:tr>
      <w:tr w:rsidR="001755DE" w:rsidRPr="00797A8B" w:rsidTr="00A91C39">
        <w:trPr>
          <w:trHeight w:val="256"/>
        </w:trPr>
        <w:tc>
          <w:tcPr>
            <w:tcW w:w="3421" w:type="dxa"/>
            <w:tcBorders>
              <w:top w:val="nil"/>
              <w:left w:val="single" w:sz="4" w:space="0" w:color="000000"/>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No of Listed Companies</w:t>
            </w:r>
          </w:p>
        </w:tc>
        <w:tc>
          <w:tcPr>
            <w:tcW w:w="1932" w:type="dxa"/>
            <w:tcBorders>
              <w:top w:val="nil"/>
              <w:left w:val="nil"/>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c>
          <w:tcPr>
            <w:tcW w:w="1932" w:type="dxa"/>
            <w:tcBorders>
              <w:top w:val="nil"/>
              <w:left w:val="nil"/>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c>
          <w:tcPr>
            <w:tcW w:w="2298" w:type="dxa"/>
            <w:tcBorders>
              <w:top w:val="nil"/>
              <w:left w:val="nil"/>
              <w:bottom w:val="single" w:sz="4" w:space="0" w:color="000000"/>
              <w:right w:val="single" w:sz="4" w:space="0" w:color="000000"/>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BSE </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5,462</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5,477</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0.3</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NSE</w:t>
            </w:r>
          </w:p>
        </w:tc>
        <w:tc>
          <w:tcPr>
            <w:tcW w:w="1932" w:type="dxa"/>
            <w:tcBorders>
              <w:top w:val="nil"/>
              <w:left w:val="nil"/>
              <w:bottom w:val="single" w:sz="4" w:space="0" w:color="000000"/>
              <w:right w:val="single" w:sz="4" w:space="0" w:color="000000"/>
            </w:tcBorders>
            <w:shd w:val="clear" w:color="FFFFFF" w:fill="FFFFFF"/>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1,957</w:t>
            </w:r>
          </w:p>
        </w:tc>
        <w:tc>
          <w:tcPr>
            <w:tcW w:w="1932" w:type="dxa"/>
            <w:tcBorders>
              <w:top w:val="nil"/>
              <w:left w:val="nil"/>
              <w:bottom w:val="single" w:sz="4" w:space="0" w:color="000000"/>
              <w:right w:val="single" w:sz="4" w:space="0" w:color="000000"/>
            </w:tcBorders>
            <w:shd w:val="clear" w:color="FFFFFF" w:fill="FFFFFF"/>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1,968</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0.6</w:t>
            </w:r>
          </w:p>
        </w:tc>
      </w:tr>
      <w:tr w:rsidR="001755DE" w:rsidRPr="00797A8B" w:rsidTr="00A91C39">
        <w:trPr>
          <w:trHeight w:val="256"/>
        </w:trPr>
        <w:tc>
          <w:tcPr>
            <w:tcW w:w="5354"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Gross Turnover in Equity Segment (</w:t>
            </w:r>
            <w:r w:rsidRPr="001D4399">
              <w:rPr>
                <w:rFonts w:ascii="Tahoma" w:eastAsia="Times New Roman" w:hAnsi="Tahoma" w:cs="Tahoma"/>
                <w:b/>
                <w:bCs/>
                <w:sz w:val="20"/>
                <w:szCs w:val="20"/>
                <w:lang w:val="en-IN" w:eastAsia="en-IN" w:bidi="hi-IN"/>
              </w:rPr>
              <w:t>₹</w:t>
            </w:r>
            <w:r w:rsidRPr="001D4399">
              <w:rPr>
                <w:rFonts w:ascii="Palatino Linotype" w:eastAsia="Times New Roman" w:hAnsi="Palatino Linotype"/>
                <w:b/>
                <w:bCs/>
                <w:sz w:val="20"/>
                <w:szCs w:val="20"/>
                <w:lang w:val="en-IN" w:eastAsia="en-IN" w:bidi="hi-IN"/>
              </w:rPr>
              <w:t xml:space="preserve"> crore)</w:t>
            </w:r>
          </w:p>
        </w:tc>
        <w:tc>
          <w:tcPr>
            <w:tcW w:w="1932" w:type="dxa"/>
            <w:tcBorders>
              <w:top w:val="nil"/>
              <w:left w:val="nil"/>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c>
          <w:tcPr>
            <w:tcW w:w="2298" w:type="dxa"/>
            <w:tcBorders>
              <w:top w:val="nil"/>
              <w:left w:val="nil"/>
              <w:bottom w:val="single" w:sz="4" w:space="0" w:color="000000"/>
              <w:right w:val="single" w:sz="4" w:space="0" w:color="000000"/>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BSE </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1,44,955</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1,05,229</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-27.4</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NSE</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16,27,464</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13,98,947</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-14.0</w:t>
            </w:r>
          </w:p>
        </w:tc>
      </w:tr>
      <w:tr w:rsidR="001755DE" w:rsidRPr="00797A8B" w:rsidTr="00A91C39">
        <w:trPr>
          <w:trHeight w:val="256"/>
        </w:trPr>
        <w:tc>
          <w:tcPr>
            <w:tcW w:w="7287"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Gross Turnover in Equity Derivatives Segment (</w:t>
            </w:r>
            <w:r w:rsidRPr="001D4399">
              <w:rPr>
                <w:rFonts w:ascii="Tahoma" w:eastAsia="Times New Roman" w:hAnsi="Tahoma" w:cs="Tahoma"/>
                <w:b/>
                <w:bCs/>
                <w:sz w:val="20"/>
                <w:szCs w:val="20"/>
                <w:lang w:val="en-IN" w:eastAsia="en-IN" w:bidi="hi-IN"/>
              </w:rPr>
              <w:t>₹</w:t>
            </w:r>
            <w:r w:rsidRPr="001D4399">
              <w:rPr>
                <w:rFonts w:ascii="Palatino Linotype" w:eastAsia="Times New Roman" w:hAnsi="Palatino Linotype"/>
                <w:b/>
                <w:bCs/>
                <w:sz w:val="20"/>
                <w:szCs w:val="20"/>
                <w:lang w:val="en-IN" w:eastAsia="en-IN" w:bidi="hi-IN"/>
              </w:rPr>
              <w:t xml:space="preserve"> crore)</w:t>
            </w:r>
          </w:p>
        </w:tc>
        <w:tc>
          <w:tcPr>
            <w:tcW w:w="2298" w:type="dxa"/>
            <w:tcBorders>
              <w:top w:val="nil"/>
              <w:left w:val="nil"/>
              <w:bottom w:val="single" w:sz="4" w:space="0" w:color="000000"/>
              <w:right w:val="single" w:sz="4" w:space="0" w:color="000000"/>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BSE </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58,37,172</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62,12,506</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6.4</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NSE</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8,60,21,969</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9,32,04,875</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8.4</w:t>
            </w:r>
          </w:p>
        </w:tc>
      </w:tr>
      <w:tr w:rsidR="001755DE" w:rsidRPr="00797A8B" w:rsidTr="00A91C39">
        <w:trPr>
          <w:trHeight w:val="256"/>
        </w:trPr>
        <w:tc>
          <w:tcPr>
            <w:tcW w:w="7287"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Gross Turnover in Currency Derivatives Segment (</w:t>
            </w:r>
            <w:r w:rsidRPr="001D4399">
              <w:rPr>
                <w:rFonts w:ascii="Tahoma" w:eastAsia="Times New Roman" w:hAnsi="Tahoma" w:cs="Tahoma"/>
                <w:b/>
                <w:bCs/>
                <w:sz w:val="20"/>
                <w:szCs w:val="20"/>
                <w:lang w:val="en-IN" w:eastAsia="en-IN" w:bidi="hi-IN"/>
              </w:rPr>
              <w:t>₹</w:t>
            </w:r>
            <w:r w:rsidRPr="001D4399">
              <w:rPr>
                <w:rFonts w:ascii="Palatino Linotype" w:eastAsia="Times New Roman" w:hAnsi="Palatino Linotype"/>
                <w:b/>
                <w:bCs/>
                <w:sz w:val="20"/>
                <w:szCs w:val="20"/>
                <w:lang w:val="en-IN" w:eastAsia="en-IN" w:bidi="hi-IN"/>
              </w:rPr>
              <w:t xml:space="preserve"> crore)</w:t>
            </w:r>
          </w:p>
        </w:tc>
        <w:tc>
          <w:tcPr>
            <w:tcW w:w="2298" w:type="dxa"/>
            <w:tcBorders>
              <w:top w:val="nil"/>
              <w:left w:val="nil"/>
              <w:bottom w:val="single" w:sz="4" w:space="0" w:color="000000"/>
              <w:right w:val="single" w:sz="4" w:space="0" w:color="000000"/>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 </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BSE </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4,49,171</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5,63,284</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25.4</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NSE</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10,82,489</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14,44,571</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33.4</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MSEI</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12,192</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14,324</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17.5</w:t>
            </w:r>
          </w:p>
        </w:tc>
      </w:tr>
      <w:tr w:rsidR="001755DE" w:rsidRPr="00797A8B" w:rsidTr="00A91C39">
        <w:trPr>
          <w:trHeight w:val="256"/>
        </w:trPr>
        <w:tc>
          <w:tcPr>
            <w:tcW w:w="9586"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1755DE" w:rsidRPr="001D4399" w:rsidRDefault="001755DE" w:rsidP="00A91C39">
            <w:pPr>
              <w:rPr>
                <w:rFonts w:ascii="Palatino Linotype" w:eastAsia="Times New Roman" w:hAnsi="Palatino Linotype"/>
                <w:b/>
                <w:bCs/>
                <w:sz w:val="20"/>
                <w:szCs w:val="20"/>
                <w:lang w:val="en-IN" w:eastAsia="en-IN" w:bidi="hi-IN"/>
              </w:rPr>
            </w:pPr>
            <w:r w:rsidRPr="001D4399">
              <w:rPr>
                <w:rFonts w:ascii="Palatino Linotype" w:eastAsia="Times New Roman" w:hAnsi="Palatino Linotype"/>
                <w:b/>
                <w:bCs/>
                <w:sz w:val="20"/>
                <w:szCs w:val="20"/>
                <w:lang w:val="en-IN" w:eastAsia="en-IN" w:bidi="hi-IN"/>
              </w:rPr>
              <w:t>Gross Turnover in Interest Rate Derivatives Segment (</w:t>
            </w:r>
            <w:r w:rsidRPr="001D4399">
              <w:rPr>
                <w:rFonts w:ascii="Tahoma" w:eastAsia="Times New Roman" w:hAnsi="Tahoma" w:cs="Tahoma"/>
                <w:b/>
                <w:bCs/>
                <w:sz w:val="20"/>
                <w:szCs w:val="20"/>
                <w:lang w:val="en-IN" w:eastAsia="en-IN" w:bidi="hi-IN"/>
              </w:rPr>
              <w:t>₹</w:t>
            </w:r>
            <w:r w:rsidRPr="001D4399">
              <w:rPr>
                <w:rFonts w:ascii="Palatino Linotype" w:eastAsia="Times New Roman" w:hAnsi="Palatino Linotype"/>
                <w:b/>
                <w:bCs/>
                <w:sz w:val="20"/>
                <w:szCs w:val="20"/>
                <w:lang w:val="en-IN" w:eastAsia="en-IN" w:bidi="hi-IN"/>
              </w:rPr>
              <w:t xml:space="preserve"> crore)</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 xml:space="preserve">BSE </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5,520</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14,649</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165.4</w:t>
            </w:r>
          </w:p>
        </w:tc>
      </w:tr>
      <w:tr w:rsidR="001755DE" w:rsidRPr="00797A8B" w:rsidTr="00A91C39">
        <w:trPr>
          <w:trHeight w:val="256"/>
        </w:trPr>
        <w:tc>
          <w:tcPr>
            <w:tcW w:w="3421" w:type="dxa"/>
            <w:tcBorders>
              <w:top w:val="nil"/>
              <w:left w:val="single" w:sz="4" w:space="0" w:color="000000"/>
              <w:bottom w:val="single" w:sz="4" w:space="0" w:color="000000"/>
              <w:right w:val="single" w:sz="4" w:space="0" w:color="000000"/>
            </w:tcBorders>
            <w:shd w:val="clear" w:color="auto" w:fill="auto"/>
            <w:noWrap/>
            <w:vAlign w:val="bottom"/>
            <w:hideMark/>
          </w:tcPr>
          <w:p w:rsidR="001755DE" w:rsidRPr="001D4399" w:rsidRDefault="001755DE" w:rsidP="00A91C39">
            <w:pPr>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NSE</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6,735</w:t>
            </w:r>
          </w:p>
        </w:tc>
        <w:tc>
          <w:tcPr>
            <w:tcW w:w="1932" w:type="dxa"/>
            <w:tcBorders>
              <w:top w:val="nil"/>
              <w:left w:val="nil"/>
              <w:bottom w:val="single" w:sz="4" w:space="0" w:color="000000"/>
              <w:right w:val="single" w:sz="4" w:space="0" w:color="000000"/>
            </w:tcBorders>
            <w:shd w:val="clear" w:color="000000" w:fill="FFFFFF"/>
            <w:noWrap/>
            <w:vAlign w:val="bottom"/>
            <w:hideMark/>
          </w:tcPr>
          <w:p w:rsidR="001755DE" w:rsidRPr="001D4399" w:rsidRDefault="001755DE" w:rsidP="00A91C39">
            <w:pPr>
              <w:jc w:val="right"/>
              <w:rPr>
                <w:rFonts w:ascii="Palatino Linotype" w:eastAsia="Times New Roman" w:hAnsi="Palatino Linotype"/>
                <w:color w:val="000000"/>
                <w:sz w:val="20"/>
                <w:szCs w:val="20"/>
                <w:lang w:val="en-IN" w:eastAsia="en-IN" w:bidi="hi-IN"/>
              </w:rPr>
            </w:pPr>
            <w:r w:rsidRPr="001D4399">
              <w:rPr>
                <w:rFonts w:ascii="Palatino Linotype" w:eastAsia="Times New Roman" w:hAnsi="Palatino Linotype"/>
                <w:color w:val="000000"/>
                <w:sz w:val="20"/>
                <w:szCs w:val="20"/>
                <w:lang w:val="en-IN" w:eastAsia="en-IN" w:bidi="hi-IN"/>
              </w:rPr>
              <w:t>4,390</w:t>
            </w:r>
          </w:p>
        </w:tc>
        <w:tc>
          <w:tcPr>
            <w:tcW w:w="2298" w:type="dxa"/>
            <w:tcBorders>
              <w:top w:val="nil"/>
              <w:left w:val="nil"/>
              <w:bottom w:val="single" w:sz="4" w:space="0" w:color="000000"/>
              <w:right w:val="single" w:sz="4" w:space="0" w:color="000000"/>
            </w:tcBorders>
            <w:shd w:val="clear" w:color="auto" w:fill="auto"/>
            <w:noWrap/>
            <w:vAlign w:val="bottom"/>
            <w:hideMark/>
          </w:tcPr>
          <w:p w:rsidR="001755DE" w:rsidRPr="001D4399" w:rsidRDefault="001755DE" w:rsidP="00A91C39">
            <w:pPr>
              <w:jc w:val="right"/>
              <w:rPr>
                <w:rFonts w:ascii="Palatino Linotype" w:eastAsia="Times New Roman" w:hAnsi="Palatino Linotype"/>
                <w:sz w:val="20"/>
                <w:szCs w:val="20"/>
                <w:lang w:val="en-IN" w:eastAsia="en-IN" w:bidi="hi-IN"/>
              </w:rPr>
            </w:pPr>
            <w:r w:rsidRPr="001D4399">
              <w:rPr>
                <w:rFonts w:ascii="Palatino Linotype" w:eastAsia="Times New Roman" w:hAnsi="Palatino Linotype"/>
                <w:sz w:val="20"/>
                <w:szCs w:val="20"/>
                <w:lang w:val="en-IN" w:eastAsia="en-IN" w:bidi="hi-IN"/>
              </w:rPr>
              <w:t>-34.8</w:t>
            </w:r>
          </w:p>
        </w:tc>
      </w:tr>
    </w:tbl>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Note: #</w:t>
      </w:r>
      <w:r w:rsidRPr="00484D1D">
        <w:rPr>
          <w:rFonts w:ascii="Palatino Linotype" w:eastAsia="Palatino Linotype" w:hAnsi="Palatino Linotype" w:cs="Palatino Linotype"/>
          <w:bCs/>
          <w:sz w:val="18"/>
          <w:szCs w:val="18"/>
        </w:rPr>
        <w:t>NSE changes the PE methodology by taking into consolidated earning w.e.f. March 31, 2021</w:t>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Source: </w:t>
      </w:r>
      <w:r w:rsidRPr="00484D1D">
        <w:rPr>
          <w:rFonts w:ascii="Palatino Linotype" w:eastAsia="Palatino Linotype" w:hAnsi="Palatino Linotype" w:cs="Palatino Linotype"/>
          <w:bCs/>
          <w:sz w:val="18"/>
          <w:szCs w:val="18"/>
        </w:rPr>
        <w:t>BSE, NSE and MSEI</w:t>
      </w:r>
      <w:r w:rsidRPr="001D4399">
        <w:rPr>
          <w:rFonts w:ascii="Palatino Linotype" w:eastAsia="Palatino Linotype" w:hAnsi="Palatino Linotype" w:cs="Palatino Linotype"/>
          <w:b/>
          <w:sz w:val="18"/>
          <w:szCs w:val="18"/>
        </w:rPr>
        <w:br w:type="page"/>
      </w: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Figure 1: Movement of S&amp;P BSE Sensex and Nifty 50 during March 2021</w:t>
      </w:r>
    </w:p>
    <w:p w:rsidR="001755DE" w:rsidRPr="001D4399" w:rsidRDefault="001755DE" w:rsidP="001755DE">
      <w:pPr>
        <w:spacing w:line="276" w:lineRule="auto"/>
        <w:rPr>
          <w:rFonts w:ascii="Palatino Linotype" w:eastAsia="Palatino Linotype" w:hAnsi="Palatino Linotype" w:cs="Palatino Linotype"/>
          <w:bCs/>
          <w:sz w:val="22"/>
          <w:szCs w:val="22"/>
          <w:highlight w:val="yellow"/>
        </w:rPr>
      </w:pPr>
      <w:r w:rsidRPr="00797A8B">
        <w:rPr>
          <w:noProof/>
          <w:lang w:val="en-IN" w:eastAsia="en-IN" w:bidi="hi-IN"/>
        </w:rPr>
        <w:drawing>
          <wp:inline distT="0" distB="0" distL="0" distR="0">
            <wp:extent cx="6218555" cy="2607945"/>
            <wp:effectExtent l="0" t="0" r="10795" b="1905"/>
            <wp:docPr id="46" name="Chart 4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1755DE" w:rsidRPr="001D4399" w:rsidRDefault="001755DE" w:rsidP="001755DE">
      <w:pPr>
        <w:spacing w:line="276" w:lineRule="auto"/>
        <w:rPr>
          <w:rFonts w:ascii="Palatino Linotype" w:eastAsia="Palatino Linotype" w:hAnsi="Palatino Linotype" w:cs="Palatino Linotype"/>
          <w:b/>
          <w:i/>
          <w:iCs/>
          <w:sz w:val="18"/>
          <w:szCs w:val="18"/>
        </w:rPr>
      </w:pPr>
      <w:r w:rsidRPr="001D4399">
        <w:rPr>
          <w:rFonts w:ascii="Palatino Linotype" w:eastAsia="Palatino Linotype" w:hAnsi="Palatino Linotype" w:cs="Palatino Linotype"/>
          <w:b/>
          <w:i/>
          <w:iCs/>
          <w:sz w:val="18"/>
          <w:szCs w:val="18"/>
        </w:rPr>
        <w:t xml:space="preserve">Note: </w:t>
      </w:r>
      <w:r w:rsidRPr="00484D1D">
        <w:rPr>
          <w:rFonts w:ascii="Palatino Linotype" w:eastAsia="Palatino Linotype" w:hAnsi="Palatino Linotype" w:cs="Palatino Linotype"/>
          <w:bCs/>
          <w:i/>
          <w:iCs/>
          <w:sz w:val="18"/>
          <w:szCs w:val="18"/>
        </w:rPr>
        <w:t>The closing values of Nifty 50 and Sensex have been rebased with respective closing values of last day of the previous month.</w:t>
      </w:r>
      <w:r w:rsidRPr="001D4399">
        <w:rPr>
          <w:rFonts w:ascii="Palatino Linotype" w:eastAsia="Palatino Linotype" w:hAnsi="Palatino Linotype" w:cs="Palatino Linotype"/>
          <w:b/>
          <w:i/>
          <w:iCs/>
          <w:sz w:val="18"/>
          <w:szCs w:val="18"/>
        </w:rPr>
        <w:t xml:space="preserve"> </w:t>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w:t>
      </w:r>
      <w:r w:rsidRPr="00484D1D">
        <w:rPr>
          <w:rFonts w:ascii="Palatino Linotype" w:eastAsia="Palatino Linotype" w:hAnsi="Palatino Linotype" w:cs="Palatino Linotype"/>
          <w:bCs/>
          <w:sz w:val="18"/>
          <w:szCs w:val="18"/>
        </w:rPr>
        <w:t>BSE and NSE</w:t>
      </w:r>
    </w:p>
    <w:p w:rsidR="001755DE" w:rsidRPr="001D4399" w:rsidRDefault="001755DE" w:rsidP="001755DE">
      <w:pPr>
        <w:spacing w:line="276" w:lineRule="auto"/>
        <w:rPr>
          <w:rFonts w:ascii="Palatino Linotype" w:eastAsia="Palatino Linotype" w:hAnsi="Palatino Linotype" w:cs="Palatino Linotype"/>
          <w:b/>
          <w:sz w:val="22"/>
          <w:szCs w:val="22"/>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At the end of March 2021, the market capitalisation of both the BSE and NSE increased by 1.7 per cent each over the level at the end of previous month.  </w:t>
      </w: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1D4399">
        <w:rPr>
          <w:rFonts w:ascii="Palatino Linotype" w:eastAsia="Palatino Linotype" w:hAnsi="Palatino Linotype" w:cs="Palatino Linotype"/>
          <w:b/>
          <w:sz w:val="22"/>
          <w:szCs w:val="22"/>
        </w:rPr>
        <w:t xml:space="preserve">Figure 2: Trends in Average Daily Values of Nifty 50 and Average Daily Turnover of NSE Equity Cash Segment </w:t>
      </w: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797A8B">
        <w:rPr>
          <w:noProof/>
          <w:lang w:val="en-IN" w:eastAsia="en-IN" w:bidi="hi-IN"/>
        </w:rPr>
        <w:drawing>
          <wp:inline distT="0" distB="0" distL="0" distR="0">
            <wp:extent cx="6066155" cy="2733675"/>
            <wp:effectExtent l="0" t="0" r="10795" b="9525"/>
            <wp:docPr id="45" name="Chart 4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Note: </w:t>
      </w:r>
      <w:r w:rsidRPr="00484D1D">
        <w:rPr>
          <w:rFonts w:ascii="Palatino Linotype" w:eastAsia="Palatino Linotype" w:hAnsi="Palatino Linotype" w:cs="Palatino Linotype"/>
          <w:bCs/>
          <w:sz w:val="18"/>
          <w:szCs w:val="18"/>
        </w:rPr>
        <w:t>ADV implies Average Daily Values and ATD implies Average Daily Turnover</w:t>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w:t>
      </w:r>
      <w:r w:rsidRPr="00484D1D">
        <w:rPr>
          <w:rFonts w:ascii="Palatino Linotype" w:eastAsia="Palatino Linotype" w:hAnsi="Palatino Linotype" w:cs="Palatino Linotype"/>
          <w:bCs/>
          <w:sz w:val="18"/>
          <w:szCs w:val="18"/>
        </w:rPr>
        <w:t xml:space="preserve">NSE </w:t>
      </w:r>
      <w:r w:rsidRPr="001D4399">
        <w:rPr>
          <w:rFonts w:ascii="Palatino Linotype" w:eastAsia="Palatino Linotype" w:hAnsi="Palatino Linotype" w:cs="Palatino Linotype"/>
          <w:b/>
          <w:sz w:val="18"/>
          <w:szCs w:val="18"/>
        </w:rPr>
        <w:t xml:space="preserve"> </w:t>
      </w:r>
      <w:r w:rsidRPr="001D4399">
        <w:rPr>
          <w:rFonts w:ascii="Palatino Linotype" w:eastAsia="Palatino Linotype" w:hAnsi="Palatino Linotype" w:cs="Palatino Linotype"/>
          <w:b/>
          <w:sz w:val="18"/>
          <w:szCs w:val="18"/>
        </w:rPr>
        <w:br w:type="page"/>
      </w:r>
    </w:p>
    <w:p w:rsidR="001755DE" w:rsidRPr="001D4399" w:rsidRDefault="001755DE" w:rsidP="001755DE">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1D4399">
        <w:rPr>
          <w:rFonts w:ascii="Palatino Linotype" w:eastAsia="Palatino Linotype" w:hAnsi="Palatino Linotype" w:cs="Palatino Linotype"/>
          <w:b/>
          <w:sz w:val="22"/>
          <w:szCs w:val="22"/>
        </w:rPr>
        <w:t xml:space="preserve">Figure 3: Trends in Average Daily Values of Sensex and Average Daily Turnover of BSE Equity Cash Segment </w:t>
      </w:r>
      <w:r w:rsidRPr="00797A8B">
        <w:rPr>
          <w:noProof/>
          <w:lang w:val="en-IN" w:eastAsia="en-IN" w:bidi="hi-IN"/>
        </w:rPr>
        <w:drawing>
          <wp:inline distT="0" distB="0" distL="0" distR="0">
            <wp:extent cx="5913755" cy="2604135"/>
            <wp:effectExtent l="0" t="0" r="10795" b="5715"/>
            <wp:docPr id="44" name="Chart 4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Note: ADV implies Average Daily Values and ATD implies Average Daily Turnover</w:t>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BSE  </w:t>
      </w:r>
    </w:p>
    <w:p w:rsidR="001755DE" w:rsidRPr="001D4399" w:rsidRDefault="001755DE" w:rsidP="001755DE">
      <w:pPr>
        <w:spacing w:line="276" w:lineRule="auto"/>
        <w:jc w:val="both"/>
        <w:rPr>
          <w:rFonts w:ascii="Palatino Linotype" w:eastAsia="Palatino Linotype" w:hAnsi="Palatino Linotype" w:cs="Palatino Linotype"/>
          <w:color w:val="2E74B5"/>
          <w:sz w:val="22"/>
          <w:szCs w:val="22"/>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During March 2021, the gross turnover in the equity cash segments, both at BSE and NSE, decreased by 27.4 per cent and 14</w:t>
      </w:r>
      <w:r>
        <w:rPr>
          <w:rFonts w:ascii="Palatino Linotype" w:eastAsia="Palatino Linotype" w:hAnsi="Palatino Linotype" w:cs="Palatino Linotype"/>
          <w:sz w:val="22"/>
          <w:szCs w:val="22"/>
        </w:rPr>
        <w:t>.0</w:t>
      </w:r>
      <w:r w:rsidRPr="001D4399">
        <w:rPr>
          <w:rFonts w:ascii="Palatino Linotype" w:eastAsia="Palatino Linotype" w:hAnsi="Palatino Linotype" w:cs="Palatino Linotype"/>
          <w:sz w:val="22"/>
          <w:szCs w:val="22"/>
        </w:rPr>
        <w:t xml:space="preserve"> per cent respectively. </w:t>
      </w: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S</w:t>
      </w:r>
      <w:r w:rsidRPr="001D4399">
        <w:rPr>
          <w:rFonts w:ascii="Palatino Linotype" w:eastAsia="Palatino Linotype" w:hAnsi="Palatino Linotype" w:cs="Palatino Linotype"/>
          <w:sz w:val="22"/>
          <w:szCs w:val="22"/>
        </w:rPr>
        <w:t>elected BSE sectoral indices</w:t>
      </w:r>
      <w:r>
        <w:rPr>
          <w:rFonts w:ascii="Palatino Linotype" w:eastAsia="Palatino Linotype" w:hAnsi="Palatino Linotype" w:cs="Palatino Linotype"/>
          <w:sz w:val="22"/>
          <w:szCs w:val="22"/>
        </w:rPr>
        <w:t xml:space="preserve"> </w:t>
      </w:r>
      <w:r w:rsidRPr="001D4399">
        <w:rPr>
          <w:rFonts w:ascii="Palatino Linotype" w:eastAsia="Palatino Linotype" w:hAnsi="Palatino Linotype" w:cs="Palatino Linotype"/>
          <w:sz w:val="22"/>
          <w:szCs w:val="22"/>
        </w:rPr>
        <w:t>witnessed mixed trends</w:t>
      </w:r>
      <w:r>
        <w:rPr>
          <w:rFonts w:ascii="Palatino Linotype" w:eastAsia="Palatino Linotype" w:hAnsi="Palatino Linotype" w:cs="Palatino Linotype"/>
          <w:sz w:val="22"/>
          <w:szCs w:val="22"/>
        </w:rPr>
        <w:t xml:space="preserve"> during March 2021</w:t>
      </w:r>
      <w:r w:rsidRPr="001D4399">
        <w:rPr>
          <w:rFonts w:ascii="Palatino Linotype" w:eastAsia="Palatino Linotype" w:hAnsi="Palatino Linotype" w:cs="Palatino Linotype"/>
          <w:sz w:val="22"/>
          <w:szCs w:val="22"/>
        </w:rPr>
        <w:t>.  Amongst these, S&amp;P BSE Teck increased by 6.1 per cent, followed by S&amp;P BSE Metal (4.6 per cent), S&amp;P BSE Consumer Durables (3.4 per cent) and S&amp;P BSE Power (2.3 per cent). On the other hand, S&amp;P BSE Oil decreased by 4.7 per cent followed by S&amp;P BSE PSU (4.4 per cent), S&amp;P BSE Reality (4.2 per cent), S&amp;P BSE Bank (3.7 per cent), S&amp;P BSE Auto (3 per cent) and S&amp;P BSE Consumer Goods (2</w:t>
      </w:r>
      <w:r>
        <w:rPr>
          <w:rFonts w:ascii="Palatino Linotype" w:eastAsia="Palatino Linotype" w:hAnsi="Palatino Linotype" w:cs="Palatino Linotype"/>
          <w:sz w:val="22"/>
          <w:szCs w:val="22"/>
        </w:rPr>
        <w:t>.0</w:t>
      </w:r>
      <w:r w:rsidRPr="001D4399">
        <w:rPr>
          <w:rFonts w:ascii="Palatino Linotype" w:eastAsia="Palatino Linotype" w:hAnsi="Palatino Linotype" w:cs="Palatino Linotype"/>
          <w:sz w:val="22"/>
          <w:szCs w:val="22"/>
        </w:rPr>
        <w:t xml:space="preserve"> per cent) over the previous month. The average daily volatility and monthly returns for these select</w:t>
      </w:r>
      <w:r>
        <w:rPr>
          <w:rFonts w:ascii="Palatino Linotype" w:eastAsia="Palatino Linotype" w:hAnsi="Palatino Linotype" w:cs="Palatino Linotype"/>
          <w:sz w:val="22"/>
          <w:szCs w:val="22"/>
        </w:rPr>
        <w:t>ed</w:t>
      </w:r>
      <w:r w:rsidRPr="001D4399">
        <w:rPr>
          <w:rFonts w:ascii="Palatino Linotype" w:eastAsia="Palatino Linotype" w:hAnsi="Palatino Linotype" w:cs="Palatino Linotype"/>
          <w:sz w:val="22"/>
          <w:szCs w:val="22"/>
        </w:rPr>
        <w:t xml:space="preserve"> BSE indices for March 2021 are illustrated in Figure 4.</w:t>
      </w:r>
    </w:p>
    <w:p w:rsidR="001755DE" w:rsidRPr="001D4399" w:rsidRDefault="001755DE" w:rsidP="001755DE">
      <w:pPr>
        <w:spacing w:line="276" w:lineRule="auto"/>
        <w:jc w:val="both"/>
        <w:rPr>
          <w:rFonts w:ascii="Palatino Linotype" w:eastAsia="Palatino Linotype" w:hAnsi="Palatino Linotype" w:cs="Palatino Linotype"/>
          <w:b/>
          <w:sz w:val="22"/>
          <w:szCs w:val="22"/>
        </w:rPr>
      </w:pPr>
    </w:p>
    <w:p w:rsidR="001755DE" w:rsidRPr="001D4399" w:rsidRDefault="001755DE" w:rsidP="001755DE">
      <w:pPr>
        <w:spacing w:line="276" w:lineRule="auto"/>
        <w:jc w:val="cente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Figure 4: Trends of BSE Sectoral Indices during March 2021 (per cent)</w:t>
      </w:r>
    </w:p>
    <w:p w:rsidR="001755DE" w:rsidRPr="001D4399" w:rsidRDefault="001755DE" w:rsidP="001755DE">
      <w:pPr>
        <w:spacing w:line="276" w:lineRule="auto"/>
        <w:jc w:val="center"/>
        <w:rPr>
          <w:rFonts w:ascii="Palatino Linotype" w:eastAsia="Palatino Linotype" w:hAnsi="Palatino Linotype" w:cs="Palatino Linotype"/>
          <w:b/>
          <w:color w:val="2E74B5"/>
          <w:sz w:val="22"/>
          <w:szCs w:val="22"/>
          <w:highlight w:val="yellow"/>
        </w:rPr>
      </w:pPr>
      <w:r w:rsidRPr="00797A8B">
        <w:rPr>
          <w:noProof/>
          <w:lang w:val="en-IN" w:eastAsia="en-IN" w:bidi="hi-IN"/>
        </w:rPr>
        <w:drawing>
          <wp:inline distT="0" distB="0" distL="0" distR="0">
            <wp:extent cx="5913755" cy="2538095"/>
            <wp:effectExtent l="0" t="0" r="10795" b="14605"/>
            <wp:docPr id="43" name="Chart 4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w:t>
      </w:r>
      <w:r w:rsidRPr="00484D1D">
        <w:rPr>
          <w:rFonts w:ascii="Palatino Linotype" w:eastAsia="Palatino Linotype" w:hAnsi="Palatino Linotype" w:cs="Palatino Linotype"/>
          <w:bCs/>
          <w:sz w:val="18"/>
          <w:szCs w:val="18"/>
        </w:rPr>
        <w:t>BSE</w:t>
      </w:r>
    </w:p>
    <w:p w:rsidR="001755DE" w:rsidRPr="001D4399" w:rsidRDefault="001755DE" w:rsidP="001755DE">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An increase was observed in the</w:t>
      </w:r>
      <w:r w:rsidRPr="001D4399">
        <w:rPr>
          <w:rFonts w:ascii="Palatino Linotype" w:eastAsia="Palatino Linotype" w:hAnsi="Palatino Linotype" w:cs="Palatino Linotype"/>
          <w:sz w:val="22"/>
          <w:szCs w:val="22"/>
        </w:rPr>
        <w:t xml:space="preserve"> select</w:t>
      </w:r>
      <w:r>
        <w:rPr>
          <w:rFonts w:ascii="Palatino Linotype" w:eastAsia="Palatino Linotype" w:hAnsi="Palatino Linotype" w:cs="Palatino Linotype"/>
          <w:sz w:val="22"/>
          <w:szCs w:val="22"/>
        </w:rPr>
        <w:t>ed</w:t>
      </w:r>
      <w:r w:rsidRPr="001D4399">
        <w:rPr>
          <w:rFonts w:ascii="Palatino Linotype" w:eastAsia="Palatino Linotype" w:hAnsi="Palatino Linotype" w:cs="Palatino Linotype"/>
          <w:sz w:val="22"/>
          <w:szCs w:val="22"/>
        </w:rPr>
        <w:t xml:space="preserve"> sectoral indices of the NSE</w:t>
      </w:r>
      <w:r>
        <w:rPr>
          <w:rFonts w:ascii="Palatino Linotype" w:eastAsia="Palatino Linotype" w:hAnsi="Palatino Linotype" w:cs="Palatino Linotype"/>
          <w:sz w:val="22"/>
          <w:szCs w:val="22"/>
        </w:rPr>
        <w:t xml:space="preserve"> during march 2021 viz.</w:t>
      </w:r>
      <w:r w:rsidRPr="001D4399">
        <w:rPr>
          <w:rFonts w:ascii="Palatino Linotype" w:eastAsia="Palatino Linotype" w:hAnsi="Palatino Linotype" w:cs="Palatino Linotype"/>
          <w:sz w:val="22"/>
          <w:szCs w:val="22"/>
        </w:rPr>
        <w:t xml:space="preserve"> Nifty FMCG increased by 7.7 per cent, followed by Nifty IT (6.4 per cent), Nifty Pharma (2.7 per cent) and Nifty Services (0.1 per cent), Nifty Bank (13.9 per cent), Nifty Infrastructure (11.9 per cent) and Nifty Services (6.9 per cent) over the previous month. On the other hands, Nifty FMCG decreased by 2</w:t>
      </w:r>
      <w:r>
        <w:rPr>
          <w:rFonts w:ascii="Palatino Linotype" w:eastAsia="Palatino Linotype" w:hAnsi="Palatino Linotype" w:cs="Palatino Linotype"/>
          <w:sz w:val="22"/>
          <w:szCs w:val="22"/>
        </w:rPr>
        <w:t>.0</w:t>
      </w:r>
      <w:r w:rsidRPr="001D4399">
        <w:rPr>
          <w:rFonts w:ascii="Palatino Linotype" w:eastAsia="Palatino Linotype" w:hAnsi="Palatino Linotype" w:cs="Palatino Linotype"/>
          <w:sz w:val="22"/>
          <w:szCs w:val="22"/>
        </w:rPr>
        <w:t xml:space="preserve"> per cent, followed by Nifty Pharma (2 per cent) and Nifty IT (1.4 per cent).  The average daily volatility and monthly returns of these select NSE indices for February 2021 are illustrated in Figure 5.</w:t>
      </w:r>
    </w:p>
    <w:p w:rsidR="001755DE" w:rsidRPr="001D4399" w:rsidRDefault="001755DE" w:rsidP="001755DE">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1755DE" w:rsidRPr="001D4399" w:rsidRDefault="001755DE" w:rsidP="001755DE">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Figure 5: Trends of NSE Sectoral Indices during February 2021 (per cent)</w:t>
      </w:r>
    </w:p>
    <w:p w:rsidR="001755DE" w:rsidRPr="001D4399" w:rsidRDefault="001755DE" w:rsidP="001755DE">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797A8B">
        <w:rPr>
          <w:noProof/>
          <w:lang w:val="en-IN" w:eastAsia="en-IN" w:bidi="hi-IN"/>
        </w:rPr>
        <w:drawing>
          <wp:inline distT="0" distB="0" distL="0" distR="0">
            <wp:extent cx="5562600" cy="2587625"/>
            <wp:effectExtent l="0" t="0" r="0" b="3175"/>
            <wp:docPr id="42" name="Chart 4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w:t>
      </w:r>
      <w:r w:rsidRPr="00484D1D">
        <w:rPr>
          <w:rFonts w:ascii="Palatino Linotype" w:eastAsia="Palatino Linotype" w:hAnsi="Palatino Linotype" w:cs="Palatino Linotype"/>
          <w:bCs/>
          <w:sz w:val="18"/>
          <w:szCs w:val="18"/>
        </w:rPr>
        <w:t>NSE</w:t>
      </w:r>
    </w:p>
    <w:p w:rsidR="001755DE" w:rsidRPr="001D4399" w:rsidRDefault="001755DE" w:rsidP="001755DE">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1755DE" w:rsidRPr="001D4399" w:rsidRDefault="001755DE" w:rsidP="001755DE">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 xml:space="preserve">Trends in Depository Accounts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As at the end of March 2021, there were 217 lakh demat accounts at NSDL and 334 lakh demat accounts at CDSL. Further, till the end of March 2021, 5,681 listed companies signed up with NSDL and 5,749 listed companies signed up with CDSL to make their equity holdings available in dematerialised form.</w:t>
      </w: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1755DE" w:rsidRPr="001D4399" w:rsidRDefault="001755DE" w:rsidP="001755DE">
      <w:pPr>
        <w:spacing w:line="276" w:lineRule="auto"/>
        <w:rPr>
          <w:rFonts w:ascii="Palatino Linotype" w:eastAsia="Palatino Linotype" w:hAnsi="Palatino Linotype" w:cs="Palatino Linotype"/>
          <w:b/>
          <w:color w:val="2E74B5"/>
          <w:sz w:val="22"/>
          <w:szCs w:val="22"/>
          <w:highlight w:val="yellow"/>
        </w:rPr>
      </w:pPr>
    </w:p>
    <w:p w:rsidR="001755DE" w:rsidRPr="001D4399" w:rsidRDefault="001755DE" w:rsidP="001755DE">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Trends in Derivatives Segment</w:t>
      </w:r>
      <w:r w:rsidRPr="001D4399">
        <w:rPr>
          <w:rFonts w:ascii="Palatino Linotype" w:eastAsia="Palatino Linotype" w:hAnsi="Palatino Linotype" w:cs="Palatino Linotype"/>
          <w:b/>
          <w:sz w:val="22"/>
          <w:szCs w:val="22"/>
        </w:rPr>
        <w:tab/>
      </w:r>
    </w:p>
    <w:p w:rsidR="001755DE" w:rsidRPr="001D4399" w:rsidRDefault="001755DE" w:rsidP="001755DE">
      <w:pPr>
        <w:widowControl w:val="0"/>
        <w:spacing w:line="276" w:lineRule="auto"/>
        <w:jc w:val="both"/>
        <w:rPr>
          <w:rFonts w:ascii="Palatino Linotype" w:eastAsia="Palatino Linotype" w:hAnsi="Palatino Linotype" w:cs="Palatino Linotype"/>
          <w:sz w:val="22"/>
          <w:szCs w:val="22"/>
        </w:rPr>
      </w:pPr>
    </w:p>
    <w:p w:rsidR="001755DE" w:rsidRPr="001D4399" w:rsidRDefault="001755DE" w:rsidP="001755DE">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Equity Derivatives</w:t>
      </w:r>
    </w:p>
    <w:p w:rsidR="001755DE" w:rsidRPr="001D4399" w:rsidRDefault="001755DE" w:rsidP="001755DE">
      <w:pPr>
        <w:widowControl w:val="0"/>
        <w:spacing w:line="276" w:lineRule="auto"/>
        <w:jc w:val="both"/>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Table 3: Trends in Equity Derivatives Market</w:t>
      </w:r>
    </w:p>
    <w:tbl>
      <w:tblPr>
        <w:tblW w:w="10002" w:type="dxa"/>
        <w:tblInd w:w="-5" w:type="dxa"/>
        <w:tblLook w:val="04A0" w:firstRow="1" w:lastRow="0" w:firstColumn="1" w:lastColumn="0" w:noHBand="0" w:noVBand="1"/>
      </w:tblPr>
      <w:tblGrid>
        <w:gridCol w:w="2945"/>
        <w:gridCol w:w="1216"/>
        <w:gridCol w:w="1216"/>
        <w:gridCol w:w="1160"/>
        <w:gridCol w:w="1253"/>
        <w:gridCol w:w="1098"/>
        <w:gridCol w:w="1160"/>
      </w:tblGrid>
      <w:tr w:rsidR="001755DE" w:rsidRPr="00797A8B" w:rsidTr="00A91C39">
        <w:trPr>
          <w:trHeight w:val="232"/>
        </w:trPr>
        <w:tc>
          <w:tcPr>
            <w:tcW w:w="2945"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Description</w:t>
            </w:r>
          </w:p>
        </w:tc>
        <w:tc>
          <w:tcPr>
            <w:tcW w:w="3563"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1755DE" w:rsidRPr="001D4399" w:rsidRDefault="001755DE" w:rsidP="00A91C39">
            <w:pPr>
              <w:jc w:val="cente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NSE</w:t>
            </w:r>
          </w:p>
        </w:tc>
        <w:tc>
          <w:tcPr>
            <w:tcW w:w="3493"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1755DE" w:rsidRPr="001D4399" w:rsidRDefault="001755DE" w:rsidP="00A91C39">
            <w:pPr>
              <w:jc w:val="cente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BSE</w:t>
            </w:r>
          </w:p>
        </w:tc>
      </w:tr>
      <w:tr w:rsidR="001755DE" w:rsidRPr="00797A8B" w:rsidTr="00A91C39">
        <w:trPr>
          <w:trHeight w:val="232"/>
        </w:trPr>
        <w:tc>
          <w:tcPr>
            <w:tcW w:w="2945" w:type="dxa"/>
            <w:vMerge/>
            <w:tcBorders>
              <w:top w:val="single" w:sz="4" w:space="0" w:color="auto"/>
              <w:left w:val="single" w:sz="4" w:space="0" w:color="auto"/>
              <w:bottom w:val="single" w:sz="4" w:space="0" w:color="auto"/>
              <w:right w:val="single" w:sz="4" w:space="0" w:color="auto"/>
            </w:tcBorders>
            <w:vAlign w:val="center"/>
            <w:hideMark/>
          </w:tcPr>
          <w:p w:rsidR="001755DE" w:rsidRPr="001D4399" w:rsidRDefault="001755DE" w:rsidP="00A91C39">
            <w:pPr>
              <w:rPr>
                <w:rFonts w:ascii="Garamond" w:eastAsia="Times New Roman" w:hAnsi="Garamond"/>
                <w:b/>
                <w:bCs/>
                <w:sz w:val="20"/>
                <w:szCs w:val="20"/>
                <w:lang w:val="en-IN" w:eastAsia="en-IN" w:bidi="hi-IN"/>
              </w:rPr>
            </w:pPr>
          </w:p>
        </w:tc>
        <w:tc>
          <w:tcPr>
            <w:tcW w:w="1206" w:type="dxa"/>
            <w:tcBorders>
              <w:top w:val="nil"/>
              <w:left w:val="nil"/>
              <w:bottom w:val="single" w:sz="4" w:space="0" w:color="auto"/>
              <w:right w:val="single" w:sz="4" w:space="0" w:color="auto"/>
            </w:tcBorders>
            <w:shd w:val="clear" w:color="8DB3E2" w:fill="8DB3E2"/>
            <w:noWrap/>
            <w:vAlign w:val="center"/>
            <w:hideMark/>
          </w:tcPr>
          <w:p w:rsidR="001755DE" w:rsidRPr="001D4399" w:rsidRDefault="001755DE" w:rsidP="00A91C39">
            <w:pPr>
              <w:jc w:val="cente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Feb-21</w:t>
            </w:r>
          </w:p>
        </w:tc>
        <w:tc>
          <w:tcPr>
            <w:tcW w:w="1206" w:type="dxa"/>
            <w:tcBorders>
              <w:top w:val="nil"/>
              <w:left w:val="nil"/>
              <w:bottom w:val="single" w:sz="4" w:space="0" w:color="auto"/>
              <w:right w:val="single" w:sz="4" w:space="0" w:color="auto"/>
            </w:tcBorders>
            <w:shd w:val="clear" w:color="8DB3E2" w:fill="8DB3E2"/>
            <w:noWrap/>
            <w:vAlign w:val="center"/>
            <w:hideMark/>
          </w:tcPr>
          <w:p w:rsidR="001755DE" w:rsidRPr="001D4399" w:rsidRDefault="001755DE" w:rsidP="00A91C39">
            <w:pPr>
              <w:jc w:val="cente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Mar-21</w:t>
            </w:r>
          </w:p>
        </w:tc>
        <w:tc>
          <w:tcPr>
            <w:tcW w:w="1150" w:type="dxa"/>
            <w:tcBorders>
              <w:top w:val="nil"/>
              <w:left w:val="nil"/>
              <w:bottom w:val="single" w:sz="4" w:space="0" w:color="auto"/>
              <w:right w:val="single" w:sz="4" w:space="0" w:color="auto"/>
            </w:tcBorders>
            <w:shd w:val="clear" w:color="8DB3E2" w:fill="8DB3E2"/>
            <w:vAlign w:val="center"/>
            <w:hideMark/>
          </w:tcPr>
          <w:p w:rsidR="001755DE" w:rsidRPr="001D4399" w:rsidRDefault="001755DE" w:rsidP="00A91C39">
            <w:pPr>
              <w:jc w:val="cente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Percentage Change Over Month</w:t>
            </w:r>
          </w:p>
        </w:tc>
        <w:tc>
          <w:tcPr>
            <w:tcW w:w="1253" w:type="dxa"/>
            <w:tcBorders>
              <w:top w:val="nil"/>
              <w:left w:val="nil"/>
              <w:bottom w:val="single" w:sz="4" w:space="0" w:color="auto"/>
              <w:right w:val="single" w:sz="4" w:space="0" w:color="auto"/>
            </w:tcBorders>
            <w:shd w:val="clear" w:color="8DB3E2" w:fill="8DB3E2"/>
            <w:noWrap/>
            <w:vAlign w:val="center"/>
            <w:hideMark/>
          </w:tcPr>
          <w:p w:rsidR="001755DE" w:rsidRPr="001D4399" w:rsidRDefault="001755DE" w:rsidP="00A91C39">
            <w:pPr>
              <w:jc w:val="cente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Feb-21</w:t>
            </w:r>
          </w:p>
        </w:tc>
        <w:tc>
          <w:tcPr>
            <w:tcW w:w="1090" w:type="dxa"/>
            <w:tcBorders>
              <w:top w:val="nil"/>
              <w:left w:val="nil"/>
              <w:bottom w:val="single" w:sz="4" w:space="0" w:color="auto"/>
              <w:right w:val="single" w:sz="4" w:space="0" w:color="auto"/>
            </w:tcBorders>
            <w:shd w:val="clear" w:color="8DB3E2" w:fill="8DB3E2"/>
            <w:noWrap/>
            <w:vAlign w:val="center"/>
            <w:hideMark/>
          </w:tcPr>
          <w:p w:rsidR="001755DE" w:rsidRPr="001D4399" w:rsidRDefault="001755DE" w:rsidP="00A91C39">
            <w:pPr>
              <w:jc w:val="cente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Mar-21</w:t>
            </w:r>
          </w:p>
        </w:tc>
        <w:tc>
          <w:tcPr>
            <w:tcW w:w="1150" w:type="dxa"/>
            <w:tcBorders>
              <w:top w:val="nil"/>
              <w:left w:val="nil"/>
              <w:bottom w:val="single" w:sz="4" w:space="0" w:color="auto"/>
              <w:right w:val="single" w:sz="4" w:space="0" w:color="auto"/>
            </w:tcBorders>
            <w:shd w:val="clear" w:color="8DB3E2" w:fill="8DB3E2"/>
            <w:vAlign w:val="center"/>
            <w:hideMark/>
          </w:tcPr>
          <w:p w:rsidR="001755DE" w:rsidRPr="001D4399" w:rsidRDefault="001755DE" w:rsidP="00A91C39">
            <w:pPr>
              <w:jc w:val="cente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Percentage Change Over Month</w:t>
            </w:r>
          </w:p>
        </w:tc>
      </w:tr>
      <w:tr w:rsidR="001755DE" w:rsidRPr="00797A8B" w:rsidTr="00A91C39">
        <w:trPr>
          <w:trHeight w:val="232"/>
        </w:trPr>
        <w:tc>
          <w:tcPr>
            <w:tcW w:w="10002"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 xml:space="preserve">A. Turnover  </w:t>
            </w:r>
            <w:r w:rsidRPr="001D4399">
              <w:rPr>
                <w:rFonts w:ascii="Rupee" w:eastAsia="Times New Roman" w:hAnsi="Rupee"/>
                <w:b/>
                <w:bCs/>
                <w:sz w:val="20"/>
                <w:szCs w:val="20"/>
                <w:lang w:val="en-IN" w:eastAsia="en-IN" w:bidi="hi-IN"/>
              </w:rPr>
              <w:t>(</w:t>
            </w:r>
            <w:r w:rsidRPr="001D4399">
              <w:rPr>
                <w:rFonts w:ascii="Rupee Foradian" w:eastAsia="Times New Roman" w:hAnsi="Rupee Foradian"/>
                <w:b/>
                <w:bCs/>
                <w:sz w:val="20"/>
                <w:szCs w:val="20"/>
                <w:lang w:val="en-IN" w:eastAsia="en-IN" w:bidi="hi-IN"/>
              </w:rPr>
              <w:t>`</w:t>
            </w:r>
            <w:r w:rsidRPr="001D4399">
              <w:rPr>
                <w:rFonts w:ascii="Rupee" w:eastAsia="Times New Roman" w:hAnsi="Rupee"/>
                <w:b/>
                <w:bCs/>
                <w:sz w:val="20"/>
                <w:szCs w:val="20"/>
                <w:lang w:val="en-IN" w:eastAsia="en-IN" w:bidi="hi-IN"/>
              </w:rPr>
              <w:t xml:space="preserve"> </w:t>
            </w:r>
            <w:r w:rsidRPr="001D4399">
              <w:rPr>
                <w:rFonts w:ascii="Garamond" w:eastAsia="Times New Roman" w:hAnsi="Garamond"/>
                <w:b/>
                <w:bCs/>
                <w:sz w:val="20"/>
                <w:szCs w:val="20"/>
                <w:lang w:val="en-IN" w:eastAsia="en-IN" w:bidi="hi-IN"/>
              </w:rPr>
              <w:t>crore)</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 Index  Futures</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9,10,712</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9,13,199</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0.3</w:t>
            </w:r>
          </w:p>
        </w:tc>
        <w:tc>
          <w:tcPr>
            <w:tcW w:w="1253" w:type="dxa"/>
            <w:tcBorders>
              <w:top w:val="nil"/>
              <w:left w:val="nil"/>
              <w:bottom w:val="single" w:sz="4" w:space="0" w:color="auto"/>
              <w:right w:val="single" w:sz="4" w:space="0" w:color="auto"/>
            </w:tcBorders>
            <w:shd w:val="clear" w:color="auto" w:fill="auto"/>
            <w:vAlign w:val="center"/>
            <w:hideMark/>
          </w:tcPr>
          <w:p w:rsidR="001755DE" w:rsidRPr="001D4399" w:rsidRDefault="001755DE" w:rsidP="00A91C39">
            <w:pPr>
              <w:jc w:val="right"/>
              <w:rPr>
                <w:rFonts w:ascii="Garamond" w:eastAsia="Times New Roman" w:hAnsi="Garamond"/>
                <w:color w:val="000000"/>
                <w:sz w:val="20"/>
                <w:szCs w:val="20"/>
                <w:lang w:val="en-IN" w:eastAsia="en-IN" w:bidi="hi-IN"/>
              </w:rPr>
            </w:pPr>
            <w:r w:rsidRPr="001D4399">
              <w:rPr>
                <w:rFonts w:ascii="Garamond" w:eastAsia="Times New Roman" w:hAnsi="Garamond"/>
                <w:color w:val="000000"/>
                <w:sz w:val="20"/>
                <w:szCs w:val="20"/>
                <w:lang w:val="en-IN" w:eastAsia="en-IN" w:bidi="hi-IN"/>
              </w:rPr>
              <w:t>185.1</w:t>
            </w:r>
          </w:p>
        </w:tc>
        <w:tc>
          <w:tcPr>
            <w:tcW w:w="1090" w:type="dxa"/>
            <w:tcBorders>
              <w:top w:val="nil"/>
              <w:left w:val="nil"/>
              <w:bottom w:val="single" w:sz="4" w:space="0" w:color="auto"/>
              <w:right w:val="single" w:sz="4" w:space="0" w:color="auto"/>
            </w:tcBorders>
            <w:shd w:val="clear" w:color="auto" w:fill="auto"/>
            <w:vAlign w:val="center"/>
            <w:hideMark/>
          </w:tcPr>
          <w:p w:rsidR="001755DE" w:rsidRPr="001D4399" w:rsidRDefault="001755DE" w:rsidP="00A91C39">
            <w:pPr>
              <w:jc w:val="right"/>
              <w:rPr>
                <w:rFonts w:ascii="Garamond" w:eastAsia="Times New Roman" w:hAnsi="Garamond"/>
                <w:color w:val="000000"/>
                <w:sz w:val="20"/>
                <w:szCs w:val="20"/>
                <w:lang w:val="en-IN" w:eastAsia="en-IN" w:bidi="hi-IN"/>
              </w:rPr>
            </w:pPr>
            <w:r w:rsidRPr="001D4399">
              <w:rPr>
                <w:rFonts w:ascii="Garamond" w:eastAsia="Times New Roman" w:hAnsi="Garamond"/>
                <w:color w:val="000000"/>
                <w:sz w:val="20"/>
                <w:szCs w:val="20"/>
                <w:lang w:val="en-IN" w:eastAsia="en-IN" w:bidi="hi-IN"/>
              </w:rPr>
              <w:t>192.2</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w:t>
            </w:r>
            <w:r>
              <w:rPr>
                <w:rFonts w:ascii="Garamond" w:eastAsia="Times New Roman" w:hAnsi="Garamond"/>
                <w:sz w:val="20"/>
                <w:szCs w:val="20"/>
                <w:lang w:val="en-IN" w:eastAsia="en-IN" w:bidi="hi-IN"/>
              </w:rPr>
              <w:t>.0</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(ii) Options on Index</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Put</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3,87,31,604</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4,17,03,614</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7.7</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22,13,896</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11,94,651</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-46.0</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Call</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4,08,20,341</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4,59,50,550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12.6</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36,23,090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50,17,663</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38.5</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(iii) Stock Futures</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19,92,702</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16,45,278</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-17.4</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(iv) Options on Stock</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Put</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10,12,329</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8,94,005</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-11.7</w:t>
            </w:r>
          </w:p>
        </w:tc>
        <w:tc>
          <w:tcPr>
            <w:tcW w:w="1253" w:type="dxa"/>
            <w:tcBorders>
              <w:top w:val="nil"/>
              <w:left w:val="nil"/>
              <w:bottom w:val="single" w:sz="4" w:space="0" w:color="auto"/>
              <w:right w:val="single" w:sz="4" w:space="0" w:color="auto"/>
            </w:tcBorders>
            <w:shd w:val="clear" w:color="auto" w:fill="auto"/>
            <w:noWrap/>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090" w:type="dxa"/>
            <w:tcBorders>
              <w:top w:val="nil"/>
              <w:left w:val="nil"/>
              <w:bottom w:val="single" w:sz="4" w:space="0" w:color="auto"/>
              <w:right w:val="single" w:sz="4" w:space="0" w:color="auto"/>
            </w:tcBorders>
            <w:shd w:val="clear" w:color="auto" w:fill="auto"/>
            <w:noWrap/>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Call</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25,54,280</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20,98,229</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-17.9</w:t>
            </w:r>
          </w:p>
        </w:tc>
        <w:tc>
          <w:tcPr>
            <w:tcW w:w="1253" w:type="dxa"/>
            <w:tcBorders>
              <w:top w:val="nil"/>
              <w:left w:val="nil"/>
              <w:bottom w:val="single" w:sz="4" w:space="0" w:color="auto"/>
              <w:right w:val="single" w:sz="4" w:space="0" w:color="auto"/>
            </w:tcBorders>
            <w:shd w:val="clear" w:color="auto" w:fill="auto"/>
            <w:noWrap/>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090" w:type="dxa"/>
            <w:tcBorders>
              <w:top w:val="nil"/>
              <w:left w:val="nil"/>
              <w:bottom w:val="single" w:sz="4" w:space="0" w:color="auto"/>
              <w:right w:val="single" w:sz="4" w:space="0" w:color="auto"/>
            </w:tcBorders>
            <w:shd w:val="clear" w:color="auto" w:fill="auto"/>
            <w:noWrap/>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0.1</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 xml:space="preserve">         Total</w:t>
            </w:r>
          </w:p>
        </w:tc>
        <w:tc>
          <w:tcPr>
            <w:tcW w:w="1206"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8,60,21,969</w:t>
            </w:r>
          </w:p>
        </w:tc>
        <w:tc>
          <w:tcPr>
            <w:tcW w:w="1206"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9,32,04,875</w:t>
            </w:r>
          </w:p>
        </w:tc>
        <w:tc>
          <w:tcPr>
            <w:tcW w:w="115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8.4</w:t>
            </w:r>
          </w:p>
        </w:tc>
        <w:tc>
          <w:tcPr>
            <w:tcW w:w="1253"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58,37,172</w:t>
            </w:r>
          </w:p>
        </w:tc>
        <w:tc>
          <w:tcPr>
            <w:tcW w:w="109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62,12,506</w:t>
            </w:r>
          </w:p>
        </w:tc>
        <w:tc>
          <w:tcPr>
            <w:tcW w:w="115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6.4</w:t>
            </w:r>
          </w:p>
        </w:tc>
      </w:tr>
      <w:tr w:rsidR="001755DE" w:rsidRPr="00797A8B" w:rsidTr="00A91C39">
        <w:trPr>
          <w:trHeight w:val="232"/>
        </w:trPr>
        <w:tc>
          <w:tcPr>
            <w:tcW w:w="10002"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 xml:space="preserve">B. No. of Contracts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 Index  Futures</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92,83,472</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93,55,799</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0.8</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color w:val="000000"/>
                <w:sz w:val="20"/>
                <w:szCs w:val="20"/>
                <w:lang w:val="en-IN" w:eastAsia="en-IN" w:bidi="hi-IN"/>
              </w:rPr>
            </w:pPr>
            <w:r w:rsidRPr="001D4399">
              <w:rPr>
                <w:rFonts w:ascii="Garamond" w:eastAsia="Times New Roman" w:hAnsi="Garamond"/>
                <w:color w:val="000000"/>
                <w:sz w:val="20"/>
                <w:szCs w:val="20"/>
                <w:lang w:val="en-IN" w:eastAsia="en-IN" w:bidi="hi-IN"/>
              </w:rPr>
              <w:t>1,584</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color w:val="000000"/>
                <w:sz w:val="20"/>
                <w:szCs w:val="20"/>
                <w:lang w:val="en-IN" w:eastAsia="en-IN" w:bidi="hi-IN"/>
              </w:rPr>
            </w:pPr>
            <w:r w:rsidRPr="001D4399">
              <w:rPr>
                <w:rFonts w:ascii="Garamond" w:eastAsia="Times New Roman" w:hAnsi="Garamond"/>
                <w:color w:val="000000"/>
                <w:sz w:val="20"/>
                <w:szCs w:val="20"/>
                <w:lang w:val="en-IN" w:eastAsia="en-IN" w:bidi="hi-IN"/>
              </w:rPr>
              <w:t>1,647</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color w:val="000000"/>
                <w:sz w:val="20"/>
                <w:szCs w:val="20"/>
                <w:lang w:val="en-IN" w:eastAsia="en-IN" w:bidi="hi-IN"/>
              </w:rPr>
            </w:pPr>
            <w:r w:rsidRPr="001D4399">
              <w:rPr>
                <w:rFonts w:ascii="Garamond" w:eastAsia="Times New Roman" w:hAnsi="Garamond"/>
                <w:color w:val="000000"/>
                <w:sz w:val="20"/>
                <w:szCs w:val="20"/>
                <w:lang w:val="en-IN" w:eastAsia="en-IN" w:bidi="hi-IN"/>
              </w:rPr>
              <w:t>4.0</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(ii) Options on Index</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Put</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40,66,42,884</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44,08,36,879</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8.4</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2,15,02,094</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1,16,40,591</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-45.9</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Call</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41,14,68,038</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46,68,50,734</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13.5</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2,90,51,112</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4,00,23,823</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37.8</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(iii) Stock Futures</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2,18,47,715</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1,79,94,476</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-17.6</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(iv) Options on Stock</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Put</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1,15,03,320</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1,00,49,090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-12.6</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Call</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2,67,87,248</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2,18,01,394</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-18.6</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 xml:space="preserve">         Total</w:t>
            </w:r>
          </w:p>
        </w:tc>
        <w:tc>
          <w:tcPr>
            <w:tcW w:w="1206"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88,75,32,677</w:t>
            </w:r>
          </w:p>
        </w:tc>
        <w:tc>
          <w:tcPr>
            <w:tcW w:w="1206"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96,68,88,372</w:t>
            </w:r>
          </w:p>
        </w:tc>
        <w:tc>
          <w:tcPr>
            <w:tcW w:w="115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8.9</w:t>
            </w:r>
          </w:p>
        </w:tc>
        <w:tc>
          <w:tcPr>
            <w:tcW w:w="1253"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5,05,54,790</w:t>
            </w:r>
          </w:p>
        </w:tc>
        <w:tc>
          <w:tcPr>
            <w:tcW w:w="109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5,16,66,061</w:t>
            </w:r>
          </w:p>
        </w:tc>
        <w:tc>
          <w:tcPr>
            <w:tcW w:w="115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2.2</w:t>
            </w:r>
          </w:p>
        </w:tc>
      </w:tr>
      <w:tr w:rsidR="001755DE" w:rsidRPr="00797A8B" w:rsidTr="00A91C39">
        <w:trPr>
          <w:trHeight w:val="232"/>
        </w:trPr>
        <w:tc>
          <w:tcPr>
            <w:tcW w:w="10002"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 xml:space="preserve">C.  Open Interest in Terms of Value ( </w:t>
            </w:r>
            <w:r w:rsidRPr="001D4399">
              <w:rPr>
                <w:rFonts w:ascii="Rupee Foradian" w:eastAsia="Times New Roman" w:hAnsi="Rupee Foradian"/>
                <w:b/>
                <w:bCs/>
                <w:sz w:val="20"/>
                <w:szCs w:val="20"/>
                <w:lang w:val="en-IN" w:eastAsia="en-IN" w:bidi="hi-IN"/>
              </w:rPr>
              <w:t>`</w:t>
            </w:r>
            <w:r w:rsidRPr="001D4399">
              <w:rPr>
                <w:rFonts w:ascii="Garamond" w:eastAsia="Times New Roman" w:hAnsi="Garamond"/>
                <w:b/>
                <w:bCs/>
                <w:sz w:val="20"/>
                <w:szCs w:val="20"/>
                <w:lang w:val="en-IN" w:eastAsia="en-IN" w:bidi="hi-IN"/>
              </w:rPr>
              <w:t xml:space="preserve"> crore)</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 Index  Futures</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24,452</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29,484</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20.6</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8</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6</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-24.4</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(ii) Options on Index</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Put</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1,16,168</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1,76,397</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51.8</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136</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1,116.0</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Call</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1,43,169</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1,76,840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23.5</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9</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77</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714.1</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(iii) Stock Futures</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1,35,935</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1,39,002</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2.3</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(iv) Options on Stock</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Put</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21,715</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23,244</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7.0</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w:t>
            </w:r>
            <w:r>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Call</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39,015</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35,547</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-8.9</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w:t>
            </w:r>
            <w:r>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0.0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 xml:space="preserve">         Total</w:t>
            </w:r>
          </w:p>
        </w:tc>
        <w:tc>
          <w:tcPr>
            <w:tcW w:w="1206"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4,80,454</w:t>
            </w:r>
          </w:p>
        </w:tc>
        <w:tc>
          <w:tcPr>
            <w:tcW w:w="1206"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5,80,514</w:t>
            </w:r>
          </w:p>
        </w:tc>
        <w:tc>
          <w:tcPr>
            <w:tcW w:w="115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20.8</w:t>
            </w:r>
          </w:p>
        </w:tc>
        <w:tc>
          <w:tcPr>
            <w:tcW w:w="1253"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28.3</w:t>
            </w:r>
          </w:p>
        </w:tc>
        <w:tc>
          <w:tcPr>
            <w:tcW w:w="109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218.5</w:t>
            </w:r>
          </w:p>
        </w:tc>
        <w:tc>
          <w:tcPr>
            <w:tcW w:w="115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673.4</w:t>
            </w:r>
          </w:p>
        </w:tc>
      </w:tr>
      <w:tr w:rsidR="001755DE" w:rsidRPr="00797A8B" w:rsidTr="00A91C39">
        <w:trPr>
          <w:trHeight w:val="232"/>
        </w:trPr>
        <w:tc>
          <w:tcPr>
            <w:tcW w:w="10002"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D.  Open Interest in Terms of No of Contracts</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 Index  Futures</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2,40,606</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2,99,736</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24.6</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67</w:t>
            </w:r>
            <w:r>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50</w:t>
            </w:r>
            <w:r>
              <w:rPr>
                <w:rFonts w:ascii="Garamond" w:eastAsia="Times New Roman" w:hAnsi="Garamond"/>
                <w:sz w:val="20"/>
                <w:szCs w:val="20"/>
                <w:lang w:val="en-IN" w:eastAsia="en-IN" w:bidi="hi-IN"/>
              </w:rPr>
              <w:t>.0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-25.4</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(ii) Options on Index</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Put</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11,28,309</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17,35,961</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53.9</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98</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1,177</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1,101.0</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Call</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14,23,192</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17,74,298</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24.7</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83</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668</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704.8</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xml:space="preserve">  (iii) Stock Futures</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15,91,763</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16,07,255</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1.0</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(iv) Options on Stock</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 </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Put</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2,55,440</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2,69,673</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5.6</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i/>
                <w:iCs/>
                <w:sz w:val="20"/>
                <w:szCs w:val="20"/>
                <w:lang w:val="en-IN" w:eastAsia="en-IN" w:bidi="hi-IN"/>
              </w:rPr>
            </w:pPr>
            <w:r w:rsidRPr="001D4399">
              <w:rPr>
                <w:rFonts w:ascii="Garamond" w:eastAsia="Times New Roman" w:hAnsi="Garamond"/>
                <w:i/>
                <w:iCs/>
                <w:sz w:val="20"/>
                <w:szCs w:val="20"/>
                <w:lang w:val="en-IN" w:eastAsia="en-IN" w:bidi="hi-IN"/>
              </w:rPr>
              <w:t xml:space="preserve">          Call</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4,62,866</w:t>
            </w:r>
          </w:p>
        </w:tc>
        <w:tc>
          <w:tcPr>
            <w:tcW w:w="1206"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4,20,028</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-9.3</w:t>
            </w:r>
          </w:p>
        </w:tc>
        <w:tc>
          <w:tcPr>
            <w:tcW w:w="1253"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0</w:t>
            </w:r>
          </w:p>
        </w:tc>
        <w:tc>
          <w:tcPr>
            <w:tcW w:w="1090" w:type="dxa"/>
            <w:tcBorders>
              <w:top w:val="nil"/>
              <w:left w:val="nil"/>
              <w:bottom w:val="single" w:sz="4" w:space="0" w:color="auto"/>
              <w:right w:val="single" w:sz="4" w:space="0" w:color="auto"/>
            </w:tcBorders>
            <w:shd w:val="clear" w:color="auto" w:fill="auto"/>
            <w:noWrap/>
            <w:vAlign w:val="center"/>
            <w:hideMark/>
          </w:tcPr>
          <w:p w:rsidR="001755DE" w:rsidRPr="00484D1D" w:rsidRDefault="001755DE" w:rsidP="00A91C39">
            <w:pPr>
              <w:jc w:val="right"/>
              <w:rPr>
                <w:rFonts w:ascii="Garamond" w:eastAsia="Times New Roman" w:hAnsi="Garamond"/>
                <w:sz w:val="20"/>
                <w:szCs w:val="20"/>
                <w:lang w:val="en-IN" w:eastAsia="en-IN" w:bidi="hi-IN"/>
              </w:rPr>
            </w:pPr>
            <w:r w:rsidRPr="00484D1D">
              <w:rPr>
                <w:rFonts w:ascii="Garamond" w:eastAsia="Times New Roman" w:hAnsi="Garamond"/>
                <w:sz w:val="20"/>
                <w:szCs w:val="20"/>
                <w:lang w:val="en-IN" w:eastAsia="en-IN" w:bidi="hi-IN"/>
              </w:rPr>
              <w:t>0</w:t>
            </w:r>
          </w:p>
        </w:tc>
        <w:tc>
          <w:tcPr>
            <w:tcW w:w="1150" w:type="dxa"/>
            <w:tcBorders>
              <w:top w:val="nil"/>
              <w:left w:val="nil"/>
              <w:bottom w:val="single" w:sz="4" w:space="0" w:color="auto"/>
              <w:right w:val="single" w:sz="4" w:space="0" w:color="auto"/>
            </w:tcBorders>
            <w:shd w:val="clear" w:color="auto" w:fill="auto"/>
            <w:noWrap/>
            <w:vAlign w:val="center"/>
            <w:hideMark/>
          </w:tcPr>
          <w:p w:rsidR="001755DE" w:rsidRPr="001D4399" w:rsidRDefault="001755DE" w:rsidP="00A91C39">
            <w:pPr>
              <w:jc w:val="right"/>
              <w:rPr>
                <w:rFonts w:ascii="Garamond" w:eastAsia="Times New Roman" w:hAnsi="Garamond"/>
                <w:sz w:val="20"/>
                <w:szCs w:val="20"/>
                <w:lang w:val="en-IN" w:eastAsia="en-IN" w:bidi="hi-IN"/>
              </w:rPr>
            </w:pPr>
            <w:r w:rsidRPr="001D4399">
              <w:rPr>
                <w:rFonts w:ascii="Garamond" w:eastAsia="Times New Roman" w:hAnsi="Garamond"/>
                <w:sz w:val="20"/>
                <w:szCs w:val="20"/>
                <w:lang w:val="en-IN" w:eastAsia="en-IN" w:bidi="hi-IN"/>
              </w:rPr>
              <w:t>NA</w:t>
            </w:r>
          </w:p>
        </w:tc>
      </w:tr>
      <w:tr w:rsidR="001755DE" w:rsidRPr="00797A8B" w:rsidTr="00A91C39">
        <w:trPr>
          <w:trHeight w:val="232"/>
        </w:trPr>
        <w:tc>
          <w:tcPr>
            <w:tcW w:w="2945" w:type="dxa"/>
            <w:tcBorders>
              <w:top w:val="nil"/>
              <w:left w:val="single" w:sz="4" w:space="0" w:color="auto"/>
              <w:bottom w:val="single" w:sz="4" w:space="0" w:color="auto"/>
              <w:right w:val="single" w:sz="4" w:space="0" w:color="auto"/>
            </w:tcBorders>
            <w:shd w:val="clear" w:color="C6D9F0" w:fill="C6D9F0"/>
            <w:noWrap/>
            <w:vAlign w:val="center"/>
            <w:hideMark/>
          </w:tcPr>
          <w:p w:rsidR="001755DE" w:rsidRPr="001D4399" w:rsidRDefault="001755DE" w:rsidP="00A91C39">
            <w:pPr>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 xml:space="preserve">         Total</w:t>
            </w:r>
          </w:p>
        </w:tc>
        <w:tc>
          <w:tcPr>
            <w:tcW w:w="1206"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51,02,176</w:t>
            </w:r>
          </w:p>
        </w:tc>
        <w:tc>
          <w:tcPr>
            <w:tcW w:w="1206"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61,06,951</w:t>
            </w:r>
          </w:p>
        </w:tc>
        <w:tc>
          <w:tcPr>
            <w:tcW w:w="115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19.7</w:t>
            </w:r>
          </w:p>
        </w:tc>
        <w:tc>
          <w:tcPr>
            <w:tcW w:w="1253" w:type="dxa"/>
            <w:tcBorders>
              <w:top w:val="nil"/>
              <w:left w:val="nil"/>
              <w:bottom w:val="single" w:sz="4" w:space="0" w:color="auto"/>
              <w:right w:val="single" w:sz="4" w:space="0" w:color="auto"/>
            </w:tcBorders>
            <w:shd w:val="clear" w:color="auto" w:fill="BDD6EE" w:themeFill="accent1" w:themeFillTint="66"/>
            <w:noWrap/>
            <w:vAlign w:val="center"/>
            <w:hideMark/>
          </w:tcPr>
          <w:p w:rsidR="001755DE" w:rsidRPr="00484D1D" w:rsidRDefault="001755DE" w:rsidP="00A91C39">
            <w:pPr>
              <w:jc w:val="right"/>
              <w:rPr>
                <w:rFonts w:ascii="Garamond" w:eastAsia="Times New Roman" w:hAnsi="Garamond"/>
                <w:b/>
                <w:bCs/>
                <w:sz w:val="20"/>
                <w:szCs w:val="20"/>
                <w:lang w:val="en-IN" w:eastAsia="en-IN" w:bidi="hi-IN"/>
              </w:rPr>
            </w:pPr>
            <w:r w:rsidRPr="00484D1D">
              <w:rPr>
                <w:rFonts w:ascii="Garamond" w:eastAsia="Times New Roman" w:hAnsi="Garamond"/>
                <w:b/>
                <w:bCs/>
                <w:sz w:val="20"/>
                <w:szCs w:val="20"/>
                <w:lang w:val="en-IN" w:eastAsia="en-IN" w:bidi="hi-IN"/>
              </w:rPr>
              <w:t>248</w:t>
            </w:r>
          </w:p>
        </w:tc>
        <w:tc>
          <w:tcPr>
            <w:tcW w:w="1090" w:type="dxa"/>
            <w:tcBorders>
              <w:top w:val="nil"/>
              <w:left w:val="nil"/>
              <w:bottom w:val="single" w:sz="4" w:space="0" w:color="auto"/>
              <w:right w:val="single" w:sz="4" w:space="0" w:color="auto"/>
            </w:tcBorders>
            <w:shd w:val="clear" w:color="auto" w:fill="BDD6EE" w:themeFill="accent1" w:themeFillTint="66"/>
            <w:noWrap/>
            <w:vAlign w:val="center"/>
            <w:hideMark/>
          </w:tcPr>
          <w:p w:rsidR="001755DE" w:rsidRPr="00484D1D" w:rsidRDefault="001755DE" w:rsidP="00A91C39">
            <w:pPr>
              <w:jc w:val="right"/>
              <w:rPr>
                <w:rFonts w:ascii="Garamond" w:eastAsia="Times New Roman" w:hAnsi="Garamond"/>
                <w:b/>
                <w:bCs/>
                <w:sz w:val="20"/>
                <w:szCs w:val="20"/>
                <w:lang w:val="en-IN" w:eastAsia="en-IN" w:bidi="hi-IN"/>
              </w:rPr>
            </w:pPr>
            <w:r w:rsidRPr="00484D1D">
              <w:rPr>
                <w:rFonts w:ascii="Garamond" w:eastAsia="Times New Roman" w:hAnsi="Garamond"/>
                <w:b/>
                <w:bCs/>
                <w:sz w:val="20"/>
                <w:szCs w:val="20"/>
                <w:lang w:val="en-IN" w:eastAsia="en-IN" w:bidi="hi-IN"/>
              </w:rPr>
              <w:t>1,895</w:t>
            </w:r>
          </w:p>
        </w:tc>
        <w:tc>
          <w:tcPr>
            <w:tcW w:w="1150" w:type="dxa"/>
            <w:tcBorders>
              <w:top w:val="nil"/>
              <w:left w:val="nil"/>
              <w:bottom w:val="single" w:sz="4" w:space="0" w:color="auto"/>
              <w:right w:val="single" w:sz="4" w:space="0" w:color="auto"/>
            </w:tcBorders>
            <w:shd w:val="clear" w:color="C6D9F0" w:fill="C6D9F0"/>
            <w:noWrap/>
            <w:vAlign w:val="center"/>
            <w:hideMark/>
          </w:tcPr>
          <w:p w:rsidR="001755DE" w:rsidRPr="001D4399" w:rsidRDefault="001755DE" w:rsidP="00A91C39">
            <w:pPr>
              <w:jc w:val="right"/>
              <w:rPr>
                <w:rFonts w:ascii="Garamond" w:eastAsia="Times New Roman" w:hAnsi="Garamond"/>
                <w:b/>
                <w:bCs/>
                <w:sz w:val="20"/>
                <w:szCs w:val="20"/>
                <w:lang w:val="en-IN" w:eastAsia="en-IN" w:bidi="hi-IN"/>
              </w:rPr>
            </w:pPr>
            <w:r w:rsidRPr="001D4399">
              <w:rPr>
                <w:rFonts w:ascii="Garamond" w:eastAsia="Times New Roman" w:hAnsi="Garamond"/>
                <w:b/>
                <w:bCs/>
                <w:sz w:val="20"/>
                <w:szCs w:val="20"/>
                <w:lang w:val="en-IN" w:eastAsia="en-IN" w:bidi="hi-IN"/>
              </w:rPr>
              <w:t>664.1</w:t>
            </w:r>
          </w:p>
        </w:tc>
      </w:tr>
    </w:tbl>
    <w:p w:rsidR="001755DE" w:rsidRPr="001D4399" w:rsidRDefault="001755DE" w:rsidP="001755DE">
      <w:pPr>
        <w:tabs>
          <w:tab w:val="left" w:pos="3135"/>
        </w:tabs>
        <w:spacing w:line="276" w:lineRule="auto"/>
        <w:rPr>
          <w:rFonts w:ascii="Palatino Linotype" w:eastAsia="Palatino Linotype" w:hAnsi="Palatino Linotype" w:cs="Palatino Linotype"/>
          <w:b/>
          <w:sz w:val="18"/>
          <w:szCs w:val="18"/>
        </w:rPr>
      </w:pPr>
    </w:p>
    <w:p w:rsidR="001755DE" w:rsidRPr="001D4399" w:rsidRDefault="001755DE" w:rsidP="001755DE">
      <w:pPr>
        <w:tabs>
          <w:tab w:val="left" w:pos="3135"/>
        </w:tabs>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Source: </w:t>
      </w:r>
      <w:r w:rsidRPr="00484D1D">
        <w:rPr>
          <w:rFonts w:ascii="Palatino Linotype" w:eastAsia="Palatino Linotype" w:hAnsi="Palatino Linotype" w:cs="Palatino Linotype"/>
          <w:bCs/>
          <w:sz w:val="18"/>
          <w:szCs w:val="18"/>
        </w:rPr>
        <w:t>NSE and BSE</w:t>
      </w:r>
    </w:p>
    <w:p w:rsidR="001755DE" w:rsidRPr="001D4399" w:rsidRDefault="001755DE" w:rsidP="001755DE">
      <w:pPr>
        <w:tabs>
          <w:tab w:val="left" w:pos="3135"/>
        </w:tabs>
        <w:spacing w:line="276" w:lineRule="auto"/>
        <w:rPr>
          <w:rFonts w:ascii="Palatino Linotype" w:eastAsia="Palatino Linotype" w:hAnsi="Palatino Linotype" w:cs="Palatino Linotype"/>
          <w:b/>
          <w:color w:val="2E74B5"/>
          <w:sz w:val="22"/>
          <w:szCs w:val="22"/>
          <w:highlight w:val="yellow"/>
        </w:rPr>
      </w:pPr>
    </w:p>
    <w:p w:rsidR="001755DE" w:rsidRPr="001D4399" w:rsidRDefault="001755DE" w:rsidP="001755DE">
      <w:pPr>
        <w:tabs>
          <w:tab w:val="left" w:pos="3135"/>
        </w:tabs>
        <w:spacing w:line="276" w:lineRule="auto"/>
        <w:rPr>
          <w:rFonts w:ascii="Palatino Linotype" w:eastAsia="Palatino Linotype" w:hAnsi="Palatino Linotype" w:cs="Palatino Linotype"/>
          <w:b/>
          <w:sz w:val="22"/>
          <w:szCs w:val="22"/>
          <w:u w:val="single"/>
        </w:rPr>
      </w:pPr>
      <w:r w:rsidRPr="001D4399">
        <w:rPr>
          <w:rFonts w:ascii="Palatino Linotype" w:eastAsia="Palatino Linotype" w:hAnsi="Palatino Linotype" w:cs="Palatino Linotype"/>
          <w:b/>
          <w:sz w:val="22"/>
          <w:szCs w:val="22"/>
          <w:u w:val="single"/>
        </w:rPr>
        <w:t xml:space="preserve">BSE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During March 2021, the notional turnover of the equity derivatives segment at BSE increased by 6.4 per cent to </w:t>
      </w:r>
      <w:r w:rsidRPr="001D4399">
        <w:rPr>
          <w:rFonts w:ascii="Tahoma" w:eastAsia="Palatino Linotype" w:hAnsi="Tahoma" w:cs="Tahoma"/>
          <w:sz w:val="22"/>
          <w:szCs w:val="22"/>
        </w:rPr>
        <w:t>₹</w:t>
      </w:r>
      <w:r w:rsidRPr="001D4399">
        <w:rPr>
          <w:rFonts w:ascii="Palatino Linotype" w:eastAsia="Palatino Linotype" w:hAnsi="Palatino Linotype" w:cs="Tahoma"/>
          <w:sz w:val="22"/>
          <w:szCs w:val="22"/>
        </w:rPr>
        <w:t xml:space="preserve"> </w:t>
      </w:r>
      <w:r w:rsidRPr="001D4399">
        <w:rPr>
          <w:rFonts w:ascii="Palatino Linotype" w:eastAsia="Palatino Linotype" w:hAnsi="Palatino Linotype" w:cs="Palatino Linotype"/>
          <w:sz w:val="22"/>
          <w:szCs w:val="22"/>
        </w:rPr>
        <w:t xml:space="preserve">62.1 lakh crore </w:t>
      </w:r>
      <w:r>
        <w:rPr>
          <w:rFonts w:ascii="Palatino Linotype" w:eastAsia="Palatino Linotype" w:hAnsi="Palatino Linotype" w:cs="Palatino Linotype"/>
          <w:sz w:val="22"/>
          <w:szCs w:val="22"/>
        </w:rPr>
        <w:t xml:space="preserve">as </w:t>
      </w:r>
      <w:r w:rsidRPr="001D4399">
        <w:rPr>
          <w:rFonts w:ascii="Palatino Linotype" w:eastAsia="Palatino Linotype" w:hAnsi="Palatino Linotype" w:cs="Palatino Linotype"/>
          <w:sz w:val="22"/>
          <w:szCs w:val="22"/>
        </w:rPr>
        <w:t xml:space="preserve">compared to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58.4 lakh crore in </w:t>
      </w:r>
      <w:r w:rsidRPr="001D4399">
        <w:rPr>
          <w:rFonts w:ascii="Palatino Linotype" w:eastAsia="Tahoma" w:hAnsi="Palatino Linotype"/>
          <w:sz w:val="22"/>
          <w:szCs w:val="22"/>
        </w:rPr>
        <w:t>February 2021</w:t>
      </w:r>
      <w:r w:rsidRPr="001D4399">
        <w:rPr>
          <w:rFonts w:ascii="Palatino Linotype" w:eastAsia="Palatino Linotype" w:hAnsi="Palatino Linotype" w:cs="Palatino Linotype"/>
          <w:sz w:val="22"/>
          <w:szCs w:val="22"/>
        </w:rPr>
        <w:t xml:space="preserve">.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1D4399">
        <w:rPr>
          <w:rFonts w:ascii="Palatino Linotype" w:eastAsia="Palatino Linotype" w:hAnsi="Palatino Linotype" w:cs="Palatino Linotype"/>
          <w:sz w:val="22"/>
          <w:szCs w:val="22"/>
        </w:rPr>
        <w:t>As at</w:t>
      </w:r>
      <w:r w:rsidRPr="001D4399">
        <w:rPr>
          <w:rFonts w:ascii="Palatino Linotype" w:eastAsia="Tahoma" w:hAnsi="Palatino Linotype"/>
          <w:sz w:val="22"/>
          <w:szCs w:val="22"/>
        </w:rPr>
        <w:t xml:space="preserve"> the end of March 2021,  open interest in terms of value at BSE stood at </w:t>
      </w:r>
      <w:r w:rsidRPr="001D4399">
        <w:rPr>
          <w:rFonts w:ascii="Tahoma" w:eastAsia="Tahoma" w:hAnsi="Tahoma" w:cs="Tahoma"/>
          <w:sz w:val="22"/>
          <w:szCs w:val="22"/>
        </w:rPr>
        <w:t>₹</w:t>
      </w:r>
      <w:r w:rsidRPr="001D4399">
        <w:rPr>
          <w:rFonts w:ascii="Palatino Linotype" w:eastAsia="Tahoma" w:hAnsi="Palatino Linotype"/>
          <w:sz w:val="22"/>
          <w:szCs w:val="22"/>
        </w:rPr>
        <w:t xml:space="preserve"> 218.5 crore </w:t>
      </w:r>
      <w:r>
        <w:rPr>
          <w:rFonts w:ascii="Palatino Linotype" w:eastAsia="Tahoma" w:hAnsi="Palatino Linotype"/>
          <w:sz w:val="22"/>
          <w:szCs w:val="22"/>
        </w:rPr>
        <w:t xml:space="preserve">as </w:t>
      </w:r>
      <w:r w:rsidRPr="001D4399">
        <w:rPr>
          <w:rFonts w:ascii="Palatino Linotype" w:eastAsia="Tahoma" w:hAnsi="Palatino Linotype"/>
          <w:sz w:val="22"/>
          <w:szCs w:val="22"/>
        </w:rPr>
        <w:t xml:space="preserve">compared to </w:t>
      </w:r>
      <w:r w:rsidRPr="001D4399">
        <w:rPr>
          <w:rFonts w:ascii="Tahoma" w:eastAsia="Tahoma" w:hAnsi="Tahoma" w:cs="Tahoma"/>
          <w:sz w:val="22"/>
          <w:szCs w:val="22"/>
        </w:rPr>
        <w:t>₹</w:t>
      </w:r>
      <w:r w:rsidRPr="001D4399">
        <w:rPr>
          <w:rFonts w:ascii="Palatino Linotype" w:eastAsia="Tahoma" w:hAnsi="Palatino Linotype"/>
          <w:sz w:val="22"/>
          <w:szCs w:val="22"/>
        </w:rPr>
        <w:t xml:space="preserve"> 28.3 crore as at the end of February 2021.</w:t>
      </w: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1755DE" w:rsidRPr="001D4399" w:rsidRDefault="001755DE" w:rsidP="001755DE">
      <w:pPr>
        <w:tabs>
          <w:tab w:val="left" w:pos="3135"/>
        </w:tabs>
        <w:spacing w:line="276" w:lineRule="auto"/>
        <w:rPr>
          <w:rFonts w:ascii="Palatino Linotype" w:eastAsia="Palatino Linotype" w:hAnsi="Palatino Linotype" w:cs="Palatino Linotype"/>
          <w:b/>
          <w:sz w:val="22"/>
          <w:szCs w:val="22"/>
          <w:u w:val="single"/>
        </w:rPr>
      </w:pPr>
      <w:r w:rsidRPr="001D4399">
        <w:rPr>
          <w:rFonts w:ascii="Palatino Linotype" w:eastAsia="Palatino Linotype" w:hAnsi="Palatino Linotype" w:cs="Palatino Linotype"/>
          <w:b/>
          <w:sz w:val="22"/>
          <w:szCs w:val="22"/>
          <w:u w:val="single"/>
        </w:rPr>
        <w:t xml:space="preserve">NSE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1D4399">
        <w:rPr>
          <w:rFonts w:ascii="Palatino Linotype" w:eastAsia="Palatino Linotype" w:hAnsi="Palatino Linotype" w:cs="Palatino Linotype"/>
          <w:sz w:val="22"/>
          <w:szCs w:val="22"/>
        </w:rPr>
        <w:t xml:space="preserve">The monthly notional turnover in the equity derivatives segment at NSE increased by 8.4 per cent to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932 lakh crore in February 2021 from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860.2 lakh crore in February 2021.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1D4399">
        <w:rPr>
          <w:rFonts w:ascii="Palatino Linotype" w:eastAsia="Palatino Linotype" w:hAnsi="Palatino Linotype" w:cs="Palatino Linotype"/>
          <w:sz w:val="22"/>
          <w:szCs w:val="22"/>
        </w:rPr>
        <w:t xml:space="preserve">During the above period, </w:t>
      </w:r>
    </w:p>
    <w:p w:rsidR="001755DE" w:rsidRPr="001D4399" w:rsidRDefault="001755DE" w:rsidP="001755DE">
      <w:pPr>
        <w:pBdr>
          <w:top w:val="nil"/>
          <w:left w:val="nil"/>
          <w:bottom w:val="nil"/>
          <w:right w:val="nil"/>
          <w:between w:val="nil"/>
        </w:pBdr>
        <w:spacing w:line="276" w:lineRule="auto"/>
        <w:ind w:left="720"/>
        <w:jc w:val="both"/>
        <w:rPr>
          <w:rFonts w:ascii="Palatino Linotype" w:eastAsia="Tahoma" w:hAnsi="Palatino Linotype"/>
          <w:sz w:val="22"/>
          <w:szCs w:val="22"/>
        </w:rPr>
      </w:pPr>
      <w:r w:rsidRPr="001D4399">
        <w:rPr>
          <w:rFonts w:ascii="Palatino Linotype" w:eastAsia="Palatino Linotype" w:hAnsi="Palatino Linotype" w:cs="Palatino Linotype"/>
          <w:sz w:val="22"/>
          <w:szCs w:val="22"/>
        </w:rPr>
        <w:t xml:space="preserve">(i) the notional turnover of index options increased by 10.2 per cent to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795.5 lakh crore, and accounted for 94</w:t>
      </w:r>
      <w:r>
        <w:rPr>
          <w:rFonts w:ascii="Palatino Linotype" w:eastAsia="Palatino Linotype" w:hAnsi="Palatino Linotype" w:cs="Palatino Linotype"/>
          <w:sz w:val="22"/>
          <w:szCs w:val="22"/>
        </w:rPr>
        <w:t>.0</w:t>
      </w:r>
      <w:r w:rsidRPr="001D4399">
        <w:rPr>
          <w:rFonts w:ascii="Palatino Linotype" w:eastAsia="Palatino Linotype" w:hAnsi="Palatino Linotype" w:cs="Palatino Linotype"/>
          <w:sz w:val="22"/>
          <w:szCs w:val="22"/>
        </w:rPr>
        <w:t xml:space="preserve"> per cent of the total equity </w:t>
      </w:r>
      <w:r w:rsidRPr="001D4399">
        <w:rPr>
          <w:rFonts w:ascii="Palatino Linotype" w:eastAsia="Tahoma" w:hAnsi="Palatino Linotype"/>
          <w:sz w:val="22"/>
          <w:szCs w:val="22"/>
        </w:rPr>
        <w:t xml:space="preserve">derivatives turnover of NSE; </w:t>
      </w:r>
    </w:p>
    <w:p w:rsidR="001755DE" w:rsidRPr="001D4399" w:rsidRDefault="001755DE" w:rsidP="001755DE">
      <w:pPr>
        <w:pBdr>
          <w:top w:val="nil"/>
          <w:left w:val="nil"/>
          <w:bottom w:val="nil"/>
          <w:right w:val="nil"/>
          <w:between w:val="nil"/>
        </w:pBdr>
        <w:spacing w:line="276" w:lineRule="auto"/>
        <w:ind w:left="709"/>
        <w:jc w:val="both"/>
        <w:rPr>
          <w:rFonts w:ascii="Palatino Linotype" w:eastAsia="Tahoma" w:hAnsi="Palatino Linotype"/>
          <w:sz w:val="22"/>
          <w:szCs w:val="22"/>
        </w:rPr>
      </w:pPr>
      <w:r w:rsidRPr="001D4399">
        <w:rPr>
          <w:rFonts w:ascii="Palatino Linotype" w:eastAsia="Tahoma" w:hAnsi="Palatino Linotype"/>
          <w:sz w:val="22"/>
          <w:szCs w:val="22"/>
        </w:rPr>
        <w:t xml:space="preserve">(ii) the notional turnover of stock options decreased by 16.1 per cent to </w:t>
      </w:r>
      <w:r w:rsidRPr="001D4399">
        <w:rPr>
          <w:rFonts w:ascii="Tahoma" w:eastAsia="Tahoma" w:hAnsi="Tahoma" w:cs="Tahoma"/>
          <w:sz w:val="22"/>
          <w:szCs w:val="22"/>
        </w:rPr>
        <w:t>₹</w:t>
      </w:r>
      <w:r w:rsidRPr="001D4399">
        <w:rPr>
          <w:rFonts w:ascii="Palatino Linotype" w:eastAsia="Tahoma" w:hAnsi="Palatino Linotype"/>
          <w:sz w:val="22"/>
          <w:szCs w:val="22"/>
        </w:rPr>
        <w:t xml:space="preserve">35.7 lakh crore; </w:t>
      </w:r>
    </w:p>
    <w:p w:rsidR="001755DE" w:rsidRPr="001D4399" w:rsidRDefault="001755DE" w:rsidP="001755DE">
      <w:pPr>
        <w:pBdr>
          <w:top w:val="nil"/>
          <w:left w:val="nil"/>
          <w:bottom w:val="nil"/>
          <w:right w:val="nil"/>
          <w:between w:val="nil"/>
        </w:pBdr>
        <w:spacing w:line="276" w:lineRule="auto"/>
        <w:ind w:left="709"/>
        <w:jc w:val="both"/>
        <w:rPr>
          <w:rFonts w:ascii="Palatino Linotype" w:eastAsia="Tahoma" w:hAnsi="Palatino Linotype"/>
          <w:sz w:val="22"/>
          <w:szCs w:val="22"/>
        </w:rPr>
      </w:pPr>
      <w:r w:rsidRPr="001D4399">
        <w:rPr>
          <w:rFonts w:ascii="Palatino Linotype" w:eastAsia="Tahoma" w:hAnsi="Palatino Linotype"/>
          <w:sz w:val="22"/>
          <w:szCs w:val="22"/>
        </w:rPr>
        <w:t xml:space="preserve">(iii) the notional turnover of index futures increased marginally by 0.3 per cent to </w:t>
      </w:r>
      <w:r w:rsidRPr="001D4399">
        <w:rPr>
          <w:rFonts w:ascii="Tahoma" w:eastAsia="Tahoma" w:hAnsi="Tahoma" w:cs="Tahoma"/>
          <w:sz w:val="22"/>
          <w:szCs w:val="22"/>
        </w:rPr>
        <w:t>₹</w:t>
      </w:r>
      <w:r w:rsidRPr="001D4399">
        <w:rPr>
          <w:rFonts w:ascii="Times New Roman" w:eastAsia="Tahoma" w:hAnsi="Times New Roman"/>
          <w:sz w:val="22"/>
          <w:szCs w:val="22"/>
        </w:rPr>
        <w:t xml:space="preserve"> </w:t>
      </w:r>
      <w:r w:rsidRPr="001D4399">
        <w:rPr>
          <w:rFonts w:ascii="Palatino Linotype" w:eastAsia="Tahoma" w:hAnsi="Palatino Linotype"/>
          <w:sz w:val="22"/>
          <w:szCs w:val="22"/>
        </w:rPr>
        <w:t xml:space="preserve">9.1 lakh crore; and </w:t>
      </w:r>
    </w:p>
    <w:p w:rsidR="001755DE" w:rsidRPr="001D4399" w:rsidRDefault="001755DE" w:rsidP="001755DE">
      <w:pPr>
        <w:pBdr>
          <w:top w:val="nil"/>
          <w:left w:val="nil"/>
          <w:bottom w:val="nil"/>
          <w:right w:val="nil"/>
          <w:between w:val="nil"/>
        </w:pBdr>
        <w:spacing w:line="276" w:lineRule="auto"/>
        <w:ind w:left="709"/>
        <w:jc w:val="both"/>
        <w:rPr>
          <w:rFonts w:ascii="Palatino Linotype" w:eastAsia="Tahoma" w:hAnsi="Palatino Linotype"/>
          <w:sz w:val="22"/>
          <w:szCs w:val="22"/>
        </w:rPr>
      </w:pPr>
      <w:r w:rsidRPr="001D4399">
        <w:rPr>
          <w:rFonts w:ascii="Palatino Linotype" w:eastAsia="Tahoma" w:hAnsi="Palatino Linotype"/>
          <w:sz w:val="22"/>
          <w:szCs w:val="22"/>
        </w:rPr>
        <w:t xml:space="preserve">(iv) the notional turnover of stock futures decreased by 17.4 per cent to </w:t>
      </w:r>
      <w:r w:rsidRPr="001D4399">
        <w:rPr>
          <w:rFonts w:ascii="Tahoma" w:eastAsia="Tahoma" w:hAnsi="Tahoma" w:cs="Tahoma"/>
          <w:sz w:val="22"/>
          <w:szCs w:val="22"/>
        </w:rPr>
        <w:t>₹</w:t>
      </w:r>
      <w:r w:rsidRPr="001D4399">
        <w:rPr>
          <w:rFonts w:ascii="Times New Roman" w:eastAsia="Tahoma" w:hAnsi="Times New Roman"/>
          <w:sz w:val="22"/>
          <w:szCs w:val="22"/>
        </w:rPr>
        <w:t xml:space="preserve"> </w:t>
      </w:r>
      <w:r w:rsidRPr="001D4399">
        <w:rPr>
          <w:rFonts w:ascii="Palatino Linotype" w:eastAsia="Tahoma" w:hAnsi="Palatino Linotype"/>
          <w:sz w:val="22"/>
          <w:szCs w:val="22"/>
        </w:rPr>
        <w:t xml:space="preserve">19.9 lakh crore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A</w:t>
      </w:r>
      <w:r>
        <w:rPr>
          <w:rFonts w:ascii="Palatino Linotype" w:eastAsia="Palatino Linotype" w:hAnsi="Palatino Linotype" w:cs="Palatino Linotype"/>
          <w:sz w:val="22"/>
          <w:szCs w:val="22"/>
        </w:rPr>
        <w:t>t</w:t>
      </w:r>
      <w:r w:rsidRPr="001D4399">
        <w:rPr>
          <w:rFonts w:ascii="Palatino Linotype" w:eastAsia="Palatino Linotype" w:hAnsi="Palatino Linotype" w:cs="Palatino Linotype"/>
          <w:sz w:val="22"/>
          <w:szCs w:val="22"/>
        </w:rPr>
        <w:t xml:space="preserve">  end of March 2021, the open interest in terms of value at NSE stood at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5,80,514 crore compared to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4,80,454 crore in February 2021.</w:t>
      </w:r>
    </w:p>
    <w:p w:rsidR="001755DE" w:rsidRPr="001D4399" w:rsidRDefault="001755DE" w:rsidP="001755DE">
      <w:pPr>
        <w:pBdr>
          <w:top w:val="nil"/>
          <w:left w:val="nil"/>
          <w:bottom w:val="nil"/>
          <w:right w:val="nil"/>
          <w:between w:val="nil"/>
        </w:pBdr>
        <w:jc w:val="center"/>
        <w:rPr>
          <w:rFonts w:ascii="Palatino Linotype" w:eastAsia="Palatino Linotype" w:hAnsi="Palatino Linotype" w:cs="Palatino Linotype"/>
          <w:b/>
          <w:sz w:val="22"/>
          <w:szCs w:val="22"/>
          <w:highlight w:val="yellow"/>
        </w:rPr>
      </w:pPr>
    </w:p>
    <w:p w:rsidR="001755DE" w:rsidRPr="001D4399" w:rsidRDefault="001755DE" w:rsidP="001755DE">
      <w:pPr>
        <w:pBdr>
          <w:top w:val="nil"/>
          <w:left w:val="nil"/>
          <w:bottom w:val="nil"/>
          <w:right w:val="nil"/>
          <w:between w:val="nil"/>
        </w:pBd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 xml:space="preserve">     Figure 6: Trends of Average Daily Notional Turnover at BSE and NSE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b/>
          <w:sz w:val="22"/>
          <w:szCs w:val="22"/>
        </w:rPr>
        <w:t xml:space="preserve"> crore)</w:t>
      </w:r>
    </w:p>
    <w:p w:rsidR="001755DE" w:rsidRPr="001D4399" w:rsidRDefault="001755DE" w:rsidP="001755DE">
      <w:pPr>
        <w:pBdr>
          <w:top w:val="nil"/>
          <w:left w:val="nil"/>
          <w:bottom w:val="nil"/>
          <w:right w:val="nil"/>
          <w:between w:val="nil"/>
        </w:pBdr>
        <w:jc w:val="center"/>
        <w:rPr>
          <w:rFonts w:ascii="Palatino Linotype" w:eastAsia="Palatino Linotype" w:hAnsi="Palatino Linotype" w:cs="Palatino Linotype"/>
          <w:b/>
          <w:color w:val="2E74B5"/>
          <w:sz w:val="22"/>
          <w:szCs w:val="22"/>
        </w:rPr>
      </w:pPr>
      <w:r w:rsidRPr="00797A8B">
        <w:rPr>
          <w:noProof/>
          <w:lang w:val="en-IN" w:eastAsia="en-IN" w:bidi="hi-IN"/>
        </w:rPr>
        <w:drawing>
          <wp:inline distT="0" distB="0" distL="0" distR="0">
            <wp:extent cx="5901055" cy="2780030"/>
            <wp:effectExtent l="0" t="0" r="4445" b="1270"/>
            <wp:docPr id="41" name="Chart 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Note: ADNT implies Average Daily Notional Turnover</w:t>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BSE and NSE</w:t>
      </w:r>
    </w:p>
    <w:p w:rsidR="001755DE" w:rsidRPr="001D4399" w:rsidRDefault="001755DE" w:rsidP="001755DE">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1755DE" w:rsidRPr="001D4399" w:rsidRDefault="001755DE" w:rsidP="001755DE">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r w:rsidRPr="001D4399">
        <w:rPr>
          <w:rFonts w:ascii="Palatino Linotype" w:eastAsia="Palatino Linotype" w:hAnsi="Palatino Linotype" w:cs="Palatino Linotype"/>
          <w:sz w:val="22"/>
          <w:szCs w:val="22"/>
        </w:rPr>
        <w:t>During March 2021, the percentage share of weekly options (BSE and NSE together) to the total index options notional turnover (BSE and NSE Together) stood at 74.5 per cent compared to 74</w:t>
      </w:r>
      <w:r>
        <w:rPr>
          <w:rFonts w:ascii="Palatino Linotype" w:eastAsia="Palatino Linotype" w:hAnsi="Palatino Linotype" w:cs="Palatino Linotype"/>
          <w:sz w:val="22"/>
          <w:szCs w:val="22"/>
        </w:rPr>
        <w:t>.0</w:t>
      </w:r>
      <w:r w:rsidRPr="001D4399">
        <w:rPr>
          <w:rFonts w:ascii="Palatino Linotype" w:eastAsia="Palatino Linotype" w:hAnsi="Palatino Linotype" w:cs="Palatino Linotype"/>
          <w:sz w:val="22"/>
          <w:szCs w:val="22"/>
        </w:rPr>
        <w:t xml:space="preserve"> per cent in February 2021. The percentage share of monthly options for both the exchanges to total index options notional turnover decreased to 25</w:t>
      </w:r>
      <w:r>
        <w:rPr>
          <w:rFonts w:ascii="Palatino Linotype" w:eastAsia="Palatino Linotype" w:hAnsi="Palatino Linotype" w:cs="Palatino Linotype"/>
          <w:sz w:val="22"/>
          <w:szCs w:val="22"/>
        </w:rPr>
        <w:t>.0</w:t>
      </w:r>
      <w:r w:rsidRPr="001D4399">
        <w:rPr>
          <w:rFonts w:ascii="Palatino Linotype" w:eastAsia="Palatino Linotype" w:hAnsi="Palatino Linotype" w:cs="Palatino Linotype"/>
          <w:sz w:val="22"/>
          <w:szCs w:val="22"/>
        </w:rPr>
        <w:t xml:space="preserve"> per cent in March 2021 from 25.4 per cent in February 2021.  </w:t>
      </w: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1755DE" w:rsidRPr="001D4399" w:rsidRDefault="001755DE" w:rsidP="001755DE">
      <w:pPr>
        <w:jc w:val="cente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 xml:space="preserve">Figure 7: Maturity-wise percentage Share of Total Index Options Turnover </w:t>
      </w:r>
    </w:p>
    <w:p w:rsidR="001755DE" w:rsidRPr="001D4399" w:rsidRDefault="001755DE" w:rsidP="001755DE">
      <w:pPr>
        <w:spacing w:line="276" w:lineRule="auto"/>
        <w:jc w:val="center"/>
        <w:rPr>
          <w:rFonts w:ascii="Palatino Linotype" w:eastAsia="Palatino Linotype" w:hAnsi="Palatino Linotype" w:cs="Palatino Linotype"/>
          <w:b/>
          <w:sz w:val="22"/>
          <w:szCs w:val="22"/>
          <w:highlight w:val="yellow"/>
        </w:rPr>
      </w:pPr>
      <w:r w:rsidRPr="00797A8B">
        <w:rPr>
          <w:noProof/>
          <w:lang w:val="en-IN" w:eastAsia="en-IN" w:bidi="hi-IN"/>
        </w:rPr>
        <w:drawing>
          <wp:inline distT="0" distB="0" distL="0" distR="0">
            <wp:extent cx="5635625" cy="2740025"/>
            <wp:effectExtent l="0" t="0" r="3175" b="3175"/>
            <wp:docPr id="40" name="Chart 4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BSE and NSE</w:t>
      </w:r>
    </w:p>
    <w:p w:rsidR="001755DE" w:rsidRPr="001D4399" w:rsidRDefault="001755DE" w:rsidP="001755DE">
      <w:pPr>
        <w:spacing w:line="276" w:lineRule="auto"/>
        <w:rPr>
          <w:rFonts w:ascii="Palatino Linotype" w:eastAsia="Palatino Linotype" w:hAnsi="Palatino Linotype" w:cs="Palatino Linotype"/>
          <w:b/>
          <w:sz w:val="18"/>
          <w:szCs w:val="18"/>
        </w:rPr>
      </w:pPr>
    </w:p>
    <w:p w:rsidR="001755DE" w:rsidRPr="001D4399" w:rsidRDefault="001755DE" w:rsidP="001755DE">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 xml:space="preserve">Currency Derivatives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During March 2021, the monthly notional turnover of currency derivatives in India (NSE, BSE and MSEI together) stood at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20,22,179 crore as compared to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15,43,852 crore in February 2021, registering an increase of 31</w:t>
      </w:r>
      <w:r>
        <w:rPr>
          <w:rFonts w:ascii="Palatino Linotype" w:eastAsia="Palatino Linotype" w:hAnsi="Palatino Linotype" w:cs="Palatino Linotype"/>
          <w:sz w:val="22"/>
          <w:szCs w:val="22"/>
        </w:rPr>
        <w:t>.0</w:t>
      </w:r>
      <w:r w:rsidRPr="001D4399">
        <w:rPr>
          <w:rFonts w:ascii="Palatino Linotype" w:eastAsia="Palatino Linotype" w:hAnsi="Palatino Linotype" w:cs="Palatino Linotype"/>
          <w:sz w:val="22"/>
          <w:szCs w:val="22"/>
        </w:rPr>
        <w:t xml:space="preserve"> per cent.</w:t>
      </w:r>
    </w:p>
    <w:p w:rsidR="001755DE" w:rsidRPr="001D4399" w:rsidRDefault="001755DE" w:rsidP="001755DE">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1755DE" w:rsidRPr="001D4399" w:rsidRDefault="001755DE" w:rsidP="001755DE">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Figure 8: Trends of Currency Derivatives at NSE, MSEI and BSE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b/>
          <w:sz w:val="22"/>
          <w:szCs w:val="22"/>
        </w:rPr>
        <w:t xml:space="preserve"> crore)</w:t>
      </w:r>
    </w:p>
    <w:p w:rsidR="001755DE" w:rsidRPr="001D4399" w:rsidRDefault="001755DE" w:rsidP="001755DE">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797A8B">
        <w:rPr>
          <w:noProof/>
          <w:lang w:val="en-IN" w:eastAsia="en-IN" w:bidi="hi-IN"/>
        </w:rPr>
        <w:drawing>
          <wp:inline distT="0" distB="0" distL="0" distR="0">
            <wp:extent cx="5629275" cy="2748280"/>
            <wp:effectExtent l="0" t="0" r="9525" b="13970"/>
            <wp:docPr id="39" name="Chart 3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1755DE" w:rsidRPr="001D4399" w:rsidRDefault="001755DE" w:rsidP="001755DE">
      <w:pPr>
        <w:spacing w:line="276" w:lineRule="auto"/>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BSE, NSE and MSEI </w:t>
      </w:r>
    </w:p>
    <w:p w:rsidR="001755DE" w:rsidRPr="001D4399" w:rsidRDefault="001755DE" w:rsidP="001755DE">
      <w:pPr>
        <w:spacing w:line="276" w:lineRule="auto"/>
        <w:rPr>
          <w:rFonts w:ascii="Palatino Linotype" w:eastAsia="Palatino Linotype" w:hAnsi="Palatino Linotype" w:cs="Palatino Linotype"/>
          <w:b/>
          <w:sz w:val="18"/>
          <w:szCs w:val="18"/>
        </w:rPr>
      </w:pPr>
    </w:p>
    <w:p w:rsidR="001755DE" w:rsidRPr="001D4399" w:rsidRDefault="001755DE" w:rsidP="001755DE">
      <w:pPr>
        <w:spacing w:line="276" w:lineRule="auto"/>
        <w:rPr>
          <w:rFonts w:ascii="Palatino Linotype" w:eastAsia="Palatino Linotype" w:hAnsi="Palatino Linotype" w:cs="Palatino Linotype"/>
          <w:b/>
          <w:sz w:val="18"/>
          <w:szCs w:val="18"/>
        </w:rPr>
      </w:pPr>
    </w:p>
    <w:p w:rsidR="001755DE" w:rsidRPr="001D4399" w:rsidRDefault="001755DE" w:rsidP="001755DE">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 xml:space="preserve">Interest Rate Derivatives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M</w:t>
      </w:r>
      <w:r w:rsidRPr="001D4399">
        <w:rPr>
          <w:rFonts w:ascii="Palatino Linotype" w:eastAsia="Palatino Linotype" w:hAnsi="Palatino Linotype" w:cs="Palatino Linotype"/>
          <w:sz w:val="22"/>
          <w:szCs w:val="22"/>
        </w:rPr>
        <w:t xml:space="preserve">onthly notional turnover of interest rate derivatives at NSE decreased by 34.8 per cent </w:t>
      </w:r>
      <w:r>
        <w:rPr>
          <w:rFonts w:ascii="Palatino Linotype" w:eastAsia="Palatino Linotype" w:hAnsi="Palatino Linotype" w:cs="Palatino Linotype"/>
          <w:sz w:val="22"/>
          <w:szCs w:val="22"/>
        </w:rPr>
        <w:t xml:space="preserve">during March 2021 </w:t>
      </w:r>
      <w:r w:rsidRPr="001D4399">
        <w:rPr>
          <w:rFonts w:ascii="Palatino Linotype" w:eastAsia="Palatino Linotype" w:hAnsi="Palatino Linotype" w:cs="Palatino Linotype"/>
          <w:sz w:val="22"/>
          <w:szCs w:val="22"/>
        </w:rPr>
        <w:t xml:space="preserve">to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4,390 crore from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6,735 crore during February 2021.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The monthly notional turnover of interest rate futures at BSE increased by 165.4 per cent to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14,649 crore from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5,520crore during the same period. </w:t>
      </w:r>
    </w:p>
    <w:p w:rsidR="001755DE" w:rsidRPr="001D4399" w:rsidRDefault="001755DE" w:rsidP="001755DE">
      <w:pPr>
        <w:rPr>
          <w:rFonts w:ascii="Palatino Linotype" w:eastAsia="Palatino Linotype" w:hAnsi="Palatino Linotype" w:cs="Palatino Linotype"/>
          <w:b/>
          <w:color w:val="2E74B5"/>
          <w:sz w:val="22"/>
          <w:szCs w:val="22"/>
          <w:highlight w:val="yellow"/>
        </w:rPr>
      </w:pPr>
    </w:p>
    <w:p w:rsidR="001755DE" w:rsidRPr="001D4399" w:rsidRDefault="001755DE" w:rsidP="001755DE">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Figure 9: Trends of Interest Rate Futures at NSE and BSE</w:t>
      </w:r>
    </w:p>
    <w:p w:rsidR="001755DE" w:rsidRPr="001D4399" w:rsidRDefault="001755DE" w:rsidP="001755DE">
      <w:pPr>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w:t>
      </w:r>
      <w:r w:rsidRPr="00797A8B">
        <w:rPr>
          <w:noProof/>
          <w:lang w:val="en-IN" w:eastAsia="en-IN" w:bidi="hi-IN"/>
        </w:rPr>
        <w:drawing>
          <wp:inline distT="0" distB="0" distL="0" distR="0">
            <wp:extent cx="5218430" cy="2552700"/>
            <wp:effectExtent l="0" t="0" r="1270" b="0"/>
            <wp:docPr id="36" name="Chart 3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Pr="001D4399">
        <w:rPr>
          <w:rFonts w:ascii="Palatino Linotype" w:eastAsia="Palatino Linotype" w:hAnsi="Palatino Linotype" w:cs="Palatino Linotype"/>
          <w:b/>
          <w:sz w:val="18"/>
          <w:szCs w:val="18"/>
        </w:rPr>
        <w:t xml:space="preserve">     Source: BSE and NSE </w:t>
      </w:r>
    </w:p>
    <w:p w:rsidR="001755DE" w:rsidRPr="001D4399" w:rsidRDefault="001755DE" w:rsidP="001755DE">
      <w:pPr>
        <w:rPr>
          <w:rFonts w:ascii="Palatino Linotype" w:eastAsia="Palatino Linotype" w:hAnsi="Palatino Linotype" w:cs="Palatino Linotype"/>
          <w:b/>
          <w:sz w:val="18"/>
          <w:szCs w:val="18"/>
        </w:rPr>
      </w:pPr>
    </w:p>
    <w:p w:rsidR="001755DE" w:rsidRPr="001D4399" w:rsidRDefault="001755DE" w:rsidP="001755DE">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Trading in Corporate Debt Market</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During March 2021, BSE registered 8,369 trades of corporate debt with traded value of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64,044 crore, as compared to 5,646 trades with traded value of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43,534 crore in the previous month.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At NSE, 7,103 trades were recorded with a traded value of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95,400 crore in March 2021 as compared to 4,826 trades recorded with a traded value of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75,565 crore in February 2021. </w:t>
      </w:r>
    </w:p>
    <w:p w:rsidR="001755DE" w:rsidRPr="001D4399" w:rsidRDefault="001755DE" w:rsidP="001755DE">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highlight w:val="yellow"/>
        </w:rPr>
      </w:pP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Figure 10: Trends in Reported Turnover of Corporate Bonds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b/>
          <w:sz w:val="22"/>
          <w:szCs w:val="22"/>
        </w:rPr>
        <w:t xml:space="preserve"> crore)</w:t>
      </w: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797A8B">
        <w:rPr>
          <w:noProof/>
          <w:lang w:val="en-IN" w:eastAsia="en-IN" w:bidi="hi-IN"/>
        </w:rPr>
        <w:drawing>
          <wp:inline distT="0" distB="0" distL="0" distR="0">
            <wp:extent cx="6053455" cy="2740025"/>
            <wp:effectExtent l="0" t="0" r="4445" b="3175"/>
            <wp:docPr id="35" name="Chart 3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1755DE" w:rsidRPr="001D4399" w:rsidRDefault="001755DE" w:rsidP="001755DE">
      <w:pPr>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w:t>
      </w:r>
      <w:r w:rsidRPr="00484D1D">
        <w:rPr>
          <w:rFonts w:ascii="Palatino Linotype" w:eastAsia="Palatino Linotype" w:hAnsi="Palatino Linotype" w:cs="Palatino Linotype"/>
          <w:bCs/>
          <w:sz w:val="18"/>
          <w:szCs w:val="18"/>
        </w:rPr>
        <w:t>BSE and NSE</w:t>
      </w:r>
      <w:r w:rsidRPr="001D4399">
        <w:rPr>
          <w:rFonts w:ascii="Palatino Linotype" w:eastAsia="Palatino Linotype" w:hAnsi="Palatino Linotype" w:cs="Palatino Linotype"/>
          <w:b/>
          <w:sz w:val="18"/>
          <w:szCs w:val="18"/>
        </w:rPr>
        <w:t xml:space="preserve"> </w:t>
      </w: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1755DE" w:rsidRPr="001D4399" w:rsidRDefault="001755DE" w:rsidP="001755DE">
      <w:pPr>
        <w:widowControl w:val="0"/>
        <w:spacing w:line="276" w:lineRule="auto"/>
        <w:ind w:left="720"/>
        <w:contextualSpacing/>
        <w:jc w:val="both"/>
        <w:rPr>
          <w:rFonts w:ascii="Palatino Linotype" w:hAnsi="Palatino Linotype"/>
          <w:b/>
          <w:color w:val="2E74B5"/>
          <w:sz w:val="22"/>
          <w:szCs w:val="22"/>
        </w:rPr>
      </w:pPr>
    </w:p>
    <w:p w:rsidR="001755DE" w:rsidRPr="001D4399" w:rsidRDefault="001755DE" w:rsidP="001755DE">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Trends in Institutional Investments</w:t>
      </w:r>
    </w:p>
    <w:p w:rsidR="001755DE" w:rsidRPr="001D4399" w:rsidRDefault="001755DE" w:rsidP="001755DE">
      <w:pPr>
        <w:widowControl w:val="0"/>
        <w:spacing w:line="276" w:lineRule="auto"/>
        <w:ind w:left="720"/>
        <w:jc w:val="both"/>
        <w:rPr>
          <w:rFonts w:ascii="Palatino Linotype" w:eastAsia="Palatino Linotype" w:hAnsi="Palatino Linotype" w:cs="Palatino Linotype"/>
          <w:b/>
          <w:sz w:val="22"/>
          <w:szCs w:val="22"/>
          <w:highlight w:val="yellow"/>
        </w:rPr>
      </w:pPr>
    </w:p>
    <w:p w:rsidR="001755DE" w:rsidRPr="001D4399" w:rsidRDefault="001755DE" w:rsidP="001755DE">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Trends in Fund Mobilisation/Transactions by Mutual Funds</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Times New Roman" w:hAnsi="Palatino Linotype" w:cs="Tahoma"/>
          <w:sz w:val="22"/>
          <w:szCs w:val="22"/>
          <w:lang w:val="en-IN" w:eastAsia="en-IN"/>
        </w:rPr>
        <w:t> </w:t>
      </w:r>
      <w:r w:rsidRPr="001D4399">
        <w:rPr>
          <w:rFonts w:ascii="Palatino Linotype" w:eastAsia="Times New Roman" w:hAnsi="Palatino Linotype" w:cs="Tahoma"/>
          <w:sz w:val="22"/>
          <w:szCs w:val="22"/>
          <w:lang w:eastAsia="en-IN"/>
        </w:rPr>
        <w:t xml:space="preserve">At </w:t>
      </w:r>
      <w:r w:rsidRPr="001D4399">
        <w:rPr>
          <w:rFonts w:ascii="Palatino Linotype" w:eastAsia="Palatino Linotype" w:hAnsi="Palatino Linotype" w:cs="Palatino Linotype"/>
          <w:sz w:val="22"/>
          <w:szCs w:val="22"/>
        </w:rPr>
        <w:t>end of March 2021, there were a total of 1,735 mutual fund schemes in the market, of which</w:t>
      </w:r>
      <w:r>
        <w:rPr>
          <w:rFonts w:ascii="Palatino Linotype" w:eastAsia="Palatino Linotype" w:hAnsi="Palatino Linotype" w:cs="Palatino Linotype"/>
          <w:sz w:val="22"/>
          <w:szCs w:val="22"/>
        </w:rPr>
        <w:t>,</w:t>
      </w:r>
      <w:r w:rsidRPr="001D4399">
        <w:rPr>
          <w:rFonts w:ascii="Palatino Linotype" w:eastAsia="Palatino Linotype" w:hAnsi="Palatino Linotype" w:cs="Palatino Linotype"/>
          <w:sz w:val="22"/>
          <w:szCs w:val="22"/>
        </w:rPr>
        <w:t xml:space="preserve"> 1018 were open-ended schemes, 696 were close-ended schemes and 21 were interval schemes.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The mutual fund industry saw a net outflow of </w:t>
      </w:r>
      <w:r w:rsidRPr="001D4399">
        <w:rPr>
          <w:rFonts w:ascii="Tahoma" w:eastAsia="Palatino Linotype" w:hAnsi="Tahoma" w:cs="Tahoma"/>
          <w:sz w:val="22"/>
          <w:szCs w:val="22"/>
        </w:rPr>
        <w:t>₹</w:t>
      </w:r>
      <w:r w:rsidRPr="001D4399">
        <w:rPr>
          <w:rFonts w:ascii="Palatino Linotype" w:eastAsia="Palatino Linotype" w:hAnsi="Palatino Linotype" w:cs="Tahoma"/>
          <w:sz w:val="22"/>
          <w:szCs w:val="22"/>
        </w:rPr>
        <w:t xml:space="preserve"> </w:t>
      </w:r>
      <w:r w:rsidRPr="001D4399">
        <w:rPr>
          <w:rFonts w:ascii="Palatino Linotype" w:eastAsia="Palatino Linotype" w:hAnsi="Palatino Linotype" w:cs="Palatino Linotype"/>
          <w:sz w:val="22"/>
          <w:szCs w:val="22"/>
        </w:rPr>
        <w:t xml:space="preserve">29,745 crore during March 2021 against a net inflow of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4,090 crore during February 2021.</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The funds mobilised by open-ended schemes during March 2021 w</w:t>
      </w:r>
      <w:r>
        <w:rPr>
          <w:rFonts w:ascii="Palatino Linotype" w:eastAsia="Palatino Linotype" w:hAnsi="Palatino Linotype" w:cs="Palatino Linotype"/>
          <w:sz w:val="22"/>
          <w:szCs w:val="22"/>
        </w:rPr>
        <w:t>ere</w:t>
      </w:r>
      <w:r w:rsidRPr="001D4399">
        <w:rPr>
          <w:rFonts w:ascii="Palatino Linotype" w:eastAsia="Palatino Linotype" w:hAnsi="Palatino Linotype" w:cs="Palatino Linotype"/>
          <w:sz w:val="22"/>
          <w:szCs w:val="22"/>
        </w:rPr>
        <w:t xml:space="preserve">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8,42,107 crore against redemption/repurchase of </w:t>
      </w:r>
      <w:r w:rsidRPr="001D4399">
        <w:rPr>
          <w:rFonts w:ascii="Tahoma" w:eastAsia="Palatino Linotype" w:hAnsi="Tahoma" w:cs="Tahoma"/>
          <w:sz w:val="22"/>
          <w:szCs w:val="22"/>
        </w:rPr>
        <w:t>₹</w:t>
      </w:r>
      <w:r w:rsidRPr="001D4399">
        <w:rPr>
          <w:rFonts w:ascii="Palatino Linotype" w:eastAsia="Palatino Linotype" w:hAnsi="Palatino Linotype" w:cs="Tahoma"/>
          <w:sz w:val="22"/>
          <w:szCs w:val="22"/>
        </w:rPr>
        <w:t xml:space="preserve"> </w:t>
      </w:r>
      <w:r w:rsidRPr="001D4399">
        <w:rPr>
          <w:rFonts w:ascii="Palatino Linotype" w:eastAsia="Palatino Linotype" w:hAnsi="Palatino Linotype" w:cs="Palatino Linotype"/>
          <w:sz w:val="22"/>
          <w:szCs w:val="22"/>
        </w:rPr>
        <w:t xml:space="preserve">8,71,019 crore, resulting in a net outflow of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28,912 crore from open-ended schemes. Of the total funds mobilised by the open-ended schemes during the month under consideration,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7,73,492 crore w</w:t>
      </w:r>
      <w:r>
        <w:rPr>
          <w:rFonts w:ascii="Palatino Linotype" w:eastAsia="Palatino Linotype" w:hAnsi="Palatino Linotype" w:cs="Palatino Linotype"/>
          <w:sz w:val="22"/>
          <w:szCs w:val="22"/>
        </w:rPr>
        <w:t>ere</w:t>
      </w:r>
      <w:r w:rsidRPr="001D4399">
        <w:rPr>
          <w:rFonts w:ascii="Palatino Linotype" w:eastAsia="Palatino Linotype" w:hAnsi="Palatino Linotype" w:cs="Palatino Linotype"/>
          <w:sz w:val="22"/>
          <w:szCs w:val="22"/>
        </w:rPr>
        <w:t xml:space="preserve"> mobilised through income/debt oriented schemes,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 28,023 crore through growth/equity oriented schemes,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 17,280 crore through hybrid schemes,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 308 crore through solution oriented schemes and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23,004 crore through other schemes.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During March 2021, the fund mobilised by close-ended schemes was </w:t>
      </w:r>
      <w:r w:rsidRPr="001D4399">
        <w:rPr>
          <w:rFonts w:ascii="Tahoma" w:eastAsia="Palatino Linotype" w:hAnsi="Tahoma" w:cs="Tahoma"/>
          <w:sz w:val="22"/>
          <w:szCs w:val="22"/>
        </w:rPr>
        <w:t>₹</w:t>
      </w:r>
      <w:r w:rsidRPr="001D4399">
        <w:rPr>
          <w:rFonts w:ascii="Palatino Linotype" w:hAnsi="Palatino Linotype"/>
          <w:sz w:val="22"/>
          <w:szCs w:val="22"/>
        </w:rPr>
        <w:t xml:space="preserve"> </w:t>
      </w:r>
      <w:r w:rsidRPr="001D4399">
        <w:rPr>
          <w:rFonts w:ascii="Palatino Linotype" w:eastAsia="Palatino Linotype" w:hAnsi="Palatino Linotype" w:cs="Palatino Linotype"/>
          <w:sz w:val="22"/>
          <w:szCs w:val="22"/>
        </w:rPr>
        <w:t>1,100 crore as against matured/ repurchase</w:t>
      </w:r>
      <w:r w:rsidRPr="001D4399">
        <w:rPr>
          <w:rFonts w:ascii="Palatino Linotype" w:eastAsia="Palatino Linotype" w:hAnsi="Palatino Linotype" w:cs="Palatino Linotype"/>
          <w:sz w:val="22"/>
          <w:szCs w:val="22"/>
          <w:vertAlign w:val="superscript"/>
        </w:rPr>
        <w:footnoteReference w:id="1"/>
      </w:r>
      <w:r w:rsidRPr="001D4399">
        <w:rPr>
          <w:rFonts w:ascii="Palatino Linotype" w:eastAsia="Palatino Linotype" w:hAnsi="Palatino Linotype" w:cs="Palatino Linotype"/>
          <w:sz w:val="22"/>
          <w:szCs w:val="22"/>
        </w:rPr>
        <w:t xml:space="preserve"> of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1,882 crore.  In the interval schemes worth </w:t>
      </w:r>
      <w:r w:rsidRPr="001D4399">
        <w:rPr>
          <w:rFonts w:ascii="Tahoma" w:eastAsia="Palatino Linotype" w:hAnsi="Tahoma" w:cs="Tahoma"/>
          <w:sz w:val="22"/>
          <w:szCs w:val="22"/>
        </w:rPr>
        <w:t>₹</w:t>
      </w:r>
      <w:r w:rsidRPr="001D4399">
        <w:rPr>
          <w:rFonts w:ascii="Palatino Linotype" w:eastAsia="Palatino Linotype" w:hAnsi="Palatino Linotype" w:cs="Tahoma"/>
          <w:sz w:val="22"/>
          <w:szCs w:val="22"/>
        </w:rPr>
        <w:t xml:space="preserve"> 52</w:t>
      </w:r>
      <w:r w:rsidRPr="001D4399">
        <w:rPr>
          <w:rFonts w:ascii="Palatino Linotype" w:eastAsia="Palatino Linotype" w:hAnsi="Palatino Linotype" w:cs="Palatino Linotype"/>
          <w:sz w:val="22"/>
          <w:szCs w:val="22"/>
        </w:rPr>
        <w:t xml:space="preserve"> crore were matured/redeemed during the period.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The net assets under management of mutual funds stood at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31.4 lakh crore as at the end of March 2021</w:t>
      </w:r>
      <w:r>
        <w:rPr>
          <w:rFonts w:ascii="Palatino Linotype" w:eastAsia="Palatino Linotype" w:hAnsi="Palatino Linotype" w:cs="Palatino Linotype"/>
          <w:sz w:val="22"/>
          <w:szCs w:val="22"/>
        </w:rPr>
        <w:t xml:space="preserve"> reflecting</w:t>
      </w:r>
      <w:r w:rsidRPr="001D4399">
        <w:rPr>
          <w:rFonts w:ascii="Palatino Linotype" w:eastAsia="Palatino Linotype" w:hAnsi="Palatino Linotype" w:cs="Palatino Linotype"/>
          <w:sz w:val="22"/>
          <w:szCs w:val="22"/>
        </w:rPr>
        <w:t xml:space="preserve"> a decrease by 0.7 per cent from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31.6 lakh crore as at the end of February 2021.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In the secondary market transactions, during March 2021, mutual funds deployed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4,773 crore in equity schemes and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15,661crore in debt schemes. </w:t>
      </w:r>
    </w:p>
    <w:p w:rsidR="001755DE" w:rsidRPr="001D4399" w:rsidRDefault="001755DE" w:rsidP="001755DE">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Figure 11: Trends in Mutual Funds Transactions in Secondary Market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b/>
          <w:sz w:val="22"/>
          <w:szCs w:val="22"/>
        </w:rPr>
        <w:t xml:space="preserve"> crore)</w:t>
      </w: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797A8B">
        <w:rPr>
          <w:noProof/>
          <w:lang w:val="en-IN" w:eastAsia="en-IN" w:bidi="hi-IN"/>
        </w:rPr>
        <w:drawing>
          <wp:inline distT="0" distB="0" distL="0" distR="0">
            <wp:extent cx="5715000" cy="2819400"/>
            <wp:effectExtent l="0" t="0" r="0" b="0"/>
            <wp:docPr id="34" name="Chart 3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755DE" w:rsidRPr="001D4399" w:rsidRDefault="001755DE" w:rsidP="001755DE">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1D4399">
        <w:rPr>
          <w:rFonts w:ascii="Palatino Linotype" w:eastAsia="Palatino Linotype" w:hAnsi="Palatino Linotype" w:cs="Palatino Linotype"/>
          <w:b/>
          <w:sz w:val="22"/>
          <w:szCs w:val="22"/>
        </w:rPr>
        <w:t>Trends in Investments by the Foreign Portfolio Investors (FPIs)</w:t>
      </w:r>
    </w:p>
    <w:p w:rsidR="001755DE" w:rsidRPr="001D4399" w:rsidRDefault="001755DE" w:rsidP="001755DE">
      <w:pPr>
        <w:widowControl w:val="0"/>
        <w:tabs>
          <w:tab w:val="left" w:pos="0"/>
        </w:tabs>
        <w:spacing w:line="276" w:lineRule="auto"/>
        <w:ind w:left="360"/>
        <w:jc w:val="both"/>
        <w:rPr>
          <w:rFonts w:ascii="Palatino Linotype" w:eastAsia="Palatino Linotype" w:hAnsi="Palatino Linotype" w:cs="Palatino Linotype"/>
          <w:b/>
          <w:sz w:val="22"/>
          <w:szCs w:val="22"/>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During March 2021, FPIs invested a total of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17,023 crore in the Indian securities market </w:t>
      </w:r>
      <w:r>
        <w:rPr>
          <w:rFonts w:ascii="Palatino Linotype" w:eastAsia="Palatino Linotype" w:hAnsi="Palatino Linotype" w:cs="Palatino Linotype"/>
          <w:sz w:val="22"/>
          <w:szCs w:val="22"/>
        </w:rPr>
        <w:t xml:space="preserve">as </w:t>
      </w:r>
      <w:r w:rsidRPr="001D4399">
        <w:rPr>
          <w:rFonts w:ascii="Palatino Linotype" w:eastAsia="Palatino Linotype" w:hAnsi="Palatino Linotype" w:cs="Palatino Linotype"/>
          <w:sz w:val="22"/>
          <w:szCs w:val="22"/>
        </w:rPr>
        <w:t xml:space="preserve">compared to an investment of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24,013 crore in February 2021. During March 2021, FPIs invested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10,482 crore in equity and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13,314 crore in debt-voluntary retention route.  However, FPIs withdr</w:t>
      </w:r>
      <w:r>
        <w:rPr>
          <w:rFonts w:ascii="Palatino Linotype" w:eastAsia="Palatino Linotype" w:hAnsi="Palatino Linotype" w:cs="Palatino Linotype"/>
          <w:sz w:val="22"/>
          <w:szCs w:val="22"/>
        </w:rPr>
        <w:t>e</w:t>
      </w:r>
      <w:r w:rsidRPr="001D4399">
        <w:rPr>
          <w:rFonts w:ascii="Palatino Linotype" w:eastAsia="Palatino Linotype" w:hAnsi="Palatino Linotype" w:cs="Palatino Linotype"/>
          <w:sz w:val="22"/>
          <w:szCs w:val="22"/>
        </w:rPr>
        <w:t xml:space="preserve">w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6,492 crore from debt securities and </w:t>
      </w:r>
      <w:r w:rsidRPr="001D4399">
        <w:rPr>
          <w:rFonts w:ascii="Rupee Foradian" w:eastAsia="Palatino Linotype" w:hAnsi="Rupee Foradian" w:cs="Palatino Linotype"/>
          <w:b/>
          <w:sz w:val="20"/>
          <w:szCs w:val="22"/>
        </w:rPr>
        <w:t>`</w:t>
      </w:r>
      <w:r w:rsidRPr="001D4399">
        <w:rPr>
          <w:rFonts w:ascii="Palatino Linotype" w:eastAsia="Palatino Linotype" w:hAnsi="Palatino Linotype" w:cs="Palatino Linotype"/>
          <w:sz w:val="22"/>
          <w:szCs w:val="22"/>
        </w:rPr>
        <w:t xml:space="preserve"> 281 crore from hybrid securities during </w:t>
      </w:r>
      <w:r>
        <w:rPr>
          <w:rFonts w:ascii="Palatino Linotype" w:eastAsia="Palatino Linotype" w:hAnsi="Palatino Linotype" w:cs="Palatino Linotype"/>
          <w:sz w:val="22"/>
          <w:szCs w:val="22"/>
        </w:rPr>
        <w:t>March</w:t>
      </w:r>
      <w:r w:rsidRPr="001D4399">
        <w:rPr>
          <w:rFonts w:ascii="Palatino Linotype" w:eastAsia="Palatino Linotype" w:hAnsi="Palatino Linotype" w:cs="Palatino Linotype"/>
          <w:sz w:val="22"/>
          <w:szCs w:val="22"/>
        </w:rPr>
        <w:t xml:space="preserve"> 2021. </w:t>
      </w: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The assets of FPIs in India, as reported by custodians, at the end of March 2021 w</w:t>
      </w:r>
      <w:r>
        <w:rPr>
          <w:rFonts w:ascii="Palatino Linotype" w:eastAsia="Palatino Linotype" w:hAnsi="Palatino Linotype" w:cs="Palatino Linotype"/>
          <w:sz w:val="22"/>
          <w:szCs w:val="22"/>
        </w:rPr>
        <w:t>ere</w:t>
      </w:r>
      <w:r w:rsidRPr="001D4399">
        <w:rPr>
          <w:rFonts w:ascii="Palatino Linotype" w:eastAsia="Palatino Linotype" w:hAnsi="Palatino Linotype" w:cs="Palatino Linotype"/>
          <w:sz w:val="22"/>
          <w:szCs w:val="22"/>
        </w:rPr>
        <w:t xml:space="preserve">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  4,462,903 crore, out of which the notional value of offshore derivative instruments (ODIs) (including ODIs on derivatives) was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  89,100 crore which is 2</w:t>
      </w:r>
      <w:r>
        <w:rPr>
          <w:rFonts w:ascii="Palatino Linotype" w:eastAsia="Palatino Linotype" w:hAnsi="Palatino Linotype" w:cs="Palatino Linotype"/>
          <w:sz w:val="22"/>
          <w:szCs w:val="22"/>
        </w:rPr>
        <w:t>.0</w:t>
      </w:r>
      <w:r w:rsidRPr="001D4399">
        <w:rPr>
          <w:rFonts w:ascii="Palatino Linotype" w:eastAsia="Palatino Linotype" w:hAnsi="Palatino Linotype" w:cs="Palatino Linotype"/>
          <w:sz w:val="22"/>
          <w:szCs w:val="22"/>
        </w:rPr>
        <w:t xml:space="preserve"> per cent of total assets of FPIs.  </w:t>
      </w:r>
    </w:p>
    <w:p w:rsidR="001755DE" w:rsidRPr="001D4399" w:rsidRDefault="001755DE" w:rsidP="001755DE">
      <w:pPr>
        <w:spacing w:after="200" w:line="276" w:lineRule="auto"/>
        <w:ind w:left="720"/>
        <w:contextualSpacing/>
        <w:rPr>
          <w:rFonts w:ascii="Palatino Linotype" w:eastAsia="Palatino Linotype" w:hAnsi="Palatino Linotype" w:cs="Palatino Linotype"/>
          <w:b/>
          <w:sz w:val="22"/>
          <w:szCs w:val="22"/>
          <w:lang w:val="en-US"/>
        </w:rPr>
      </w:pPr>
    </w:p>
    <w:p w:rsidR="001755DE" w:rsidRPr="001D4399" w:rsidRDefault="001755DE" w:rsidP="001755DE">
      <w:pPr>
        <w:pBdr>
          <w:top w:val="nil"/>
          <w:left w:val="nil"/>
          <w:bottom w:val="nil"/>
          <w:right w:val="nil"/>
          <w:between w:val="nil"/>
        </w:pBdr>
        <w:spacing w:line="276" w:lineRule="auto"/>
        <w:ind w:left="720"/>
        <w:rPr>
          <w:rFonts w:ascii="Palatino Linotype" w:eastAsia="Palatino Linotype" w:hAnsi="Palatino Linotype" w:cs="Palatino Linotype"/>
          <w:b/>
          <w:sz w:val="22"/>
          <w:szCs w:val="22"/>
          <w:highlight w:val="yellow"/>
        </w:rPr>
      </w:pPr>
      <w:r w:rsidRPr="001D4399">
        <w:rPr>
          <w:rFonts w:ascii="Palatino Linotype" w:eastAsia="Palatino Linotype" w:hAnsi="Palatino Linotype" w:cs="Palatino Linotype"/>
          <w:b/>
          <w:sz w:val="22"/>
          <w:szCs w:val="22"/>
        </w:rPr>
        <w:t>Figure 12: Trends in FPIs’ Investments</w:t>
      </w:r>
      <w:r>
        <w:rPr>
          <w:rFonts w:ascii="Palatino Linotype" w:eastAsia="Palatino Linotype" w:hAnsi="Palatino Linotype" w:cs="Palatino Linotype"/>
          <w:b/>
          <w:sz w:val="22"/>
          <w:szCs w:val="22"/>
        </w:rPr>
        <w:t xml:space="preserve"> (………..)</w:t>
      </w:r>
    </w:p>
    <w:p w:rsidR="001755DE" w:rsidRPr="001D4399" w:rsidRDefault="001755DE" w:rsidP="001755DE">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797A8B">
        <w:rPr>
          <w:noProof/>
          <w:lang w:val="en-IN" w:eastAsia="en-IN" w:bidi="hi-IN"/>
        </w:rPr>
        <w:drawing>
          <wp:inline distT="0" distB="0" distL="0" distR="0">
            <wp:extent cx="6283325" cy="2823845"/>
            <wp:effectExtent l="0" t="0" r="3175" b="14605"/>
            <wp:docPr id="14" name="Chart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1755DE" w:rsidRPr="001D4399" w:rsidRDefault="001755DE" w:rsidP="001755DE">
      <w:pPr>
        <w:rPr>
          <w:rFonts w:ascii="Palatino Linotype" w:eastAsia="Palatino Linotype" w:hAnsi="Palatino Linotype" w:cs="Palatino Linotype"/>
          <w:b/>
          <w:sz w:val="18"/>
          <w:szCs w:val="18"/>
        </w:rPr>
      </w:pPr>
      <w:r w:rsidRPr="001D4399">
        <w:rPr>
          <w:rFonts w:ascii="Palatino Linotype" w:eastAsia="Palatino Linotype" w:hAnsi="Palatino Linotype" w:cs="Palatino Linotype"/>
          <w:b/>
          <w:sz w:val="18"/>
          <w:szCs w:val="18"/>
        </w:rPr>
        <w:t xml:space="preserve">  Source: CDSL and NSDL</w:t>
      </w:r>
    </w:p>
    <w:p w:rsidR="001755DE" w:rsidRPr="001D4399" w:rsidRDefault="001755DE" w:rsidP="001755DE">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1755DE" w:rsidRPr="001D4399" w:rsidRDefault="001755DE" w:rsidP="001755DE">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0" w:name="_30j0zll" w:colFirst="0" w:colLast="0"/>
      <w:bookmarkEnd w:id="0"/>
    </w:p>
    <w:p w:rsidR="001755DE" w:rsidRPr="001D4399" w:rsidRDefault="001755DE" w:rsidP="001755DE">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1D4399">
        <w:rPr>
          <w:rFonts w:ascii="Palatino Linotype" w:eastAsia="Palatino Linotype" w:hAnsi="Palatino Linotype" w:cs="Palatino Linotype"/>
          <w:b/>
          <w:color w:val="222A35"/>
          <w:sz w:val="22"/>
          <w:szCs w:val="22"/>
        </w:rPr>
        <w:t>Trends in Portfolio Management Services (PMS)</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As at end of October 2020, </w:t>
      </w:r>
      <w:r>
        <w:rPr>
          <w:rFonts w:ascii="Palatino Linotype" w:eastAsia="Palatino Linotype" w:hAnsi="Palatino Linotype" w:cs="Palatino Linotype"/>
          <w:sz w:val="22"/>
          <w:szCs w:val="22"/>
        </w:rPr>
        <w:t>assets under management (</w:t>
      </w:r>
      <w:r w:rsidRPr="001D4399">
        <w:rPr>
          <w:rFonts w:ascii="Palatino Linotype" w:eastAsia="Palatino Linotype" w:hAnsi="Palatino Linotype" w:cs="Palatino Linotype"/>
          <w:sz w:val="22"/>
          <w:szCs w:val="22"/>
        </w:rPr>
        <w:t>AUM</w:t>
      </w:r>
      <w:r>
        <w:rPr>
          <w:rFonts w:ascii="Palatino Linotype" w:eastAsia="Palatino Linotype" w:hAnsi="Palatino Linotype" w:cs="Palatino Linotype"/>
          <w:sz w:val="22"/>
          <w:szCs w:val="22"/>
        </w:rPr>
        <w:t>)</w:t>
      </w:r>
      <w:r w:rsidRPr="001D4399">
        <w:rPr>
          <w:rFonts w:ascii="Palatino Linotype" w:eastAsia="Palatino Linotype" w:hAnsi="Palatino Linotype" w:cs="Palatino Linotype"/>
          <w:sz w:val="22"/>
          <w:szCs w:val="22"/>
        </w:rPr>
        <w:t xml:space="preserve"> of the portfolio management industry stood at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19.2 lakh crore. Of the total AUM, funds from EPFO/PFs account for </w:t>
      </w:r>
      <w:r w:rsidRPr="001D4399">
        <w:rPr>
          <w:rFonts w:ascii="Tahoma" w:eastAsia="Palatino Linotype" w:hAnsi="Tahoma" w:cs="Tahoma"/>
          <w:sz w:val="22"/>
          <w:szCs w:val="22"/>
        </w:rPr>
        <w:t>₹</w:t>
      </w:r>
      <w:r w:rsidRPr="001D4399">
        <w:rPr>
          <w:rFonts w:ascii="Palatino Linotype" w:eastAsia="Palatino Linotype" w:hAnsi="Palatino Linotype" w:cs="Palatino Linotype"/>
          <w:sz w:val="22"/>
          <w:szCs w:val="22"/>
        </w:rPr>
        <w:t xml:space="preserve">14.6 lakh crore. </w:t>
      </w:r>
    </w:p>
    <w:p w:rsidR="001755DE" w:rsidRPr="001D4399" w:rsidRDefault="001755DE" w:rsidP="001755D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D4399">
        <w:rPr>
          <w:rFonts w:ascii="Palatino Linotype" w:eastAsia="Palatino Linotype" w:hAnsi="Palatino Linotype" w:cs="Palatino Linotype"/>
          <w:sz w:val="22"/>
          <w:szCs w:val="22"/>
        </w:rPr>
        <w:t xml:space="preserve">There were 1,55,796 total clients in PMS industry as at the end of October 2020, of which 1,45,404 clients belong to discretionary services category, 8,409 clients belong to non-discretionary services category and 1,983 clients belong to advisory services category of portfolio management services.   </w:t>
      </w: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1755DE" w:rsidRPr="001D4399" w:rsidRDefault="001755DE" w:rsidP="001755DE">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1D4399">
        <w:rPr>
          <w:rFonts w:ascii="Palatino Linotype" w:eastAsia="Palatino Linotype" w:hAnsi="Palatino Linotype" w:cs="Palatino Linotype"/>
          <w:b/>
          <w:color w:val="222A35"/>
          <w:sz w:val="22"/>
          <w:szCs w:val="22"/>
        </w:rPr>
        <w:t>Trends in Substantial Acquisition of Shares and Takeovers</w:t>
      </w:r>
    </w:p>
    <w:p w:rsidR="001755DE" w:rsidRPr="001D4399" w:rsidRDefault="001755DE" w:rsidP="001755DE">
      <w:pPr>
        <w:jc w:val="both"/>
        <w:rPr>
          <w:rFonts w:ascii="Palatino Linotype" w:eastAsia="Palatino Linotype" w:hAnsi="Palatino Linotype" w:cs="Palatino Linotype"/>
          <w:sz w:val="22"/>
          <w:szCs w:val="22"/>
        </w:rPr>
      </w:pPr>
    </w:p>
    <w:p w:rsidR="001755DE" w:rsidRPr="001D4399" w:rsidRDefault="001755DE" w:rsidP="001755DE">
      <w:pPr>
        <w:jc w:val="both"/>
        <w:rPr>
          <w:rFonts w:ascii="Palatino Linotype" w:eastAsia="Times New Roman" w:hAnsi="Palatino Linotype" w:cs="Garamond"/>
          <w:sz w:val="22"/>
          <w:szCs w:val="22"/>
        </w:rPr>
      </w:pPr>
      <w:r w:rsidRPr="001D4399">
        <w:rPr>
          <w:rFonts w:ascii="Palatino Linotype" w:eastAsia="Palatino Linotype" w:hAnsi="Palatino Linotype" w:cs="Palatino Linotype"/>
          <w:sz w:val="22"/>
          <w:szCs w:val="22"/>
        </w:rPr>
        <w:t xml:space="preserve">During March 2021, three open offers with offer value of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 xml:space="preserve">440 crore were closed </w:t>
      </w:r>
      <w:r w:rsidRPr="001D4399">
        <w:rPr>
          <w:rFonts w:ascii="Palatino Linotype" w:eastAsia="Palatino Linotype" w:hAnsi="Palatino Linotype" w:cs="Palatino Linotype"/>
          <w:color w:val="222A35"/>
          <w:sz w:val="22"/>
          <w:szCs w:val="22"/>
        </w:rPr>
        <w:t xml:space="preserve">under SEBI (Substantial Acquisition of Shares and Takeover) Regulations, 2011 (SAST Regulations) </w:t>
      </w:r>
      <w:r w:rsidRPr="001D4399">
        <w:rPr>
          <w:rFonts w:ascii="Palatino Linotype" w:eastAsia="Palatino Linotype" w:hAnsi="Palatino Linotype" w:cs="Palatino Linotype"/>
          <w:sz w:val="22"/>
          <w:szCs w:val="22"/>
        </w:rPr>
        <w:t xml:space="preserve">as against five open offers with offer value of </w:t>
      </w:r>
      <w:r w:rsidRPr="001D4399">
        <w:rPr>
          <w:rFonts w:ascii="Tahoma" w:eastAsia="Palatino Linotype" w:hAnsi="Tahoma" w:cs="Tahoma"/>
          <w:sz w:val="22"/>
          <w:szCs w:val="22"/>
        </w:rPr>
        <w:t>₹</w:t>
      </w:r>
      <w:r w:rsidRPr="001D4399">
        <w:rPr>
          <w:rFonts w:ascii="Times New Roman" w:eastAsia="Palatino Linotype" w:hAnsi="Times New Roman"/>
          <w:sz w:val="22"/>
          <w:szCs w:val="22"/>
        </w:rPr>
        <w:t xml:space="preserve"> </w:t>
      </w:r>
      <w:r w:rsidRPr="001D4399">
        <w:rPr>
          <w:rFonts w:ascii="Palatino Linotype" w:eastAsia="Palatino Linotype" w:hAnsi="Palatino Linotype" w:cs="Palatino Linotype"/>
          <w:sz w:val="22"/>
          <w:szCs w:val="22"/>
        </w:rPr>
        <w:t>211 crore were closed in February 2021</w:t>
      </w:r>
      <w:r w:rsidRPr="001D4399">
        <w:rPr>
          <w:rFonts w:ascii="Palatino Linotype" w:eastAsia="Palatino Linotype" w:hAnsi="Palatino Linotype" w:cs="Palatino Linotype"/>
          <w:color w:val="222A35"/>
          <w:sz w:val="22"/>
          <w:szCs w:val="22"/>
        </w:rPr>
        <w:t xml:space="preserve">. </w:t>
      </w:r>
      <w:r w:rsidRPr="001D4399">
        <w:rPr>
          <w:rFonts w:ascii="Palatino Linotype" w:eastAsia="Times New Roman" w:hAnsi="Palatino Linotype" w:cs="Garamond"/>
          <w:sz w:val="22"/>
          <w:szCs w:val="22"/>
        </w:rPr>
        <w:t xml:space="preserve">Of the three offers, one open offer was for change in control of management, one was made </w:t>
      </w:r>
      <w:r>
        <w:rPr>
          <w:rFonts w:ascii="Palatino Linotype" w:eastAsia="Times New Roman" w:hAnsi="Palatino Linotype" w:cs="Garamond"/>
          <w:sz w:val="22"/>
          <w:szCs w:val="22"/>
        </w:rPr>
        <w:t xml:space="preserve">for </w:t>
      </w:r>
      <w:r w:rsidRPr="001D4399">
        <w:rPr>
          <w:rFonts w:ascii="Palatino Linotype" w:eastAsia="Times New Roman" w:hAnsi="Palatino Linotype" w:cs="Garamond"/>
          <w:sz w:val="22"/>
          <w:szCs w:val="22"/>
        </w:rPr>
        <w:t xml:space="preserve">consolidation of holdings and one was made </w:t>
      </w:r>
      <w:r>
        <w:rPr>
          <w:rFonts w:ascii="Palatino Linotype" w:eastAsia="Times New Roman" w:hAnsi="Palatino Linotype" w:cs="Garamond"/>
          <w:sz w:val="22"/>
          <w:szCs w:val="22"/>
        </w:rPr>
        <w:t>for</w:t>
      </w:r>
      <w:r w:rsidRPr="001D4399">
        <w:rPr>
          <w:rFonts w:ascii="Palatino Linotype" w:eastAsia="Times New Roman" w:hAnsi="Palatino Linotype" w:cs="Garamond"/>
          <w:sz w:val="22"/>
          <w:szCs w:val="22"/>
        </w:rPr>
        <w:t xml:space="preserve"> </w:t>
      </w:r>
      <w:r>
        <w:rPr>
          <w:rFonts w:ascii="Palatino Linotype" w:eastAsia="Times New Roman" w:hAnsi="Palatino Linotype" w:cs="Garamond"/>
          <w:sz w:val="22"/>
          <w:szCs w:val="22"/>
        </w:rPr>
        <w:t>s</w:t>
      </w:r>
      <w:r w:rsidRPr="001D4399">
        <w:rPr>
          <w:rFonts w:ascii="Palatino Linotype" w:eastAsia="Times New Roman" w:hAnsi="Palatino Linotype" w:cs="Garamond"/>
          <w:sz w:val="22"/>
          <w:szCs w:val="22"/>
        </w:rPr>
        <w:t xml:space="preserve">ubstantial </w:t>
      </w:r>
      <w:r>
        <w:rPr>
          <w:rFonts w:ascii="Palatino Linotype" w:eastAsia="Times New Roman" w:hAnsi="Palatino Linotype" w:cs="Garamond"/>
          <w:sz w:val="22"/>
          <w:szCs w:val="22"/>
        </w:rPr>
        <w:t>a</w:t>
      </w:r>
      <w:r w:rsidRPr="001D4399">
        <w:rPr>
          <w:rFonts w:ascii="Palatino Linotype" w:eastAsia="Times New Roman" w:hAnsi="Palatino Linotype" w:cs="Garamond"/>
          <w:sz w:val="22"/>
          <w:szCs w:val="22"/>
        </w:rPr>
        <w:t xml:space="preserve">cquisition. </w:t>
      </w: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1755DE" w:rsidRPr="001D4399" w:rsidRDefault="001755DE" w:rsidP="001755DE">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1755DE" w:rsidRPr="001D4399" w:rsidRDefault="001755DE" w:rsidP="001755DE">
      <w:pPr>
        <w:jc w:val="center"/>
        <w:rPr>
          <w:rFonts w:ascii="Palatino Linotype" w:eastAsia="Palatino Linotype" w:hAnsi="Palatino Linotype" w:cs="Palatino Linotype"/>
          <w:b/>
          <w:color w:val="222A35"/>
          <w:sz w:val="22"/>
          <w:szCs w:val="22"/>
        </w:rPr>
      </w:pPr>
      <w:r w:rsidRPr="001D4399">
        <w:rPr>
          <w:rFonts w:ascii="Palatino Linotype" w:eastAsia="Palatino Linotype" w:hAnsi="Palatino Linotype" w:cs="Palatino Linotype"/>
          <w:b/>
          <w:color w:val="222A35"/>
          <w:sz w:val="22"/>
          <w:szCs w:val="22"/>
        </w:rPr>
        <w:t>Figure 13: Details of Open Offers Closed under the SEBI (SAST) Regulations</w:t>
      </w:r>
    </w:p>
    <w:p w:rsidR="001755DE" w:rsidRPr="001D4399" w:rsidRDefault="001755DE" w:rsidP="001755DE">
      <w:pPr>
        <w:spacing w:line="276" w:lineRule="auto"/>
        <w:jc w:val="center"/>
        <w:rPr>
          <w:rFonts w:ascii="Palatino Linotype" w:eastAsia="Palatino Linotype" w:hAnsi="Palatino Linotype" w:cs="Palatino Linotype"/>
          <w:b/>
          <w:color w:val="222A35"/>
          <w:sz w:val="22"/>
          <w:szCs w:val="22"/>
          <w:highlight w:val="yellow"/>
        </w:rPr>
      </w:pPr>
      <w:r w:rsidRPr="00797A8B">
        <w:rPr>
          <w:noProof/>
          <w:lang w:val="en-IN" w:eastAsia="en-IN" w:bidi="hi-IN"/>
        </w:rPr>
        <w:drawing>
          <wp:inline distT="0" distB="0" distL="0" distR="0">
            <wp:extent cx="5715000" cy="2700655"/>
            <wp:effectExtent l="0" t="0" r="0" b="4445"/>
            <wp:docPr id="13" name="Chart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1755DE" w:rsidRPr="00B92D2D" w:rsidRDefault="001755DE" w:rsidP="001755DE">
      <w:pPr>
        <w:rPr>
          <w:rFonts w:ascii="Palatino Linotype" w:eastAsia="Times New Roman" w:hAnsi="Palatino Linotype"/>
          <w:b/>
          <w:color w:val="0F0684"/>
        </w:rPr>
      </w:pPr>
      <w:r w:rsidRPr="00797A8B">
        <w:rPr>
          <w:rFonts w:ascii="Garamond" w:hAnsi="Garamond"/>
          <w:b/>
          <w:color w:val="0D0D0D"/>
          <w:sz w:val="18"/>
          <w:szCs w:val="18"/>
        </w:rPr>
        <w:br w:type="page"/>
      </w:r>
      <w:r w:rsidRPr="00B92D2D">
        <w:rPr>
          <w:rFonts w:ascii="Palatino Linotype" w:hAnsi="Palatino Linotype"/>
          <w:b/>
          <w:color w:val="0F0684"/>
        </w:rPr>
        <w:t>IX.</w:t>
      </w:r>
      <w:r>
        <w:rPr>
          <w:rFonts w:ascii="Palatino Linotype" w:hAnsi="Palatino Linotype"/>
          <w:b/>
          <w:color w:val="0F0684"/>
        </w:rPr>
        <w:t xml:space="preserve">     Commodity </w:t>
      </w:r>
      <w:r w:rsidRPr="00B92D2D">
        <w:rPr>
          <w:rFonts w:ascii="Palatino Linotype" w:hAnsi="Palatino Linotype"/>
          <w:b/>
          <w:color w:val="0F0684"/>
        </w:rPr>
        <w:t>Derivatives Markets</w:t>
      </w:r>
    </w:p>
    <w:p w:rsidR="001755DE" w:rsidRPr="00B92D2D" w:rsidRDefault="001755DE" w:rsidP="001755DE">
      <w:pPr>
        <w:pStyle w:val="ListParagraph"/>
        <w:spacing w:after="0" w:line="240" w:lineRule="auto"/>
        <w:jc w:val="both"/>
        <w:rPr>
          <w:rFonts w:ascii="Palatino Linotype" w:eastAsia="Times New Roman" w:hAnsi="Palatino Linotype"/>
          <w:b/>
          <w:color w:val="000000"/>
          <w:sz w:val="22"/>
          <w:szCs w:val="22"/>
        </w:rPr>
      </w:pPr>
    </w:p>
    <w:p w:rsidR="001755DE" w:rsidRPr="00B92D2D" w:rsidRDefault="001755DE" w:rsidP="001755DE">
      <w:pPr>
        <w:pStyle w:val="ListParagraph"/>
        <w:numPr>
          <w:ilvl w:val="0"/>
          <w:numId w:val="26"/>
        </w:numPr>
        <w:spacing w:after="0" w:line="240" w:lineRule="auto"/>
        <w:ind w:left="-284" w:firstLine="0"/>
        <w:jc w:val="both"/>
        <w:rPr>
          <w:rFonts w:ascii="Palatino Linotype" w:eastAsia="Times New Roman" w:hAnsi="Palatino Linotype"/>
          <w:b/>
          <w:color w:val="000000"/>
          <w:sz w:val="22"/>
          <w:szCs w:val="22"/>
        </w:rPr>
      </w:pPr>
      <w:r>
        <w:rPr>
          <w:rFonts w:ascii="Palatino Linotype" w:eastAsia="Times New Roman" w:hAnsi="Palatino Linotype"/>
          <w:b/>
          <w:color w:val="000000"/>
          <w:sz w:val="22"/>
          <w:szCs w:val="22"/>
        </w:rPr>
        <w:t xml:space="preserve">      </w:t>
      </w:r>
      <w:r w:rsidRPr="00B92D2D">
        <w:rPr>
          <w:rFonts w:ascii="Palatino Linotype" w:eastAsia="Times New Roman" w:hAnsi="Palatino Linotype"/>
          <w:b/>
          <w:color w:val="000000"/>
          <w:sz w:val="22"/>
          <w:szCs w:val="22"/>
        </w:rPr>
        <w:t>Market Trends</w:t>
      </w:r>
    </w:p>
    <w:p w:rsidR="001755DE" w:rsidRPr="00B92D2D" w:rsidRDefault="001755DE" w:rsidP="001755DE">
      <w:pPr>
        <w:pStyle w:val="ListParagraph"/>
        <w:spacing w:after="0" w:line="240" w:lineRule="auto"/>
        <w:jc w:val="both"/>
        <w:rPr>
          <w:rFonts w:ascii="Palatino Linotype" w:hAnsi="Palatino Linotype"/>
          <w:sz w:val="22"/>
          <w:szCs w:val="22"/>
        </w:rPr>
      </w:pPr>
    </w:p>
    <w:p w:rsidR="001755DE" w:rsidRPr="00B92D2D" w:rsidRDefault="001755DE" w:rsidP="001755DE">
      <w:pPr>
        <w:pStyle w:val="ListParagraph"/>
        <w:numPr>
          <w:ilvl w:val="0"/>
          <w:numId w:val="27"/>
        </w:numPr>
        <w:spacing w:after="0" w:line="240" w:lineRule="auto"/>
        <w:ind w:left="284" w:hanging="284"/>
        <w:jc w:val="both"/>
        <w:rPr>
          <w:rFonts w:ascii="Palatino Linotype" w:hAnsi="Palatino Linotype"/>
          <w:sz w:val="22"/>
          <w:szCs w:val="22"/>
        </w:rPr>
      </w:pPr>
      <w:r w:rsidRPr="00B92D2D">
        <w:rPr>
          <w:rFonts w:ascii="Palatino Linotype" w:hAnsi="Palatino Linotype"/>
          <w:sz w:val="22"/>
          <w:szCs w:val="22"/>
        </w:rPr>
        <w:t>Durin</w:t>
      </w:r>
      <w:r>
        <w:rPr>
          <w:rFonts w:ascii="Palatino Linotype" w:hAnsi="Palatino Linotype"/>
          <w:sz w:val="22"/>
          <w:szCs w:val="22"/>
        </w:rPr>
        <w:t xml:space="preserve">g March </w:t>
      </w:r>
      <w:r w:rsidRPr="00B92D2D">
        <w:rPr>
          <w:rFonts w:ascii="Palatino Linotype" w:hAnsi="Palatino Linotype"/>
          <w:sz w:val="22"/>
          <w:szCs w:val="22"/>
        </w:rPr>
        <w:t>202</w:t>
      </w:r>
      <w:r>
        <w:rPr>
          <w:rFonts w:ascii="Palatino Linotype" w:hAnsi="Palatino Linotype"/>
          <w:sz w:val="22"/>
          <w:szCs w:val="22"/>
        </w:rPr>
        <w:t>1</w:t>
      </w:r>
      <w:r w:rsidRPr="00B92D2D">
        <w:rPr>
          <w:rFonts w:ascii="Palatino Linotype" w:hAnsi="Palatino Linotype"/>
          <w:sz w:val="22"/>
          <w:szCs w:val="22"/>
        </w:rPr>
        <w:t xml:space="preserve">, MCX iCOMDEX composite index, witnessed a </w:t>
      </w:r>
      <w:r>
        <w:rPr>
          <w:rFonts w:ascii="Palatino Linotype" w:hAnsi="Palatino Linotype"/>
          <w:sz w:val="22"/>
          <w:szCs w:val="22"/>
        </w:rPr>
        <w:t>decrease</w:t>
      </w:r>
      <w:r w:rsidRPr="00B92D2D">
        <w:rPr>
          <w:rFonts w:ascii="Palatino Linotype" w:hAnsi="Palatino Linotype"/>
          <w:sz w:val="22"/>
          <w:szCs w:val="22"/>
        </w:rPr>
        <w:t xml:space="preserve"> of </w:t>
      </w:r>
      <w:r>
        <w:rPr>
          <w:rFonts w:ascii="Palatino Linotype" w:hAnsi="Palatino Linotype"/>
          <w:sz w:val="22"/>
          <w:szCs w:val="22"/>
        </w:rPr>
        <w:t>4.6</w:t>
      </w:r>
      <w:r w:rsidRPr="00B92D2D">
        <w:rPr>
          <w:rFonts w:ascii="Palatino Linotype" w:hAnsi="Palatino Linotype"/>
          <w:sz w:val="22"/>
          <w:szCs w:val="22"/>
        </w:rPr>
        <w:t xml:space="preserve"> per cent (M-o-M) driven by </w:t>
      </w:r>
      <w:r>
        <w:rPr>
          <w:rFonts w:ascii="Palatino Linotype" w:hAnsi="Palatino Linotype"/>
          <w:sz w:val="22"/>
          <w:szCs w:val="22"/>
        </w:rPr>
        <w:t>de</w:t>
      </w:r>
      <w:r w:rsidRPr="00B92D2D">
        <w:rPr>
          <w:rFonts w:ascii="Palatino Linotype" w:hAnsi="Palatino Linotype"/>
          <w:sz w:val="22"/>
          <w:szCs w:val="22"/>
        </w:rPr>
        <w:t xml:space="preserve">crease in futures prices of </w:t>
      </w:r>
      <w:r>
        <w:rPr>
          <w:rFonts w:ascii="Palatino Linotype" w:hAnsi="Palatino Linotype"/>
          <w:sz w:val="22"/>
          <w:szCs w:val="22"/>
        </w:rPr>
        <w:t xml:space="preserve">energy, bullion, </w:t>
      </w:r>
      <w:r w:rsidRPr="00B92D2D">
        <w:rPr>
          <w:rFonts w:ascii="Palatino Linotype" w:hAnsi="Palatino Linotype"/>
          <w:sz w:val="22"/>
          <w:szCs w:val="22"/>
        </w:rPr>
        <w:t>base metals</w:t>
      </w:r>
      <w:r>
        <w:rPr>
          <w:rFonts w:ascii="Palatino Linotype" w:hAnsi="Palatino Linotype"/>
          <w:sz w:val="22"/>
          <w:szCs w:val="22"/>
        </w:rPr>
        <w:t xml:space="preserve"> (except aluminium) and cotton and mentha oil contracts of </w:t>
      </w:r>
      <w:r w:rsidRPr="00B92D2D">
        <w:rPr>
          <w:rFonts w:ascii="Palatino Linotype" w:hAnsi="Palatino Linotype"/>
          <w:sz w:val="22"/>
          <w:szCs w:val="22"/>
        </w:rPr>
        <w:t>agri</w:t>
      </w:r>
      <w:r>
        <w:rPr>
          <w:rFonts w:ascii="Palatino Linotype" w:hAnsi="Palatino Linotype"/>
          <w:sz w:val="22"/>
          <w:szCs w:val="22"/>
        </w:rPr>
        <w:t>.</w:t>
      </w:r>
      <w:r w:rsidRPr="00B92D2D">
        <w:rPr>
          <w:rFonts w:ascii="Palatino Linotype" w:hAnsi="Palatino Linotype"/>
          <w:sz w:val="22"/>
          <w:szCs w:val="22"/>
        </w:rPr>
        <w:t xml:space="preserve"> segment</w:t>
      </w:r>
      <w:r>
        <w:rPr>
          <w:rFonts w:ascii="Palatino Linotype" w:hAnsi="Palatino Linotype"/>
          <w:sz w:val="22"/>
          <w:szCs w:val="22"/>
        </w:rPr>
        <w:t>s</w:t>
      </w:r>
      <w:r w:rsidRPr="00B92D2D">
        <w:rPr>
          <w:rFonts w:ascii="Palatino Linotype" w:hAnsi="Palatino Linotype"/>
          <w:sz w:val="22"/>
          <w:szCs w:val="22"/>
        </w:rPr>
        <w:t>. O</w:t>
      </w:r>
      <w:r w:rsidRPr="00B92D2D">
        <w:rPr>
          <w:rFonts w:ascii="Palatino Linotype" w:eastAsia="Times New Roman" w:hAnsi="Palatino Linotype"/>
          <w:color w:val="000000"/>
          <w:sz w:val="22"/>
          <w:szCs w:val="22"/>
        </w:rPr>
        <w:t xml:space="preserve">n Y-o-Y basis, MCX iCOMDEX composite index </w:t>
      </w:r>
      <w:r>
        <w:rPr>
          <w:rFonts w:ascii="Palatino Linotype" w:eastAsia="Times New Roman" w:hAnsi="Palatino Linotype"/>
          <w:color w:val="000000"/>
          <w:sz w:val="22"/>
          <w:szCs w:val="22"/>
        </w:rPr>
        <w:t>in</w:t>
      </w:r>
      <w:r w:rsidRPr="00B92D2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26.2</w:t>
      </w:r>
      <w:r w:rsidRPr="00B92D2D">
        <w:rPr>
          <w:rFonts w:ascii="Palatino Linotype" w:eastAsia="Times New Roman" w:hAnsi="Palatino Linotype"/>
          <w:color w:val="000000"/>
          <w:sz w:val="22"/>
          <w:szCs w:val="22"/>
        </w:rPr>
        <w:t xml:space="preserve"> per cent. </w:t>
      </w:r>
    </w:p>
    <w:p w:rsidR="001755DE" w:rsidRPr="00F4237D" w:rsidRDefault="001755DE" w:rsidP="001755DE">
      <w:pPr>
        <w:pStyle w:val="ListParagraph"/>
        <w:numPr>
          <w:ilvl w:val="0"/>
          <w:numId w:val="27"/>
        </w:numPr>
        <w:spacing w:after="0" w:line="240" w:lineRule="auto"/>
        <w:ind w:left="284" w:hanging="284"/>
        <w:jc w:val="both"/>
        <w:rPr>
          <w:rFonts w:ascii="Palatino Linotype" w:hAnsi="Palatino Linotype"/>
          <w:sz w:val="22"/>
          <w:szCs w:val="22"/>
        </w:rPr>
      </w:pPr>
      <w:r w:rsidRPr="00F4237D">
        <w:rPr>
          <w:rFonts w:ascii="Palatino Linotype" w:hAnsi="Palatino Linotype"/>
          <w:sz w:val="22"/>
          <w:szCs w:val="22"/>
        </w:rPr>
        <w:t xml:space="preserve">During the month, </w:t>
      </w:r>
      <w:r w:rsidRPr="00F4237D">
        <w:rPr>
          <w:rFonts w:ascii="Palatino Linotype" w:eastAsia="Times New Roman" w:hAnsi="Palatino Linotype"/>
          <w:color w:val="000000"/>
          <w:sz w:val="22"/>
          <w:szCs w:val="22"/>
        </w:rPr>
        <w:t xml:space="preserve">MCX iCOMDEX crude oil index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5.4</w:t>
      </w:r>
      <w:r w:rsidRPr="00F4237D">
        <w:rPr>
          <w:rFonts w:ascii="Palatino Linotype" w:eastAsia="Times New Roman" w:hAnsi="Palatino Linotype"/>
          <w:color w:val="000000"/>
          <w:sz w:val="22"/>
          <w:szCs w:val="22"/>
        </w:rPr>
        <w:t xml:space="preserve"> per cent on account of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 xml:space="preserve">crease in futures price of crude oil by </w:t>
      </w:r>
      <w:r>
        <w:rPr>
          <w:rFonts w:ascii="Palatino Linotype" w:eastAsia="Times New Roman" w:hAnsi="Palatino Linotype"/>
          <w:color w:val="000000"/>
          <w:sz w:val="22"/>
          <w:szCs w:val="22"/>
        </w:rPr>
        <w:t>4.8</w:t>
      </w:r>
      <w:r w:rsidRPr="00F4237D">
        <w:rPr>
          <w:rFonts w:ascii="Palatino Linotype" w:eastAsia="Times New Roman" w:hAnsi="Palatino Linotype"/>
          <w:color w:val="000000"/>
          <w:sz w:val="22"/>
          <w:szCs w:val="22"/>
        </w:rPr>
        <w:t xml:space="preserve"> per cent. MCX iCOMDEX base metal index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6.8</w:t>
      </w:r>
      <w:r w:rsidRPr="00F4237D">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 xml:space="preserve">as the futures prices of all the base metals except aluminum decreased during the month.  </w:t>
      </w:r>
      <w:r w:rsidRPr="00F4237D">
        <w:rPr>
          <w:rFonts w:ascii="Palatino Linotype" w:eastAsia="Times New Roman" w:hAnsi="Palatino Linotype"/>
          <w:color w:val="000000"/>
          <w:sz w:val="22"/>
          <w:szCs w:val="22"/>
        </w:rPr>
        <w:t xml:space="preserve">MCX iCOMDEX bullion index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4.0</w:t>
      </w:r>
      <w:r w:rsidRPr="00F4237D">
        <w:rPr>
          <w:rFonts w:ascii="Palatino Linotype" w:eastAsia="Times New Roman" w:hAnsi="Palatino Linotype"/>
          <w:color w:val="000000"/>
          <w:sz w:val="22"/>
          <w:szCs w:val="22"/>
        </w:rPr>
        <w:t xml:space="preserve"> per cent due to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crease in future</w:t>
      </w:r>
      <w:r>
        <w:rPr>
          <w:rFonts w:ascii="Palatino Linotype" w:eastAsia="Times New Roman" w:hAnsi="Palatino Linotype"/>
          <w:color w:val="000000"/>
          <w:sz w:val="22"/>
          <w:szCs w:val="22"/>
        </w:rPr>
        <w:t>s</w:t>
      </w:r>
      <w:r w:rsidRPr="00F4237D">
        <w:rPr>
          <w:rFonts w:ascii="Palatino Linotype" w:eastAsia="Times New Roman" w:hAnsi="Palatino Linotype"/>
          <w:color w:val="000000"/>
          <w:sz w:val="22"/>
          <w:szCs w:val="22"/>
        </w:rPr>
        <w:t xml:space="preserve"> prices of </w:t>
      </w:r>
      <w:r>
        <w:rPr>
          <w:rFonts w:ascii="Palatino Linotype" w:eastAsia="Times New Roman" w:hAnsi="Palatino Linotype"/>
          <w:color w:val="000000"/>
          <w:sz w:val="22"/>
          <w:szCs w:val="22"/>
        </w:rPr>
        <w:t xml:space="preserve">both </w:t>
      </w:r>
      <w:r w:rsidRPr="00F4237D">
        <w:rPr>
          <w:rFonts w:ascii="Palatino Linotype" w:eastAsia="Times New Roman" w:hAnsi="Palatino Linotype"/>
          <w:color w:val="000000"/>
          <w:sz w:val="22"/>
          <w:szCs w:val="22"/>
        </w:rPr>
        <w:t xml:space="preserve">gold </w:t>
      </w:r>
      <w:r>
        <w:rPr>
          <w:rFonts w:ascii="Palatino Linotype" w:eastAsia="Times New Roman" w:hAnsi="Palatino Linotype"/>
          <w:color w:val="000000"/>
          <w:sz w:val="22"/>
          <w:szCs w:val="22"/>
        </w:rPr>
        <w:t xml:space="preserve">and silver </w:t>
      </w:r>
      <w:r w:rsidRPr="00F4237D">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2.4 per cent and 5.1 per cent respectively.</w:t>
      </w:r>
      <w:r w:rsidRPr="00F4237D">
        <w:rPr>
          <w:rFonts w:ascii="Palatino Linotype" w:eastAsia="Times New Roman" w:hAnsi="Palatino Linotype"/>
          <w:color w:val="000000"/>
          <w:sz w:val="22"/>
          <w:szCs w:val="22"/>
        </w:rPr>
        <w:t xml:space="preserve"> </w:t>
      </w:r>
    </w:p>
    <w:p w:rsidR="001755DE" w:rsidRPr="00933687" w:rsidRDefault="001755DE" w:rsidP="001755DE">
      <w:pPr>
        <w:pStyle w:val="ListParagraph"/>
        <w:numPr>
          <w:ilvl w:val="0"/>
          <w:numId w:val="27"/>
        </w:numPr>
        <w:tabs>
          <w:tab w:val="left" w:pos="284"/>
        </w:tabs>
        <w:spacing w:after="0" w:line="240" w:lineRule="auto"/>
        <w:ind w:left="284" w:hanging="284"/>
        <w:jc w:val="both"/>
        <w:rPr>
          <w:rFonts w:ascii="Palatino Linotype" w:eastAsia="Times New Roman" w:hAnsi="Palatino Linotype"/>
          <w:color w:val="000000"/>
          <w:sz w:val="22"/>
          <w:szCs w:val="22"/>
        </w:rPr>
      </w:pPr>
      <w:r w:rsidRPr="00F4237D">
        <w:rPr>
          <w:rFonts w:ascii="Palatino Linotype" w:hAnsi="Palatino Linotype"/>
          <w:sz w:val="22"/>
          <w:szCs w:val="22"/>
        </w:rPr>
        <w:t xml:space="preserve">NKrishi index </w:t>
      </w:r>
      <w:r>
        <w:rPr>
          <w:rFonts w:ascii="Palatino Linotype" w:hAnsi="Palatino Linotype"/>
          <w:sz w:val="22"/>
          <w:szCs w:val="22"/>
        </w:rPr>
        <w:t>in</w:t>
      </w:r>
      <w:r w:rsidRPr="00F4237D">
        <w:rPr>
          <w:rFonts w:ascii="Palatino Linotype" w:hAnsi="Palatino Linotype"/>
          <w:sz w:val="22"/>
          <w:szCs w:val="22"/>
        </w:rPr>
        <w:t xml:space="preserve">creased by </w:t>
      </w:r>
      <w:r>
        <w:rPr>
          <w:rFonts w:ascii="Palatino Linotype" w:hAnsi="Palatino Linotype"/>
          <w:sz w:val="22"/>
          <w:szCs w:val="22"/>
        </w:rPr>
        <w:t>8.0</w:t>
      </w:r>
      <w:r w:rsidRPr="00F4237D">
        <w:rPr>
          <w:rFonts w:ascii="Palatino Linotype" w:hAnsi="Palatino Linotype"/>
          <w:sz w:val="22"/>
          <w:szCs w:val="22"/>
        </w:rPr>
        <w:t xml:space="preserve"> per cent (M-o-M) as futures prices of </w:t>
      </w:r>
      <w:r>
        <w:rPr>
          <w:rFonts w:ascii="Palatino Linotype" w:hAnsi="Palatino Linotype"/>
          <w:sz w:val="22"/>
          <w:szCs w:val="22"/>
        </w:rPr>
        <w:t>seven</w:t>
      </w:r>
      <w:r w:rsidRPr="00F4237D">
        <w:rPr>
          <w:rFonts w:ascii="Palatino Linotype" w:hAnsi="Palatino Linotype"/>
          <w:sz w:val="22"/>
          <w:szCs w:val="22"/>
        </w:rPr>
        <w:t xml:space="preserve"> out of 10 </w:t>
      </w:r>
      <w:r w:rsidRPr="00F4237D">
        <w:rPr>
          <w:rFonts w:ascii="Palatino Linotype" w:eastAsia="Times New Roman" w:hAnsi="Palatino Linotype"/>
          <w:color w:val="000000"/>
          <w:sz w:val="22"/>
          <w:szCs w:val="22"/>
        </w:rPr>
        <w:t xml:space="preserve">constituent commodities of the index viz. </w:t>
      </w:r>
      <w:r>
        <w:rPr>
          <w:rFonts w:ascii="Palatino Linotype" w:eastAsia="Times New Roman" w:hAnsi="Palatino Linotype"/>
          <w:color w:val="000000"/>
          <w:sz w:val="22"/>
          <w:szCs w:val="22"/>
        </w:rPr>
        <w:t xml:space="preserve">soybean, chana, turmeric, RM seed, cottonseed oilcake, jeera and castorseed </w:t>
      </w:r>
      <w:r w:rsidRPr="00F4237D">
        <w:rPr>
          <w:rFonts w:ascii="Palatino Linotype" w:eastAsia="Times New Roman" w:hAnsi="Palatino Linotype"/>
          <w:color w:val="000000"/>
          <w:sz w:val="22"/>
          <w:szCs w:val="22"/>
        </w:rPr>
        <w:t xml:space="preserve">witnessed </w:t>
      </w:r>
      <w:r>
        <w:rPr>
          <w:rFonts w:ascii="Palatino Linotype" w:eastAsia="Times New Roman" w:hAnsi="Palatino Linotype"/>
          <w:color w:val="000000"/>
          <w:sz w:val="22"/>
          <w:szCs w:val="22"/>
        </w:rPr>
        <w:t xml:space="preserve">an upend. On Y-o-Y basis, </w:t>
      </w:r>
      <w:r w:rsidRPr="00F4237D">
        <w:rPr>
          <w:rFonts w:ascii="Palatino Linotype" w:eastAsia="Times New Roman" w:hAnsi="Palatino Linotype"/>
          <w:color w:val="000000"/>
          <w:sz w:val="22"/>
          <w:szCs w:val="22"/>
        </w:rPr>
        <w:t xml:space="preserve">NKrishi index increased by </w:t>
      </w:r>
      <w:r>
        <w:rPr>
          <w:rFonts w:ascii="Palatino Linotype" w:eastAsia="Times New Roman" w:hAnsi="Palatino Linotype"/>
          <w:color w:val="000000"/>
          <w:sz w:val="22"/>
          <w:szCs w:val="22"/>
        </w:rPr>
        <w:t>32.5</w:t>
      </w:r>
      <w:r w:rsidRPr="00F4237D">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In the NKrishi index</w:t>
      </w:r>
      <w:r w:rsidRPr="00FB5485">
        <w:rPr>
          <w:rFonts w:ascii="Palatino Linotype" w:eastAsia="Times New Roman" w:hAnsi="Palatino Linotype"/>
          <w:color w:val="000000"/>
          <w:sz w:val="22"/>
          <w:szCs w:val="22"/>
        </w:rPr>
        <w:t xml:space="preserve"> </w:t>
      </w:r>
      <w:r>
        <w:rPr>
          <w:rFonts w:ascii="Palatino Linotype" w:eastAsia="Times New Roman" w:hAnsi="Palatino Linotype"/>
          <w:color w:val="000000"/>
          <w:sz w:val="22"/>
          <w:szCs w:val="22"/>
        </w:rPr>
        <w:t>as part of rebalancing, barley is replaced by gur contract for the period 1</w:t>
      </w:r>
      <w:r w:rsidRPr="00305039">
        <w:rPr>
          <w:rFonts w:ascii="Palatino Linotype" w:eastAsia="Times New Roman" w:hAnsi="Palatino Linotype"/>
          <w:color w:val="000000"/>
          <w:sz w:val="22"/>
          <w:szCs w:val="22"/>
          <w:vertAlign w:val="superscript"/>
        </w:rPr>
        <w:t>st</w:t>
      </w:r>
      <w:r>
        <w:rPr>
          <w:rFonts w:ascii="Palatino Linotype" w:eastAsia="Times New Roman" w:hAnsi="Palatino Linotype"/>
          <w:color w:val="000000"/>
          <w:sz w:val="22"/>
          <w:szCs w:val="22"/>
        </w:rPr>
        <w:t xml:space="preserve"> April to 30</w:t>
      </w:r>
      <w:r w:rsidRPr="00305039">
        <w:rPr>
          <w:rFonts w:ascii="Palatino Linotype" w:eastAsia="Times New Roman" w:hAnsi="Palatino Linotype"/>
          <w:color w:val="000000"/>
          <w:sz w:val="22"/>
          <w:szCs w:val="22"/>
          <w:vertAlign w:val="superscript"/>
        </w:rPr>
        <w:t>th</w:t>
      </w:r>
      <w:r>
        <w:rPr>
          <w:rFonts w:ascii="Palatino Linotype" w:eastAsia="Times New Roman" w:hAnsi="Palatino Linotype"/>
          <w:color w:val="000000"/>
          <w:sz w:val="22"/>
          <w:szCs w:val="22"/>
        </w:rPr>
        <w:t xml:space="preserve"> June 2021.</w:t>
      </w:r>
    </w:p>
    <w:p w:rsidR="001755DE" w:rsidRPr="00484D1D" w:rsidRDefault="001755DE" w:rsidP="001755DE">
      <w:pPr>
        <w:pStyle w:val="ListParagraph"/>
        <w:numPr>
          <w:ilvl w:val="0"/>
          <w:numId w:val="27"/>
        </w:numPr>
        <w:tabs>
          <w:tab w:val="left" w:pos="426"/>
        </w:tabs>
        <w:spacing w:after="0" w:line="240" w:lineRule="auto"/>
        <w:ind w:left="284" w:hanging="284"/>
        <w:jc w:val="both"/>
        <w:rPr>
          <w:rFonts w:ascii="Palatino Linotype" w:eastAsia="Times New Roman" w:hAnsi="Palatino Linotype"/>
          <w:color w:val="000000"/>
          <w:sz w:val="22"/>
          <w:szCs w:val="22"/>
        </w:rPr>
      </w:pPr>
      <w:r w:rsidRPr="00F4237D">
        <w:rPr>
          <w:rFonts w:ascii="Palatino Linotype" w:eastAsia="Times New Roman" w:hAnsi="Palatino Linotype"/>
          <w:color w:val="000000"/>
          <w:sz w:val="22"/>
          <w:szCs w:val="22"/>
        </w:rPr>
        <w:t xml:space="preserve">Monthly trends in MCX iCOMDEX composite Index and NKrishi Index are </w:t>
      </w:r>
      <w:r>
        <w:rPr>
          <w:rFonts w:ascii="Palatino Linotype" w:eastAsia="Times New Roman" w:hAnsi="Palatino Linotype"/>
          <w:color w:val="000000"/>
          <w:sz w:val="22"/>
          <w:szCs w:val="22"/>
        </w:rPr>
        <w:t>provided</w:t>
      </w:r>
      <w:r w:rsidRPr="00F4237D">
        <w:rPr>
          <w:rFonts w:ascii="Palatino Linotype" w:eastAsia="Times New Roman" w:hAnsi="Palatino Linotype"/>
          <w:color w:val="000000"/>
          <w:sz w:val="22"/>
          <w:szCs w:val="22"/>
        </w:rPr>
        <w:t xml:space="preserve"> in </w:t>
      </w:r>
      <w:r w:rsidRPr="00484D1D">
        <w:rPr>
          <w:rFonts w:ascii="Palatino Linotype" w:eastAsia="Times New Roman" w:hAnsi="Palatino Linotype"/>
          <w:color w:val="000000"/>
          <w:sz w:val="22"/>
          <w:szCs w:val="22"/>
        </w:rPr>
        <w:t>Table 64.</w:t>
      </w:r>
    </w:p>
    <w:p w:rsidR="001755DE" w:rsidRPr="00797A8B" w:rsidRDefault="001755DE" w:rsidP="001755DE">
      <w:pPr>
        <w:pStyle w:val="ListParagraph"/>
        <w:spacing w:after="0" w:line="240" w:lineRule="auto"/>
        <w:ind w:left="426" w:hanging="142"/>
        <w:jc w:val="center"/>
        <w:rPr>
          <w:rFonts w:ascii="Palatino Linotype" w:eastAsia="Times New Roman" w:hAnsi="Palatino Linotype"/>
          <w:b/>
          <w:color w:val="2E74B5"/>
          <w:sz w:val="22"/>
          <w:szCs w:val="22"/>
        </w:rPr>
      </w:pPr>
    </w:p>
    <w:p w:rsidR="001755DE" w:rsidRDefault="001755DE" w:rsidP="001755DE">
      <w:pPr>
        <w:pStyle w:val="ListParagraph"/>
        <w:spacing w:after="0" w:line="240" w:lineRule="auto"/>
        <w:ind w:left="142" w:hanging="142"/>
        <w:jc w:val="center"/>
        <w:rPr>
          <w:rFonts w:ascii="Palatino Linotype" w:eastAsia="Times New Roman" w:hAnsi="Palatino Linotype"/>
          <w:b/>
          <w:sz w:val="22"/>
          <w:szCs w:val="22"/>
        </w:rPr>
      </w:pPr>
      <w:r w:rsidRPr="009B2971">
        <w:rPr>
          <w:rFonts w:ascii="Palatino Linotype" w:eastAsia="Times New Roman" w:hAnsi="Palatino Linotype"/>
          <w:b/>
          <w:sz w:val="22"/>
          <w:szCs w:val="22"/>
        </w:rPr>
        <w:t>Figure 14: Movement of Commodit</w:t>
      </w:r>
      <w:r>
        <w:rPr>
          <w:rFonts w:ascii="Palatino Linotype" w:eastAsia="Times New Roman" w:hAnsi="Palatino Linotype"/>
          <w:b/>
          <w:sz w:val="22"/>
          <w:szCs w:val="22"/>
        </w:rPr>
        <w:t>y</w:t>
      </w:r>
      <w:r w:rsidRPr="009B2971">
        <w:rPr>
          <w:rFonts w:ascii="Palatino Linotype" w:eastAsia="Times New Roman" w:hAnsi="Palatino Linotype"/>
          <w:b/>
          <w:sz w:val="22"/>
          <w:szCs w:val="22"/>
        </w:rPr>
        <w:t xml:space="preserve"> Derivatives Market Indices during </w:t>
      </w:r>
      <w:r>
        <w:rPr>
          <w:rFonts w:ascii="Palatino Linotype" w:eastAsia="Times New Roman" w:hAnsi="Palatino Linotype"/>
          <w:b/>
          <w:sz w:val="22"/>
          <w:szCs w:val="22"/>
        </w:rPr>
        <w:t xml:space="preserve">March </w:t>
      </w:r>
      <w:r w:rsidRPr="009B2971">
        <w:rPr>
          <w:rFonts w:ascii="Palatino Linotype" w:eastAsia="Times New Roman" w:hAnsi="Palatino Linotype"/>
          <w:b/>
          <w:sz w:val="22"/>
          <w:szCs w:val="22"/>
        </w:rPr>
        <w:t>202</w:t>
      </w:r>
      <w:r>
        <w:rPr>
          <w:rFonts w:ascii="Palatino Linotype" w:eastAsia="Times New Roman" w:hAnsi="Palatino Linotype"/>
          <w:b/>
          <w:sz w:val="22"/>
          <w:szCs w:val="22"/>
        </w:rPr>
        <w:t>1</w:t>
      </w:r>
    </w:p>
    <w:p w:rsidR="001755DE" w:rsidRPr="00797A8B" w:rsidRDefault="001755DE" w:rsidP="001755DE">
      <w:pPr>
        <w:pStyle w:val="ListParagraph"/>
        <w:spacing w:after="0" w:line="240" w:lineRule="auto"/>
        <w:ind w:left="142" w:hanging="142"/>
        <w:jc w:val="center"/>
        <w:rPr>
          <w:rFonts w:ascii="Palatino Linotype" w:eastAsia="Times New Roman" w:hAnsi="Palatino Linotype"/>
          <w:b/>
          <w:color w:val="2E74B5"/>
          <w:sz w:val="22"/>
          <w:szCs w:val="22"/>
        </w:rPr>
      </w:pPr>
    </w:p>
    <w:p w:rsidR="001755DE" w:rsidRPr="00797A8B" w:rsidRDefault="001755DE" w:rsidP="001755DE">
      <w:pPr>
        <w:pStyle w:val="ListParagraph"/>
        <w:spacing w:after="0" w:line="240" w:lineRule="auto"/>
        <w:ind w:left="142" w:hanging="142"/>
        <w:jc w:val="center"/>
        <w:rPr>
          <w:rFonts w:ascii="Palatino Linotype" w:eastAsia="Times New Roman" w:hAnsi="Palatino Linotype"/>
          <w:b/>
          <w:color w:val="2E74B5"/>
          <w:sz w:val="22"/>
          <w:szCs w:val="22"/>
        </w:rPr>
      </w:pPr>
      <w:r w:rsidRPr="00797A8B">
        <w:rPr>
          <w:noProof/>
          <w:lang w:val="en-IN" w:eastAsia="en-IN" w:bidi="hi-IN"/>
        </w:rPr>
        <w:drawing>
          <wp:inline distT="0" distB="0" distL="0" distR="0">
            <wp:extent cx="5386705" cy="3208655"/>
            <wp:effectExtent l="0" t="0" r="4445" b="10795"/>
            <wp:docPr id="12" name="Chart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1755DE" w:rsidRDefault="001755DE" w:rsidP="001755DE">
      <w:pPr>
        <w:pStyle w:val="ListParagraph"/>
        <w:spacing w:after="0" w:line="480" w:lineRule="auto"/>
        <w:ind w:left="-426"/>
        <w:rPr>
          <w:rFonts w:ascii="Palatino Linotype" w:hAnsi="Palatino Linotype" w:cs="Arial"/>
          <w:b/>
          <w:bCs/>
          <w:sz w:val="22"/>
          <w:szCs w:val="22"/>
        </w:rPr>
      </w:pPr>
      <w:r w:rsidRPr="00B92D2D">
        <w:rPr>
          <w:rFonts w:ascii="Palatino Linotype" w:hAnsi="Palatino Linotype" w:cs="Arial"/>
          <w:b/>
          <w:bCs/>
          <w:sz w:val="22"/>
          <w:szCs w:val="22"/>
        </w:rPr>
        <w:t xml:space="preserve">             </w:t>
      </w:r>
      <w:r>
        <w:rPr>
          <w:rFonts w:ascii="Palatino Linotype" w:hAnsi="Palatino Linotype" w:cs="Arial"/>
          <w:b/>
          <w:bCs/>
          <w:sz w:val="22"/>
          <w:szCs w:val="22"/>
        </w:rPr>
        <w:t xml:space="preserve">             </w:t>
      </w:r>
      <w:r w:rsidRPr="009B2971">
        <w:rPr>
          <w:rFonts w:ascii="Palatino Linotype" w:hAnsi="Palatino Linotype" w:cs="Arial"/>
          <w:b/>
          <w:bCs/>
          <w:sz w:val="18"/>
          <w:szCs w:val="18"/>
        </w:rPr>
        <w:t>Source: MCX and NCDEX</w:t>
      </w:r>
    </w:p>
    <w:p w:rsidR="001755DE" w:rsidRDefault="001755DE" w:rsidP="001755DE">
      <w:pPr>
        <w:pStyle w:val="ListParagraph"/>
        <w:spacing w:after="0" w:line="480" w:lineRule="auto"/>
        <w:ind w:left="-426"/>
        <w:rPr>
          <w:rFonts w:ascii="Palatino Linotype" w:hAnsi="Palatino Linotype" w:cs="Arial"/>
          <w:b/>
          <w:bCs/>
          <w:sz w:val="22"/>
          <w:szCs w:val="22"/>
        </w:rPr>
      </w:pPr>
    </w:p>
    <w:p w:rsidR="001755DE" w:rsidRDefault="001755DE" w:rsidP="001755DE">
      <w:pPr>
        <w:pStyle w:val="ListParagraph"/>
        <w:tabs>
          <w:tab w:val="left" w:pos="3360"/>
        </w:tabs>
        <w:spacing w:after="0" w:line="480" w:lineRule="auto"/>
        <w:ind w:left="-426"/>
        <w:rPr>
          <w:rFonts w:ascii="Palatino Linotype" w:hAnsi="Palatino Linotype" w:cs="Arial"/>
          <w:b/>
          <w:bCs/>
          <w:sz w:val="22"/>
          <w:szCs w:val="22"/>
        </w:rPr>
      </w:pPr>
      <w:r>
        <w:rPr>
          <w:rFonts w:ascii="Palatino Linotype" w:hAnsi="Palatino Linotype" w:cs="Arial"/>
          <w:b/>
          <w:bCs/>
          <w:sz w:val="22"/>
          <w:szCs w:val="22"/>
        </w:rPr>
        <w:tab/>
      </w:r>
    </w:p>
    <w:p w:rsidR="001755DE" w:rsidRDefault="001755DE" w:rsidP="001755DE">
      <w:pPr>
        <w:ind w:left="-426"/>
        <w:jc w:val="both"/>
        <w:rPr>
          <w:rFonts w:ascii="Palatino Linotype" w:hAnsi="Palatino Linotype" w:cs="Arial"/>
          <w:b/>
          <w:bCs/>
        </w:rPr>
      </w:pPr>
      <w:r>
        <w:rPr>
          <w:rFonts w:ascii="Palatino Linotype" w:hAnsi="Palatino Linotype" w:cs="Arial"/>
          <w:b/>
          <w:bCs/>
        </w:rPr>
        <w:t xml:space="preserve">   </w:t>
      </w:r>
    </w:p>
    <w:p w:rsidR="001755DE" w:rsidRDefault="001755DE" w:rsidP="001755DE">
      <w:pPr>
        <w:ind w:left="-426"/>
        <w:jc w:val="both"/>
        <w:rPr>
          <w:rFonts w:ascii="Palatino Linotype" w:hAnsi="Palatino Linotype" w:cs="Arial"/>
          <w:b/>
          <w:bCs/>
        </w:rPr>
      </w:pPr>
    </w:p>
    <w:p w:rsidR="001755DE" w:rsidRDefault="001755DE" w:rsidP="001755DE">
      <w:pPr>
        <w:ind w:left="-426"/>
        <w:jc w:val="both"/>
        <w:rPr>
          <w:rFonts w:ascii="Palatino Linotype" w:hAnsi="Palatino Linotype" w:cs="Arial"/>
          <w:b/>
          <w:bCs/>
        </w:rPr>
      </w:pPr>
    </w:p>
    <w:p w:rsidR="001755DE" w:rsidRDefault="001755DE" w:rsidP="001755DE">
      <w:pPr>
        <w:ind w:left="-426"/>
        <w:jc w:val="both"/>
        <w:rPr>
          <w:rFonts w:ascii="Palatino Linotype" w:hAnsi="Palatino Linotype" w:cs="Arial"/>
          <w:b/>
          <w:bCs/>
        </w:rPr>
      </w:pPr>
    </w:p>
    <w:p w:rsidR="001755DE" w:rsidRDefault="001755DE" w:rsidP="001755DE">
      <w:pPr>
        <w:ind w:left="-426"/>
        <w:jc w:val="both"/>
        <w:rPr>
          <w:rFonts w:ascii="Palatino Linotype" w:hAnsi="Palatino Linotype" w:cs="Arial"/>
          <w:b/>
          <w:bCs/>
        </w:rPr>
      </w:pPr>
      <w:r>
        <w:rPr>
          <w:rFonts w:ascii="Palatino Linotype" w:hAnsi="Palatino Linotype" w:cs="Arial"/>
          <w:b/>
          <w:bCs/>
        </w:rPr>
        <w:t xml:space="preserve">          </w:t>
      </w:r>
      <w:r w:rsidRPr="00B92D2D">
        <w:rPr>
          <w:rFonts w:ascii="Palatino Linotype" w:hAnsi="Palatino Linotype" w:cs="Arial"/>
          <w:b/>
          <w:bCs/>
        </w:rPr>
        <w:t xml:space="preserve">Table </w:t>
      </w:r>
      <w:r>
        <w:rPr>
          <w:rFonts w:ascii="Palatino Linotype" w:hAnsi="Palatino Linotype" w:cs="Arial"/>
          <w:b/>
          <w:bCs/>
        </w:rPr>
        <w:t>4</w:t>
      </w:r>
      <w:r w:rsidRPr="00B92D2D">
        <w:rPr>
          <w:rFonts w:ascii="Palatino Linotype" w:hAnsi="Palatino Linotype" w:cs="Arial"/>
          <w:b/>
          <w:bCs/>
        </w:rPr>
        <w:t>: Snapshot of Indian Commodit</w:t>
      </w:r>
      <w:r>
        <w:rPr>
          <w:rFonts w:ascii="Palatino Linotype" w:hAnsi="Palatino Linotype" w:cs="Arial"/>
          <w:b/>
          <w:bCs/>
        </w:rPr>
        <w:t>y</w:t>
      </w:r>
      <w:r w:rsidRPr="00B92D2D">
        <w:rPr>
          <w:rFonts w:ascii="Palatino Linotype" w:hAnsi="Palatino Linotype" w:cs="Arial"/>
          <w:b/>
          <w:bCs/>
        </w:rPr>
        <w:t xml:space="preserve"> Derivative</w:t>
      </w:r>
      <w:r>
        <w:rPr>
          <w:rFonts w:ascii="Palatino Linotype" w:hAnsi="Palatino Linotype" w:cs="Arial"/>
          <w:b/>
          <w:bCs/>
        </w:rPr>
        <w:t>s</w:t>
      </w:r>
      <w:r w:rsidRPr="00B92D2D">
        <w:rPr>
          <w:rFonts w:ascii="Palatino Linotype" w:hAnsi="Palatino Linotype" w:cs="Arial"/>
          <w:b/>
          <w:bCs/>
        </w:rPr>
        <w:t xml:space="preserve"> Markets</w:t>
      </w:r>
    </w:p>
    <w:p w:rsidR="001755DE" w:rsidRPr="00B92D2D" w:rsidRDefault="001755DE" w:rsidP="001755DE">
      <w:pPr>
        <w:ind w:left="-426"/>
        <w:jc w:val="both"/>
        <w:rPr>
          <w:rFonts w:ascii="Palatino Linotype" w:hAnsi="Palatino Linotype" w:cs="Arial"/>
          <w:b/>
          <w:bCs/>
        </w:rPr>
      </w:pPr>
    </w:p>
    <w:tbl>
      <w:tblPr>
        <w:tblpPr w:leftFromText="180" w:rightFromText="180" w:vertAnchor="text" w:tblpXSpec="center" w:tblpY="1"/>
        <w:tblOverlap w:val="never"/>
        <w:tblW w:w="8784" w:type="dxa"/>
        <w:jc w:val="center"/>
        <w:tblLook w:val="04A0" w:firstRow="1" w:lastRow="0" w:firstColumn="1" w:lastColumn="0" w:noHBand="0" w:noVBand="1"/>
      </w:tblPr>
      <w:tblGrid>
        <w:gridCol w:w="3271"/>
        <w:gridCol w:w="1128"/>
        <w:gridCol w:w="1236"/>
        <w:gridCol w:w="1319"/>
        <w:gridCol w:w="1830"/>
      </w:tblGrid>
      <w:tr w:rsidR="001755DE" w:rsidRPr="00797A8B" w:rsidTr="00A91C39">
        <w:trPr>
          <w:trHeight w:val="699"/>
          <w:jc w:val="center"/>
        </w:trPr>
        <w:tc>
          <w:tcPr>
            <w:tcW w:w="3271" w:type="dxa"/>
            <w:tcBorders>
              <w:top w:val="single" w:sz="4" w:space="0" w:color="auto"/>
              <w:left w:val="single" w:sz="4" w:space="0" w:color="auto"/>
              <w:bottom w:val="single" w:sz="4" w:space="0" w:color="auto"/>
              <w:right w:val="single" w:sz="4" w:space="0" w:color="auto"/>
            </w:tcBorders>
            <w:shd w:val="clear" w:color="auto" w:fill="auto"/>
            <w:noWrap/>
            <w:hideMark/>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2019-20</w:t>
            </w:r>
          </w:p>
        </w:tc>
        <w:tc>
          <w:tcPr>
            <w:tcW w:w="1236" w:type="dxa"/>
            <w:tcBorders>
              <w:top w:val="single" w:sz="4" w:space="0" w:color="auto"/>
              <w:left w:val="single" w:sz="4" w:space="0" w:color="auto"/>
              <w:right w:val="single" w:sz="4" w:space="0" w:color="auto"/>
            </w:tcBorders>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Feb- 2021</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Mar -2021</w:t>
            </w:r>
          </w:p>
        </w:tc>
        <w:tc>
          <w:tcPr>
            <w:tcW w:w="1830" w:type="dxa"/>
            <w:tcBorders>
              <w:top w:val="single" w:sz="4" w:space="0" w:color="auto"/>
              <w:left w:val="single" w:sz="4" w:space="0" w:color="auto"/>
              <w:bottom w:val="single" w:sz="4" w:space="0" w:color="000000"/>
              <w:right w:val="single" w:sz="4" w:space="0" w:color="auto"/>
            </w:tcBorders>
            <w:shd w:val="clear" w:color="auto" w:fill="auto"/>
            <w:hideMark/>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 xml:space="preserve">Percentage variation </w:t>
            </w:r>
          </w:p>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M-o-M</w:t>
            </w:r>
          </w:p>
        </w:tc>
      </w:tr>
      <w:tr w:rsidR="001755DE" w:rsidRPr="00797A8B" w:rsidTr="00A91C39">
        <w:trPr>
          <w:trHeight w:val="367"/>
          <w:jc w:val="center"/>
        </w:trPr>
        <w:tc>
          <w:tcPr>
            <w:tcW w:w="8784" w:type="dxa"/>
            <w:gridSpan w:val="5"/>
            <w:tcBorders>
              <w:top w:val="single" w:sz="4" w:space="0" w:color="auto"/>
              <w:left w:val="single" w:sz="4" w:space="0" w:color="auto"/>
              <w:bottom w:val="single" w:sz="4" w:space="0" w:color="auto"/>
              <w:right w:val="single" w:sz="4" w:space="0" w:color="auto"/>
            </w:tcBorders>
            <w:shd w:val="clear" w:color="auto" w:fill="auto"/>
            <w:noWrap/>
          </w:tcPr>
          <w:p w:rsidR="001755DE" w:rsidRPr="00DF31BD" w:rsidRDefault="001755DE" w:rsidP="00A91C39">
            <w:pPr>
              <w:pStyle w:val="ListParagraph"/>
              <w:numPr>
                <w:ilvl w:val="0"/>
                <w:numId w:val="25"/>
              </w:numPr>
              <w:spacing w:after="0" w:line="240" w:lineRule="auto"/>
              <w:ind w:left="317" w:hanging="284"/>
              <w:rPr>
                <w:rFonts w:ascii="Palatino Linotype" w:hAnsi="Palatino Linotype" w:cs="Arial"/>
                <w:b/>
                <w:bCs/>
                <w:sz w:val="18"/>
                <w:szCs w:val="18"/>
              </w:rPr>
            </w:pPr>
            <w:r w:rsidRPr="00DF31BD">
              <w:rPr>
                <w:rFonts w:ascii="Palatino Linotype" w:hAnsi="Palatino Linotype" w:cs="Arial"/>
                <w:b/>
                <w:bCs/>
                <w:sz w:val="18"/>
                <w:szCs w:val="18"/>
              </w:rPr>
              <w:t>Indices</w:t>
            </w:r>
          </w:p>
        </w:tc>
      </w:tr>
      <w:tr w:rsidR="001755DE" w:rsidRPr="00797A8B" w:rsidTr="00A91C39">
        <w:trPr>
          <w:trHeight w:val="154"/>
          <w:jc w:val="center"/>
        </w:trPr>
        <w:tc>
          <w:tcPr>
            <w:tcW w:w="3271" w:type="dxa"/>
            <w:tcBorders>
              <w:top w:val="nil"/>
              <w:left w:val="single" w:sz="4" w:space="0" w:color="auto"/>
              <w:bottom w:val="single" w:sz="4" w:space="0" w:color="auto"/>
              <w:right w:val="single" w:sz="4" w:space="0" w:color="auto"/>
            </w:tcBorders>
            <w:shd w:val="clear" w:color="auto" w:fill="auto"/>
            <w:noWrap/>
            <w:hideMark/>
          </w:tcPr>
          <w:p w:rsidR="001755DE" w:rsidRPr="00797A8B" w:rsidRDefault="001755DE" w:rsidP="00A91C39">
            <w:pPr>
              <w:rPr>
                <w:rFonts w:ascii="Palatino Linotype" w:hAnsi="Palatino Linotype" w:cs="Arial"/>
                <w:bCs/>
                <w:sz w:val="18"/>
                <w:szCs w:val="18"/>
              </w:rPr>
            </w:pPr>
            <w:r w:rsidRPr="00797A8B">
              <w:rPr>
                <w:rFonts w:ascii="Palatino Linotype" w:hAnsi="Palatino Linotype" w:cs="Arial"/>
                <w:bCs/>
                <w:sz w:val="18"/>
                <w:szCs w:val="18"/>
              </w:rPr>
              <w:t>Nkrishi</w:t>
            </w:r>
          </w:p>
        </w:tc>
        <w:tc>
          <w:tcPr>
            <w:tcW w:w="1128" w:type="dxa"/>
            <w:tcBorders>
              <w:top w:val="nil"/>
              <w:left w:val="nil"/>
              <w:bottom w:val="single" w:sz="4" w:space="0" w:color="auto"/>
              <w:right w:val="single" w:sz="4" w:space="0" w:color="auto"/>
            </w:tcBorders>
            <w:shd w:val="clear" w:color="auto" w:fill="auto"/>
            <w:noWrap/>
            <w:hideMark/>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 3,179.9</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3,900.6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4,213.4</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8.0</w:t>
            </w:r>
          </w:p>
        </w:tc>
      </w:tr>
      <w:tr w:rsidR="001755DE" w:rsidRPr="00797A8B" w:rsidTr="00A91C39">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rPr>
                <w:rFonts w:ascii="Palatino Linotype" w:hAnsi="Palatino Linotype" w:cs="Arial"/>
                <w:bCs/>
                <w:sz w:val="18"/>
                <w:szCs w:val="18"/>
              </w:rPr>
            </w:pPr>
            <w:r w:rsidRPr="00797A8B">
              <w:rPr>
                <w:rFonts w:ascii="Palatino Linotype" w:hAnsi="Palatino Linotype" w:cs="Arial"/>
                <w:bCs/>
                <w:sz w:val="18"/>
                <w:szCs w:val="18"/>
              </w:rPr>
              <w:t>MCX iCOMDEX</w:t>
            </w:r>
          </w:p>
        </w:tc>
        <w:tc>
          <w:tcPr>
            <w:tcW w:w="1128"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8,255.5</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10,920.0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10,415.1</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-4.6</w:t>
            </w:r>
          </w:p>
        </w:tc>
      </w:tr>
      <w:tr w:rsidR="001755DE" w:rsidRPr="00797A8B" w:rsidTr="00A91C39">
        <w:trPr>
          <w:trHeight w:val="224"/>
          <w:jc w:val="center"/>
        </w:trPr>
        <w:tc>
          <w:tcPr>
            <w:tcW w:w="8784" w:type="dxa"/>
            <w:gridSpan w:val="5"/>
            <w:tcBorders>
              <w:top w:val="nil"/>
              <w:left w:val="single" w:sz="4" w:space="0" w:color="auto"/>
              <w:bottom w:val="single" w:sz="4" w:space="0" w:color="auto"/>
              <w:right w:val="single" w:sz="4" w:space="0" w:color="auto"/>
            </w:tcBorders>
            <w:shd w:val="clear" w:color="auto" w:fill="auto"/>
            <w:noWrap/>
          </w:tcPr>
          <w:p w:rsidR="001755DE" w:rsidRPr="00DF31BD" w:rsidRDefault="001755DE" w:rsidP="00A91C39">
            <w:pPr>
              <w:pStyle w:val="ListParagraph"/>
              <w:numPr>
                <w:ilvl w:val="0"/>
                <w:numId w:val="25"/>
              </w:numPr>
              <w:spacing w:after="0" w:line="240" w:lineRule="auto"/>
              <w:ind w:left="317" w:hanging="317"/>
              <w:rPr>
                <w:rFonts w:ascii="Palatino Linotype" w:hAnsi="Palatino Linotype" w:cs="Arial"/>
                <w:bCs/>
                <w:sz w:val="18"/>
                <w:szCs w:val="18"/>
              </w:rPr>
            </w:pPr>
            <w:r w:rsidRPr="00DF31BD">
              <w:rPr>
                <w:rFonts w:ascii="Palatino Linotype" w:hAnsi="Palatino Linotype" w:cs="Arial"/>
                <w:b/>
                <w:bCs/>
                <w:sz w:val="18"/>
                <w:szCs w:val="18"/>
              </w:rPr>
              <w:t>Turnover (</w:t>
            </w:r>
            <w:r w:rsidRPr="00DF31BD">
              <w:rPr>
                <w:rFonts w:ascii="Times New Roman" w:hAnsi="Times New Roman"/>
                <w:b/>
                <w:bCs/>
                <w:sz w:val="18"/>
                <w:szCs w:val="18"/>
              </w:rPr>
              <w:t>₹</w:t>
            </w:r>
            <w:r w:rsidRPr="00DF31BD">
              <w:rPr>
                <w:rFonts w:ascii="Palatino Linotype" w:hAnsi="Palatino Linotype" w:cs="Arial"/>
                <w:b/>
                <w:bCs/>
                <w:sz w:val="18"/>
                <w:szCs w:val="18"/>
              </w:rPr>
              <w:t>crore)</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hideMark/>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92,24,839.9</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8,59,820.8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7,63,984.3</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-11.1</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tabs>
                <w:tab w:val="right" w:pos="912"/>
              </w:tabs>
              <w:rPr>
                <w:rFonts w:ascii="Palatino Linotype" w:hAnsi="Palatino Linotype" w:cs="Arial"/>
                <w:b/>
                <w:bCs/>
                <w:sz w:val="18"/>
                <w:szCs w:val="18"/>
              </w:rPr>
            </w:pPr>
            <w:r w:rsidRPr="00797A8B">
              <w:rPr>
                <w:rFonts w:ascii="Palatino Linotype" w:hAnsi="Palatino Linotype" w:cs="Arial"/>
                <w:b/>
                <w:bCs/>
                <w:sz w:val="18"/>
                <w:szCs w:val="18"/>
              </w:rPr>
              <w:t xml:space="preserve"> 86,89,517.6</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tabs>
                <w:tab w:val="center" w:pos="551"/>
              </w:tabs>
              <w:jc w:val="right"/>
              <w:rPr>
                <w:rFonts w:ascii="Palatino Linotype" w:hAnsi="Palatino Linotype" w:cs="Arial"/>
                <w:b/>
                <w:bCs/>
                <w:sz w:val="18"/>
                <w:szCs w:val="18"/>
              </w:rPr>
            </w:pPr>
            <w:r w:rsidRPr="00797A8B">
              <w:rPr>
                <w:rFonts w:ascii="Palatino Linotype" w:hAnsi="Palatino Linotype" w:cs="Arial"/>
                <w:b/>
                <w:bCs/>
                <w:sz w:val="18"/>
                <w:szCs w:val="18"/>
              </w:rPr>
              <w:t>7,61,784.1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tabs>
                <w:tab w:val="center" w:pos="551"/>
              </w:tabs>
              <w:jc w:val="right"/>
              <w:rPr>
                <w:rFonts w:ascii="Palatino Linotype" w:hAnsi="Palatino Linotype" w:cs="Arial"/>
                <w:b/>
                <w:bCs/>
                <w:sz w:val="18"/>
                <w:szCs w:val="18"/>
              </w:rPr>
            </w:pPr>
            <w:r w:rsidRPr="00797A8B">
              <w:rPr>
                <w:rFonts w:ascii="Palatino Linotype" w:hAnsi="Palatino Linotype" w:cs="Arial"/>
                <w:b/>
                <w:bCs/>
                <w:sz w:val="18"/>
                <w:szCs w:val="18"/>
              </w:rPr>
              <w:t>6,45,443.3</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-15.3</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83,97,775.0</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7,44,627.8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6,16,493.4</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-17.2</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 xml:space="preserve">  2,91,742.7 </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17,156.3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28,949.9</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68.7</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
                <w:bCs/>
                <w:sz w:val="18"/>
                <w:szCs w:val="18"/>
              </w:rPr>
              <w:t>BSE, of which</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
                <w:bCs/>
                <w:sz w:val="18"/>
                <w:szCs w:val="18"/>
              </w:rPr>
              <w:t xml:space="preserve">46,438.7     </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
                <w:sz w:val="18"/>
                <w:szCs w:val="18"/>
              </w:rPr>
            </w:pPr>
            <w:r w:rsidRPr="00797A8B">
              <w:rPr>
                <w:rFonts w:ascii="Palatino Linotype" w:hAnsi="Palatino Linotype" w:cs="Arial"/>
                <w:b/>
                <w:sz w:val="18"/>
                <w:szCs w:val="18"/>
              </w:rPr>
              <w:t>65,180.3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sz w:val="18"/>
                <w:szCs w:val="18"/>
              </w:rPr>
            </w:pPr>
            <w:r w:rsidRPr="00797A8B">
              <w:rPr>
                <w:rFonts w:ascii="Palatino Linotype" w:hAnsi="Palatino Linotype" w:cs="Arial"/>
                <w:b/>
                <w:sz w:val="18"/>
                <w:szCs w:val="18"/>
              </w:rPr>
              <w:t>71,708.5</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sz w:val="18"/>
                <w:szCs w:val="18"/>
              </w:rPr>
            </w:pPr>
            <w:r w:rsidRPr="00797A8B">
              <w:rPr>
                <w:rFonts w:ascii="Palatino Linotype" w:hAnsi="Palatino Linotype" w:cs="Arial"/>
                <w:b/>
                <w:sz w:val="18"/>
                <w:szCs w:val="18"/>
              </w:rPr>
              <w:t>10.0</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sz w:val="18"/>
                <w:szCs w:val="18"/>
              </w:rPr>
              <w:t xml:space="preserve">46,438.7     </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93.0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127.1</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36.7</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65,087.3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71,581.4</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10.0</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4,42,009.1</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30,799.8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43,920.0</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42.6</w:t>
            </w:r>
          </w:p>
        </w:tc>
      </w:tr>
      <w:tr w:rsidR="001755DE" w:rsidRPr="00797A8B" w:rsidTr="00A91C39">
        <w:trPr>
          <w:trHeight w:val="310"/>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 xml:space="preserve"> 4,41,967.0</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30,798.6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43,919.0</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42.6</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 xml:space="preserve">            42.2 </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tabs>
                <w:tab w:val="left" w:pos="252"/>
                <w:tab w:val="center" w:pos="551"/>
              </w:tabs>
              <w:jc w:val="right"/>
              <w:rPr>
                <w:rFonts w:ascii="Palatino Linotype" w:hAnsi="Palatino Linotype" w:cs="Arial"/>
                <w:bCs/>
                <w:sz w:val="18"/>
                <w:szCs w:val="18"/>
              </w:rPr>
            </w:pPr>
            <w:r w:rsidRPr="00797A8B">
              <w:rPr>
                <w:rFonts w:ascii="Palatino Linotype" w:hAnsi="Palatino Linotype" w:cs="Arial"/>
                <w:bCs/>
                <w:sz w:val="18"/>
                <w:szCs w:val="18"/>
              </w:rPr>
              <w:t>1.2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tabs>
                <w:tab w:val="left" w:pos="252"/>
                <w:tab w:val="center" w:pos="551"/>
              </w:tabs>
              <w:jc w:val="right"/>
              <w:rPr>
                <w:rFonts w:ascii="Palatino Linotype" w:hAnsi="Palatino Linotype" w:cs="Arial"/>
                <w:bCs/>
                <w:sz w:val="18"/>
                <w:szCs w:val="18"/>
              </w:rPr>
            </w:pPr>
            <w:r w:rsidRPr="00797A8B">
              <w:rPr>
                <w:rFonts w:ascii="Palatino Linotype" w:hAnsi="Palatino Linotype" w:cs="Arial"/>
                <w:bCs/>
                <w:sz w:val="18"/>
                <w:szCs w:val="18"/>
              </w:rPr>
              <w:t>1.0</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-16.0</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
                <w:bCs/>
                <w:sz w:val="18"/>
                <w:szCs w:val="18"/>
              </w:rPr>
              <w:t>NSE, of which</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
                <w:bCs/>
                <w:sz w:val="18"/>
                <w:szCs w:val="18"/>
              </w:rPr>
              <w:t xml:space="preserve">       6,362.0 </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tabs>
                <w:tab w:val="left" w:pos="252"/>
                <w:tab w:val="center" w:pos="551"/>
              </w:tabs>
              <w:jc w:val="right"/>
              <w:rPr>
                <w:rFonts w:ascii="Palatino Linotype" w:hAnsi="Palatino Linotype" w:cs="Arial"/>
                <w:b/>
                <w:sz w:val="18"/>
                <w:szCs w:val="18"/>
              </w:rPr>
            </w:pPr>
            <w:r w:rsidRPr="00797A8B">
              <w:rPr>
                <w:rFonts w:ascii="Palatino Linotype" w:hAnsi="Palatino Linotype" w:cs="Arial"/>
                <w:b/>
                <w:sz w:val="18"/>
                <w:szCs w:val="18"/>
              </w:rPr>
              <w:t>2,038.4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tabs>
                <w:tab w:val="left" w:pos="252"/>
                <w:tab w:val="center" w:pos="551"/>
              </w:tabs>
              <w:jc w:val="right"/>
              <w:rPr>
                <w:rFonts w:ascii="Palatino Linotype" w:hAnsi="Palatino Linotype" w:cs="Arial"/>
                <w:b/>
                <w:sz w:val="18"/>
                <w:szCs w:val="18"/>
              </w:rPr>
            </w:pPr>
            <w:r w:rsidRPr="00797A8B">
              <w:rPr>
                <w:rFonts w:ascii="Palatino Linotype" w:hAnsi="Palatino Linotype" w:cs="Arial"/>
                <w:b/>
                <w:sz w:val="18"/>
                <w:szCs w:val="18"/>
              </w:rPr>
              <w:t>2,890.0</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sz w:val="18"/>
                <w:szCs w:val="18"/>
              </w:rPr>
            </w:pPr>
            <w:r w:rsidRPr="00797A8B">
              <w:rPr>
                <w:rFonts w:ascii="Palatino Linotype" w:hAnsi="Palatino Linotype" w:cs="Arial"/>
                <w:b/>
                <w:sz w:val="18"/>
                <w:szCs w:val="18"/>
              </w:rPr>
              <w:t>41.8</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sz w:val="18"/>
                <w:szCs w:val="18"/>
              </w:rPr>
              <w:t xml:space="preserve">       6,362.0</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tabs>
                <w:tab w:val="left" w:pos="252"/>
                <w:tab w:val="center" w:pos="551"/>
              </w:tabs>
              <w:jc w:val="right"/>
              <w:rPr>
                <w:rFonts w:ascii="Palatino Linotype" w:hAnsi="Palatino Linotype" w:cs="Arial"/>
                <w:bCs/>
                <w:sz w:val="18"/>
                <w:szCs w:val="18"/>
              </w:rPr>
            </w:pPr>
            <w:r w:rsidRPr="00797A8B">
              <w:rPr>
                <w:rFonts w:ascii="Palatino Linotype" w:hAnsi="Palatino Linotype" w:cs="Arial"/>
                <w:bCs/>
                <w:sz w:val="18"/>
                <w:szCs w:val="18"/>
              </w:rPr>
              <w:t>934.6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tabs>
                <w:tab w:val="left" w:pos="252"/>
                <w:tab w:val="center" w:pos="551"/>
              </w:tabs>
              <w:jc w:val="right"/>
              <w:rPr>
                <w:rFonts w:ascii="Palatino Linotype" w:hAnsi="Palatino Linotype" w:cs="Arial"/>
                <w:bCs/>
                <w:sz w:val="18"/>
                <w:szCs w:val="18"/>
              </w:rPr>
            </w:pPr>
            <w:r w:rsidRPr="00797A8B">
              <w:rPr>
                <w:rFonts w:ascii="Palatino Linotype" w:hAnsi="Palatino Linotype" w:cs="Arial"/>
                <w:bCs/>
                <w:sz w:val="18"/>
                <w:szCs w:val="18"/>
              </w:rPr>
              <w:t>1,684.0</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80.2</w:t>
            </w:r>
          </w:p>
        </w:tc>
      </w:tr>
      <w:tr w:rsidR="001755DE" w:rsidRPr="00797A8B" w:rsidTr="00A91C39">
        <w:trPr>
          <w:trHeight w:val="308"/>
          <w:jc w:val="center"/>
        </w:trPr>
        <w:tc>
          <w:tcPr>
            <w:tcW w:w="3271" w:type="dxa"/>
            <w:tcBorders>
              <w:top w:val="nil"/>
              <w:left w:val="single" w:sz="4" w:space="0" w:color="auto"/>
              <w:bottom w:val="single" w:sz="4" w:space="0" w:color="auto"/>
              <w:right w:val="nil"/>
            </w:tcBorders>
            <w:shd w:val="clear" w:color="auto" w:fill="auto"/>
            <w:noWrap/>
          </w:tcPr>
          <w:p w:rsidR="001755DE" w:rsidRPr="00797A8B" w:rsidRDefault="001755DE" w:rsidP="00A91C39">
            <w:pPr>
              <w:rPr>
                <w:rFonts w:ascii="Palatino Linotype" w:hAnsi="Palatino Linotype" w:cs="Arial"/>
                <w:bCs/>
                <w:i/>
                <w:sz w:val="18"/>
                <w:szCs w:val="18"/>
              </w:rPr>
            </w:pPr>
            <w:r w:rsidRPr="00797A8B">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tabs>
                <w:tab w:val="left" w:pos="252"/>
                <w:tab w:val="center" w:pos="551"/>
              </w:tabs>
              <w:jc w:val="right"/>
              <w:rPr>
                <w:rFonts w:ascii="Palatino Linotype" w:hAnsi="Palatino Linotype" w:cs="Arial"/>
                <w:bCs/>
                <w:sz w:val="18"/>
                <w:szCs w:val="18"/>
              </w:rPr>
            </w:pPr>
            <w:r w:rsidRPr="00797A8B">
              <w:rPr>
                <w:rFonts w:ascii="Palatino Linotype" w:hAnsi="Palatino Linotype" w:cs="Arial"/>
                <w:bCs/>
                <w:sz w:val="18"/>
                <w:szCs w:val="18"/>
              </w:rPr>
              <w:t>1,103.8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tabs>
                <w:tab w:val="left" w:pos="252"/>
                <w:tab w:val="center" w:pos="551"/>
              </w:tabs>
              <w:jc w:val="right"/>
              <w:rPr>
                <w:rFonts w:ascii="Palatino Linotype" w:hAnsi="Palatino Linotype" w:cs="Arial"/>
                <w:bCs/>
                <w:sz w:val="18"/>
                <w:szCs w:val="18"/>
              </w:rPr>
            </w:pPr>
            <w:r w:rsidRPr="00797A8B">
              <w:rPr>
                <w:rFonts w:ascii="Palatino Linotype" w:hAnsi="Palatino Linotype" w:cs="Arial"/>
                <w:bCs/>
                <w:sz w:val="18"/>
                <w:szCs w:val="18"/>
              </w:rPr>
              <w:t>1,206.0</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Cs/>
                <w:sz w:val="18"/>
                <w:szCs w:val="18"/>
              </w:rPr>
            </w:pPr>
            <w:r w:rsidRPr="00797A8B">
              <w:rPr>
                <w:rFonts w:ascii="Palatino Linotype" w:hAnsi="Palatino Linotype" w:cs="Arial"/>
                <w:bCs/>
                <w:sz w:val="18"/>
                <w:szCs w:val="18"/>
              </w:rPr>
              <w:t>9.3</w:t>
            </w:r>
          </w:p>
        </w:tc>
      </w:tr>
      <w:tr w:rsidR="001755DE" w:rsidRPr="00797A8B" w:rsidTr="00A91C39">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rsidR="001755DE" w:rsidRPr="00797A8B" w:rsidRDefault="001755DE" w:rsidP="00A91C39">
            <w:pPr>
              <w:rPr>
                <w:rFonts w:ascii="Palatino Linotype" w:hAnsi="Palatino Linotype" w:cs="Arial"/>
                <w:b/>
                <w:bCs/>
                <w:sz w:val="18"/>
                <w:szCs w:val="18"/>
              </w:rPr>
            </w:pPr>
            <w:r w:rsidRPr="00797A8B">
              <w:rPr>
                <w:rFonts w:ascii="Palatino Linotype" w:hAnsi="Palatino Linotype" w:cs="Arial"/>
                <w:b/>
                <w:bCs/>
                <w:sz w:val="18"/>
                <w:szCs w:val="18"/>
              </w:rPr>
              <w:t>ICEX (Futures)</w:t>
            </w:r>
          </w:p>
        </w:tc>
        <w:tc>
          <w:tcPr>
            <w:tcW w:w="1128" w:type="dxa"/>
            <w:tcBorders>
              <w:top w:val="nil"/>
              <w:left w:val="nil"/>
              <w:bottom w:val="single" w:sz="4" w:space="0" w:color="auto"/>
              <w:right w:val="single" w:sz="4" w:space="0" w:color="auto"/>
            </w:tcBorders>
            <w:shd w:val="clear" w:color="auto" w:fill="auto"/>
            <w:noWrap/>
            <w:hideMark/>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 xml:space="preserve">40,511.3 </w:t>
            </w:r>
          </w:p>
        </w:tc>
        <w:tc>
          <w:tcPr>
            <w:tcW w:w="1236" w:type="dxa"/>
            <w:tcBorders>
              <w:top w:val="single" w:sz="4" w:space="0" w:color="auto"/>
              <w:left w:val="single" w:sz="4" w:space="0" w:color="auto"/>
              <w:bottom w:val="single" w:sz="4" w:space="0" w:color="auto"/>
              <w:right w:val="single" w:sz="4" w:space="0" w:color="auto"/>
            </w:tcBorders>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18.6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22.5</w:t>
            </w:r>
          </w:p>
        </w:tc>
        <w:tc>
          <w:tcPr>
            <w:tcW w:w="1830" w:type="dxa"/>
            <w:tcBorders>
              <w:top w:val="nil"/>
              <w:left w:val="nil"/>
              <w:bottom w:val="single" w:sz="4" w:space="0" w:color="auto"/>
              <w:right w:val="single" w:sz="4" w:space="0" w:color="auto"/>
            </w:tcBorders>
            <w:shd w:val="clear" w:color="auto" w:fill="auto"/>
            <w:noWrap/>
          </w:tcPr>
          <w:p w:rsidR="001755DE" w:rsidRPr="00797A8B" w:rsidRDefault="001755DE" w:rsidP="00A91C39">
            <w:pPr>
              <w:jc w:val="right"/>
              <w:rPr>
                <w:rFonts w:ascii="Palatino Linotype" w:hAnsi="Palatino Linotype" w:cs="Arial"/>
                <w:b/>
                <w:bCs/>
                <w:sz w:val="18"/>
                <w:szCs w:val="18"/>
              </w:rPr>
            </w:pPr>
            <w:r w:rsidRPr="00797A8B">
              <w:rPr>
                <w:rFonts w:ascii="Palatino Linotype" w:hAnsi="Palatino Linotype" w:cs="Arial"/>
                <w:b/>
                <w:bCs/>
                <w:sz w:val="18"/>
                <w:szCs w:val="18"/>
              </w:rPr>
              <w:t>20.8</w:t>
            </w:r>
          </w:p>
        </w:tc>
      </w:tr>
    </w:tbl>
    <w:p w:rsidR="001755DE" w:rsidRDefault="001755DE" w:rsidP="001755DE">
      <w:pPr>
        <w:jc w:val="both"/>
        <w:rPr>
          <w:rFonts w:ascii="Palatino Linotype" w:hAnsi="Palatino Linotype" w:cs="Arial"/>
          <w:b/>
          <w:bCs/>
          <w:sz w:val="18"/>
          <w:szCs w:val="18"/>
        </w:rPr>
      </w:pPr>
    </w:p>
    <w:p w:rsidR="001755DE" w:rsidRPr="00DF31BD" w:rsidRDefault="001755DE" w:rsidP="001755DE">
      <w:pPr>
        <w:jc w:val="both"/>
        <w:rPr>
          <w:rFonts w:ascii="Palatino Linotype" w:hAnsi="Palatino Linotype" w:cs="Arial"/>
          <w:b/>
          <w:bCs/>
          <w:sz w:val="18"/>
          <w:szCs w:val="18"/>
        </w:rPr>
      </w:pPr>
      <w:r w:rsidRPr="00DF31BD">
        <w:rPr>
          <w:rFonts w:ascii="Palatino Linotype" w:hAnsi="Palatino Linotype" w:cs="Arial"/>
          <w:b/>
          <w:bCs/>
          <w:sz w:val="18"/>
          <w:szCs w:val="18"/>
        </w:rPr>
        <w:t xml:space="preserve"> Source: </w:t>
      </w:r>
      <w:r>
        <w:rPr>
          <w:rFonts w:ascii="Palatino Linotype" w:hAnsi="Palatino Linotype" w:cs="Arial"/>
          <w:b/>
          <w:bCs/>
          <w:sz w:val="18"/>
          <w:szCs w:val="18"/>
        </w:rPr>
        <w:t>MCX, BSE, NCDEX, NSE, ICEX</w:t>
      </w:r>
      <w:r w:rsidRPr="00DF31BD">
        <w:rPr>
          <w:rFonts w:ascii="Palatino Linotype" w:hAnsi="Palatino Linotype" w:cs="Arial"/>
          <w:b/>
          <w:bCs/>
          <w:sz w:val="18"/>
          <w:szCs w:val="18"/>
        </w:rPr>
        <w:t>.</w:t>
      </w:r>
    </w:p>
    <w:p w:rsidR="001755DE" w:rsidRPr="00DF31BD" w:rsidRDefault="001755DE" w:rsidP="001755DE">
      <w:pPr>
        <w:jc w:val="both"/>
        <w:rPr>
          <w:rFonts w:ascii="Palatino Linotype" w:hAnsi="Palatino Linotype" w:cs="Arial"/>
          <w:b/>
          <w:bCs/>
          <w:sz w:val="18"/>
          <w:szCs w:val="18"/>
        </w:rPr>
      </w:pPr>
    </w:p>
    <w:p w:rsidR="001755DE" w:rsidRPr="00B92D2D" w:rsidRDefault="001755DE" w:rsidP="001755DE">
      <w:pPr>
        <w:ind w:left="-284"/>
        <w:jc w:val="both"/>
        <w:rPr>
          <w:rFonts w:ascii="Palatino Linotype" w:hAnsi="Palatino Linotype" w:cs="Arial"/>
          <w:bCs/>
        </w:rPr>
      </w:pPr>
      <w:r>
        <w:rPr>
          <w:rFonts w:ascii="Palatino Linotype" w:hAnsi="Palatino Linotype" w:cs="Arial"/>
          <w:b/>
          <w:bCs/>
        </w:rPr>
        <w:t xml:space="preserve">B.       </w:t>
      </w:r>
      <w:r w:rsidRPr="00B92D2D">
        <w:rPr>
          <w:rFonts w:ascii="Palatino Linotype" w:hAnsi="Palatino Linotype" w:cs="Arial"/>
          <w:b/>
          <w:bCs/>
        </w:rPr>
        <w:t>Turnover</w:t>
      </w:r>
    </w:p>
    <w:p w:rsidR="001755DE" w:rsidRDefault="001755DE" w:rsidP="001755DE">
      <w:pPr>
        <w:jc w:val="both"/>
        <w:rPr>
          <w:rFonts w:ascii="Palatino Linotype" w:hAnsi="Palatino Linotype" w:cs="Arial"/>
          <w:bCs/>
        </w:rPr>
      </w:pPr>
    </w:p>
    <w:p w:rsidR="001755DE" w:rsidRPr="00D63EDD" w:rsidRDefault="001755DE" w:rsidP="001755DE">
      <w:pPr>
        <w:pStyle w:val="ListParagraph"/>
        <w:numPr>
          <w:ilvl w:val="0"/>
          <w:numId w:val="28"/>
        </w:numPr>
        <w:spacing w:after="0" w:line="240" w:lineRule="auto"/>
        <w:ind w:left="284" w:hanging="284"/>
        <w:jc w:val="both"/>
        <w:rPr>
          <w:rFonts w:ascii="Palatino Linotype" w:hAnsi="Palatino Linotype" w:cs="Arial"/>
          <w:bCs/>
          <w:sz w:val="22"/>
          <w:szCs w:val="22"/>
        </w:rPr>
      </w:pPr>
      <w:r w:rsidRPr="00D63EDD">
        <w:rPr>
          <w:rFonts w:ascii="Palatino Linotype" w:hAnsi="Palatino Linotype" w:cs="Arial"/>
          <w:bCs/>
          <w:sz w:val="22"/>
          <w:szCs w:val="22"/>
        </w:rPr>
        <w:t xml:space="preserve">During </w:t>
      </w:r>
      <w:r>
        <w:rPr>
          <w:rFonts w:ascii="Palatino Linotype" w:hAnsi="Palatino Linotype" w:cs="Arial"/>
          <w:bCs/>
          <w:sz w:val="22"/>
          <w:szCs w:val="22"/>
        </w:rPr>
        <w:t>March</w:t>
      </w:r>
      <w:r w:rsidRPr="00D63EDD">
        <w:rPr>
          <w:rFonts w:ascii="Palatino Linotype" w:hAnsi="Palatino Linotype" w:cs="Arial"/>
          <w:bCs/>
          <w:sz w:val="22"/>
          <w:szCs w:val="22"/>
        </w:rPr>
        <w:t xml:space="preserve"> 202</w:t>
      </w:r>
      <w:r>
        <w:rPr>
          <w:rFonts w:ascii="Palatino Linotype" w:hAnsi="Palatino Linotype" w:cs="Arial"/>
          <w:bCs/>
          <w:sz w:val="22"/>
          <w:szCs w:val="22"/>
        </w:rPr>
        <w:t>1</w:t>
      </w:r>
      <w:r w:rsidRPr="00D63EDD">
        <w:rPr>
          <w:rFonts w:ascii="Palatino Linotype" w:hAnsi="Palatino Linotype" w:cs="Arial"/>
          <w:bCs/>
          <w:sz w:val="22"/>
          <w:szCs w:val="22"/>
        </w:rPr>
        <w:t xml:space="preserve">, pan- India turnover of the commodity derivatives </w:t>
      </w:r>
      <w:r>
        <w:rPr>
          <w:rFonts w:ascii="Palatino Linotype" w:hAnsi="Palatino Linotype" w:cs="Arial"/>
          <w:bCs/>
          <w:sz w:val="22"/>
          <w:szCs w:val="22"/>
        </w:rPr>
        <w:t>de</w:t>
      </w:r>
      <w:r w:rsidRPr="00D63EDD">
        <w:rPr>
          <w:rFonts w:ascii="Palatino Linotype" w:hAnsi="Palatino Linotype" w:cs="Arial"/>
          <w:bCs/>
          <w:sz w:val="22"/>
          <w:szCs w:val="22"/>
        </w:rPr>
        <w:t xml:space="preserve">creased by </w:t>
      </w:r>
      <w:r>
        <w:rPr>
          <w:rFonts w:ascii="Palatino Linotype" w:hAnsi="Palatino Linotype" w:cs="Arial"/>
          <w:bCs/>
          <w:sz w:val="22"/>
          <w:szCs w:val="22"/>
        </w:rPr>
        <w:t>11.1</w:t>
      </w:r>
      <w:r w:rsidRPr="00D63EDD">
        <w:rPr>
          <w:rFonts w:ascii="Palatino Linotype" w:hAnsi="Palatino Linotype" w:cs="Arial"/>
          <w:bCs/>
          <w:sz w:val="22"/>
          <w:szCs w:val="22"/>
        </w:rPr>
        <w:t xml:space="preserve"> per cent to </w:t>
      </w:r>
      <w:r w:rsidRPr="00D63EDD">
        <w:rPr>
          <w:rFonts w:ascii="Times New Roman" w:hAnsi="Times New Roman"/>
          <w:bCs/>
          <w:sz w:val="22"/>
          <w:szCs w:val="22"/>
        </w:rPr>
        <w:t>₹</w:t>
      </w:r>
      <w:r>
        <w:rPr>
          <w:rFonts w:ascii="Times New Roman" w:hAnsi="Times New Roman"/>
          <w:bCs/>
          <w:sz w:val="22"/>
          <w:szCs w:val="22"/>
        </w:rPr>
        <w:t xml:space="preserve"> </w:t>
      </w:r>
      <w:r w:rsidRPr="00C46079">
        <w:rPr>
          <w:rFonts w:ascii="Palatino Linotype" w:hAnsi="Palatino Linotype" w:cs="Arial"/>
          <w:bCs/>
          <w:sz w:val="22"/>
          <w:szCs w:val="22"/>
        </w:rPr>
        <w:t>7,63,984.3</w:t>
      </w:r>
      <w:r w:rsidRPr="00D63EDD">
        <w:rPr>
          <w:rFonts w:ascii="Palatino Linotype" w:hAnsi="Palatino Linotype" w:cs="Arial"/>
          <w:bCs/>
          <w:sz w:val="22"/>
          <w:szCs w:val="22"/>
        </w:rPr>
        <w:t xml:space="preserve"> crore </w:t>
      </w:r>
      <w:r>
        <w:rPr>
          <w:rFonts w:ascii="Palatino Linotype" w:hAnsi="Palatino Linotype" w:cs="Arial"/>
          <w:bCs/>
          <w:sz w:val="22"/>
          <w:szCs w:val="22"/>
        </w:rPr>
        <w:t xml:space="preserve">driven by fall </w:t>
      </w:r>
      <w:r w:rsidRPr="00D63EDD">
        <w:rPr>
          <w:rFonts w:ascii="Palatino Linotype" w:hAnsi="Palatino Linotype" w:cs="Arial"/>
          <w:bCs/>
          <w:sz w:val="22"/>
          <w:szCs w:val="22"/>
        </w:rPr>
        <w:t xml:space="preserve">in turnover at </w:t>
      </w:r>
      <w:r>
        <w:rPr>
          <w:rFonts w:ascii="Palatino Linotype" w:hAnsi="Palatino Linotype" w:cs="Arial"/>
          <w:bCs/>
          <w:sz w:val="22"/>
          <w:szCs w:val="22"/>
        </w:rPr>
        <w:t xml:space="preserve">MCX. However, turnover at other exchanges increased during the month. </w:t>
      </w:r>
      <w:r w:rsidRPr="00D63EDD">
        <w:rPr>
          <w:rFonts w:ascii="Palatino Linotype" w:hAnsi="Palatino Linotype" w:cs="Arial"/>
          <w:bCs/>
          <w:sz w:val="22"/>
          <w:szCs w:val="22"/>
        </w:rPr>
        <w:t xml:space="preserve">The agricultural segment contributed </w:t>
      </w:r>
      <w:r>
        <w:rPr>
          <w:rFonts w:ascii="Palatino Linotype" w:hAnsi="Palatino Linotype" w:cs="Arial"/>
          <w:bCs/>
          <w:sz w:val="22"/>
          <w:szCs w:val="22"/>
        </w:rPr>
        <w:t>7.8</w:t>
      </w:r>
      <w:r w:rsidRPr="00D63EDD">
        <w:rPr>
          <w:rFonts w:ascii="Palatino Linotype" w:hAnsi="Palatino Linotype" w:cs="Arial"/>
          <w:bCs/>
          <w:sz w:val="22"/>
          <w:szCs w:val="22"/>
        </w:rPr>
        <w:t xml:space="preserve"> per cent to the total turnover, while non-agricultural segment accounted for </w:t>
      </w:r>
      <w:r>
        <w:rPr>
          <w:rFonts w:ascii="Palatino Linotype" w:hAnsi="Palatino Linotype" w:cs="Arial"/>
          <w:bCs/>
          <w:sz w:val="22"/>
          <w:szCs w:val="22"/>
        </w:rPr>
        <w:t>92.2</w:t>
      </w:r>
      <w:r w:rsidRPr="00D63EDD">
        <w:rPr>
          <w:rFonts w:ascii="Palatino Linotype" w:hAnsi="Palatino Linotype" w:cs="Arial"/>
          <w:bCs/>
          <w:sz w:val="22"/>
          <w:szCs w:val="22"/>
        </w:rPr>
        <w:t xml:space="preserve"> per cent. </w:t>
      </w:r>
    </w:p>
    <w:p w:rsidR="001755DE" w:rsidRDefault="001755DE" w:rsidP="001755DE">
      <w:pPr>
        <w:pStyle w:val="ListParagraph"/>
        <w:numPr>
          <w:ilvl w:val="0"/>
          <w:numId w:val="28"/>
        </w:numPr>
        <w:spacing w:after="0" w:line="240" w:lineRule="auto"/>
        <w:ind w:left="284" w:hanging="284"/>
        <w:jc w:val="both"/>
        <w:rPr>
          <w:rFonts w:ascii="Palatino Linotype" w:hAnsi="Palatino Linotype" w:cs="Arial"/>
          <w:bCs/>
          <w:sz w:val="22"/>
          <w:szCs w:val="22"/>
        </w:rPr>
      </w:pPr>
      <w:r w:rsidRPr="00DA1314">
        <w:rPr>
          <w:rFonts w:ascii="Palatino Linotype" w:hAnsi="Palatino Linotype" w:cs="Arial"/>
          <w:bCs/>
          <w:sz w:val="22"/>
          <w:szCs w:val="22"/>
        </w:rPr>
        <w:t xml:space="preserve">The total turnover at MCX </w:t>
      </w:r>
      <w:r>
        <w:rPr>
          <w:rFonts w:ascii="Palatino Linotype" w:hAnsi="Palatino Linotype" w:cs="Arial"/>
          <w:bCs/>
          <w:sz w:val="22"/>
          <w:szCs w:val="22"/>
        </w:rPr>
        <w:t>de</w:t>
      </w:r>
      <w:r w:rsidRPr="00DA1314">
        <w:rPr>
          <w:rFonts w:ascii="Palatino Linotype" w:hAnsi="Palatino Linotype" w:cs="Arial"/>
          <w:bCs/>
          <w:sz w:val="22"/>
          <w:szCs w:val="22"/>
        </w:rPr>
        <w:t xml:space="preserve">creased by </w:t>
      </w:r>
      <w:r>
        <w:rPr>
          <w:rFonts w:ascii="Palatino Linotype" w:hAnsi="Palatino Linotype" w:cs="Arial"/>
          <w:bCs/>
          <w:sz w:val="22"/>
          <w:szCs w:val="22"/>
        </w:rPr>
        <w:t>15.3</w:t>
      </w:r>
      <w:r w:rsidRPr="00DA1314">
        <w:rPr>
          <w:rFonts w:ascii="Palatino Linotype" w:hAnsi="Palatino Linotype" w:cs="Arial"/>
          <w:bCs/>
          <w:sz w:val="22"/>
          <w:szCs w:val="22"/>
        </w:rPr>
        <w:t xml:space="preserve"> per cent to </w:t>
      </w:r>
      <w:r w:rsidRPr="00DA1314">
        <w:rPr>
          <w:rFonts w:ascii="Times New Roman" w:hAnsi="Times New Roman"/>
          <w:bCs/>
          <w:sz w:val="22"/>
          <w:szCs w:val="22"/>
        </w:rPr>
        <w:t>₹</w:t>
      </w:r>
      <w:r>
        <w:rPr>
          <w:rFonts w:ascii="Times New Roman" w:hAnsi="Times New Roman"/>
          <w:bCs/>
          <w:sz w:val="22"/>
          <w:szCs w:val="22"/>
        </w:rPr>
        <w:t xml:space="preserve"> </w:t>
      </w:r>
      <w:r w:rsidRPr="003F7A72">
        <w:rPr>
          <w:rFonts w:ascii="Palatino Linotype" w:hAnsi="Palatino Linotype" w:cs="Arial"/>
          <w:bCs/>
          <w:sz w:val="22"/>
          <w:szCs w:val="22"/>
        </w:rPr>
        <w:t>6</w:t>
      </w:r>
      <w:r>
        <w:rPr>
          <w:rFonts w:ascii="Palatino Linotype" w:hAnsi="Palatino Linotype" w:cs="Arial"/>
          <w:bCs/>
          <w:sz w:val="22"/>
          <w:szCs w:val="22"/>
        </w:rPr>
        <w:t xml:space="preserve">,45,443.3 </w:t>
      </w:r>
      <w:r w:rsidRPr="00DA1314">
        <w:rPr>
          <w:rFonts w:ascii="Palatino Linotype" w:hAnsi="Palatino Linotype" w:cs="Arial"/>
          <w:bCs/>
          <w:sz w:val="22"/>
          <w:szCs w:val="22"/>
        </w:rPr>
        <w:t xml:space="preserve">crore during </w:t>
      </w:r>
      <w:r>
        <w:rPr>
          <w:rFonts w:ascii="Palatino Linotype" w:hAnsi="Palatino Linotype" w:cs="Arial"/>
          <w:bCs/>
          <w:sz w:val="22"/>
          <w:szCs w:val="22"/>
        </w:rPr>
        <w:t>March</w:t>
      </w:r>
      <w:r w:rsidRPr="00DA1314">
        <w:rPr>
          <w:rFonts w:ascii="Palatino Linotype" w:hAnsi="Palatino Linotype" w:cs="Arial"/>
          <w:bCs/>
          <w:sz w:val="22"/>
          <w:szCs w:val="22"/>
        </w:rPr>
        <w:t xml:space="preserve"> 202</w:t>
      </w:r>
      <w:r>
        <w:rPr>
          <w:rFonts w:ascii="Palatino Linotype" w:hAnsi="Palatino Linotype" w:cs="Arial"/>
          <w:bCs/>
          <w:sz w:val="22"/>
          <w:szCs w:val="22"/>
        </w:rPr>
        <w:t>1</w:t>
      </w:r>
      <w:r w:rsidRPr="00DA1314">
        <w:rPr>
          <w:rFonts w:ascii="Palatino Linotype" w:hAnsi="Palatino Linotype" w:cs="Arial"/>
          <w:bCs/>
          <w:sz w:val="22"/>
          <w:szCs w:val="22"/>
        </w:rPr>
        <w:t xml:space="preserve"> driven by </w:t>
      </w:r>
      <w:r>
        <w:rPr>
          <w:rFonts w:ascii="Palatino Linotype" w:hAnsi="Palatino Linotype" w:cs="Arial"/>
          <w:bCs/>
          <w:sz w:val="22"/>
          <w:szCs w:val="22"/>
        </w:rPr>
        <w:t>fall in</w:t>
      </w:r>
      <w:r w:rsidRPr="00DA1314">
        <w:rPr>
          <w:rFonts w:ascii="Palatino Linotype" w:hAnsi="Palatino Linotype" w:cs="Arial"/>
          <w:bCs/>
          <w:sz w:val="22"/>
          <w:szCs w:val="22"/>
        </w:rPr>
        <w:t xml:space="preserve"> </w:t>
      </w:r>
      <w:r>
        <w:rPr>
          <w:rFonts w:ascii="Palatino Linotype" w:hAnsi="Palatino Linotype" w:cs="Arial"/>
          <w:bCs/>
          <w:sz w:val="22"/>
          <w:szCs w:val="22"/>
        </w:rPr>
        <w:t xml:space="preserve">bullion, metal </w:t>
      </w:r>
      <w:r w:rsidRPr="00DA1314">
        <w:rPr>
          <w:rFonts w:ascii="Palatino Linotype" w:hAnsi="Palatino Linotype" w:cs="Arial"/>
          <w:bCs/>
          <w:sz w:val="22"/>
          <w:szCs w:val="22"/>
        </w:rPr>
        <w:t>and energy futures</w:t>
      </w:r>
      <w:r>
        <w:rPr>
          <w:rFonts w:ascii="Palatino Linotype" w:hAnsi="Palatino Linotype" w:cs="Arial"/>
          <w:bCs/>
          <w:sz w:val="22"/>
          <w:szCs w:val="22"/>
        </w:rPr>
        <w:t xml:space="preserve"> by 21.9 per cent, 18.3 per cent and 9.6 per cent respectively</w:t>
      </w:r>
      <w:r w:rsidRPr="00DA1314">
        <w:rPr>
          <w:rFonts w:ascii="Palatino Linotype" w:hAnsi="Palatino Linotype" w:cs="Arial"/>
          <w:bCs/>
          <w:sz w:val="22"/>
          <w:szCs w:val="22"/>
        </w:rPr>
        <w:t xml:space="preserve">. However, turnover in </w:t>
      </w:r>
      <w:r>
        <w:rPr>
          <w:rFonts w:ascii="Palatino Linotype" w:hAnsi="Palatino Linotype" w:cs="Arial"/>
          <w:bCs/>
          <w:sz w:val="22"/>
          <w:szCs w:val="22"/>
        </w:rPr>
        <w:t>agri. futures in</w:t>
      </w:r>
      <w:r w:rsidRPr="00DA1314">
        <w:rPr>
          <w:rFonts w:ascii="Palatino Linotype" w:hAnsi="Palatino Linotype" w:cs="Arial"/>
          <w:bCs/>
          <w:sz w:val="22"/>
          <w:szCs w:val="22"/>
        </w:rPr>
        <w:t xml:space="preserve">creased by </w:t>
      </w:r>
      <w:r>
        <w:rPr>
          <w:rFonts w:ascii="Palatino Linotype" w:hAnsi="Palatino Linotype" w:cs="Arial"/>
          <w:bCs/>
          <w:sz w:val="22"/>
          <w:szCs w:val="22"/>
        </w:rPr>
        <w:t>13.2 per cent.</w:t>
      </w:r>
      <w:r w:rsidRPr="00DA1314">
        <w:rPr>
          <w:rFonts w:ascii="Palatino Linotype" w:hAnsi="Palatino Linotype" w:cs="Arial"/>
          <w:bCs/>
          <w:sz w:val="22"/>
          <w:szCs w:val="22"/>
        </w:rPr>
        <w:t xml:space="preserve"> </w:t>
      </w:r>
      <w:r w:rsidRPr="00D85AD5">
        <w:rPr>
          <w:rFonts w:ascii="Palatino Linotype" w:hAnsi="Palatino Linotype" w:cs="Arial"/>
          <w:bCs/>
          <w:sz w:val="22"/>
          <w:szCs w:val="22"/>
        </w:rPr>
        <w:t>The turnover in iCOMDEX bullion</w:t>
      </w:r>
      <w:r>
        <w:rPr>
          <w:rFonts w:ascii="Palatino Linotype" w:hAnsi="Palatino Linotype" w:cs="Arial"/>
          <w:bCs/>
          <w:sz w:val="22"/>
          <w:szCs w:val="22"/>
        </w:rPr>
        <w:t xml:space="preserve"> and iCOMDEX metal </w:t>
      </w:r>
      <w:r w:rsidRPr="00D85AD5">
        <w:rPr>
          <w:rFonts w:ascii="Palatino Linotype" w:hAnsi="Palatino Linotype" w:cs="Arial"/>
          <w:bCs/>
          <w:sz w:val="22"/>
          <w:szCs w:val="22"/>
        </w:rPr>
        <w:t>ind</w:t>
      </w:r>
      <w:r>
        <w:rPr>
          <w:rFonts w:ascii="Palatino Linotype" w:hAnsi="Palatino Linotype" w:cs="Arial"/>
          <w:bCs/>
          <w:sz w:val="22"/>
          <w:szCs w:val="22"/>
        </w:rPr>
        <w:t>ex futures</w:t>
      </w:r>
      <w:r w:rsidRPr="00D85AD5">
        <w:rPr>
          <w:rFonts w:ascii="Palatino Linotype" w:hAnsi="Palatino Linotype" w:cs="Arial"/>
          <w:bCs/>
          <w:sz w:val="22"/>
          <w:szCs w:val="22"/>
        </w:rPr>
        <w:t xml:space="preserve"> </w:t>
      </w:r>
      <w:r>
        <w:rPr>
          <w:rFonts w:ascii="Palatino Linotype" w:hAnsi="Palatino Linotype" w:cs="Arial"/>
          <w:bCs/>
          <w:sz w:val="22"/>
          <w:szCs w:val="22"/>
        </w:rPr>
        <w:t>de</w:t>
      </w:r>
      <w:r w:rsidRPr="00D85AD5">
        <w:rPr>
          <w:rFonts w:ascii="Palatino Linotype" w:hAnsi="Palatino Linotype" w:cs="Arial"/>
          <w:bCs/>
          <w:sz w:val="22"/>
          <w:szCs w:val="22"/>
        </w:rPr>
        <w:t xml:space="preserve">creased by </w:t>
      </w:r>
      <w:r>
        <w:rPr>
          <w:rFonts w:ascii="Palatino Linotype" w:hAnsi="Palatino Linotype" w:cs="Arial"/>
          <w:bCs/>
          <w:sz w:val="22"/>
          <w:szCs w:val="22"/>
        </w:rPr>
        <w:t>37.2</w:t>
      </w:r>
      <w:r w:rsidRPr="00D85AD5">
        <w:rPr>
          <w:rFonts w:ascii="Palatino Linotype" w:hAnsi="Palatino Linotype" w:cs="Arial"/>
          <w:bCs/>
          <w:sz w:val="22"/>
          <w:szCs w:val="22"/>
        </w:rPr>
        <w:t xml:space="preserve"> per cent</w:t>
      </w:r>
      <w:r>
        <w:rPr>
          <w:rFonts w:ascii="Palatino Linotype" w:hAnsi="Palatino Linotype" w:cs="Arial"/>
          <w:bCs/>
          <w:sz w:val="22"/>
          <w:szCs w:val="22"/>
        </w:rPr>
        <w:t xml:space="preserve"> and 24.1 per cent </w:t>
      </w:r>
      <w:r w:rsidRPr="00D85AD5">
        <w:rPr>
          <w:rFonts w:ascii="Palatino Linotype" w:hAnsi="Palatino Linotype" w:cs="Arial"/>
          <w:bCs/>
          <w:sz w:val="22"/>
          <w:szCs w:val="22"/>
        </w:rPr>
        <w:t xml:space="preserve">to </w:t>
      </w:r>
      <w:r w:rsidRPr="00D85AD5">
        <w:rPr>
          <w:rFonts w:ascii="Tahoma" w:hAnsi="Tahoma" w:cs="Tahoma"/>
          <w:bCs/>
          <w:sz w:val="22"/>
          <w:szCs w:val="22"/>
        </w:rPr>
        <w:t>₹</w:t>
      </w:r>
      <w:r w:rsidRPr="00D85AD5">
        <w:rPr>
          <w:rFonts w:ascii="Palatino Linotype" w:hAnsi="Palatino Linotype" w:cs="Arial"/>
          <w:bCs/>
          <w:sz w:val="22"/>
          <w:szCs w:val="22"/>
        </w:rPr>
        <w:t xml:space="preserve"> </w:t>
      </w:r>
      <w:r>
        <w:rPr>
          <w:rFonts w:ascii="Palatino Linotype" w:hAnsi="Palatino Linotype" w:cs="Arial"/>
          <w:bCs/>
          <w:sz w:val="22"/>
          <w:szCs w:val="22"/>
        </w:rPr>
        <w:t xml:space="preserve">3,986.4 crore and </w:t>
      </w:r>
      <w:r w:rsidRPr="00D85AD5">
        <w:rPr>
          <w:rFonts w:ascii="Tahoma" w:hAnsi="Tahoma" w:cs="Tahoma"/>
          <w:bCs/>
          <w:sz w:val="22"/>
          <w:szCs w:val="22"/>
        </w:rPr>
        <w:t>₹</w:t>
      </w:r>
      <w:r>
        <w:rPr>
          <w:rFonts w:ascii="Tahoma" w:hAnsi="Tahoma" w:cs="Tahoma"/>
          <w:bCs/>
          <w:sz w:val="22"/>
          <w:szCs w:val="22"/>
        </w:rPr>
        <w:t xml:space="preserve"> </w:t>
      </w:r>
      <w:r w:rsidRPr="00C352B0">
        <w:rPr>
          <w:rFonts w:ascii="Palatino Linotype" w:hAnsi="Palatino Linotype" w:cs="Arial"/>
          <w:bCs/>
          <w:sz w:val="22"/>
          <w:szCs w:val="22"/>
        </w:rPr>
        <w:t>1,521.7</w:t>
      </w:r>
      <w:r w:rsidRPr="009A25B4">
        <w:rPr>
          <w:rFonts w:ascii="Palatino Linotype" w:hAnsi="Palatino Linotype" w:cs="Arial"/>
          <w:bCs/>
          <w:sz w:val="22"/>
          <w:szCs w:val="22"/>
        </w:rPr>
        <w:t xml:space="preserve"> crore respectively</w:t>
      </w:r>
      <w:r>
        <w:rPr>
          <w:rFonts w:ascii="Palatino Linotype" w:hAnsi="Palatino Linotype" w:cs="Arial"/>
          <w:bCs/>
          <w:sz w:val="22"/>
          <w:szCs w:val="22"/>
        </w:rPr>
        <w:t>.</w:t>
      </w:r>
    </w:p>
    <w:p w:rsidR="001755DE" w:rsidRDefault="001755DE" w:rsidP="001755DE">
      <w:pPr>
        <w:pStyle w:val="ListParagraph"/>
        <w:numPr>
          <w:ilvl w:val="0"/>
          <w:numId w:val="29"/>
        </w:numPr>
        <w:spacing w:after="0" w:line="240" w:lineRule="auto"/>
        <w:ind w:left="284" w:hanging="284"/>
        <w:jc w:val="both"/>
        <w:rPr>
          <w:rFonts w:ascii="Palatino Linotype" w:hAnsi="Palatino Linotype" w:cs="Arial"/>
          <w:bCs/>
          <w:sz w:val="22"/>
          <w:szCs w:val="22"/>
        </w:rPr>
      </w:pPr>
      <w:r w:rsidRPr="00DA1314">
        <w:rPr>
          <w:rFonts w:ascii="Palatino Linotype" w:hAnsi="Palatino Linotype" w:cs="Arial"/>
          <w:bCs/>
          <w:sz w:val="22"/>
          <w:szCs w:val="22"/>
        </w:rPr>
        <w:t xml:space="preserve">The notional turnover of options segment at MCX </w:t>
      </w:r>
      <w:r>
        <w:rPr>
          <w:rFonts w:ascii="Palatino Linotype" w:hAnsi="Palatino Linotype" w:cs="Arial"/>
          <w:bCs/>
          <w:sz w:val="22"/>
          <w:szCs w:val="22"/>
        </w:rPr>
        <w:t>in</w:t>
      </w:r>
      <w:r w:rsidRPr="00DA1314">
        <w:rPr>
          <w:rFonts w:ascii="Palatino Linotype" w:hAnsi="Palatino Linotype" w:cs="Arial"/>
          <w:bCs/>
          <w:sz w:val="22"/>
          <w:szCs w:val="22"/>
        </w:rPr>
        <w:t xml:space="preserve">creased by </w:t>
      </w:r>
      <w:r>
        <w:rPr>
          <w:rFonts w:ascii="Palatino Linotype" w:hAnsi="Palatino Linotype" w:cs="Arial"/>
          <w:bCs/>
          <w:sz w:val="22"/>
          <w:szCs w:val="22"/>
        </w:rPr>
        <w:t>68.7</w:t>
      </w:r>
      <w:r w:rsidRPr="00DA1314">
        <w:rPr>
          <w:rFonts w:ascii="Palatino Linotype" w:hAnsi="Palatino Linotype" w:cs="Arial"/>
          <w:bCs/>
          <w:sz w:val="22"/>
          <w:szCs w:val="22"/>
        </w:rPr>
        <w:t xml:space="preserve"> per cent during the month driven by </w:t>
      </w:r>
      <w:r>
        <w:rPr>
          <w:rFonts w:ascii="Palatino Linotype" w:hAnsi="Palatino Linotype" w:cs="Arial"/>
          <w:bCs/>
          <w:sz w:val="22"/>
          <w:szCs w:val="22"/>
        </w:rPr>
        <w:t>in</w:t>
      </w:r>
      <w:r w:rsidRPr="00DA1314">
        <w:rPr>
          <w:rFonts w:ascii="Palatino Linotype" w:hAnsi="Palatino Linotype" w:cs="Arial"/>
          <w:bCs/>
          <w:sz w:val="22"/>
          <w:szCs w:val="22"/>
        </w:rPr>
        <w:t xml:space="preserve">crease in </w:t>
      </w:r>
      <w:r>
        <w:rPr>
          <w:rFonts w:ascii="Palatino Linotype" w:hAnsi="Palatino Linotype" w:cs="Arial"/>
          <w:bCs/>
          <w:sz w:val="22"/>
          <w:szCs w:val="22"/>
        </w:rPr>
        <w:t xml:space="preserve">traded value in </w:t>
      </w:r>
      <w:r w:rsidRPr="00DA1314">
        <w:rPr>
          <w:rFonts w:ascii="Palatino Linotype" w:hAnsi="Palatino Linotype" w:cs="Arial"/>
          <w:bCs/>
          <w:sz w:val="22"/>
          <w:szCs w:val="22"/>
        </w:rPr>
        <w:t>bullion</w:t>
      </w:r>
      <w:r>
        <w:rPr>
          <w:rFonts w:ascii="Palatino Linotype" w:hAnsi="Palatino Linotype" w:cs="Arial"/>
          <w:bCs/>
          <w:sz w:val="22"/>
          <w:szCs w:val="22"/>
        </w:rPr>
        <w:t>, metal and energy</w:t>
      </w:r>
      <w:r w:rsidRPr="00DA1314">
        <w:rPr>
          <w:rFonts w:ascii="Palatino Linotype" w:hAnsi="Palatino Linotype" w:cs="Arial"/>
          <w:bCs/>
          <w:sz w:val="22"/>
          <w:szCs w:val="22"/>
        </w:rPr>
        <w:t xml:space="preserve"> segment</w:t>
      </w:r>
      <w:r>
        <w:rPr>
          <w:rFonts w:ascii="Palatino Linotype" w:hAnsi="Palatino Linotype" w:cs="Arial"/>
          <w:bCs/>
          <w:sz w:val="22"/>
          <w:szCs w:val="22"/>
        </w:rPr>
        <w:t xml:space="preserve">s by 12.5 per cent, 36.4 per cent and 219.4 per cent respectively. </w:t>
      </w:r>
      <w:r w:rsidRPr="00DA1314">
        <w:rPr>
          <w:rFonts w:ascii="Palatino Linotype" w:hAnsi="Palatino Linotype" w:cs="Arial"/>
          <w:bCs/>
          <w:sz w:val="22"/>
          <w:szCs w:val="22"/>
        </w:rPr>
        <w:t xml:space="preserve">The options contracts contributed </w:t>
      </w:r>
      <w:r>
        <w:rPr>
          <w:rFonts w:ascii="Palatino Linotype" w:hAnsi="Palatino Linotype" w:cs="Arial"/>
          <w:bCs/>
          <w:sz w:val="22"/>
          <w:szCs w:val="22"/>
        </w:rPr>
        <w:t>4.5</w:t>
      </w:r>
      <w:r w:rsidRPr="00DA1314">
        <w:rPr>
          <w:rFonts w:ascii="Palatino Linotype" w:hAnsi="Palatino Linotype" w:cs="Arial"/>
          <w:bCs/>
          <w:sz w:val="22"/>
          <w:szCs w:val="22"/>
        </w:rPr>
        <w:t xml:space="preserve"> per cent to the total turnover at MCX.</w:t>
      </w:r>
    </w:p>
    <w:p w:rsidR="001755DE" w:rsidRPr="003F4D29" w:rsidRDefault="001755DE" w:rsidP="001755DE">
      <w:pPr>
        <w:pStyle w:val="ListParagraph"/>
        <w:numPr>
          <w:ilvl w:val="0"/>
          <w:numId w:val="29"/>
        </w:numPr>
        <w:spacing w:after="0" w:line="240" w:lineRule="auto"/>
        <w:ind w:left="284" w:hanging="284"/>
        <w:jc w:val="both"/>
        <w:rPr>
          <w:rFonts w:ascii="Palatino Linotype" w:hAnsi="Palatino Linotype" w:cs="Arial"/>
          <w:bCs/>
          <w:sz w:val="22"/>
          <w:szCs w:val="22"/>
        </w:rPr>
      </w:pPr>
      <w:r w:rsidRPr="003F4D29">
        <w:rPr>
          <w:rFonts w:ascii="Palatino Linotype" w:hAnsi="Palatino Linotype" w:cs="Arial"/>
          <w:bCs/>
          <w:sz w:val="22"/>
          <w:szCs w:val="22"/>
        </w:rPr>
        <w:t xml:space="preserve">The total turnover at BSE increased by 10.0 per cent to </w:t>
      </w:r>
      <w:r w:rsidRPr="003F4D29">
        <w:rPr>
          <w:rFonts w:ascii="Tahoma" w:hAnsi="Tahoma" w:cs="Tahoma"/>
          <w:bCs/>
          <w:sz w:val="22"/>
          <w:szCs w:val="22"/>
        </w:rPr>
        <w:t>₹</w:t>
      </w:r>
      <w:r w:rsidRPr="003F4D29">
        <w:rPr>
          <w:rFonts w:ascii="Palatino Linotype" w:hAnsi="Palatino Linotype" w:cs="Arial"/>
          <w:bCs/>
          <w:sz w:val="22"/>
          <w:szCs w:val="22"/>
        </w:rPr>
        <w:t xml:space="preserve"> 71,708.5 crore driven by increase in turnover in bullion </w:t>
      </w:r>
      <w:r>
        <w:rPr>
          <w:rFonts w:ascii="Palatino Linotype" w:hAnsi="Palatino Linotype" w:cs="Arial"/>
          <w:bCs/>
          <w:sz w:val="22"/>
          <w:szCs w:val="22"/>
        </w:rPr>
        <w:t xml:space="preserve">options </w:t>
      </w:r>
      <w:r w:rsidRPr="003F4D29">
        <w:rPr>
          <w:rFonts w:ascii="Palatino Linotype" w:hAnsi="Palatino Linotype" w:cs="Arial"/>
          <w:bCs/>
          <w:sz w:val="22"/>
          <w:szCs w:val="22"/>
        </w:rPr>
        <w:t xml:space="preserve">by 10.0 per cent in March 2021. </w:t>
      </w:r>
      <w:r>
        <w:rPr>
          <w:rFonts w:ascii="Palatino Linotype" w:hAnsi="Palatino Linotype" w:cs="Arial"/>
          <w:bCs/>
          <w:sz w:val="22"/>
          <w:szCs w:val="22"/>
        </w:rPr>
        <w:t xml:space="preserve">In </w:t>
      </w:r>
      <w:r w:rsidRPr="003F4D29">
        <w:rPr>
          <w:rFonts w:ascii="Palatino Linotype" w:hAnsi="Palatino Linotype" w:cs="Arial"/>
          <w:bCs/>
          <w:sz w:val="22"/>
          <w:szCs w:val="22"/>
        </w:rPr>
        <w:t>futures segment</w:t>
      </w:r>
      <w:r>
        <w:rPr>
          <w:rFonts w:ascii="Palatino Linotype" w:hAnsi="Palatino Linotype" w:cs="Arial"/>
          <w:bCs/>
          <w:sz w:val="22"/>
          <w:szCs w:val="22"/>
        </w:rPr>
        <w:t xml:space="preserve">, </w:t>
      </w:r>
      <w:r w:rsidRPr="003F4D29">
        <w:rPr>
          <w:rFonts w:ascii="Palatino Linotype" w:hAnsi="Palatino Linotype" w:cs="Arial"/>
          <w:bCs/>
          <w:sz w:val="22"/>
          <w:szCs w:val="22"/>
        </w:rPr>
        <w:t xml:space="preserve">agri. and bullion contracts </w:t>
      </w:r>
      <w:r>
        <w:rPr>
          <w:rFonts w:ascii="Palatino Linotype" w:hAnsi="Palatino Linotype" w:cs="Arial"/>
          <w:bCs/>
          <w:sz w:val="22"/>
          <w:szCs w:val="22"/>
        </w:rPr>
        <w:t xml:space="preserve">registered an increase of </w:t>
      </w:r>
      <w:r w:rsidRPr="003F4D29">
        <w:rPr>
          <w:rFonts w:ascii="Palatino Linotype" w:hAnsi="Palatino Linotype" w:cs="Arial"/>
          <w:bCs/>
          <w:sz w:val="22"/>
          <w:szCs w:val="22"/>
        </w:rPr>
        <w:t>38.9 per cent and 18.0 per cent respectively</w:t>
      </w:r>
      <w:r>
        <w:rPr>
          <w:rFonts w:ascii="Palatino Linotype" w:hAnsi="Palatino Linotype" w:cs="Arial"/>
          <w:bCs/>
          <w:sz w:val="22"/>
          <w:szCs w:val="22"/>
        </w:rPr>
        <w:t xml:space="preserve"> during the month</w:t>
      </w:r>
      <w:r w:rsidRPr="003F4D29">
        <w:rPr>
          <w:rFonts w:ascii="Palatino Linotype" w:hAnsi="Palatino Linotype" w:cs="Arial"/>
          <w:bCs/>
          <w:sz w:val="22"/>
          <w:szCs w:val="22"/>
        </w:rPr>
        <w:t xml:space="preserve">. </w:t>
      </w:r>
    </w:p>
    <w:p w:rsidR="001755DE" w:rsidRPr="00D651BF" w:rsidRDefault="001755DE" w:rsidP="001755DE">
      <w:pPr>
        <w:pStyle w:val="ListParagraph"/>
        <w:numPr>
          <w:ilvl w:val="0"/>
          <w:numId w:val="29"/>
        </w:numPr>
        <w:spacing w:after="0" w:line="240" w:lineRule="auto"/>
        <w:ind w:left="284" w:hanging="284"/>
        <w:jc w:val="both"/>
        <w:rPr>
          <w:rFonts w:ascii="Palatino Linotype" w:hAnsi="Palatino Linotype" w:cs="Arial"/>
          <w:bCs/>
        </w:rPr>
      </w:pPr>
      <w:r w:rsidRPr="00DA1314">
        <w:rPr>
          <w:rFonts w:ascii="Palatino Linotype" w:hAnsi="Palatino Linotype" w:cs="Arial"/>
          <w:bCs/>
          <w:sz w:val="22"/>
          <w:szCs w:val="22"/>
        </w:rPr>
        <w:t xml:space="preserve">During the month, the total turnover at NCDEX </w:t>
      </w:r>
      <w:r>
        <w:rPr>
          <w:rFonts w:ascii="Palatino Linotype" w:hAnsi="Palatino Linotype" w:cs="Arial"/>
          <w:bCs/>
          <w:sz w:val="22"/>
          <w:szCs w:val="22"/>
        </w:rPr>
        <w:t>in</w:t>
      </w:r>
      <w:r w:rsidRPr="00DA1314">
        <w:rPr>
          <w:rFonts w:ascii="Palatino Linotype" w:hAnsi="Palatino Linotype" w:cs="Arial"/>
          <w:bCs/>
          <w:sz w:val="22"/>
          <w:szCs w:val="22"/>
        </w:rPr>
        <w:t xml:space="preserve">creased by </w:t>
      </w:r>
      <w:r>
        <w:rPr>
          <w:rFonts w:ascii="Palatino Linotype" w:hAnsi="Palatino Linotype" w:cs="Arial"/>
          <w:bCs/>
          <w:sz w:val="22"/>
          <w:szCs w:val="22"/>
        </w:rPr>
        <w:t>42.6</w:t>
      </w:r>
      <w:r w:rsidRPr="00DA1314">
        <w:rPr>
          <w:rFonts w:ascii="Palatino Linotype" w:hAnsi="Palatino Linotype" w:cs="Arial"/>
          <w:bCs/>
          <w:sz w:val="22"/>
          <w:szCs w:val="22"/>
        </w:rPr>
        <w:t xml:space="preserve"> per cent to </w:t>
      </w:r>
      <w:r w:rsidRPr="00DA1314">
        <w:rPr>
          <w:rFonts w:ascii="Times New Roman" w:hAnsi="Times New Roman"/>
          <w:bCs/>
          <w:sz w:val="22"/>
          <w:szCs w:val="22"/>
        </w:rPr>
        <w:t>₹</w:t>
      </w:r>
      <w:r>
        <w:rPr>
          <w:rFonts w:ascii="Times New Roman" w:hAnsi="Times New Roman"/>
          <w:bCs/>
          <w:sz w:val="22"/>
          <w:szCs w:val="22"/>
        </w:rPr>
        <w:t xml:space="preserve"> </w:t>
      </w:r>
      <w:r>
        <w:rPr>
          <w:rFonts w:ascii="Palatino Linotype" w:hAnsi="Palatino Linotype" w:cs="Arial"/>
          <w:bCs/>
          <w:sz w:val="22"/>
          <w:szCs w:val="22"/>
        </w:rPr>
        <w:t>43,920.0</w:t>
      </w:r>
      <w:r w:rsidRPr="00DA1314">
        <w:rPr>
          <w:rFonts w:ascii="Palatino Linotype" w:hAnsi="Palatino Linotype" w:cs="Arial"/>
          <w:bCs/>
          <w:sz w:val="22"/>
          <w:szCs w:val="22"/>
        </w:rPr>
        <w:t xml:space="preserve"> crore, due to </w:t>
      </w:r>
      <w:r>
        <w:rPr>
          <w:rFonts w:ascii="Palatino Linotype" w:hAnsi="Palatino Linotype" w:cs="Arial"/>
          <w:bCs/>
          <w:sz w:val="22"/>
          <w:szCs w:val="22"/>
        </w:rPr>
        <w:t>in</w:t>
      </w:r>
      <w:r w:rsidRPr="00DA1314">
        <w:rPr>
          <w:rFonts w:ascii="Palatino Linotype" w:hAnsi="Palatino Linotype" w:cs="Arial"/>
          <w:bCs/>
          <w:sz w:val="22"/>
          <w:szCs w:val="22"/>
        </w:rPr>
        <w:t xml:space="preserve">crease in traded </w:t>
      </w:r>
      <w:r>
        <w:rPr>
          <w:rFonts w:ascii="Palatino Linotype" w:hAnsi="Palatino Linotype" w:cs="Arial"/>
          <w:bCs/>
          <w:sz w:val="22"/>
          <w:szCs w:val="22"/>
        </w:rPr>
        <w:t xml:space="preserve">volume and </w:t>
      </w:r>
      <w:r w:rsidRPr="00DA1314">
        <w:rPr>
          <w:rFonts w:ascii="Palatino Linotype" w:hAnsi="Palatino Linotype" w:cs="Arial"/>
          <w:bCs/>
          <w:sz w:val="22"/>
          <w:szCs w:val="22"/>
        </w:rPr>
        <w:t xml:space="preserve">value of </w:t>
      </w:r>
      <w:r>
        <w:rPr>
          <w:rFonts w:ascii="Palatino Linotype" w:hAnsi="Palatino Linotype" w:cs="Arial"/>
          <w:bCs/>
          <w:sz w:val="22"/>
          <w:szCs w:val="22"/>
        </w:rPr>
        <w:t xml:space="preserve">nine </w:t>
      </w:r>
      <w:r w:rsidRPr="00DA1314">
        <w:rPr>
          <w:rFonts w:ascii="Palatino Linotype" w:hAnsi="Palatino Linotype" w:cs="Arial"/>
          <w:bCs/>
          <w:sz w:val="22"/>
          <w:szCs w:val="22"/>
        </w:rPr>
        <w:t xml:space="preserve">out of total </w:t>
      </w:r>
      <w:r>
        <w:rPr>
          <w:rFonts w:ascii="Palatino Linotype" w:hAnsi="Palatino Linotype" w:cs="Arial"/>
          <w:bCs/>
          <w:sz w:val="22"/>
          <w:szCs w:val="22"/>
        </w:rPr>
        <w:t>15</w:t>
      </w:r>
      <w:r w:rsidRPr="00DA1314">
        <w:rPr>
          <w:rFonts w:ascii="Palatino Linotype" w:hAnsi="Palatino Linotype" w:cs="Arial"/>
          <w:bCs/>
          <w:sz w:val="22"/>
          <w:szCs w:val="22"/>
        </w:rPr>
        <w:t xml:space="preserve"> traded commodities. Turnover in Agridex futures indices </w:t>
      </w:r>
      <w:r>
        <w:rPr>
          <w:rFonts w:ascii="Palatino Linotype" w:hAnsi="Palatino Linotype" w:cs="Arial"/>
          <w:bCs/>
          <w:sz w:val="22"/>
          <w:szCs w:val="22"/>
        </w:rPr>
        <w:t>in</w:t>
      </w:r>
      <w:r w:rsidRPr="00DA1314">
        <w:rPr>
          <w:rFonts w:ascii="Palatino Linotype" w:hAnsi="Palatino Linotype" w:cs="Arial"/>
          <w:bCs/>
          <w:sz w:val="22"/>
          <w:szCs w:val="22"/>
        </w:rPr>
        <w:t xml:space="preserve">creased to </w:t>
      </w:r>
      <w:r w:rsidRPr="00E15F87">
        <w:rPr>
          <w:rFonts w:ascii="Tahoma" w:hAnsi="Tahoma" w:cs="Tahoma"/>
          <w:bCs/>
          <w:sz w:val="22"/>
          <w:szCs w:val="22"/>
        </w:rPr>
        <w:t>₹</w:t>
      </w:r>
      <w:r w:rsidRPr="00E3187F">
        <w:rPr>
          <w:rFonts w:ascii="Palatino Linotype" w:hAnsi="Palatino Linotype" w:cs="Arial"/>
          <w:bCs/>
          <w:sz w:val="22"/>
          <w:szCs w:val="22"/>
        </w:rPr>
        <w:t>12.9</w:t>
      </w:r>
      <w:r w:rsidRPr="00DA1314">
        <w:rPr>
          <w:rFonts w:ascii="Palatino Linotype" w:hAnsi="Palatino Linotype" w:cs="Arial"/>
          <w:bCs/>
          <w:sz w:val="22"/>
          <w:szCs w:val="22"/>
        </w:rPr>
        <w:t xml:space="preserve"> crore, a</w:t>
      </w:r>
      <w:r>
        <w:rPr>
          <w:rFonts w:ascii="Palatino Linotype" w:hAnsi="Palatino Linotype" w:cs="Arial"/>
          <w:bCs/>
          <w:sz w:val="22"/>
          <w:szCs w:val="22"/>
        </w:rPr>
        <w:t>n</w:t>
      </w:r>
      <w:r w:rsidRPr="00DA1314">
        <w:rPr>
          <w:rFonts w:ascii="Palatino Linotype" w:hAnsi="Palatino Linotype" w:cs="Arial"/>
          <w:bCs/>
          <w:sz w:val="22"/>
          <w:szCs w:val="22"/>
        </w:rPr>
        <w:t xml:space="preserve"> </w:t>
      </w:r>
      <w:r>
        <w:rPr>
          <w:rFonts w:ascii="Palatino Linotype" w:hAnsi="Palatino Linotype" w:cs="Arial"/>
          <w:bCs/>
          <w:sz w:val="22"/>
          <w:szCs w:val="22"/>
        </w:rPr>
        <w:t>increase</w:t>
      </w:r>
      <w:r w:rsidRPr="00DA1314">
        <w:rPr>
          <w:rFonts w:ascii="Palatino Linotype" w:hAnsi="Palatino Linotype" w:cs="Arial"/>
          <w:bCs/>
          <w:sz w:val="22"/>
          <w:szCs w:val="22"/>
        </w:rPr>
        <w:t xml:space="preserve"> of </w:t>
      </w:r>
      <w:r>
        <w:rPr>
          <w:rFonts w:ascii="Palatino Linotype" w:hAnsi="Palatino Linotype" w:cs="Arial"/>
          <w:bCs/>
          <w:sz w:val="22"/>
          <w:szCs w:val="22"/>
        </w:rPr>
        <w:t>59.9</w:t>
      </w:r>
      <w:r w:rsidRPr="00DA1314">
        <w:rPr>
          <w:rFonts w:ascii="Palatino Linotype" w:hAnsi="Palatino Linotype" w:cs="Arial"/>
          <w:bCs/>
          <w:sz w:val="22"/>
          <w:szCs w:val="22"/>
        </w:rPr>
        <w:t xml:space="preserve"> per cent during </w:t>
      </w:r>
      <w:r>
        <w:rPr>
          <w:rFonts w:ascii="Palatino Linotype" w:hAnsi="Palatino Linotype" w:cs="Arial"/>
          <w:bCs/>
          <w:sz w:val="22"/>
          <w:szCs w:val="22"/>
        </w:rPr>
        <w:t>March</w:t>
      </w:r>
      <w:r w:rsidRPr="00DA1314">
        <w:rPr>
          <w:rFonts w:ascii="Palatino Linotype" w:hAnsi="Palatino Linotype" w:cs="Arial"/>
          <w:bCs/>
          <w:sz w:val="22"/>
          <w:szCs w:val="22"/>
        </w:rPr>
        <w:t xml:space="preserve"> 202</w:t>
      </w:r>
      <w:r>
        <w:rPr>
          <w:rFonts w:ascii="Palatino Linotype" w:hAnsi="Palatino Linotype" w:cs="Arial"/>
          <w:bCs/>
          <w:sz w:val="22"/>
          <w:szCs w:val="22"/>
        </w:rPr>
        <w:t>1</w:t>
      </w:r>
      <w:r w:rsidRPr="00DA1314">
        <w:rPr>
          <w:rFonts w:ascii="Palatino Linotype" w:hAnsi="Palatino Linotype" w:cs="Arial"/>
          <w:bCs/>
          <w:sz w:val="22"/>
          <w:szCs w:val="22"/>
        </w:rPr>
        <w:t>.</w:t>
      </w:r>
      <w:r>
        <w:rPr>
          <w:rFonts w:ascii="Palatino Linotype" w:hAnsi="Palatino Linotype" w:cs="Arial"/>
          <w:bCs/>
          <w:sz w:val="22"/>
          <w:szCs w:val="22"/>
        </w:rPr>
        <w:t xml:space="preserve"> Steel long contracts of non-agri. segment registered a total turnover of </w:t>
      </w:r>
      <w:r w:rsidRPr="00DA1314">
        <w:rPr>
          <w:rFonts w:ascii="Times New Roman" w:hAnsi="Times New Roman"/>
          <w:bCs/>
          <w:sz w:val="22"/>
          <w:szCs w:val="22"/>
        </w:rPr>
        <w:t>₹</w:t>
      </w:r>
      <w:r>
        <w:rPr>
          <w:rFonts w:ascii="Times New Roman" w:hAnsi="Times New Roman"/>
          <w:bCs/>
          <w:sz w:val="22"/>
          <w:szCs w:val="22"/>
        </w:rPr>
        <w:t xml:space="preserve">25 </w:t>
      </w:r>
      <w:r w:rsidRPr="00E15F87">
        <w:rPr>
          <w:rFonts w:ascii="Palatino Linotype" w:hAnsi="Palatino Linotype" w:cs="Arial"/>
          <w:bCs/>
          <w:sz w:val="22"/>
          <w:szCs w:val="22"/>
        </w:rPr>
        <w:t>crore</w:t>
      </w:r>
      <w:r>
        <w:rPr>
          <w:rFonts w:ascii="Palatino Linotype" w:hAnsi="Palatino Linotype" w:cs="Arial"/>
          <w:bCs/>
          <w:sz w:val="22"/>
          <w:szCs w:val="22"/>
        </w:rPr>
        <w:t xml:space="preserve"> during the month</w:t>
      </w:r>
      <w:r>
        <w:rPr>
          <w:rFonts w:ascii="Times New Roman" w:hAnsi="Times New Roman"/>
          <w:bCs/>
          <w:sz w:val="22"/>
          <w:szCs w:val="22"/>
        </w:rPr>
        <w:t>.</w:t>
      </w:r>
    </w:p>
    <w:p w:rsidR="001755DE" w:rsidRDefault="001755DE" w:rsidP="001755DE">
      <w:pPr>
        <w:pStyle w:val="ListParagraph"/>
        <w:numPr>
          <w:ilvl w:val="0"/>
          <w:numId w:val="29"/>
        </w:numPr>
        <w:spacing w:after="0" w:line="240" w:lineRule="auto"/>
        <w:ind w:left="284" w:hanging="284"/>
        <w:jc w:val="both"/>
        <w:rPr>
          <w:rFonts w:ascii="Palatino Linotype" w:hAnsi="Palatino Linotype" w:cs="Arial"/>
          <w:bCs/>
          <w:sz w:val="22"/>
          <w:szCs w:val="22"/>
        </w:rPr>
      </w:pPr>
      <w:r>
        <w:rPr>
          <w:rFonts w:ascii="Palatino Linotype" w:hAnsi="Palatino Linotype" w:cs="Arial"/>
          <w:bCs/>
          <w:sz w:val="22"/>
          <w:szCs w:val="22"/>
        </w:rPr>
        <w:t>The total turnover at NSE in</w:t>
      </w:r>
      <w:r w:rsidRPr="009454C6">
        <w:rPr>
          <w:rFonts w:ascii="Palatino Linotype" w:hAnsi="Palatino Linotype" w:cs="Arial"/>
          <w:bCs/>
          <w:sz w:val="22"/>
          <w:szCs w:val="22"/>
        </w:rPr>
        <w:t xml:space="preserve">creased by </w:t>
      </w:r>
      <w:r>
        <w:rPr>
          <w:rFonts w:ascii="Palatino Linotype" w:hAnsi="Palatino Linotype" w:cs="Arial"/>
          <w:bCs/>
          <w:sz w:val="22"/>
          <w:szCs w:val="22"/>
        </w:rPr>
        <w:t>41.8</w:t>
      </w:r>
      <w:r w:rsidRPr="009454C6">
        <w:rPr>
          <w:rFonts w:ascii="Palatino Linotype" w:hAnsi="Palatino Linotype" w:cs="Arial"/>
          <w:bCs/>
          <w:sz w:val="22"/>
          <w:szCs w:val="22"/>
        </w:rPr>
        <w:t xml:space="preserve"> per cent to </w:t>
      </w:r>
      <w:r w:rsidRPr="009454C6">
        <w:rPr>
          <w:rFonts w:ascii="Times New Roman" w:hAnsi="Times New Roman"/>
          <w:bCs/>
          <w:sz w:val="22"/>
          <w:szCs w:val="22"/>
        </w:rPr>
        <w:t>₹</w:t>
      </w:r>
      <w:r w:rsidRPr="009454C6">
        <w:rPr>
          <w:rFonts w:ascii="Palatino Linotype" w:hAnsi="Palatino Linotype" w:cs="Arial"/>
          <w:bCs/>
          <w:sz w:val="22"/>
          <w:szCs w:val="22"/>
        </w:rPr>
        <w:t>2,</w:t>
      </w:r>
      <w:r>
        <w:rPr>
          <w:rFonts w:ascii="Palatino Linotype" w:hAnsi="Palatino Linotype" w:cs="Arial"/>
          <w:bCs/>
          <w:sz w:val="22"/>
          <w:szCs w:val="22"/>
        </w:rPr>
        <w:t>890.0</w:t>
      </w:r>
      <w:r w:rsidRPr="009454C6">
        <w:rPr>
          <w:rFonts w:ascii="Palatino Linotype" w:hAnsi="Palatino Linotype" w:cs="Arial"/>
          <w:bCs/>
          <w:sz w:val="22"/>
          <w:szCs w:val="22"/>
        </w:rPr>
        <w:t xml:space="preserve"> crore in </w:t>
      </w:r>
      <w:r>
        <w:rPr>
          <w:rFonts w:ascii="Palatino Linotype" w:hAnsi="Palatino Linotype" w:cs="Arial"/>
          <w:bCs/>
          <w:sz w:val="22"/>
          <w:szCs w:val="22"/>
        </w:rPr>
        <w:t xml:space="preserve">March 2021 </w:t>
      </w:r>
      <w:r w:rsidRPr="009454C6">
        <w:rPr>
          <w:rFonts w:ascii="Palatino Linotype" w:hAnsi="Palatino Linotype" w:cs="Arial"/>
          <w:bCs/>
          <w:sz w:val="22"/>
          <w:szCs w:val="22"/>
        </w:rPr>
        <w:t>on account of</w:t>
      </w:r>
      <w:r>
        <w:rPr>
          <w:rFonts w:ascii="Palatino Linotype" w:hAnsi="Palatino Linotype" w:cs="Arial"/>
          <w:bCs/>
          <w:sz w:val="22"/>
          <w:szCs w:val="22"/>
        </w:rPr>
        <w:t xml:space="preserve"> increase in turnover in agri. and bullion contracts of futures segment by 81.8 per cent and 29.4 per cent respectively</w:t>
      </w:r>
      <w:r w:rsidRPr="009454C6">
        <w:rPr>
          <w:rFonts w:ascii="Palatino Linotype" w:hAnsi="Palatino Linotype" w:cs="Arial"/>
          <w:bCs/>
          <w:sz w:val="22"/>
          <w:szCs w:val="22"/>
        </w:rPr>
        <w:t xml:space="preserve">. </w:t>
      </w:r>
      <w:r>
        <w:rPr>
          <w:rFonts w:ascii="Palatino Linotype" w:hAnsi="Palatino Linotype" w:cs="Arial"/>
          <w:bCs/>
          <w:sz w:val="22"/>
          <w:szCs w:val="22"/>
        </w:rPr>
        <w:t>In options segment, bullion contracts recorded an increase of 9.3</w:t>
      </w:r>
      <w:r w:rsidRPr="009454C6">
        <w:rPr>
          <w:rFonts w:ascii="Palatino Linotype" w:hAnsi="Palatino Linotype" w:cs="Arial"/>
          <w:bCs/>
          <w:sz w:val="22"/>
          <w:szCs w:val="22"/>
        </w:rPr>
        <w:t xml:space="preserve"> per cent</w:t>
      </w:r>
      <w:r>
        <w:rPr>
          <w:rFonts w:ascii="Palatino Linotype" w:hAnsi="Palatino Linotype" w:cs="Arial"/>
          <w:bCs/>
          <w:sz w:val="22"/>
          <w:szCs w:val="22"/>
        </w:rPr>
        <w:t xml:space="preserve"> during the month. </w:t>
      </w:r>
    </w:p>
    <w:p w:rsidR="001755DE" w:rsidRPr="00FD351C" w:rsidRDefault="001755DE" w:rsidP="001755DE">
      <w:pPr>
        <w:pStyle w:val="ListParagraph"/>
        <w:numPr>
          <w:ilvl w:val="0"/>
          <w:numId w:val="30"/>
        </w:numPr>
        <w:spacing w:after="0" w:line="240" w:lineRule="auto"/>
        <w:ind w:left="284" w:hanging="284"/>
        <w:jc w:val="both"/>
        <w:rPr>
          <w:rFonts w:ascii="Palatino Linotype" w:hAnsi="Palatino Linotype" w:cs="Arial"/>
          <w:bCs/>
          <w:sz w:val="22"/>
          <w:szCs w:val="22"/>
        </w:rPr>
      </w:pPr>
      <w:r w:rsidRPr="00184B26">
        <w:rPr>
          <w:rFonts w:ascii="Palatino Linotype" w:hAnsi="Palatino Linotype" w:cs="Arial"/>
          <w:bCs/>
          <w:sz w:val="22"/>
          <w:szCs w:val="22"/>
        </w:rPr>
        <w:t xml:space="preserve">In </w:t>
      </w:r>
      <w:r>
        <w:rPr>
          <w:rFonts w:ascii="Palatino Linotype" w:hAnsi="Palatino Linotype" w:cs="Arial"/>
          <w:bCs/>
          <w:sz w:val="22"/>
          <w:szCs w:val="22"/>
        </w:rPr>
        <w:t>March</w:t>
      </w:r>
      <w:r w:rsidRPr="00184B26">
        <w:rPr>
          <w:rFonts w:ascii="Palatino Linotype" w:hAnsi="Palatino Linotype" w:cs="Arial"/>
          <w:bCs/>
          <w:sz w:val="22"/>
          <w:szCs w:val="22"/>
        </w:rPr>
        <w:t xml:space="preserve"> 2021, </w:t>
      </w:r>
      <w:r w:rsidRPr="00FD351C">
        <w:rPr>
          <w:rFonts w:ascii="Palatino Linotype" w:hAnsi="Palatino Linotype" w:cs="Arial"/>
          <w:bCs/>
          <w:sz w:val="22"/>
          <w:szCs w:val="22"/>
        </w:rPr>
        <w:t xml:space="preserve">the total turnover at ICEX, increased by </w:t>
      </w:r>
      <w:r>
        <w:rPr>
          <w:rFonts w:ascii="Palatino Linotype" w:hAnsi="Palatino Linotype" w:cs="Arial"/>
          <w:bCs/>
          <w:sz w:val="22"/>
          <w:szCs w:val="22"/>
        </w:rPr>
        <w:t>20.8</w:t>
      </w:r>
      <w:r w:rsidRPr="00FD351C">
        <w:rPr>
          <w:rFonts w:ascii="Palatino Linotype" w:hAnsi="Palatino Linotype" w:cs="Arial"/>
          <w:bCs/>
          <w:sz w:val="22"/>
          <w:szCs w:val="22"/>
        </w:rPr>
        <w:t xml:space="preserve"> per cent </w:t>
      </w:r>
      <w:r w:rsidRPr="00B92991">
        <w:rPr>
          <w:rFonts w:ascii="Palatino Linotype" w:hAnsi="Palatino Linotype" w:cs="Arial"/>
          <w:bCs/>
          <w:sz w:val="22"/>
          <w:szCs w:val="22"/>
        </w:rPr>
        <w:t xml:space="preserve">to </w:t>
      </w:r>
      <w:r w:rsidRPr="00FD351C">
        <w:rPr>
          <w:rFonts w:ascii="Tahoma" w:hAnsi="Tahoma" w:cs="Tahoma"/>
          <w:bCs/>
          <w:sz w:val="22"/>
          <w:szCs w:val="22"/>
        </w:rPr>
        <w:t>₹</w:t>
      </w:r>
      <w:r>
        <w:rPr>
          <w:rFonts w:ascii="Tahoma" w:hAnsi="Tahoma" w:cs="Tahoma"/>
          <w:bCs/>
          <w:sz w:val="22"/>
          <w:szCs w:val="22"/>
        </w:rPr>
        <w:t xml:space="preserve"> </w:t>
      </w:r>
      <w:r w:rsidRPr="00EE6105">
        <w:rPr>
          <w:rFonts w:ascii="Palatino Linotype" w:hAnsi="Palatino Linotype" w:cs="Arial"/>
          <w:bCs/>
          <w:sz w:val="22"/>
          <w:szCs w:val="22"/>
        </w:rPr>
        <w:t>22.5</w:t>
      </w:r>
      <w:r w:rsidRPr="00FD351C">
        <w:rPr>
          <w:rFonts w:ascii="Palatino Linotype" w:hAnsi="Palatino Linotype" w:cs="Arial"/>
          <w:bCs/>
          <w:sz w:val="22"/>
          <w:szCs w:val="22"/>
        </w:rPr>
        <w:t xml:space="preserve"> crore </w:t>
      </w:r>
      <w:r w:rsidRPr="00184B26">
        <w:rPr>
          <w:rFonts w:ascii="Palatino Linotype" w:hAnsi="Palatino Linotype" w:cs="Arial"/>
          <w:bCs/>
          <w:sz w:val="22"/>
          <w:szCs w:val="22"/>
        </w:rPr>
        <w:t xml:space="preserve">due to increase in traded value of </w:t>
      </w:r>
      <w:r>
        <w:rPr>
          <w:rFonts w:ascii="Palatino Linotype" w:hAnsi="Palatino Linotype" w:cs="Arial"/>
          <w:bCs/>
          <w:sz w:val="22"/>
          <w:szCs w:val="22"/>
        </w:rPr>
        <w:t xml:space="preserve">agri. and </w:t>
      </w:r>
      <w:r w:rsidRPr="00FD351C">
        <w:rPr>
          <w:rFonts w:ascii="Palatino Linotype" w:hAnsi="Palatino Linotype" w:cs="Arial"/>
          <w:bCs/>
          <w:sz w:val="22"/>
          <w:szCs w:val="22"/>
        </w:rPr>
        <w:t>steel long contracts</w:t>
      </w:r>
      <w:r>
        <w:rPr>
          <w:rFonts w:ascii="Palatino Linotype" w:hAnsi="Palatino Linotype" w:cs="Arial"/>
          <w:bCs/>
          <w:sz w:val="22"/>
          <w:szCs w:val="22"/>
        </w:rPr>
        <w:t xml:space="preserve"> by 34.7 per cent and 18.9 per cent respectively</w:t>
      </w:r>
      <w:r>
        <w:rPr>
          <w:rFonts w:ascii="Tahoma" w:hAnsi="Tahoma" w:cs="Tahoma"/>
          <w:bCs/>
          <w:sz w:val="22"/>
          <w:szCs w:val="22"/>
        </w:rPr>
        <w:t>.</w:t>
      </w:r>
      <w:r w:rsidRPr="00FD351C">
        <w:rPr>
          <w:rFonts w:ascii="Palatino Linotype" w:hAnsi="Palatino Linotype" w:cs="Arial"/>
          <w:bCs/>
          <w:sz w:val="22"/>
          <w:szCs w:val="22"/>
        </w:rPr>
        <w:t xml:space="preserve"> </w:t>
      </w:r>
    </w:p>
    <w:p w:rsidR="001755DE" w:rsidRPr="00184B26" w:rsidRDefault="001755DE" w:rsidP="001755DE">
      <w:pPr>
        <w:pStyle w:val="ListParagraph"/>
        <w:numPr>
          <w:ilvl w:val="0"/>
          <w:numId w:val="30"/>
        </w:numPr>
        <w:spacing w:after="0" w:line="240" w:lineRule="auto"/>
        <w:ind w:left="284" w:hanging="284"/>
        <w:jc w:val="both"/>
      </w:pPr>
      <w:r w:rsidRPr="00184B26">
        <w:rPr>
          <w:rFonts w:ascii="Palatino Linotype" w:hAnsi="Palatino Linotype" w:cs="Arial"/>
          <w:bCs/>
          <w:sz w:val="22"/>
          <w:szCs w:val="22"/>
        </w:rPr>
        <w:t xml:space="preserve">The turnover of agricultural and non-agricultural commodities at exchanges is shown in Figures </w:t>
      </w:r>
      <w:r w:rsidRPr="00B92991">
        <w:rPr>
          <w:rFonts w:ascii="Palatino Linotype" w:hAnsi="Palatino Linotype" w:cs="Arial"/>
          <w:bCs/>
          <w:sz w:val="22"/>
          <w:szCs w:val="22"/>
        </w:rPr>
        <w:t>15</w:t>
      </w:r>
      <w:r w:rsidRPr="00A7414A">
        <w:rPr>
          <w:rFonts w:ascii="Palatino Linotype" w:hAnsi="Palatino Linotype" w:cs="Arial"/>
          <w:bCs/>
          <w:sz w:val="22"/>
          <w:szCs w:val="22"/>
        </w:rPr>
        <w:t>,</w:t>
      </w:r>
      <w:r w:rsidRPr="00B92991">
        <w:rPr>
          <w:rFonts w:ascii="Palatino Linotype" w:hAnsi="Palatino Linotype" w:cs="Arial"/>
          <w:bCs/>
          <w:sz w:val="22"/>
          <w:szCs w:val="22"/>
        </w:rPr>
        <w:t xml:space="preserve"> 16 and 17 and the details are given in </w:t>
      </w:r>
      <w:r w:rsidRPr="00484D1D">
        <w:rPr>
          <w:rFonts w:ascii="Palatino Linotype" w:hAnsi="Palatino Linotype" w:cs="Arial"/>
          <w:bCs/>
          <w:sz w:val="22"/>
          <w:szCs w:val="22"/>
        </w:rPr>
        <w:t>Tables 65 to 69</w:t>
      </w:r>
      <w:r w:rsidRPr="00B92991">
        <w:rPr>
          <w:rFonts w:ascii="Palatino Linotype" w:hAnsi="Palatino Linotype" w:cs="Arial"/>
          <w:bCs/>
          <w:sz w:val="22"/>
          <w:szCs w:val="22"/>
        </w:rPr>
        <w:t>.</w:t>
      </w:r>
    </w:p>
    <w:p w:rsidR="001755DE" w:rsidRDefault="001755DE" w:rsidP="001755DE">
      <w:pPr>
        <w:jc w:val="both"/>
        <w:rPr>
          <w:rFonts w:ascii="Palatino Linotype" w:hAnsi="Palatino Linotype" w:cs="Arial"/>
          <w:bCs/>
        </w:rPr>
      </w:pPr>
    </w:p>
    <w:p w:rsidR="001755DE" w:rsidRDefault="001755DE" w:rsidP="001755DE">
      <w:pPr>
        <w:pStyle w:val="ListParagraph"/>
        <w:spacing w:after="0" w:line="240" w:lineRule="auto"/>
        <w:jc w:val="center"/>
        <w:rPr>
          <w:rFonts w:ascii="Palatino Linotype" w:hAnsi="Palatino Linotype" w:cs="Arial"/>
          <w:b/>
          <w:bCs/>
          <w:sz w:val="22"/>
          <w:szCs w:val="22"/>
        </w:rPr>
      </w:pPr>
      <w:r w:rsidRPr="009B2971">
        <w:rPr>
          <w:rFonts w:ascii="Palatino Linotype" w:hAnsi="Palatino Linotype" w:cs="Arial"/>
          <w:b/>
          <w:bCs/>
          <w:sz w:val="22"/>
          <w:szCs w:val="22"/>
        </w:rPr>
        <w:t xml:space="preserve">Figure 15: Trends in Turnover of Agricultural Commodity Derivatives </w:t>
      </w:r>
    </w:p>
    <w:p w:rsidR="001755DE" w:rsidRDefault="001755DE" w:rsidP="001755DE">
      <w:pPr>
        <w:pStyle w:val="ListParagraph"/>
        <w:spacing w:after="0" w:line="240" w:lineRule="auto"/>
        <w:jc w:val="center"/>
        <w:rPr>
          <w:rFonts w:ascii="Palatino Linotype" w:hAnsi="Palatino Linotype" w:cs="Arial"/>
          <w:b/>
          <w:bCs/>
          <w:sz w:val="22"/>
          <w:szCs w:val="22"/>
        </w:rPr>
      </w:pPr>
    </w:p>
    <w:p w:rsidR="001755DE" w:rsidRDefault="001755DE" w:rsidP="001755DE">
      <w:pPr>
        <w:pStyle w:val="ListParagraph"/>
        <w:spacing w:after="0" w:line="240" w:lineRule="auto"/>
        <w:ind w:hanging="578"/>
        <w:jc w:val="center"/>
        <w:rPr>
          <w:rFonts w:ascii="Palatino Linotype" w:hAnsi="Palatino Linotype" w:cs="Arial"/>
          <w:b/>
          <w:bCs/>
          <w:sz w:val="22"/>
          <w:szCs w:val="22"/>
        </w:rPr>
      </w:pPr>
      <w:r w:rsidRPr="00797A8B">
        <w:rPr>
          <w:noProof/>
          <w:lang w:val="en-IN" w:eastAsia="en-IN" w:bidi="hi-IN"/>
        </w:rPr>
        <w:drawing>
          <wp:inline distT="0" distB="0" distL="0" distR="0">
            <wp:extent cx="5732145" cy="3207385"/>
            <wp:effectExtent l="0" t="0" r="1905" b="12065"/>
            <wp:docPr id="11" name="Chart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1755DE" w:rsidRPr="00797A8B" w:rsidRDefault="001755DE" w:rsidP="001755DE">
      <w:pPr>
        <w:pStyle w:val="ListParagraph"/>
        <w:spacing w:after="0" w:line="240" w:lineRule="auto"/>
        <w:ind w:left="0"/>
        <w:jc w:val="center"/>
        <w:rPr>
          <w:rFonts w:ascii="Palatino Linotype" w:hAnsi="Palatino Linotype" w:cs="Arial"/>
          <w:b/>
          <w:bCs/>
          <w:color w:val="2E74B5"/>
          <w:sz w:val="22"/>
          <w:szCs w:val="22"/>
        </w:rPr>
      </w:pPr>
    </w:p>
    <w:p w:rsidR="001755DE" w:rsidRPr="00797A8B" w:rsidRDefault="001755DE" w:rsidP="001755DE">
      <w:pPr>
        <w:rPr>
          <w:rFonts w:ascii="Palatino Linotype" w:hAnsi="Palatino Linotype"/>
          <w:b/>
          <w:color w:val="0D0D0D"/>
          <w:sz w:val="18"/>
          <w:szCs w:val="18"/>
        </w:rPr>
      </w:pPr>
    </w:p>
    <w:p w:rsidR="001755DE" w:rsidRPr="00797A8B" w:rsidRDefault="001755DE" w:rsidP="001755DE">
      <w:pPr>
        <w:rPr>
          <w:rFonts w:ascii="Palatino Linotype" w:hAnsi="Palatino Linotype"/>
          <w:b/>
          <w:color w:val="0D0D0D"/>
          <w:sz w:val="18"/>
          <w:szCs w:val="18"/>
        </w:rPr>
      </w:pPr>
      <w:r w:rsidRPr="00797A8B">
        <w:rPr>
          <w:rFonts w:ascii="Palatino Linotype" w:hAnsi="Palatino Linotype"/>
          <w:b/>
          <w:color w:val="0D0D0D"/>
          <w:sz w:val="18"/>
          <w:szCs w:val="18"/>
        </w:rPr>
        <w:t>Source: MCX, NCDEX, NSE, BSE &amp; ICEX</w:t>
      </w: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jc w:val="center"/>
        <w:rPr>
          <w:rFonts w:ascii="Palatino Linotype" w:hAnsi="Palatino Linotype"/>
          <w:b/>
          <w:color w:val="365F91"/>
          <w:sz w:val="22"/>
          <w:szCs w:val="22"/>
        </w:rPr>
      </w:pPr>
    </w:p>
    <w:p w:rsidR="001755DE" w:rsidRDefault="001755DE" w:rsidP="001755DE">
      <w:pPr>
        <w:pStyle w:val="ListParagraph"/>
        <w:spacing w:after="0" w:line="240" w:lineRule="auto"/>
        <w:ind w:left="426" w:hanging="862"/>
        <w:jc w:val="center"/>
        <w:rPr>
          <w:rFonts w:ascii="Palatino Linotype" w:hAnsi="Palatino Linotype"/>
          <w:b/>
          <w:sz w:val="22"/>
          <w:szCs w:val="22"/>
        </w:rPr>
      </w:pPr>
      <w:r>
        <w:rPr>
          <w:rFonts w:ascii="Palatino Linotype" w:hAnsi="Palatino Linotype"/>
          <w:b/>
          <w:sz w:val="22"/>
          <w:szCs w:val="22"/>
        </w:rPr>
        <w:t xml:space="preserve">   </w:t>
      </w:r>
      <w:r w:rsidRPr="009B2971">
        <w:rPr>
          <w:rFonts w:ascii="Palatino Linotype" w:hAnsi="Palatino Linotype"/>
          <w:b/>
          <w:sz w:val="22"/>
          <w:szCs w:val="22"/>
        </w:rPr>
        <w:t xml:space="preserve">Figure 16: Trends in </w:t>
      </w:r>
      <w:r w:rsidRPr="00484D1D">
        <w:rPr>
          <w:rFonts w:ascii="Palatino Linotype" w:hAnsi="Palatino Linotype"/>
          <w:b/>
          <w:sz w:val="22"/>
          <w:szCs w:val="22"/>
        </w:rPr>
        <w:t>Turnover of Non</w:t>
      </w:r>
      <w:r w:rsidRPr="009B2971">
        <w:rPr>
          <w:rFonts w:ascii="Palatino Linotype" w:hAnsi="Palatino Linotype"/>
          <w:b/>
          <w:sz w:val="22"/>
          <w:szCs w:val="22"/>
        </w:rPr>
        <w:t xml:space="preserve">-Agricultural </w:t>
      </w:r>
      <w:r>
        <w:rPr>
          <w:rFonts w:ascii="Palatino Linotype" w:hAnsi="Palatino Linotype"/>
          <w:b/>
          <w:sz w:val="22"/>
          <w:szCs w:val="22"/>
        </w:rPr>
        <w:t>Futures contracts</w:t>
      </w:r>
      <w:r w:rsidRPr="009B2971">
        <w:rPr>
          <w:rFonts w:ascii="Palatino Linotype" w:hAnsi="Palatino Linotype"/>
          <w:b/>
          <w:sz w:val="22"/>
          <w:szCs w:val="22"/>
        </w:rPr>
        <w:t xml:space="preserve"> </w:t>
      </w:r>
    </w:p>
    <w:p w:rsidR="001755DE" w:rsidRPr="009B2971" w:rsidRDefault="001755DE" w:rsidP="001755DE">
      <w:pPr>
        <w:pStyle w:val="ListParagraph"/>
        <w:spacing w:after="0" w:line="240" w:lineRule="auto"/>
        <w:ind w:left="426" w:hanging="862"/>
        <w:jc w:val="center"/>
        <w:rPr>
          <w:rFonts w:ascii="Palatino Linotype" w:hAnsi="Palatino Linotype" w:cs="Arial"/>
          <w:b/>
          <w:bCs/>
          <w:sz w:val="22"/>
          <w:szCs w:val="22"/>
        </w:rPr>
      </w:pPr>
      <w:r w:rsidRPr="00797A8B">
        <w:rPr>
          <w:noProof/>
          <w:lang w:val="en-IN" w:eastAsia="en-IN" w:bidi="hi-IN"/>
        </w:rPr>
        <w:drawing>
          <wp:inline distT="0" distB="0" distL="0" distR="0">
            <wp:extent cx="5732145" cy="4110355"/>
            <wp:effectExtent l="0" t="0" r="1905" b="4445"/>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1755DE" w:rsidRPr="00797A8B" w:rsidRDefault="001755DE" w:rsidP="001755DE">
      <w:pPr>
        <w:spacing w:line="259" w:lineRule="auto"/>
        <w:rPr>
          <w:rFonts w:ascii="Palatino Linotype" w:hAnsi="Palatino Linotype"/>
          <w:b/>
          <w:color w:val="0D0D0D"/>
          <w:sz w:val="18"/>
          <w:szCs w:val="18"/>
        </w:rPr>
      </w:pPr>
      <w:r w:rsidRPr="00797A8B">
        <w:rPr>
          <w:rFonts w:ascii="Palatino Linotype" w:hAnsi="Palatino Linotype"/>
          <w:b/>
          <w:color w:val="0D0D0D"/>
          <w:sz w:val="18"/>
          <w:szCs w:val="18"/>
        </w:rPr>
        <w:t xml:space="preserve">  </w:t>
      </w:r>
    </w:p>
    <w:p w:rsidR="001755DE" w:rsidRDefault="001755DE" w:rsidP="001755DE">
      <w:pPr>
        <w:spacing w:line="259" w:lineRule="auto"/>
        <w:rPr>
          <w:rFonts w:ascii="Palatino Linotype" w:hAnsi="Palatino Linotype" w:cs="Arial"/>
          <w:bCs/>
        </w:rPr>
      </w:pPr>
      <w:r w:rsidRPr="00797A8B">
        <w:rPr>
          <w:rFonts w:ascii="Palatino Linotype" w:hAnsi="Palatino Linotype"/>
          <w:b/>
          <w:color w:val="0D0D0D"/>
          <w:sz w:val="18"/>
          <w:szCs w:val="18"/>
        </w:rPr>
        <w:t>Source: MCX, ICEX, BSE &amp; NSE.</w:t>
      </w:r>
      <w:r w:rsidRPr="00B92D2D">
        <w:rPr>
          <w:rFonts w:ascii="Palatino Linotype" w:hAnsi="Palatino Linotype" w:cs="Arial"/>
          <w:bCs/>
        </w:rPr>
        <w:t xml:space="preserve">                                                                  </w:t>
      </w:r>
    </w:p>
    <w:p w:rsidR="001755DE" w:rsidRDefault="001755DE" w:rsidP="001755DE">
      <w:pPr>
        <w:pStyle w:val="ListParagraph"/>
        <w:spacing w:after="0" w:line="240" w:lineRule="auto"/>
        <w:ind w:left="-284" w:hanging="152"/>
        <w:jc w:val="center"/>
        <w:rPr>
          <w:rFonts w:ascii="Palatino Linotype" w:hAnsi="Palatino Linotype"/>
          <w:b/>
          <w:sz w:val="22"/>
          <w:szCs w:val="22"/>
        </w:rPr>
      </w:pPr>
      <w:r>
        <w:rPr>
          <w:rFonts w:ascii="Palatino Linotype" w:hAnsi="Palatino Linotype"/>
          <w:b/>
          <w:sz w:val="22"/>
          <w:szCs w:val="22"/>
        </w:rPr>
        <w:t>F</w:t>
      </w:r>
      <w:r w:rsidRPr="009B2971">
        <w:rPr>
          <w:rFonts w:ascii="Palatino Linotype" w:hAnsi="Palatino Linotype"/>
          <w:b/>
          <w:sz w:val="22"/>
          <w:szCs w:val="22"/>
        </w:rPr>
        <w:t>igure 1</w:t>
      </w:r>
      <w:r>
        <w:rPr>
          <w:rFonts w:ascii="Palatino Linotype" w:hAnsi="Palatino Linotype"/>
          <w:b/>
          <w:sz w:val="22"/>
          <w:szCs w:val="22"/>
        </w:rPr>
        <w:t>7</w:t>
      </w:r>
      <w:r w:rsidRPr="009B2971">
        <w:rPr>
          <w:rFonts w:ascii="Palatino Linotype" w:hAnsi="Palatino Linotype"/>
          <w:b/>
          <w:sz w:val="22"/>
          <w:szCs w:val="22"/>
        </w:rPr>
        <w:t xml:space="preserve">: Trends in </w:t>
      </w:r>
      <w:r w:rsidRPr="00484D1D">
        <w:rPr>
          <w:rFonts w:ascii="Palatino Linotype" w:hAnsi="Palatino Linotype"/>
          <w:b/>
          <w:sz w:val="22"/>
          <w:szCs w:val="22"/>
        </w:rPr>
        <w:t>Turnover</w:t>
      </w:r>
      <w:r w:rsidRPr="009B2971">
        <w:rPr>
          <w:rFonts w:ascii="Palatino Linotype" w:hAnsi="Palatino Linotype"/>
          <w:b/>
          <w:sz w:val="22"/>
          <w:szCs w:val="22"/>
        </w:rPr>
        <w:t xml:space="preserve"> of Non-Agricultural </w:t>
      </w:r>
      <w:r>
        <w:rPr>
          <w:rFonts w:ascii="Palatino Linotype" w:hAnsi="Palatino Linotype"/>
          <w:b/>
          <w:sz w:val="22"/>
          <w:szCs w:val="22"/>
        </w:rPr>
        <w:t xml:space="preserve">Options contracts </w:t>
      </w:r>
    </w:p>
    <w:p w:rsidR="001755DE" w:rsidRDefault="001755DE" w:rsidP="001755DE">
      <w:pPr>
        <w:pStyle w:val="ListParagraph"/>
        <w:spacing w:after="0" w:line="240" w:lineRule="auto"/>
        <w:ind w:left="-284" w:hanging="152"/>
        <w:jc w:val="center"/>
        <w:rPr>
          <w:rFonts w:ascii="Palatino Linotype" w:hAnsi="Palatino Linotype"/>
          <w:b/>
          <w:sz w:val="22"/>
          <w:szCs w:val="22"/>
        </w:rPr>
      </w:pPr>
      <w:r w:rsidRPr="00797A8B">
        <w:rPr>
          <w:noProof/>
          <w:lang w:val="en-IN" w:eastAsia="en-IN" w:bidi="hi-IN"/>
        </w:rPr>
        <w:drawing>
          <wp:inline distT="0" distB="0" distL="0" distR="0">
            <wp:extent cx="5732145" cy="3647440"/>
            <wp:effectExtent l="0" t="0" r="1905" b="10160"/>
            <wp:docPr id="9"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1755DE" w:rsidRDefault="001755DE" w:rsidP="001755DE">
      <w:pPr>
        <w:spacing w:line="259" w:lineRule="auto"/>
        <w:rPr>
          <w:rFonts w:ascii="Palatino Linotype" w:hAnsi="Palatino Linotype" w:cs="Arial"/>
          <w:bCs/>
        </w:rPr>
      </w:pPr>
      <w:r w:rsidRPr="00797A8B">
        <w:rPr>
          <w:rFonts w:ascii="Palatino Linotype" w:hAnsi="Palatino Linotype"/>
          <w:b/>
          <w:color w:val="0D0D0D"/>
          <w:sz w:val="18"/>
          <w:szCs w:val="18"/>
        </w:rPr>
        <w:t>Source: MCX, BSE &amp; NSE.</w:t>
      </w:r>
      <w:r>
        <w:rPr>
          <w:rFonts w:ascii="Palatino Linotype" w:hAnsi="Palatino Linotype" w:cs="Arial"/>
          <w:bCs/>
        </w:rPr>
        <w:t xml:space="preserve">                                        </w:t>
      </w:r>
    </w:p>
    <w:p w:rsidR="00E344DD" w:rsidRDefault="00E344DD" w:rsidP="00E344DD">
      <w:pPr>
        <w:spacing w:line="259" w:lineRule="auto"/>
        <w:rPr>
          <w:rFonts w:ascii="Palatino Linotype" w:hAnsi="Palatino Linotype" w:cs="Arial"/>
          <w:bCs/>
        </w:rPr>
      </w:pPr>
      <w:r>
        <w:rPr>
          <w:rFonts w:ascii="Palatino Linotype" w:hAnsi="Palatino Linotype" w:cs="Arial"/>
          <w:bCs/>
        </w:rPr>
        <w:t xml:space="preserve">                                        </w:t>
      </w:r>
      <w:bookmarkStart w:id="1" w:name="_GoBack"/>
      <w:bookmarkEnd w:id="1"/>
    </w:p>
    <w:p w:rsidR="00E344DD" w:rsidRDefault="00E344DD">
      <w:pPr>
        <w:rPr>
          <w:rFonts w:ascii="Garamond" w:hAnsi="Garamond"/>
          <w:b/>
          <w:color w:val="0D0D0D" w:themeColor="text1" w:themeTint="F2"/>
          <w:sz w:val="18"/>
          <w:szCs w:val="18"/>
        </w:rPr>
      </w:pPr>
    </w:p>
    <w:p w:rsidR="00E344DD" w:rsidRDefault="00E344DD">
      <w:pPr>
        <w:rPr>
          <w:rFonts w:ascii="Garamond" w:hAnsi="Garamond"/>
          <w:b/>
          <w:color w:val="0D0D0D" w:themeColor="text1" w:themeTint="F2"/>
          <w:sz w:val="18"/>
          <w:szCs w:val="18"/>
        </w:rPr>
      </w:pP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A12A17" w:rsidRPr="00C93BBA"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93BBA">
        <w:rPr>
          <w:rFonts w:ascii="Palatino Linotype" w:eastAsia="Times New Roman" w:hAnsi="Palatino Linotype"/>
          <w:sz w:val="22"/>
          <w:szCs w:val="22"/>
          <w:lang w:val="en-US"/>
        </w:rPr>
        <w:t xml:space="preserve">The JPMorgan Global Composite Purchasing Managers’ Index (PMI), compiled by IHS Markit, increased to </w:t>
      </w:r>
      <w:r>
        <w:rPr>
          <w:rFonts w:ascii="Palatino Linotype" w:eastAsia="Times New Roman" w:hAnsi="Palatino Linotype"/>
          <w:sz w:val="22"/>
          <w:szCs w:val="22"/>
          <w:lang w:val="en-US"/>
        </w:rPr>
        <w:t>56.3</w:t>
      </w:r>
      <w:r w:rsidRPr="00C93BBA">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March 2021</w:t>
      </w:r>
      <w:r w:rsidRPr="00C93BBA">
        <w:rPr>
          <w:rFonts w:ascii="Palatino Linotype" w:eastAsia="Times New Roman" w:hAnsi="Palatino Linotype"/>
          <w:sz w:val="22"/>
          <w:szCs w:val="22"/>
          <w:lang w:val="en-US"/>
        </w:rPr>
        <w:t>, up from 53.2</w:t>
      </w:r>
      <w:r>
        <w:rPr>
          <w:rFonts w:ascii="Palatino Linotype" w:eastAsia="Times New Roman" w:hAnsi="Palatino Linotype"/>
          <w:sz w:val="22"/>
          <w:szCs w:val="22"/>
          <w:lang w:val="en-US"/>
        </w:rPr>
        <w:t xml:space="preserve"> </w:t>
      </w:r>
      <w:r w:rsidRPr="00C93BBA">
        <w:rPr>
          <w:rFonts w:ascii="Palatino Linotype" w:eastAsia="Times New Roman" w:hAnsi="Palatino Linotype"/>
          <w:sz w:val="22"/>
          <w:szCs w:val="22"/>
          <w:lang w:val="en-US"/>
        </w:rPr>
        <w:t xml:space="preserve">in </w:t>
      </w:r>
      <w:r>
        <w:rPr>
          <w:rFonts w:ascii="Palatino Linotype" w:eastAsia="Times New Roman" w:hAnsi="Palatino Linotype"/>
          <w:sz w:val="22"/>
          <w:szCs w:val="22"/>
          <w:lang w:val="en-US"/>
        </w:rPr>
        <w:t>February 2021</w:t>
      </w:r>
      <w:r w:rsidRPr="00C93BBA">
        <w:rPr>
          <w:rFonts w:ascii="Palatino Linotype" w:eastAsia="Times New Roman" w:hAnsi="Palatino Linotype"/>
          <w:sz w:val="22"/>
          <w:szCs w:val="22"/>
          <w:lang w:val="en-US"/>
        </w:rPr>
        <w:t xml:space="preserve">. A reading of PMI above 50 means growth or expansion in economic activity. </w:t>
      </w:r>
    </w:p>
    <w:p w:rsidR="00A12A17" w:rsidRPr="00C93BBA" w:rsidRDefault="00A12A17" w:rsidP="00A12A17">
      <w:pPr>
        <w:spacing w:before="100" w:beforeAutospacing="1" w:line="276" w:lineRule="auto"/>
        <w:ind w:left="360" w:right="107"/>
        <w:contextualSpacing/>
        <w:jc w:val="both"/>
        <w:rPr>
          <w:rFonts w:ascii="Palatino Linotype" w:eastAsia="Times New Roman" w:hAnsi="Palatino Linotype"/>
          <w:sz w:val="22"/>
          <w:szCs w:val="22"/>
        </w:rPr>
      </w:pPr>
    </w:p>
    <w:p w:rsidR="00A12A17" w:rsidRPr="00C93BBA"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93BBA">
        <w:rPr>
          <w:rFonts w:ascii="Palatino Linotype" w:eastAsia="Times New Roman" w:hAnsi="Palatino Linotype"/>
          <w:sz w:val="22"/>
          <w:szCs w:val="22"/>
        </w:rPr>
        <w:t xml:space="preserve">In its </w:t>
      </w:r>
      <w:r>
        <w:rPr>
          <w:rFonts w:ascii="Palatino Linotype" w:eastAsia="Times New Roman" w:hAnsi="Palatino Linotype"/>
          <w:sz w:val="22"/>
          <w:szCs w:val="22"/>
        </w:rPr>
        <w:t>April</w:t>
      </w:r>
      <w:r w:rsidRPr="00C93BBA">
        <w:rPr>
          <w:rFonts w:ascii="Palatino Linotype" w:eastAsia="Times New Roman" w:hAnsi="Palatino Linotype"/>
          <w:sz w:val="22"/>
          <w:szCs w:val="22"/>
        </w:rPr>
        <w:t xml:space="preserve"> 2021 release of </w:t>
      </w:r>
      <w:r w:rsidRPr="00EE72A3">
        <w:rPr>
          <w:rFonts w:ascii="Palatino Linotype" w:eastAsia="Times New Roman" w:hAnsi="Palatino Linotype"/>
          <w:sz w:val="22"/>
          <w:szCs w:val="22"/>
        </w:rPr>
        <w:t>World Economic Outlook</w:t>
      </w:r>
      <w:r w:rsidRPr="00C93BBA">
        <w:rPr>
          <w:rFonts w:ascii="Palatino Linotype" w:eastAsia="Times New Roman" w:hAnsi="Palatino Linotype"/>
          <w:sz w:val="22"/>
          <w:szCs w:val="22"/>
        </w:rPr>
        <w:t xml:space="preserve">, </w:t>
      </w:r>
      <w:r>
        <w:rPr>
          <w:rFonts w:ascii="Palatino Linotype" w:eastAsia="Times New Roman" w:hAnsi="Palatino Linotype"/>
          <w:sz w:val="22"/>
          <w:szCs w:val="22"/>
        </w:rPr>
        <w:t>IMF</w:t>
      </w:r>
      <w:r w:rsidRPr="00C93BBA">
        <w:rPr>
          <w:rFonts w:ascii="Palatino Linotype" w:eastAsia="Times New Roman" w:hAnsi="Palatino Linotype"/>
          <w:sz w:val="22"/>
          <w:szCs w:val="22"/>
        </w:rPr>
        <w:t xml:space="preserve"> estimated that during 202</w:t>
      </w:r>
      <w:r>
        <w:rPr>
          <w:rFonts w:ascii="Palatino Linotype" w:eastAsia="Times New Roman" w:hAnsi="Palatino Linotype"/>
          <w:sz w:val="22"/>
          <w:szCs w:val="22"/>
        </w:rPr>
        <w:t>0</w:t>
      </w:r>
      <w:r w:rsidRPr="00C93BBA">
        <w:rPr>
          <w:rFonts w:ascii="Palatino Linotype" w:eastAsia="Times New Roman" w:hAnsi="Palatino Linotype"/>
          <w:sz w:val="22"/>
          <w:szCs w:val="22"/>
        </w:rPr>
        <w:t xml:space="preserve">, the world output shrank by </w:t>
      </w:r>
      <w:r>
        <w:rPr>
          <w:rFonts w:ascii="Palatino Linotype" w:eastAsia="Times New Roman" w:hAnsi="Palatino Linotype"/>
          <w:sz w:val="22"/>
          <w:szCs w:val="22"/>
        </w:rPr>
        <w:t>3.3</w:t>
      </w:r>
      <w:r w:rsidRPr="00C93BBA">
        <w:rPr>
          <w:rFonts w:ascii="Palatino Linotype" w:eastAsia="Times New Roman" w:hAnsi="Palatino Linotype"/>
          <w:sz w:val="22"/>
          <w:szCs w:val="22"/>
        </w:rPr>
        <w:t xml:space="preserve"> per cent.</w:t>
      </w:r>
      <w:r>
        <w:rPr>
          <w:rFonts w:ascii="Palatino Linotype" w:eastAsia="Times New Roman" w:hAnsi="Palatino Linotype"/>
          <w:sz w:val="22"/>
          <w:szCs w:val="22"/>
        </w:rPr>
        <w:t xml:space="preserve"> The world economy is projected to grow at 6.0 per cent. The advanced economies are expected to grow at 5.1 per cent whereas emerging market growth rate is estimated as 6.7 per cent.</w:t>
      </w:r>
      <w:r w:rsidRPr="00C93BBA">
        <w:rPr>
          <w:rFonts w:ascii="Palatino Linotype" w:eastAsia="Times New Roman" w:hAnsi="Palatino Linotype"/>
          <w:sz w:val="22"/>
          <w:szCs w:val="22"/>
          <w:lang w:val="en-US"/>
        </w:rPr>
        <w:t xml:space="preserve"> </w:t>
      </w:r>
    </w:p>
    <w:p w:rsidR="00A12A17" w:rsidRPr="000D3B57"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0D3B57"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57A69">
        <w:rPr>
          <w:rFonts w:ascii="Palatino Linotype" w:eastAsia="Times New Roman" w:hAnsi="Palatino Linotype"/>
          <w:sz w:val="22"/>
          <w:szCs w:val="22"/>
          <w:lang w:val="en-US"/>
        </w:rPr>
        <w:t>The advanced markets outperformed</w:t>
      </w:r>
      <w:r w:rsidRPr="00556F4C">
        <w:rPr>
          <w:rFonts w:ascii="Palatino Linotype" w:eastAsia="Times New Roman" w:hAnsi="Palatino Linotype"/>
          <w:sz w:val="22"/>
          <w:szCs w:val="22"/>
          <w:lang w:val="en-US"/>
        </w:rPr>
        <w:t xml:space="preserve"> </w:t>
      </w:r>
      <w:r w:rsidRPr="00C57A69">
        <w:rPr>
          <w:rFonts w:ascii="Palatino Linotype" w:eastAsia="Times New Roman" w:hAnsi="Palatino Linotype"/>
          <w:sz w:val="22"/>
          <w:szCs w:val="22"/>
          <w:lang w:val="en-US"/>
        </w:rPr>
        <w:t xml:space="preserve">emerging equity markets in </w:t>
      </w:r>
      <w:r>
        <w:rPr>
          <w:rFonts w:ascii="Palatino Linotype" w:eastAsia="Times New Roman" w:hAnsi="Palatino Linotype"/>
          <w:sz w:val="22"/>
          <w:szCs w:val="22"/>
          <w:lang w:val="en-US"/>
        </w:rPr>
        <w:t>March</w:t>
      </w:r>
      <w:r w:rsidRPr="00C57A69">
        <w:rPr>
          <w:rFonts w:ascii="Palatino Linotype" w:eastAsia="Times New Roman" w:hAnsi="Palatino Linotype"/>
          <w:sz w:val="22"/>
          <w:szCs w:val="22"/>
          <w:lang w:val="en-US"/>
        </w:rPr>
        <w:t xml:space="preserve"> 2021. MSCI Emerging Market (EM) index </w:t>
      </w:r>
      <w:r>
        <w:rPr>
          <w:rFonts w:ascii="Palatino Linotype" w:eastAsia="Times New Roman" w:hAnsi="Palatino Linotype"/>
          <w:sz w:val="22"/>
          <w:szCs w:val="22"/>
          <w:lang w:val="en-US"/>
        </w:rPr>
        <w:t>decreased</w:t>
      </w:r>
      <w:r w:rsidRPr="00C57A69">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1.7</w:t>
      </w:r>
      <w:r w:rsidRPr="00C57A69">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March</w:t>
      </w:r>
      <w:r w:rsidRPr="00C57A69">
        <w:rPr>
          <w:rFonts w:ascii="Palatino Linotype" w:eastAsia="Times New Roman" w:hAnsi="Palatino Linotype"/>
          <w:sz w:val="22"/>
          <w:szCs w:val="22"/>
          <w:lang w:val="en-US"/>
        </w:rPr>
        <w:t xml:space="preserve"> 2021 over the previous month, while MSCI World index </w:t>
      </w:r>
      <w:r>
        <w:rPr>
          <w:rFonts w:ascii="Palatino Linotype" w:eastAsia="Times New Roman" w:hAnsi="Palatino Linotype"/>
          <w:sz w:val="22"/>
          <w:szCs w:val="22"/>
          <w:lang w:val="en-US"/>
        </w:rPr>
        <w:t>increased</w:t>
      </w:r>
      <w:r w:rsidRPr="00C57A69">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2.5</w:t>
      </w:r>
      <w:r w:rsidRPr="00C57A69">
        <w:rPr>
          <w:rFonts w:ascii="Palatino Linotype" w:eastAsia="Times New Roman" w:hAnsi="Palatino Linotype"/>
          <w:sz w:val="22"/>
          <w:szCs w:val="22"/>
          <w:lang w:val="en-US"/>
        </w:rPr>
        <w:t xml:space="preserve"> per cent during same period. </w:t>
      </w:r>
    </w:p>
    <w:p w:rsidR="00A12A17" w:rsidRPr="000D3B57"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0D3B57"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0D3B57">
        <w:rPr>
          <w:rFonts w:ascii="Palatino Linotype" w:eastAsia="Times New Roman" w:hAnsi="Palatino Linotype"/>
          <w:sz w:val="22"/>
          <w:szCs w:val="22"/>
          <w:lang w:val="en-US"/>
        </w:rPr>
        <w:t xml:space="preserve">The volatility in the equity markets </w:t>
      </w:r>
      <w:r>
        <w:rPr>
          <w:rFonts w:ascii="Palatino Linotype" w:eastAsia="Times New Roman" w:hAnsi="Palatino Linotype"/>
          <w:sz w:val="22"/>
          <w:szCs w:val="22"/>
          <w:lang w:val="en-US"/>
        </w:rPr>
        <w:t>decreased</w:t>
      </w:r>
      <w:r w:rsidRPr="000D3B57">
        <w:rPr>
          <w:rFonts w:ascii="Palatino Linotype" w:eastAsia="Times New Roman" w:hAnsi="Palatino Linotype"/>
          <w:sz w:val="22"/>
          <w:szCs w:val="22"/>
          <w:lang w:val="en-US"/>
        </w:rPr>
        <w:t xml:space="preserve"> during </w:t>
      </w:r>
      <w:r>
        <w:rPr>
          <w:rFonts w:ascii="Palatino Linotype" w:eastAsia="Times New Roman" w:hAnsi="Palatino Linotype"/>
          <w:sz w:val="22"/>
          <w:szCs w:val="22"/>
          <w:lang w:val="en-US"/>
        </w:rPr>
        <w:t>March</w:t>
      </w:r>
      <w:r w:rsidRPr="000D3B57">
        <w:rPr>
          <w:rFonts w:ascii="Palatino Linotype" w:eastAsia="Times New Roman" w:hAnsi="Palatino Linotype"/>
          <w:sz w:val="22"/>
          <w:szCs w:val="22"/>
          <w:lang w:val="en-US"/>
        </w:rPr>
        <w:t xml:space="preserve"> 2021. The CBOE VIX index </w:t>
      </w:r>
      <w:r>
        <w:rPr>
          <w:rFonts w:ascii="Palatino Linotype" w:eastAsia="Times New Roman" w:hAnsi="Palatino Linotype"/>
          <w:sz w:val="22"/>
          <w:szCs w:val="22"/>
          <w:lang w:val="en-US"/>
        </w:rPr>
        <w:t>decreased</w:t>
      </w:r>
      <w:r w:rsidRPr="000D3B57">
        <w:rPr>
          <w:rFonts w:ascii="Palatino Linotype" w:eastAsia="Times New Roman" w:hAnsi="Palatino Linotype"/>
          <w:sz w:val="22"/>
          <w:szCs w:val="22"/>
          <w:lang w:val="en-US"/>
        </w:rPr>
        <w:t xml:space="preserve"> to</w:t>
      </w:r>
      <w:r w:rsidRPr="00847B9F">
        <w:t xml:space="preserve"> </w:t>
      </w:r>
      <w:r>
        <w:rPr>
          <w:rFonts w:ascii="Palatino Linotype" w:eastAsia="Times New Roman" w:hAnsi="Palatino Linotype"/>
          <w:sz w:val="22"/>
          <w:szCs w:val="22"/>
          <w:lang w:val="en-US"/>
        </w:rPr>
        <w:t>19.4</w:t>
      </w:r>
      <w:r w:rsidRPr="000D3B5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at the</w:t>
      </w:r>
      <w:r w:rsidRPr="000D3B5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end of March 2021</w:t>
      </w:r>
      <w:r w:rsidRPr="000D3B57">
        <w:rPr>
          <w:rFonts w:ascii="Palatino Linotype" w:eastAsia="Times New Roman" w:hAnsi="Palatino Linotype"/>
          <w:sz w:val="22"/>
          <w:szCs w:val="22"/>
          <w:lang w:val="en-US"/>
        </w:rPr>
        <w:t xml:space="preserve"> from </w:t>
      </w:r>
      <w:r>
        <w:rPr>
          <w:rFonts w:ascii="Palatino Linotype" w:eastAsia="Times New Roman" w:hAnsi="Palatino Linotype"/>
          <w:sz w:val="22"/>
          <w:szCs w:val="22"/>
          <w:lang w:val="en-US"/>
        </w:rPr>
        <w:t>28.0</w:t>
      </w:r>
      <w:r w:rsidRPr="000D3B57">
        <w:rPr>
          <w:rFonts w:ascii="Palatino Linotype" w:eastAsia="Times New Roman" w:hAnsi="Palatino Linotype"/>
          <w:sz w:val="22"/>
          <w:szCs w:val="22"/>
          <w:lang w:val="en-US"/>
        </w:rPr>
        <w:t xml:space="preserve"> as </w:t>
      </w:r>
      <w:r>
        <w:rPr>
          <w:rFonts w:ascii="Palatino Linotype" w:eastAsia="Times New Roman" w:hAnsi="Palatino Linotype"/>
          <w:sz w:val="22"/>
          <w:szCs w:val="22"/>
          <w:lang w:val="en-US"/>
        </w:rPr>
        <w:t>at</w:t>
      </w:r>
      <w:r w:rsidRPr="000D3B57">
        <w:rPr>
          <w:rFonts w:ascii="Palatino Linotype" w:eastAsia="Times New Roman" w:hAnsi="Palatino Linotype"/>
          <w:sz w:val="22"/>
          <w:szCs w:val="22"/>
          <w:lang w:val="en-US"/>
        </w:rPr>
        <w:t xml:space="preserve"> the end of last month.</w:t>
      </w:r>
    </w:p>
    <w:p w:rsidR="00A12A17" w:rsidRPr="000D3B57"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0D3B57"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w:t>
      </w:r>
      <w:r w:rsidRPr="000D3B57">
        <w:rPr>
          <w:rFonts w:ascii="Palatino Linotype" w:eastAsia="Times New Roman" w:hAnsi="Palatino Linotype"/>
          <w:sz w:val="22"/>
          <w:szCs w:val="22"/>
          <w:lang w:val="en-US"/>
        </w:rPr>
        <w:t xml:space="preserve">he US 10-year government bond yield increased by </w:t>
      </w:r>
      <w:r>
        <w:rPr>
          <w:rFonts w:ascii="Palatino Linotype" w:eastAsia="Times New Roman" w:hAnsi="Palatino Linotype"/>
          <w:sz w:val="22"/>
          <w:szCs w:val="22"/>
          <w:lang w:val="en-US"/>
        </w:rPr>
        <w:t>29</w:t>
      </w:r>
      <w:r w:rsidRPr="000D3B57">
        <w:rPr>
          <w:rFonts w:ascii="Palatino Linotype" w:eastAsia="Times New Roman" w:hAnsi="Palatino Linotype"/>
          <w:sz w:val="22"/>
          <w:szCs w:val="22"/>
          <w:lang w:val="en-US"/>
        </w:rPr>
        <w:t xml:space="preserve"> bps to </w:t>
      </w:r>
      <w:r>
        <w:rPr>
          <w:rFonts w:ascii="Palatino Linotype" w:eastAsia="Times New Roman" w:hAnsi="Palatino Linotype"/>
          <w:sz w:val="22"/>
          <w:szCs w:val="22"/>
          <w:lang w:val="en-US"/>
        </w:rPr>
        <w:t>1.8</w:t>
      </w:r>
      <w:r w:rsidRPr="000D3B57">
        <w:rPr>
          <w:rFonts w:ascii="Palatino Linotype" w:eastAsia="Times New Roman" w:hAnsi="Palatino Linotype"/>
          <w:sz w:val="22"/>
          <w:szCs w:val="22"/>
          <w:lang w:val="en-US"/>
        </w:rPr>
        <w:t xml:space="preserve"> per cent during </w:t>
      </w:r>
      <w:r>
        <w:rPr>
          <w:rFonts w:ascii="Palatino Linotype" w:eastAsia="Times New Roman" w:hAnsi="Palatino Linotype"/>
          <w:sz w:val="22"/>
          <w:szCs w:val="22"/>
          <w:lang w:val="en-US"/>
        </w:rPr>
        <w:t>March</w:t>
      </w:r>
      <w:r w:rsidRPr="000D3B57">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0D3B57">
        <w:rPr>
          <w:rFonts w:ascii="Palatino Linotype" w:eastAsia="Times New Roman" w:hAnsi="Palatino Linotype"/>
          <w:sz w:val="22"/>
          <w:szCs w:val="22"/>
          <w:lang w:val="en-US"/>
        </w:rPr>
        <w:t xml:space="preserve">. The 10-year government bond yield of India </w:t>
      </w:r>
      <w:r>
        <w:rPr>
          <w:rFonts w:ascii="Palatino Linotype" w:eastAsia="Times New Roman" w:hAnsi="Palatino Linotype"/>
          <w:sz w:val="22"/>
          <w:szCs w:val="22"/>
          <w:lang w:val="en-US"/>
        </w:rPr>
        <w:t>decreased</w:t>
      </w:r>
      <w:r w:rsidRPr="000D3B57">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 xml:space="preserve">5 </w:t>
      </w:r>
      <w:r w:rsidRPr="000D3B57">
        <w:rPr>
          <w:rFonts w:ascii="Palatino Linotype" w:eastAsia="Times New Roman" w:hAnsi="Palatino Linotype"/>
          <w:sz w:val="22"/>
          <w:szCs w:val="22"/>
          <w:lang w:val="en-US"/>
        </w:rPr>
        <w:t xml:space="preserve">bps to </w:t>
      </w:r>
      <w:r>
        <w:rPr>
          <w:rFonts w:ascii="Palatino Linotype" w:eastAsia="Times New Roman" w:hAnsi="Palatino Linotype"/>
          <w:sz w:val="22"/>
          <w:szCs w:val="22"/>
          <w:lang w:val="en-US"/>
        </w:rPr>
        <w:t>6.2</w:t>
      </w:r>
      <w:r w:rsidRPr="000D3B57">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at the end of March 2021</w:t>
      </w:r>
      <w:r w:rsidRPr="000D3B57">
        <w:rPr>
          <w:rFonts w:ascii="Palatino Linotype" w:eastAsia="Times New Roman" w:hAnsi="Palatino Linotype"/>
          <w:sz w:val="22"/>
          <w:szCs w:val="22"/>
          <w:lang w:val="en-US"/>
        </w:rPr>
        <w:t>, compared to end of the previous month.</w:t>
      </w:r>
    </w:p>
    <w:p w:rsidR="00A12A17" w:rsidRPr="00634D19"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634D19"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634D19">
        <w:rPr>
          <w:rFonts w:ascii="Palatino Linotype" w:eastAsia="Times New Roman" w:hAnsi="Palatino Linotype"/>
          <w:sz w:val="22"/>
          <w:szCs w:val="22"/>
          <w:lang w:val="en-US"/>
        </w:rPr>
        <w:t>The WTI crude</w:t>
      </w:r>
      <w:r>
        <w:rPr>
          <w:rFonts w:ascii="Palatino Linotype" w:eastAsia="Times New Roman" w:hAnsi="Palatino Linotype"/>
          <w:sz w:val="22"/>
          <w:szCs w:val="22"/>
          <w:lang w:val="en-US"/>
        </w:rPr>
        <w:t xml:space="preserve"> </w:t>
      </w:r>
      <w:r w:rsidRPr="00634D19">
        <w:rPr>
          <w:rFonts w:ascii="Palatino Linotype" w:eastAsia="Times New Roman" w:hAnsi="Palatino Linotype"/>
          <w:sz w:val="22"/>
          <w:szCs w:val="22"/>
          <w:lang w:val="en-US"/>
        </w:rPr>
        <w:t xml:space="preserve">oil prices </w:t>
      </w:r>
      <w:r>
        <w:rPr>
          <w:rFonts w:ascii="Palatino Linotype" w:eastAsia="Times New Roman" w:hAnsi="Palatino Linotype"/>
          <w:sz w:val="22"/>
          <w:szCs w:val="22"/>
          <w:lang w:val="en-US"/>
        </w:rPr>
        <w:t>decreased</w:t>
      </w:r>
      <w:r w:rsidRPr="00634D19">
        <w:rPr>
          <w:rFonts w:ascii="Palatino Linotype" w:eastAsia="Times New Roman" w:hAnsi="Palatino Linotype"/>
          <w:sz w:val="22"/>
          <w:szCs w:val="22"/>
          <w:lang w:val="en-US"/>
        </w:rPr>
        <w:t xml:space="preserve"> by USD </w:t>
      </w:r>
      <w:r>
        <w:rPr>
          <w:rFonts w:ascii="Palatino Linotype" w:eastAsia="Times New Roman" w:hAnsi="Palatino Linotype"/>
          <w:sz w:val="22"/>
          <w:szCs w:val="22"/>
          <w:lang w:val="en-US"/>
        </w:rPr>
        <w:t>2.3</w:t>
      </w:r>
      <w:r w:rsidRPr="00634D19">
        <w:rPr>
          <w:rFonts w:ascii="Palatino Linotype" w:eastAsia="Times New Roman" w:hAnsi="Palatino Linotype"/>
          <w:sz w:val="22"/>
          <w:szCs w:val="22"/>
          <w:lang w:val="en-US"/>
        </w:rPr>
        <w:t xml:space="preserve"> per barrel (or by </w:t>
      </w:r>
      <w:r>
        <w:rPr>
          <w:rFonts w:ascii="Palatino Linotype" w:eastAsia="Times New Roman" w:hAnsi="Palatino Linotype"/>
          <w:sz w:val="22"/>
          <w:szCs w:val="22"/>
          <w:lang w:val="en-US"/>
        </w:rPr>
        <w:t>3.8</w:t>
      </w:r>
      <w:r w:rsidRPr="00634D19">
        <w:rPr>
          <w:rFonts w:ascii="Palatino Linotype" w:eastAsia="Times New Roman" w:hAnsi="Palatino Linotype"/>
          <w:sz w:val="22"/>
          <w:szCs w:val="22"/>
          <w:lang w:val="en-US"/>
        </w:rPr>
        <w:t xml:space="preserve"> per cent) to USD </w:t>
      </w:r>
      <w:r>
        <w:rPr>
          <w:rFonts w:ascii="Palatino Linotype" w:eastAsia="Times New Roman" w:hAnsi="Palatino Linotype"/>
          <w:sz w:val="22"/>
          <w:szCs w:val="22"/>
          <w:lang w:val="en-US"/>
        </w:rPr>
        <w:t>59.2</w:t>
      </w:r>
      <w:r w:rsidRPr="00634D19">
        <w:rPr>
          <w:rFonts w:ascii="Palatino Linotype" w:eastAsia="Times New Roman" w:hAnsi="Palatino Linotype"/>
          <w:sz w:val="22"/>
          <w:szCs w:val="22"/>
          <w:lang w:val="en-US"/>
        </w:rPr>
        <w:t xml:space="preserve"> per barrel in </w:t>
      </w:r>
      <w:r>
        <w:rPr>
          <w:rFonts w:ascii="Palatino Linotype" w:eastAsia="Times New Roman" w:hAnsi="Palatino Linotype"/>
          <w:sz w:val="22"/>
          <w:szCs w:val="22"/>
          <w:lang w:val="en-US"/>
        </w:rPr>
        <w:t>March</w:t>
      </w:r>
      <w:r w:rsidRPr="00634D19">
        <w:rPr>
          <w:rFonts w:ascii="Palatino Linotype" w:eastAsia="Times New Roman" w:hAnsi="Palatino Linotype"/>
          <w:sz w:val="22"/>
          <w:szCs w:val="22"/>
          <w:lang w:val="en-US"/>
        </w:rPr>
        <w:t xml:space="preserve"> 2021. Gold prices decreased by </w:t>
      </w:r>
      <w:r>
        <w:rPr>
          <w:rFonts w:ascii="Palatino Linotype" w:eastAsia="Times New Roman" w:hAnsi="Palatino Linotype"/>
          <w:sz w:val="22"/>
          <w:szCs w:val="22"/>
          <w:lang w:val="en-US"/>
        </w:rPr>
        <w:t>1.5</w:t>
      </w:r>
      <w:r w:rsidRPr="00634D19">
        <w:rPr>
          <w:rFonts w:ascii="Palatino Linotype" w:eastAsia="Times New Roman" w:hAnsi="Palatino Linotype"/>
          <w:sz w:val="22"/>
          <w:szCs w:val="22"/>
          <w:lang w:val="en-US"/>
        </w:rPr>
        <w:t xml:space="preserve"> per cent to USD</w:t>
      </w:r>
      <w:r w:rsidRPr="0031118D">
        <w:rPr>
          <w:rFonts w:ascii="Palatino Linotype" w:eastAsia="Times New Roman" w:hAnsi="Palatino Linotype"/>
          <w:sz w:val="22"/>
          <w:szCs w:val="22"/>
          <w:lang w:val="en-US"/>
        </w:rPr>
        <w:t xml:space="preserve"> 1,707.0</w:t>
      </w:r>
      <w:r>
        <w:rPr>
          <w:rFonts w:ascii="Palatino Linotype" w:eastAsia="Times New Roman" w:hAnsi="Palatino Linotype"/>
          <w:sz w:val="22"/>
          <w:szCs w:val="22"/>
          <w:lang w:val="en-US"/>
        </w:rPr>
        <w:t xml:space="preserve"> at the end of March</w:t>
      </w:r>
      <w:r w:rsidRPr="00634D19">
        <w:rPr>
          <w:rFonts w:ascii="Palatino Linotype" w:eastAsia="Times New Roman" w:hAnsi="Palatino Linotype"/>
          <w:sz w:val="22"/>
          <w:szCs w:val="22"/>
          <w:lang w:val="en-US"/>
        </w:rPr>
        <w:t xml:space="preserve"> 2021 from USD</w:t>
      </w:r>
      <w:r w:rsidRPr="00085084">
        <w:rPr>
          <w:rFonts w:ascii="Palatino Linotype" w:eastAsia="Times New Roman" w:hAnsi="Palatino Linotype"/>
          <w:sz w:val="22"/>
          <w:szCs w:val="22"/>
          <w:lang w:val="en-US"/>
        </w:rPr>
        <w:t xml:space="preserve"> 1,733.5</w:t>
      </w:r>
      <w:r w:rsidRPr="00634D19">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at the end of February 2021</w:t>
      </w:r>
      <w:r w:rsidRPr="00634D19">
        <w:rPr>
          <w:rFonts w:ascii="Palatino Linotype" w:eastAsia="Times New Roman" w:hAnsi="Palatino Linotype"/>
          <w:sz w:val="22"/>
          <w:szCs w:val="22"/>
          <w:lang w:val="en-US"/>
        </w:rPr>
        <w:t>. </w:t>
      </w:r>
    </w:p>
    <w:p w:rsidR="00A12A17" w:rsidRPr="00DA729E"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284E73"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DA729E">
        <w:rPr>
          <w:rFonts w:ascii="Palatino Linotype" w:eastAsia="Times New Roman" w:hAnsi="Palatino Linotype"/>
          <w:sz w:val="22"/>
          <w:szCs w:val="22"/>
          <w:lang w:val="en-US"/>
        </w:rPr>
        <w:t xml:space="preserve">As per the latest estimate, the US economy expanded by </w:t>
      </w:r>
      <w:r>
        <w:rPr>
          <w:rFonts w:ascii="Palatino Linotype" w:eastAsia="Times New Roman" w:hAnsi="Palatino Linotype"/>
          <w:sz w:val="22"/>
          <w:szCs w:val="22"/>
          <w:lang w:val="en-US"/>
        </w:rPr>
        <w:t>6.4</w:t>
      </w:r>
      <w:r w:rsidRPr="00DA729E">
        <w:rPr>
          <w:rFonts w:ascii="Palatino Linotype" w:eastAsia="Times New Roman" w:hAnsi="Palatino Linotype"/>
          <w:sz w:val="22"/>
          <w:szCs w:val="22"/>
          <w:lang w:val="en-US"/>
        </w:rPr>
        <w:t xml:space="preserve"> per cent Q-o-Q in annualised terms in the Q</w:t>
      </w:r>
      <w:r>
        <w:rPr>
          <w:rFonts w:ascii="Palatino Linotype" w:eastAsia="Times New Roman" w:hAnsi="Palatino Linotype"/>
          <w:sz w:val="22"/>
          <w:szCs w:val="22"/>
          <w:lang w:val="en-US"/>
        </w:rPr>
        <w:t>1</w:t>
      </w:r>
      <w:r w:rsidRPr="00DA729E">
        <w:rPr>
          <w:rFonts w:ascii="Palatino Linotype" w:eastAsia="Times New Roman" w:hAnsi="Palatino Linotype"/>
          <w:sz w:val="22"/>
          <w:szCs w:val="22"/>
          <w:lang w:val="en-US"/>
        </w:rPr>
        <w:t xml:space="preserve"> of 202</w:t>
      </w:r>
      <w:r>
        <w:rPr>
          <w:rFonts w:ascii="Palatino Linotype" w:eastAsia="Times New Roman" w:hAnsi="Palatino Linotype"/>
          <w:sz w:val="22"/>
          <w:szCs w:val="22"/>
          <w:lang w:val="en-US"/>
        </w:rPr>
        <w:t>1</w:t>
      </w:r>
      <w:r w:rsidRPr="00DA729E">
        <w:rPr>
          <w:rFonts w:ascii="Palatino Linotype" w:eastAsia="Times New Roman" w:hAnsi="Palatino Linotype"/>
          <w:sz w:val="22"/>
          <w:szCs w:val="22"/>
          <w:lang w:val="en-US"/>
        </w:rPr>
        <w:t xml:space="preserve">, compared to </w:t>
      </w:r>
      <w:r>
        <w:rPr>
          <w:rFonts w:ascii="Palatino Linotype" w:eastAsia="Times New Roman" w:hAnsi="Palatino Linotype"/>
          <w:sz w:val="22"/>
          <w:szCs w:val="22"/>
          <w:lang w:val="en-US"/>
        </w:rPr>
        <w:t>4.3</w:t>
      </w:r>
      <w:r w:rsidRPr="00DA729E">
        <w:rPr>
          <w:rFonts w:ascii="Palatino Linotype" w:eastAsia="Times New Roman" w:hAnsi="Palatino Linotype"/>
          <w:sz w:val="22"/>
          <w:szCs w:val="22"/>
          <w:lang w:val="en-US"/>
        </w:rPr>
        <w:t xml:space="preserve"> per cent increase during the previous quarter. The US unemployment rate </w:t>
      </w:r>
      <w:r>
        <w:rPr>
          <w:rFonts w:ascii="Palatino Linotype" w:eastAsia="Times New Roman" w:hAnsi="Palatino Linotype"/>
          <w:sz w:val="22"/>
          <w:szCs w:val="22"/>
          <w:lang w:val="en-US"/>
        </w:rPr>
        <w:t>decreased to</w:t>
      </w:r>
      <w:r w:rsidRPr="00DA729E">
        <w:rPr>
          <w:rFonts w:ascii="Palatino Linotype" w:eastAsia="Times New Roman" w:hAnsi="Palatino Linotype"/>
          <w:sz w:val="22"/>
          <w:szCs w:val="22"/>
          <w:lang w:val="en-US"/>
        </w:rPr>
        <w:t xml:space="preserve"> 6.</w:t>
      </w:r>
      <w:r>
        <w:rPr>
          <w:rFonts w:ascii="Palatino Linotype" w:eastAsia="Times New Roman" w:hAnsi="Palatino Linotype"/>
          <w:sz w:val="22"/>
          <w:szCs w:val="22"/>
          <w:lang w:val="en-US"/>
        </w:rPr>
        <w:t>0</w:t>
      </w:r>
      <w:r w:rsidRPr="00DA729E">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March</w:t>
      </w:r>
      <w:r w:rsidRPr="00DA729E">
        <w:rPr>
          <w:rFonts w:ascii="Palatino Linotype" w:eastAsia="Times New Roman" w:hAnsi="Palatino Linotype"/>
          <w:sz w:val="22"/>
          <w:szCs w:val="22"/>
          <w:lang w:val="en-US"/>
        </w:rPr>
        <w:t xml:space="preserve"> 2021 from 6.</w:t>
      </w:r>
      <w:r>
        <w:rPr>
          <w:rFonts w:ascii="Palatino Linotype" w:eastAsia="Times New Roman" w:hAnsi="Palatino Linotype"/>
          <w:sz w:val="22"/>
          <w:szCs w:val="22"/>
          <w:lang w:val="en-US"/>
        </w:rPr>
        <w:t>2</w:t>
      </w:r>
      <w:r w:rsidRPr="00DA729E">
        <w:rPr>
          <w:rFonts w:ascii="Palatino Linotype" w:eastAsia="Times New Roman" w:hAnsi="Palatino Linotype"/>
          <w:sz w:val="22"/>
          <w:szCs w:val="22"/>
          <w:lang w:val="en-US"/>
        </w:rPr>
        <w:t xml:space="preserve"> per cent in the previous month. The US </w:t>
      </w:r>
      <w:r>
        <w:rPr>
          <w:rFonts w:ascii="Palatino Linotype" w:eastAsia="Times New Roman" w:hAnsi="Palatino Linotype"/>
          <w:sz w:val="22"/>
          <w:szCs w:val="22"/>
          <w:lang w:val="en-US"/>
        </w:rPr>
        <w:t xml:space="preserve">Composite </w:t>
      </w:r>
      <w:r w:rsidRPr="00DA729E">
        <w:rPr>
          <w:rFonts w:ascii="Palatino Linotype" w:eastAsia="Times New Roman" w:hAnsi="Palatino Linotype"/>
          <w:sz w:val="22"/>
          <w:szCs w:val="22"/>
          <w:lang w:val="en-US"/>
        </w:rPr>
        <w:t>PMI data also indicate rising economic activity</w:t>
      </w:r>
      <w:r>
        <w:rPr>
          <w:rFonts w:ascii="Palatino Linotype" w:eastAsia="Times New Roman" w:hAnsi="Palatino Linotype"/>
          <w:sz w:val="22"/>
          <w:szCs w:val="22"/>
          <w:lang w:val="en-US"/>
        </w:rPr>
        <w:t xml:space="preserve"> at 59.7 (in March 2021) from 59.1 a month earlier</w:t>
      </w:r>
      <w:r w:rsidRPr="00DA729E">
        <w:rPr>
          <w:rFonts w:ascii="Palatino Linotype" w:eastAsia="Times New Roman" w:hAnsi="Palatino Linotype"/>
          <w:sz w:val="22"/>
          <w:szCs w:val="22"/>
          <w:lang w:val="en-US"/>
        </w:rPr>
        <w:t>.</w:t>
      </w:r>
      <w:r w:rsidRPr="00284E73">
        <w:rPr>
          <w:rFonts w:ascii="Palatino Linotype" w:eastAsia="Times New Roman" w:hAnsi="Palatino Linotype"/>
          <w:sz w:val="22"/>
          <w:szCs w:val="22"/>
          <w:lang w:val="en-US"/>
        </w:rPr>
        <w:t xml:space="preserve"> The IHS Market’s US </w:t>
      </w:r>
      <w:r>
        <w:rPr>
          <w:rFonts w:ascii="Palatino Linotype" w:eastAsia="Times New Roman" w:hAnsi="Palatino Linotype"/>
          <w:sz w:val="22"/>
          <w:szCs w:val="22"/>
          <w:lang w:val="en-US"/>
        </w:rPr>
        <w:t>Manufacturing</w:t>
      </w:r>
      <w:r w:rsidRPr="00284E73">
        <w:rPr>
          <w:rFonts w:ascii="Palatino Linotype" w:eastAsia="Times New Roman" w:hAnsi="Palatino Linotype"/>
          <w:sz w:val="22"/>
          <w:szCs w:val="22"/>
          <w:lang w:val="en-US"/>
        </w:rPr>
        <w:t xml:space="preserve"> PMI </w:t>
      </w:r>
      <w:r>
        <w:rPr>
          <w:rFonts w:ascii="Palatino Linotype" w:eastAsia="Times New Roman" w:hAnsi="Palatino Linotype"/>
          <w:sz w:val="22"/>
          <w:szCs w:val="22"/>
          <w:lang w:val="en-US"/>
        </w:rPr>
        <w:t>increased</w:t>
      </w:r>
      <w:r w:rsidRPr="00284E73">
        <w:rPr>
          <w:rFonts w:ascii="Palatino Linotype" w:eastAsia="Times New Roman" w:hAnsi="Palatino Linotype"/>
          <w:sz w:val="22"/>
          <w:szCs w:val="22"/>
          <w:lang w:val="en-US"/>
        </w:rPr>
        <w:t xml:space="preserve"> to </w:t>
      </w:r>
      <w:r>
        <w:rPr>
          <w:rFonts w:ascii="Palatino Linotype" w:eastAsia="Times New Roman" w:hAnsi="Palatino Linotype"/>
          <w:sz w:val="22"/>
          <w:szCs w:val="22"/>
          <w:lang w:val="en-US"/>
        </w:rPr>
        <w:t xml:space="preserve">59.1 </w:t>
      </w:r>
      <w:r w:rsidRPr="00284E73">
        <w:rPr>
          <w:rFonts w:ascii="Palatino Linotype" w:eastAsia="Times New Roman" w:hAnsi="Palatino Linotype"/>
          <w:sz w:val="22"/>
          <w:szCs w:val="22"/>
          <w:lang w:val="en-US"/>
        </w:rPr>
        <w:t xml:space="preserve">in </w:t>
      </w:r>
      <w:r>
        <w:rPr>
          <w:rFonts w:ascii="Palatino Linotype" w:eastAsia="Times New Roman" w:hAnsi="Palatino Linotype"/>
          <w:sz w:val="22"/>
          <w:szCs w:val="22"/>
          <w:lang w:val="en-US"/>
        </w:rPr>
        <w:t>March</w:t>
      </w:r>
      <w:r w:rsidRPr="00284E73">
        <w:rPr>
          <w:rFonts w:ascii="Palatino Linotype" w:eastAsia="Times New Roman" w:hAnsi="Palatino Linotype"/>
          <w:sz w:val="22"/>
          <w:szCs w:val="22"/>
          <w:lang w:val="en-US"/>
        </w:rPr>
        <w:t xml:space="preserve"> 2021 from</w:t>
      </w:r>
      <w:r>
        <w:rPr>
          <w:rFonts w:ascii="Palatino Linotype" w:eastAsia="Times New Roman" w:hAnsi="Palatino Linotype"/>
          <w:sz w:val="22"/>
          <w:szCs w:val="22"/>
          <w:lang w:val="en-US"/>
        </w:rPr>
        <w:t xml:space="preserve"> 58.6</w:t>
      </w:r>
      <w:r w:rsidRPr="00284E73">
        <w:rPr>
          <w:rFonts w:ascii="Palatino Linotype" w:eastAsia="Times New Roman" w:hAnsi="Palatino Linotype"/>
          <w:sz w:val="22"/>
          <w:szCs w:val="22"/>
          <w:lang w:val="en-US"/>
        </w:rPr>
        <w:t xml:space="preserve"> in</w:t>
      </w:r>
      <w:r>
        <w:rPr>
          <w:rFonts w:ascii="Palatino Linotype" w:eastAsia="Times New Roman" w:hAnsi="Palatino Linotype"/>
          <w:sz w:val="22"/>
          <w:szCs w:val="22"/>
          <w:lang w:val="en-US"/>
        </w:rPr>
        <w:t xml:space="preserve"> previous month</w:t>
      </w:r>
      <w:r w:rsidRPr="00284E73">
        <w:rPr>
          <w:rFonts w:ascii="Palatino Linotype" w:eastAsia="Times New Roman" w:hAnsi="Palatino Linotype"/>
          <w:sz w:val="22"/>
          <w:szCs w:val="22"/>
          <w:lang w:val="en-US"/>
        </w:rPr>
        <w:t>.</w:t>
      </w:r>
    </w:p>
    <w:p w:rsidR="00A12A17" w:rsidRPr="00284E73" w:rsidRDefault="00A12A17" w:rsidP="00A12A17">
      <w:pPr>
        <w:spacing w:after="200" w:line="276" w:lineRule="auto"/>
        <w:ind w:left="720" w:right="107"/>
        <w:contextualSpacing/>
        <w:rPr>
          <w:rFonts w:ascii="Palatino Linotype" w:eastAsia="Times New Roman" w:hAnsi="Palatino Linotype"/>
          <w:sz w:val="22"/>
          <w:szCs w:val="22"/>
          <w:lang w:val="en-US"/>
        </w:rPr>
      </w:pPr>
    </w:p>
    <w:p w:rsidR="00A12A17" w:rsidRPr="00FA155B"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FA155B">
        <w:rPr>
          <w:rFonts w:ascii="Palatino Linotype" w:eastAsia="Times New Roman" w:hAnsi="Palatino Linotype"/>
          <w:sz w:val="22"/>
          <w:szCs w:val="22"/>
          <w:lang w:val="en-US"/>
        </w:rPr>
        <w:t xml:space="preserve">The UK economy grew by 1.0 per cent Q-o-Q in Q4 of 2020, against 16.1 per cent expansion of the previous quarter. The IHS Markit UK composite PMI observed at in </w:t>
      </w:r>
      <w:r>
        <w:rPr>
          <w:rFonts w:ascii="Palatino Linotype" w:eastAsia="Times New Roman" w:hAnsi="Palatino Linotype"/>
          <w:sz w:val="22"/>
          <w:szCs w:val="22"/>
          <w:lang w:val="en-US"/>
        </w:rPr>
        <w:t>56.4 March</w:t>
      </w:r>
      <w:r w:rsidRPr="00FA155B">
        <w:rPr>
          <w:rFonts w:ascii="Palatino Linotype" w:eastAsia="Times New Roman" w:hAnsi="Palatino Linotype"/>
          <w:sz w:val="22"/>
          <w:szCs w:val="22"/>
          <w:lang w:val="en-US"/>
        </w:rPr>
        <w:t xml:space="preserve"> 2021 from </w:t>
      </w:r>
      <w:r>
        <w:rPr>
          <w:rFonts w:ascii="Palatino Linotype" w:eastAsia="Times New Roman" w:hAnsi="Palatino Linotype"/>
          <w:sz w:val="22"/>
          <w:szCs w:val="22"/>
          <w:lang w:val="en-US"/>
        </w:rPr>
        <w:t>49.8</w:t>
      </w:r>
      <w:r w:rsidRPr="00FA155B">
        <w:rPr>
          <w:rFonts w:ascii="Palatino Linotype" w:eastAsia="Times New Roman" w:hAnsi="Palatino Linotype"/>
          <w:sz w:val="22"/>
          <w:szCs w:val="22"/>
          <w:lang w:val="en-US"/>
        </w:rPr>
        <w:t xml:space="preserve"> in previous month. </w:t>
      </w:r>
    </w:p>
    <w:p w:rsidR="00A12A17" w:rsidRPr="00EA4DF8"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3373BC">
        <w:rPr>
          <w:rFonts w:ascii="Palatino Linotype" w:eastAsia="Times New Roman" w:hAnsi="Palatino Linotype"/>
          <w:sz w:val="22"/>
          <w:szCs w:val="22"/>
          <w:lang w:val="en-US"/>
        </w:rPr>
        <w:t>According to the data published by Eurostat, the Eurozone economy shrank by 0.6 per cent Q-o-Q in Q1 of 2021, after shrinking by 0.7 per cent in previous quarter. Among the largest economies</w:t>
      </w:r>
      <w:r>
        <w:rPr>
          <w:rFonts w:ascii="Palatino Linotype" w:eastAsia="Times New Roman" w:hAnsi="Palatino Linotype"/>
          <w:sz w:val="22"/>
          <w:szCs w:val="22"/>
          <w:lang w:val="en-US"/>
        </w:rPr>
        <w:t xml:space="preserve"> </w:t>
      </w:r>
      <w:r w:rsidRPr="003373BC">
        <w:rPr>
          <w:rFonts w:ascii="Palatino Linotype" w:eastAsia="Times New Roman" w:hAnsi="Palatino Linotype"/>
          <w:sz w:val="22"/>
          <w:szCs w:val="22"/>
          <w:lang w:val="en-US"/>
        </w:rPr>
        <w:t>of Eurozone</w:t>
      </w:r>
      <w:r>
        <w:rPr>
          <w:rFonts w:ascii="Palatino Linotype" w:eastAsia="Times New Roman" w:hAnsi="Palatino Linotype"/>
          <w:sz w:val="22"/>
          <w:szCs w:val="22"/>
          <w:lang w:val="en-US"/>
        </w:rPr>
        <w:t xml:space="preserve">) </w:t>
      </w:r>
      <w:r w:rsidRPr="003373BC">
        <w:rPr>
          <w:rFonts w:ascii="Palatino Linotype" w:eastAsia="Times New Roman" w:hAnsi="Palatino Linotype"/>
          <w:sz w:val="22"/>
          <w:szCs w:val="22"/>
          <w:lang w:val="en-US"/>
        </w:rPr>
        <w:t>a contraction was observed</w:t>
      </w:r>
      <w:r>
        <w:rPr>
          <w:rFonts w:ascii="Palatino Linotype" w:eastAsia="Times New Roman" w:hAnsi="Palatino Linotype"/>
          <w:sz w:val="22"/>
          <w:szCs w:val="22"/>
          <w:lang w:val="en-US"/>
        </w:rPr>
        <w:t xml:space="preserve"> viz.</w:t>
      </w:r>
      <w:r w:rsidRPr="003373BC">
        <w:rPr>
          <w:rFonts w:ascii="Palatino Linotype" w:eastAsia="Times New Roman" w:hAnsi="Palatino Linotype"/>
          <w:sz w:val="22"/>
          <w:szCs w:val="22"/>
          <w:lang w:val="en-US"/>
        </w:rPr>
        <w:t xml:space="preserve"> Germany</w:t>
      </w:r>
      <w:r>
        <w:rPr>
          <w:rFonts w:ascii="Palatino Linotype" w:eastAsia="Times New Roman" w:hAnsi="Palatino Linotype"/>
          <w:sz w:val="22"/>
          <w:szCs w:val="22"/>
          <w:lang w:val="en-US"/>
        </w:rPr>
        <w:t xml:space="preserve"> (-1.7 per cent)</w:t>
      </w:r>
      <w:r w:rsidRPr="003373BC">
        <w:rPr>
          <w:rFonts w:ascii="Palatino Linotype" w:eastAsia="Times New Roman" w:hAnsi="Palatino Linotype"/>
          <w:sz w:val="22"/>
          <w:szCs w:val="22"/>
          <w:lang w:val="en-US"/>
        </w:rPr>
        <w:t xml:space="preserve">, Italy </w:t>
      </w:r>
      <w:r>
        <w:rPr>
          <w:rFonts w:ascii="Palatino Linotype" w:eastAsia="Times New Roman" w:hAnsi="Palatino Linotype"/>
          <w:sz w:val="22"/>
          <w:szCs w:val="22"/>
          <w:lang w:val="en-US"/>
        </w:rPr>
        <w:t xml:space="preserve">(-0.4 per cent) </w:t>
      </w:r>
      <w:r w:rsidRPr="003373BC">
        <w:rPr>
          <w:rFonts w:ascii="Palatino Linotype" w:eastAsia="Times New Roman" w:hAnsi="Palatino Linotype"/>
          <w:sz w:val="22"/>
          <w:szCs w:val="22"/>
          <w:lang w:val="en-US"/>
        </w:rPr>
        <w:t xml:space="preserve">and Spain </w:t>
      </w:r>
      <w:r>
        <w:rPr>
          <w:rFonts w:ascii="Palatino Linotype" w:eastAsia="Times New Roman" w:hAnsi="Palatino Linotype"/>
          <w:sz w:val="22"/>
          <w:szCs w:val="22"/>
          <w:lang w:val="en-US"/>
        </w:rPr>
        <w:t>(-0.5 per cent)</w:t>
      </w:r>
      <w:r w:rsidRPr="003373BC">
        <w:rPr>
          <w:rFonts w:ascii="Palatino Linotype" w:eastAsia="Times New Roman" w:hAnsi="Palatino Linotype"/>
          <w:sz w:val="22"/>
          <w:szCs w:val="22"/>
          <w:lang w:val="en-US"/>
        </w:rPr>
        <w:t xml:space="preserve">. The economy of France </w:t>
      </w:r>
      <w:r>
        <w:rPr>
          <w:rFonts w:ascii="Palatino Linotype" w:eastAsia="Times New Roman" w:hAnsi="Palatino Linotype"/>
          <w:sz w:val="22"/>
          <w:szCs w:val="22"/>
          <w:lang w:val="en-US"/>
        </w:rPr>
        <w:t xml:space="preserve">(0.4 per cent) </w:t>
      </w:r>
      <w:r w:rsidRPr="003373BC">
        <w:rPr>
          <w:rFonts w:ascii="Palatino Linotype" w:eastAsia="Times New Roman" w:hAnsi="Palatino Linotype"/>
          <w:sz w:val="22"/>
          <w:szCs w:val="22"/>
          <w:lang w:val="en-US"/>
        </w:rPr>
        <w:t>returned to growth</w:t>
      </w:r>
      <w:r>
        <w:rPr>
          <w:rFonts w:ascii="Palatino Linotype" w:eastAsia="Times New Roman" w:hAnsi="Palatino Linotype"/>
          <w:sz w:val="22"/>
          <w:szCs w:val="22"/>
          <w:lang w:val="en-US"/>
        </w:rPr>
        <w:t>.</w:t>
      </w:r>
    </w:p>
    <w:p w:rsidR="00A12A17"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E35F60"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0D45CD">
        <w:rPr>
          <w:rFonts w:ascii="Palatino Linotype" w:eastAsia="Times New Roman" w:hAnsi="Palatino Linotype"/>
          <w:sz w:val="22"/>
          <w:szCs w:val="22"/>
          <w:lang w:val="en-US"/>
        </w:rPr>
        <w:t xml:space="preserve">GDP growth of China </w:t>
      </w:r>
      <w:r>
        <w:rPr>
          <w:rFonts w:ascii="Palatino Linotype" w:eastAsia="Times New Roman" w:hAnsi="Palatino Linotype"/>
          <w:sz w:val="22"/>
          <w:szCs w:val="22"/>
          <w:lang w:val="en-US"/>
        </w:rPr>
        <w:t>was</w:t>
      </w:r>
      <w:r w:rsidRPr="000D45CD">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0.6</w:t>
      </w:r>
      <w:r w:rsidRPr="000D45CD">
        <w:rPr>
          <w:rFonts w:ascii="Palatino Linotype" w:eastAsia="Times New Roman" w:hAnsi="Palatino Linotype"/>
          <w:sz w:val="22"/>
          <w:szCs w:val="22"/>
          <w:lang w:val="en-US"/>
        </w:rPr>
        <w:t xml:space="preserve"> per cent in Q</w:t>
      </w:r>
      <w:r>
        <w:rPr>
          <w:rFonts w:ascii="Palatino Linotype" w:eastAsia="Times New Roman" w:hAnsi="Palatino Linotype"/>
          <w:sz w:val="22"/>
          <w:szCs w:val="22"/>
          <w:lang w:val="en-US"/>
        </w:rPr>
        <w:t>1</w:t>
      </w:r>
      <w:r w:rsidRPr="000D45CD">
        <w:rPr>
          <w:rFonts w:ascii="Palatino Linotype" w:eastAsia="Times New Roman" w:hAnsi="Palatino Linotype"/>
          <w:sz w:val="22"/>
          <w:szCs w:val="22"/>
          <w:lang w:val="en-US"/>
        </w:rPr>
        <w:t xml:space="preserve"> of 202</w:t>
      </w:r>
      <w:r>
        <w:rPr>
          <w:rFonts w:ascii="Palatino Linotype" w:eastAsia="Times New Roman" w:hAnsi="Palatino Linotype"/>
          <w:sz w:val="22"/>
          <w:szCs w:val="22"/>
          <w:lang w:val="en-US"/>
        </w:rPr>
        <w:t>1</w:t>
      </w:r>
      <w:r w:rsidRPr="000D45CD">
        <w:rPr>
          <w:rFonts w:ascii="Palatino Linotype" w:eastAsia="Times New Roman" w:hAnsi="Palatino Linotype"/>
          <w:sz w:val="22"/>
          <w:szCs w:val="22"/>
          <w:lang w:val="en-US"/>
        </w:rPr>
        <w:t>,</w:t>
      </w:r>
      <w:r>
        <w:rPr>
          <w:rFonts w:ascii="Palatino Linotype" w:eastAsia="Times New Roman" w:hAnsi="Palatino Linotype"/>
          <w:sz w:val="22"/>
          <w:szCs w:val="22"/>
          <w:lang w:val="en-US"/>
        </w:rPr>
        <w:t xml:space="preserve"> however, it was less than the growth in the previous quarter.</w:t>
      </w:r>
      <w:r w:rsidRPr="000D45CD">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G</w:t>
      </w:r>
      <w:r w:rsidRPr="000D45CD">
        <w:rPr>
          <w:rFonts w:ascii="Palatino Linotype" w:eastAsia="Times New Roman" w:hAnsi="Palatino Linotype"/>
          <w:sz w:val="22"/>
          <w:szCs w:val="22"/>
          <w:lang w:val="en-US"/>
        </w:rPr>
        <w:t xml:space="preserve">rowth rate </w:t>
      </w:r>
      <w:r>
        <w:rPr>
          <w:rFonts w:ascii="Palatino Linotype" w:eastAsia="Times New Roman" w:hAnsi="Palatino Linotype"/>
          <w:sz w:val="22"/>
          <w:szCs w:val="22"/>
          <w:lang w:val="en-US"/>
        </w:rPr>
        <w:t xml:space="preserve">in GDP was </w:t>
      </w:r>
      <w:r w:rsidRPr="000D45CD">
        <w:rPr>
          <w:rFonts w:ascii="Palatino Linotype" w:eastAsia="Times New Roman" w:hAnsi="Palatino Linotype"/>
          <w:sz w:val="22"/>
          <w:szCs w:val="22"/>
          <w:lang w:val="en-US"/>
        </w:rPr>
        <w:t>of 3.</w:t>
      </w:r>
      <w:r>
        <w:rPr>
          <w:rFonts w:ascii="Palatino Linotype" w:eastAsia="Times New Roman" w:hAnsi="Palatino Linotype"/>
          <w:sz w:val="22"/>
          <w:szCs w:val="22"/>
          <w:lang w:val="en-US"/>
        </w:rPr>
        <w:t>2</w:t>
      </w:r>
      <w:r w:rsidRPr="000D45CD">
        <w:rPr>
          <w:rFonts w:ascii="Palatino Linotype" w:eastAsia="Times New Roman" w:hAnsi="Palatino Linotype"/>
          <w:sz w:val="22"/>
          <w:szCs w:val="22"/>
          <w:lang w:val="en-US"/>
        </w:rPr>
        <w:t xml:space="preserve"> per cent in Q</w:t>
      </w:r>
      <w:r>
        <w:rPr>
          <w:rFonts w:ascii="Palatino Linotype" w:eastAsia="Times New Roman" w:hAnsi="Palatino Linotype"/>
          <w:sz w:val="22"/>
          <w:szCs w:val="22"/>
          <w:lang w:val="en-US"/>
        </w:rPr>
        <w:t>4</w:t>
      </w:r>
      <w:r w:rsidRPr="000D45CD">
        <w:rPr>
          <w:rFonts w:ascii="Palatino Linotype" w:eastAsia="Times New Roman" w:hAnsi="Palatino Linotype"/>
          <w:sz w:val="22"/>
          <w:szCs w:val="22"/>
          <w:lang w:val="en-US"/>
        </w:rPr>
        <w:t xml:space="preserve"> of 2020</w:t>
      </w:r>
      <w:r>
        <w:rPr>
          <w:rFonts w:ascii="Palatino Linotype" w:eastAsia="Times New Roman" w:hAnsi="Palatino Linotype"/>
          <w:sz w:val="22"/>
          <w:szCs w:val="22"/>
          <w:lang w:val="en-US"/>
        </w:rPr>
        <w:t xml:space="preserve"> in China</w:t>
      </w:r>
      <w:r w:rsidRPr="000D45CD">
        <w:rPr>
          <w:rFonts w:ascii="Palatino Linotype" w:eastAsia="Times New Roman" w:hAnsi="Palatino Linotype"/>
          <w:sz w:val="22"/>
          <w:szCs w:val="22"/>
          <w:lang w:val="en-US"/>
        </w:rPr>
        <w:t xml:space="preserve">. </w:t>
      </w:r>
      <w:r w:rsidRPr="00E35F60">
        <w:rPr>
          <w:rFonts w:ascii="Palatino Linotype" w:eastAsia="Times New Roman" w:hAnsi="Palatino Linotype"/>
          <w:sz w:val="22"/>
          <w:szCs w:val="22"/>
          <w:lang w:val="en-US"/>
        </w:rPr>
        <w:t xml:space="preserve">According to IMF projections, the Chinese economy is expected to </w:t>
      </w:r>
      <w:r>
        <w:rPr>
          <w:rFonts w:ascii="Palatino Linotype" w:eastAsia="Times New Roman" w:hAnsi="Palatino Linotype"/>
          <w:sz w:val="22"/>
          <w:szCs w:val="22"/>
          <w:lang w:val="en-US"/>
        </w:rPr>
        <w:t>grow at the rate of 8.4</w:t>
      </w:r>
      <w:r w:rsidRPr="00E35F60">
        <w:rPr>
          <w:rFonts w:ascii="Palatino Linotype" w:eastAsia="Times New Roman" w:hAnsi="Palatino Linotype"/>
          <w:sz w:val="22"/>
          <w:szCs w:val="22"/>
          <w:lang w:val="en-US"/>
        </w:rPr>
        <w:t>per cent in 202</w:t>
      </w:r>
      <w:r>
        <w:rPr>
          <w:rFonts w:ascii="Palatino Linotype" w:eastAsia="Times New Roman" w:hAnsi="Palatino Linotype"/>
          <w:sz w:val="22"/>
          <w:szCs w:val="22"/>
          <w:lang w:val="en-US"/>
        </w:rPr>
        <w:t>1 and will have a growth rate of 5.6 per cent in 2022.</w:t>
      </w:r>
      <w:r w:rsidRPr="00E35F60">
        <w:rPr>
          <w:rFonts w:ascii="Palatino Linotype" w:eastAsia="Times New Roman" w:hAnsi="Palatino Linotype"/>
          <w:sz w:val="22"/>
          <w:szCs w:val="22"/>
          <w:lang w:val="en-US"/>
        </w:rPr>
        <w:t xml:space="preserve">  </w:t>
      </w:r>
    </w:p>
    <w:p w:rsidR="00A12A17" w:rsidRPr="000D45CD"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0D45CD"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As per</w:t>
      </w:r>
      <w:r w:rsidRPr="00EE0F9B">
        <w:rPr>
          <w:rFonts w:ascii="Palatino Linotype" w:eastAsia="Times New Roman" w:hAnsi="Palatino Linotype"/>
          <w:sz w:val="22"/>
          <w:szCs w:val="22"/>
          <w:lang w:val="en-US"/>
        </w:rPr>
        <w:t xml:space="preserve"> </w:t>
      </w:r>
      <w:r w:rsidRPr="00E26AAF">
        <w:rPr>
          <w:rFonts w:ascii="Palatino Linotype" w:eastAsia="Times New Roman" w:hAnsi="Palatino Linotype"/>
          <w:sz w:val="22"/>
          <w:szCs w:val="22"/>
          <w:lang w:val="en-US"/>
        </w:rPr>
        <w:t>MOSPI</w:t>
      </w:r>
      <w:r>
        <w:rPr>
          <w:rFonts w:ascii="Palatino Linotype" w:eastAsia="Times New Roman" w:hAnsi="Palatino Linotype"/>
          <w:sz w:val="22"/>
          <w:szCs w:val="22"/>
          <w:lang w:val="en-US"/>
        </w:rPr>
        <w:t xml:space="preserve">, </w:t>
      </w:r>
      <w:r w:rsidRPr="000D45CD">
        <w:rPr>
          <w:rFonts w:ascii="Palatino Linotype" w:eastAsia="Times New Roman" w:hAnsi="Palatino Linotype"/>
          <w:sz w:val="22"/>
          <w:szCs w:val="22"/>
          <w:lang w:val="en-US"/>
        </w:rPr>
        <w:t xml:space="preserve">India’s GDP </w:t>
      </w:r>
      <w:r>
        <w:rPr>
          <w:rFonts w:ascii="Palatino Linotype" w:eastAsia="Times New Roman" w:hAnsi="Palatino Linotype"/>
          <w:sz w:val="22"/>
          <w:szCs w:val="22"/>
          <w:lang w:val="en-US"/>
        </w:rPr>
        <w:t>grew</w:t>
      </w:r>
      <w:r w:rsidRPr="000D45CD">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0.4</w:t>
      </w:r>
      <w:r w:rsidRPr="000D45CD">
        <w:rPr>
          <w:rFonts w:ascii="Palatino Linotype" w:eastAsia="Times New Roman" w:hAnsi="Palatino Linotype"/>
          <w:sz w:val="22"/>
          <w:szCs w:val="22"/>
          <w:lang w:val="en-US"/>
        </w:rPr>
        <w:t xml:space="preserve"> per cent Y-o-Y </w:t>
      </w:r>
      <w:r w:rsidRPr="00E50FD2">
        <w:rPr>
          <w:rFonts w:ascii="Palatino Linotype" w:eastAsia="Times New Roman" w:hAnsi="Palatino Linotype"/>
          <w:sz w:val="22"/>
          <w:szCs w:val="22"/>
          <w:lang w:val="en-US"/>
        </w:rPr>
        <w:t xml:space="preserve">during Q3 of 2020-21 compared to a negative Y-o-Y growth rate of 7.3 per cent in Q2 of 2020-21. In Q3 of 2020-21, the business activity in hotels, transport, communication service declined by -7.7 per </w:t>
      </w:r>
      <w:r>
        <w:rPr>
          <w:rFonts w:ascii="Palatino Linotype" w:eastAsia="Times New Roman" w:hAnsi="Palatino Linotype"/>
          <w:sz w:val="22"/>
          <w:szCs w:val="22"/>
          <w:lang w:val="en-US"/>
        </w:rPr>
        <w:t xml:space="preserve">cent, </w:t>
      </w:r>
      <w:r w:rsidRPr="00E50FD2">
        <w:rPr>
          <w:rFonts w:ascii="Palatino Linotype" w:eastAsia="Times New Roman" w:hAnsi="Palatino Linotype"/>
          <w:sz w:val="22"/>
          <w:szCs w:val="22"/>
          <w:lang w:val="en-US"/>
        </w:rPr>
        <w:t>public admi</w:t>
      </w:r>
      <w:r w:rsidRPr="000D45CD">
        <w:rPr>
          <w:rFonts w:ascii="Palatino Linotype" w:eastAsia="Times New Roman" w:hAnsi="Palatino Linotype"/>
          <w:sz w:val="22"/>
          <w:szCs w:val="22"/>
          <w:lang w:val="en-US"/>
        </w:rPr>
        <w:t xml:space="preserve">nistration services </w:t>
      </w:r>
      <w:r>
        <w:rPr>
          <w:rFonts w:ascii="Palatino Linotype" w:eastAsia="Times New Roman" w:hAnsi="Palatino Linotype"/>
          <w:sz w:val="22"/>
          <w:szCs w:val="22"/>
          <w:lang w:val="en-US"/>
        </w:rPr>
        <w:t>declined by -1.5</w:t>
      </w:r>
      <w:r w:rsidRPr="000D45CD">
        <w:rPr>
          <w:rFonts w:ascii="Palatino Linotype" w:eastAsia="Times New Roman" w:hAnsi="Palatino Linotype"/>
          <w:sz w:val="22"/>
          <w:szCs w:val="22"/>
          <w:lang w:val="en-US"/>
        </w:rPr>
        <w:t xml:space="preserve"> per cent</w:t>
      </w:r>
      <w:r>
        <w:rPr>
          <w:rFonts w:ascii="Palatino Linotype" w:eastAsia="Times New Roman" w:hAnsi="Palatino Linotype"/>
          <w:sz w:val="22"/>
          <w:szCs w:val="22"/>
          <w:lang w:val="en-US"/>
        </w:rPr>
        <w:t>, and</w:t>
      </w:r>
      <w:r w:rsidRPr="000D45CD">
        <w:rPr>
          <w:rFonts w:ascii="Palatino Linotype" w:eastAsia="Times New Roman" w:hAnsi="Palatino Linotype"/>
          <w:sz w:val="22"/>
          <w:szCs w:val="22"/>
          <w:lang w:val="en-US"/>
        </w:rPr>
        <w:t xml:space="preserve"> mining and quarrying </w:t>
      </w:r>
      <w:r>
        <w:rPr>
          <w:rFonts w:ascii="Palatino Linotype" w:eastAsia="Times New Roman" w:hAnsi="Palatino Linotype"/>
          <w:sz w:val="22"/>
          <w:szCs w:val="22"/>
          <w:lang w:val="en-US"/>
        </w:rPr>
        <w:t>declined by 5.9</w:t>
      </w:r>
      <w:r w:rsidRPr="000D45CD">
        <w:rPr>
          <w:rFonts w:ascii="Palatino Linotype" w:eastAsia="Times New Roman" w:hAnsi="Palatino Linotype"/>
          <w:sz w:val="22"/>
          <w:szCs w:val="22"/>
          <w:lang w:val="en-US"/>
        </w:rPr>
        <w:t xml:space="preserve"> per cent</w:t>
      </w:r>
      <w:r>
        <w:rPr>
          <w:rFonts w:ascii="Palatino Linotype" w:eastAsia="Times New Roman" w:hAnsi="Palatino Linotype"/>
          <w:sz w:val="22"/>
          <w:szCs w:val="22"/>
          <w:lang w:val="en-US"/>
        </w:rPr>
        <w:t>. I</w:t>
      </w:r>
      <w:r w:rsidRPr="008217C2">
        <w:rPr>
          <w:rFonts w:ascii="Palatino Linotype" w:eastAsia="Times New Roman" w:hAnsi="Palatino Linotype"/>
          <w:sz w:val="22"/>
          <w:szCs w:val="22"/>
          <w:lang w:val="en-US"/>
        </w:rPr>
        <w:t xml:space="preserve">ncrease in growth rates was observed in manufacturing and construction which grew by 1.6 per cent and 6.2 per cent </w:t>
      </w:r>
      <w:r>
        <w:rPr>
          <w:rFonts w:ascii="Palatino Linotype" w:eastAsia="Times New Roman" w:hAnsi="Palatino Linotype"/>
          <w:sz w:val="22"/>
          <w:szCs w:val="22"/>
          <w:lang w:val="en-US"/>
        </w:rPr>
        <w:t xml:space="preserve">respectively in </w:t>
      </w:r>
      <w:r w:rsidRPr="00E50FD2">
        <w:rPr>
          <w:rFonts w:ascii="Palatino Linotype" w:eastAsia="Times New Roman" w:hAnsi="Palatino Linotype"/>
          <w:sz w:val="22"/>
          <w:szCs w:val="22"/>
          <w:lang w:val="en-US"/>
        </w:rPr>
        <w:t>Q3 of 2020-21</w:t>
      </w:r>
      <w:r w:rsidRPr="008217C2">
        <w:rPr>
          <w:rFonts w:ascii="Palatino Linotype" w:eastAsia="Times New Roman" w:hAnsi="Palatino Linotype"/>
          <w:sz w:val="22"/>
          <w:szCs w:val="22"/>
          <w:lang w:val="en-US"/>
        </w:rPr>
        <w:t>.</w:t>
      </w:r>
      <w:r w:rsidRPr="000D45CD">
        <w:rPr>
          <w:rFonts w:ascii="Palatino Linotype" w:eastAsia="Times New Roman" w:hAnsi="Palatino Linotype"/>
          <w:sz w:val="22"/>
          <w:szCs w:val="22"/>
          <w:lang w:val="en-US"/>
        </w:rPr>
        <w:t> </w:t>
      </w:r>
    </w:p>
    <w:p w:rsidR="00A12A17" w:rsidRPr="00E26AAF"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E26AAF"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E26AAF">
        <w:rPr>
          <w:rFonts w:ascii="Palatino Linotype" w:eastAsia="Times New Roman" w:hAnsi="Palatino Linotype"/>
          <w:sz w:val="22"/>
          <w:szCs w:val="22"/>
          <w:lang w:val="en-US"/>
        </w:rPr>
        <w:t xml:space="preserve">According to the </w:t>
      </w:r>
      <w:r>
        <w:rPr>
          <w:rFonts w:ascii="Palatino Linotype" w:eastAsia="Times New Roman" w:hAnsi="Palatino Linotype"/>
          <w:sz w:val="22"/>
          <w:szCs w:val="22"/>
          <w:lang w:val="en-US"/>
        </w:rPr>
        <w:t>Second</w:t>
      </w:r>
      <w:r w:rsidRPr="00E26AAF">
        <w:rPr>
          <w:rFonts w:ascii="Palatino Linotype" w:eastAsia="Times New Roman" w:hAnsi="Palatino Linotype"/>
          <w:sz w:val="22"/>
          <w:szCs w:val="22"/>
          <w:lang w:val="en-US"/>
        </w:rPr>
        <w:t xml:space="preserve"> Advance Estimate released by M</w:t>
      </w:r>
      <w:r>
        <w:rPr>
          <w:rFonts w:ascii="Palatino Linotype" w:eastAsia="Times New Roman" w:hAnsi="Palatino Linotype"/>
          <w:sz w:val="22"/>
          <w:szCs w:val="22"/>
          <w:lang w:val="en-US"/>
        </w:rPr>
        <w:t>o</w:t>
      </w:r>
      <w:r w:rsidRPr="00E26AAF">
        <w:rPr>
          <w:rFonts w:ascii="Palatino Linotype" w:eastAsia="Times New Roman" w:hAnsi="Palatino Linotype"/>
          <w:sz w:val="22"/>
          <w:szCs w:val="22"/>
          <w:lang w:val="en-US"/>
        </w:rPr>
        <w:t>SPI</w:t>
      </w:r>
      <w:r>
        <w:rPr>
          <w:rFonts w:ascii="Palatino Linotype" w:eastAsia="Times New Roman" w:hAnsi="Palatino Linotype"/>
          <w:sz w:val="22"/>
          <w:szCs w:val="22"/>
          <w:lang w:val="en-US"/>
        </w:rPr>
        <w:t xml:space="preserve"> on 26 February 2021</w:t>
      </w:r>
      <w:r w:rsidRPr="00E26AAF">
        <w:rPr>
          <w:rFonts w:ascii="Palatino Linotype" w:eastAsia="Times New Roman" w:hAnsi="Palatino Linotype"/>
          <w:sz w:val="22"/>
          <w:szCs w:val="22"/>
          <w:lang w:val="en-US"/>
        </w:rPr>
        <w:t xml:space="preserve">, GDP of India is estimated to fall by </w:t>
      </w:r>
      <w:r>
        <w:rPr>
          <w:rFonts w:ascii="Palatino Linotype" w:eastAsia="Times New Roman" w:hAnsi="Palatino Linotype"/>
          <w:sz w:val="22"/>
          <w:szCs w:val="22"/>
          <w:lang w:val="en-US"/>
        </w:rPr>
        <w:t>8.0</w:t>
      </w:r>
      <w:r w:rsidRPr="00E26AAF">
        <w:rPr>
          <w:rFonts w:ascii="Palatino Linotype" w:eastAsia="Times New Roman" w:hAnsi="Palatino Linotype"/>
          <w:sz w:val="22"/>
          <w:szCs w:val="22"/>
          <w:lang w:val="en-US"/>
        </w:rPr>
        <w:t xml:space="preserve"> per cent during the Financial Year 2020-21</w:t>
      </w:r>
      <w:r>
        <w:rPr>
          <w:rFonts w:ascii="Palatino Linotype" w:eastAsia="Times New Roman" w:hAnsi="Palatino Linotype"/>
          <w:sz w:val="22"/>
          <w:szCs w:val="22"/>
          <w:lang w:val="en-US"/>
        </w:rPr>
        <w:t xml:space="preserve"> as</w:t>
      </w:r>
      <w:r w:rsidRPr="00E26AAF">
        <w:rPr>
          <w:rFonts w:ascii="Palatino Linotype" w:eastAsia="Times New Roman" w:hAnsi="Palatino Linotype"/>
          <w:sz w:val="22"/>
          <w:szCs w:val="22"/>
          <w:lang w:val="en-US"/>
        </w:rPr>
        <w:t xml:space="preserve"> compared to </w:t>
      </w:r>
      <w:r>
        <w:rPr>
          <w:rFonts w:ascii="Palatino Linotype" w:eastAsia="Times New Roman" w:hAnsi="Palatino Linotype"/>
          <w:sz w:val="22"/>
          <w:szCs w:val="22"/>
          <w:lang w:val="en-US"/>
        </w:rPr>
        <w:t>4.0</w:t>
      </w:r>
      <w:r w:rsidRPr="00E26AAF">
        <w:rPr>
          <w:rFonts w:ascii="Palatino Linotype" w:eastAsia="Times New Roman" w:hAnsi="Palatino Linotype"/>
          <w:sz w:val="22"/>
          <w:szCs w:val="22"/>
          <w:lang w:val="en-US"/>
        </w:rPr>
        <w:t xml:space="preserve"> per cent expansion in 2019-20.</w:t>
      </w:r>
      <w:r w:rsidRPr="00E35F60">
        <w:rPr>
          <w:rFonts w:ascii="Palatino Linotype" w:eastAsia="Times New Roman" w:hAnsi="Palatino Linotype"/>
          <w:sz w:val="22"/>
          <w:szCs w:val="22"/>
          <w:lang w:val="en-US"/>
        </w:rPr>
        <w:t xml:space="preserve"> World Bank estimated India’s GDP to grow by -9.6 per cent in 2020. According to IMF projections, the Indian economy is expected to grow by </w:t>
      </w:r>
      <w:r>
        <w:rPr>
          <w:rFonts w:ascii="Palatino Linotype" w:eastAsia="Times New Roman" w:hAnsi="Palatino Linotype"/>
          <w:sz w:val="22"/>
          <w:szCs w:val="22"/>
          <w:lang w:val="en-US"/>
        </w:rPr>
        <w:t>12</w:t>
      </w:r>
      <w:r w:rsidRPr="00E35F60">
        <w:rPr>
          <w:rFonts w:ascii="Palatino Linotype" w:eastAsia="Times New Roman" w:hAnsi="Palatino Linotype"/>
          <w:sz w:val="22"/>
          <w:szCs w:val="22"/>
          <w:lang w:val="en-US"/>
        </w:rPr>
        <w:t xml:space="preserve">.5 per cent in 2021. </w:t>
      </w:r>
    </w:p>
    <w:p w:rsidR="00A12A17" w:rsidRPr="009F2B94" w:rsidRDefault="00A12A17" w:rsidP="00A12A17">
      <w:pPr>
        <w:spacing w:before="100" w:beforeAutospacing="1" w:line="276" w:lineRule="auto"/>
        <w:ind w:left="360" w:right="107"/>
        <w:contextualSpacing/>
        <w:jc w:val="both"/>
        <w:rPr>
          <w:rFonts w:ascii="Palatino Linotype" w:eastAsia="Times New Roman" w:hAnsi="Palatino Linotype"/>
          <w:sz w:val="22"/>
          <w:szCs w:val="22"/>
          <w:lang w:val="en-US"/>
        </w:rPr>
      </w:pPr>
    </w:p>
    <w:p w:rsidR="00A12A17" w:rsidRPr="009F2B94" w:rsidRDefault="00A12A17" w:rsidP="00A12A17">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F2B94">
        <w:rPr>
          <w:rFonts w:ascii="Palatino Linotype" w:eastAsia="Times New Roman" w:hAnsi="Palatino Linotype"/>
          <w:sz w:val="22"/>
          <w:szCs w:val="22"/>
          <w:lang w:val="en-US"/>
        </w:rPr>
        <w:t xml:space="preserve">Retail inflation (CPI Inflation) in India observed to be </w:t>
      </w:r>
      <w:r>
        <w:rPr>
          <w:rFonts w:ascii="Palatino Linotype" w:eastAsia="Times New Roman" w:hAnsi="Palatino Linotype"/>
          <w:sz w:val="22"/>
          <w:szCs w:val="22"/>
          <w:lang w:val="en-US"/>
        </w:rPr>
        <w:t>5.5</w:t>
      </w:r>
      <w:r w:rsidRPr="009F2B9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March</w:t>
      </w:r>
      <w:r w:rsidRPr="009F2B94">
        <w:rPr>
          <w:rFonts w:ascii="Palatino Linotype" w:eastAsia="Times New Roman" w:hAnsi="Palatino Linotype"/>
          <w:sz w:val="22"/>
          <w:szCs w:val="22"/>
          <w:lang w:val="en-US"/>
        </w:rPr>
        <w:t xml:space="preserve"> 2021, compared to </w:t>
      </w:r>
      <w:r>
        <w:rPr>
          <w:rFonts w:ascii="Palatino Linotype" w:eastAsia="Times New Roman" w:hAnsi="Palatino Linotype"/>
          <w:sz w:val="22"/>
          <w:szCs w:val="22"/>
          <w:lang w:val="en-US"/>
        </w:rPr>
        <w:t>5.0</w:t>
      </w:r>
      <w:r w:rsidRPr="009F2B94">
        <w:rPr>
          <w:rFonts w:ascii="Palatino Linotype" w:eastAsia="Times New Roman" w:hAnsi="Palatino Linotype"/>
          <w:sz w:val="22"/>
          <w:szCs w:val="22"/>
          <w:lang w:val="en-US"/>
        </w:rPr>
        <w:t xml:space="preserve"> per cent in a month earlier. Index of Industrial Production (IIP) </w:t>
      </w:r>
      <w:r>
        <w:rPr>
          <w:rFonts w:ascii="Palatino Linotype" w:eastAsia="Times New Roman" w:hAnsi="Palatino Linotype"/>
          <w:sz w:val="22"/>
          <w:szCs w:val="22"/>
          <w:lang w:val="en-US"/>
        </w:rPr>
        <w:t>fell</w:t>
      </w:r>
      <w:r w:rsidRPr="009F2B94">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3.6</w:t>
      </w:r>
      <w:r w:rsidRPr="009F2B9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February</w:t>
      </w:r>
      <w:r w:rsidRPr="009F2B94">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9F2B94">
        <w:rPr>
          <w:rFonts w:ascii="Palatino Linotype" w:eastAsia="Times New Roman" w:hAnsi="Palatino Linotype"/>
          <w:sz w:val="22"/>
          <w:szCs w:val="22"/>
          <w:lang w:val="en-US"/>
        </w:rPr>
        <w:t xml:space="preserve">, compared to </w:t>
      </w:r>
      <w:r>
        <w:rPr>
          <w:rFonts w:ascii="Palatino Linotype" w:eastAsia="Times New Roman" w:hAnsi="Palatino Linotype"/>
          <w:sz w:val="22"/>
          <w:szCs w:val="22"/>
          <w:lang w:val="en-US"/>
        </w:rPr>
        <w:t>5.2</w:t>
      </w:r>
      <w:r w:rsidRPr="009F2B94">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growth in the same month in previous year</w:t>
      </w:r>
      <w:r w:rsidRPr="009F2B94">
        <w:rPr>
          <w:rFonts w:ascii="Palatino Linotype" w:eastAsia="Times New Roman" w:hAnsi="Palatino Linotype"/>
          <w:sz w:val="22"/>
          <w:szCs w:val="22"/>
          <w:lang w:val="en-US"/>
        </w:rPr>
        <w:t xml:space="preserve">. The mining sector witnessed </w:t>
      </w:r>
      <w:r>
        <w:rPr>
          <w:rFonts w:ascii="Palatino Linotype" w:eastAsia="Times New Roman" w:hAnsi="Palatino Linotype"/>
          <w:sz w:val="22"/>
          <w:szCs w:val="22"/>
          <w:lang w:val="en-US"/>
        </w:rPr>
        <w:t xml:space="preserve">a </w:t>
      </w:r>
      <w:r w:rsidRPr="009F2B94">
        <w:rPr>
          <w:rFonts w:ascii="Palatino Linotype" w:eastAsia="Times New Roman" w:hAnsi="Palatino Linotype"/>
          <w:sz w:val="22"/>
          <w:szCs w:val="22"/>
          <w:lang w:val="en-US"/>
        </w:rPr>
        <w:t xml:space="preserve">contraction of </w:t>
      </w:r>
      <w:r>
        <w:rPr>
          <w:rFonts w:ascii="Palatino Linotype" w:eastAsia="Times New Roman" w:hAnsi="Palatino Linotype"/>
          <w:sz w:val="22"/>
          <w:szCs w:val="22"/>
          <w:lang w:val="en-US"/>
        </w:rPr>
        <w:t>5.5</w:t>
      </w:r>
      <w:r w:rsidRPr="009F2B94">
        <w:rPr>
          <w:rFonts w:ascii="Palatino Linotype" w:eastAsia="Times New Roman" w:hAnsi="Palatino Linotype"/>
          <w:sz w:val="22"/>
          <w:szCs w:val="22"/>
          <w:lang w:val="en-US"/>
        </w:rPr>
        <w:t xml:space="preserve"> per cent as compared to growth of</w:t>
      </w:r>
      <w:r>
        <w:rPr>
          <w:rFonts w:ascii="Palatino Linotype" w:eastAsia="Times New Roman" w:hAnsi="Palatino Linotype"/>
          <w:sz w:val="22"/>
          <w:szCs w:val="22"/>
          <w:lang w:val="en-US"/>
        </w:rPr>
        <w:t xml:space="preserve"> 9.6</w:t>
      </w:r>
      <w:r w:rsidRPr="009F2B94">
        <w:rPr>
          <w:rFonts w:ascii="Palatino Linotype" w:eastAsia="Times New Roman" w:hAnsi="Palatino Linotype"/>
          <w:sz w:val="22"/>
          <w:szCs w:val="22"/>
          <w:lang w:val="en-US"/>
        </w:rPr>
        <w:t xml:space="preserve"> per cent a year ago, while the manufacturing sector </w:t>
      </w:r>
      <w:r>
        <w:rPr>
          <w:rFonts w:ascii="Palatino Linotype" w:eastAsia="Times New Roman" w:hAnsi="Palatino Linotype"/>
          <w:sz w:val="22"/>
          <w:szCs w:val="22"/>
          <w:lang w:val="en-US"/>
        </w:rPr>
        <w:t>contracted</w:t>
      </w:r>
      <w:r w:rsidRPr="009F2B94">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 xml:space="preserve">3.7 </w:t>
      </w:r>
      <w:r w:rsidRPr="009F2B94">
        <w:rPr>
          <w:rFonts w:ascii="Palatino Linotype" w:eastAsia="Times New Roman" w:hAnsi="Palatino Linotype"/>
          <w:sz w:val="22"/>
          <w:szCs w:val="22"/>
          <w:lang w:val="en-US"/>
        </w:rPr>
        <w:t xml:space="preserve">per cent in </w:t>
      </w:r>
      <w:r>
        <w:rPr>
          <w:rFonts w:ascii="Palatino Linotype" w:eastAsia="Times New Roman" w:hAnsi="Palatino Linotype"/>
          <w:sz w:val="22"/>
          <w:szCs w:val="22"/>
          <w:lang w:val="en-US"/>
        </w:rPr>
        <w:t>February</w:t>
      </w:r>
      <w:r w:rsidRPr="00152E30">
        <w:rPr>
          <w:rFonts w:ascii="Palatino Linotype" w:eastAsia="Times New Roman" w:hAnsi="Palatino Linotype"/>
          <w:sz w:val="22"/>
          <w:szCs w:val="22"/>
          <w:lang w:val="en-US"/>
        </w:rPr>
        <w:t xml:space="preserve"> 2021 </w:t>
      </w:r>
      <w:r w:rsidRPr="009F2B94">
        <w:rPr>
          <w:rFonts w:ascii="Palatino Linotype" w:eastAsia="Times New Roman" w:hAnsi="Palatino Linotype"/>
          <w:sz w:val="22"/>
          <w:szCs w:val="22"/>
          <w:lang w:val="en-US"/>
        </w:rPr>
        <w:t xml:space="preserve">as against a </w:t>
      </w:r>
      <w:r>
        <w:rPr>
          <w:rFonts w:ascii="Palatino Linotype" w:eastAsia="Times New Roman" w:hAnsi="Palatino Linotype"/>
          <w:sz w:val="22"/>
          <w:szCs w:val="22"/>
          <w:lang w:val="en-US"/>
        </w:rPr>
        <w:t>growth</w:t>
      </w:r>
      <w:r w:rsidRPr="009F2B94">
        <w:rPr>
          <w:rFonts w:ascii="Palatino Linotype" w:eastAsia="Times New Roman" w:hAnsi="Palatino Linotype"/>
          <w:sz w:val="22"/>
          <w:szCs w:val="22"/>
          <w:lang w:val="en-US"/>
        </w:rPr>
        <w:t xml:space="preserve"> of </w:t>
      </w:r>
      <w:r>
        <w:rPr>
          <w:rFonts w:ascii="Palatino Linotype" w:eastAsia="Times New Roman" w:hAnsi="Palatino Linotype"/>
          <w:sz w:val="22"/>
          <w:szCs w:val="22"/>
          <w:lang w:val="en-US"/>
        </w:rPr>
        <w:t>3.8</w:t>
      </w:r>
      <w:r w:rsidRPr="009F2B9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February</w:t>
      </w:r>
      <w:r w:rsidRPr="00152E30">
        <w:rPr>
          <w:rFonts w:ascii="Palatino Linotype" w:eastAsia="Times New Roman" w:hAnsi="Palatino Linotype"/>
          <w:sz w:val="22"/>
          <w:szCs w:val="22"/>
          <w:lang w:val="en-US"/>
        </w:rPr>
        <w:t xml:space="preserve"> 20</w:t>
      </w:r>
      <w:r>
        <w:rPr>
          <w:rFonts w:ascii="Palatino Linotype" w:eastAsia="Times New Roman" w:hAnsi="Palatino Linotype"/>
          <w:sz w:val="22"/>
          <w:szCs w:val="22"/>
          <w:lang w:val="en-US"/>
        </w:rPr>
        <w:t>20</w:t>
      </w:r>
      <w:r w:rsidRPr="009F2B94">
        <w:rPr>
          <w:rFonts w:ascii="Palatino Linotype" w:eastAsia="Times New Roman" w:hAnsi="Palatino Linotype"/>
          <w:sz w:val="22"/>
          <w:szCs w:val="22"/>
          <w:lang w:val="en-US"/>
        </w:rPr>
        <w:t>.</w:t>
      </w:r>
      <w:r w:rsidRPr="009F2B94">
        <w:rPr>
          <w:color w:val="212121"/>
          <w:sz w:val="27"/>
          <w:szCs w:val="27"/>
          <w:shd w:val="clear" w:color="auto" w:fill="FFFFFF"/>
        </w:rPr>
        <w:t> </w:t>
      </w:r>
      <w:r w:rsidRPr="009F2B94">
        <w:rPr>
          <w:rFonts w:ascii="Palatino Linotype" w:eastAsia="Times New Roman" w:hAnsi="Palatino Linotype"/>
          <w:sz w:val="22"/>
          <w:szCs w:val="22"/>
          <w:lang w:val="en-US"/>
        </w:rPr>
        <w:t xml:space="preserve"> India’s manufacturing PMI for </w:t>
      </w:r>
      <w:r>
        <w:rPr>
          <w:rFonts w:ascii="Palatino Linotype" w:eastAsia="Times New Roman" w:hAnsi="Palatino Linotype"/>
          <w:sz w:val="22"/>
          <w:szCs w:val="22"/>
          <w:lang w:val="en-US"/>
        </w:rPr>
        <w:t>March</w:t>
      </w:r>
      <w:r w:rsidRPr="009F2B94">
        <w:rPr>
          <w:rFonts w:ascii="Palatino Linotype" w:eastAsia="Times New Roman" w:hAnsi="Palatino Linotype"/>
          <w:sz w:val="22"/>
          <w:szCs w:val="22"/>
          <w:lang w:val="en-US"/>
        </w:rPr>
        <w:t xml:space="preserve"> was observed to be </w:t>
      </w:r>
      <w:r>
        <w:rPr>
          <w:rFonts w:ascii="Palatino Linotype" w:eastAsia="Times New Roman" w:hAnsi="Palatino Linotype"/>
          <w:sz w:val="22"/>
          <w:szCs w:val="22"/>
          <w:lang w:val="en-US"/>
        </w:rPr>
        <w:t>55.4</w:t>
      </w:r>
      <w:r w:rsidRPr="009F2B94">
        <w:rPr>
          <w:rFonts w:ascii="Palatino Linotype" w:eastAsia="Times New Roman" w:hAnsi="Palatino Linotype"/>
          <w:sz w:val="22"/>
          <w:szCs w:val="22"/>
          <w:lang w:val="en-US"/>
        </w:rPr>
        <w:t xml:space="preserve"> against </w:t>
      </w:r>
      <w:r>
        <w:rPr>
          <w:rFonts w:ascii="Palatino Linotype" w:eastAsia="Times New Roman" w:hAnsi="Palatino Linotype"/>
          <w:sz w:val="22"/>
          <w:szCs w:val="22"/>
          <w:lang w:val="en-US"/>
        </w:rPr>
        <w:t>57.5</w:t>
      </w:r>
      <w:r w:rsidRPr="009F2B94">
        <w:rPr>
          <w:rFonts w:ascii="Palatino Linotype" w:eastAsia="Times New Roman" w:hAnsi="Palatino Linotype"/>
          <w:sz w:val="22"/>
          <w:szCs w:val="22"/>
          <w:lang w:val="en-US"/>
        </w:rPr>
        <w:t xml:space="preserve"> of the previous month. The services PMI was observed to be</w:t>
      </w:r>
      <w:r>
        <w:rPr>
          <w:rFonts w:ascii="Palatino Linotype" w:eastAsia="Times New Roman" w:hAnsi="Palatino Linotype"/>
          <w:sz w:val="22"/>
          <w:szCs w:val="22"/>
          <w:lang w:val="en-US"/>
        </w:rPr>
        <w:t xml:space="preserve"> 54.6</w:t>
      </w:r>
      <w:r w:rsidRPr="009F2B94">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March</w:t>
      </w:r>
      <w:r w:rsidRPr="009F2B94">
        <w:rPr>
          <w:rFonts w:ascii="Palatino Linotype" w:eastAsia="Times New Roman" w:hAnsi="Palatino Linotype"/>
          <w:sz w:val="22"/>
          <w:szCs w:val="22"/>
          <w:lang w:val="en-US"/>
        </w:rPr>
        <w:t xml:space="preserve"> 2021 against </w:t>
      </w:r>
      <w:r>
        <w:rPr>
          <w:rFonts w:ascii="Palatino Linotype" w:eastAsia="Times New Roman" w:hAnsi="Palatino Linotype"/>
          <w:sz w:val="22"/>
          <w:szCs w:val="22"/>
          <w:lang w:val="en-US"/>
        </w:rPr>
        <w:t>55.3</w:t>
      </w:r>
      <w:r w:rsidRPr="009F2B94">
        <w:rPr>
          <w:rFonts w:ascii="Palatino Linotype" w:eastAsia="Times New Roman" w:hAnsi="Palatino Linotype"/>
          <w:sz w:val="22"/>
          <w:szCs w:val="22"/>
          <w:lang w:val="en-US"/>
        </w:rPr>
        <w:t xml:space="preserve"> of the previous month.</w:t>
      </w:r>
    </w:p>
    <w:p w:rsidR="00A12A17" w:rsidRPr="009F2B94" w:rsidRDefault="00A12A17" w:rsidP="00A12A17">
      <w:pPr>
        <w:spacing w:line="23" w:lineRule="atLeast"/>
        <w:ind w:left="720"/>
        <w:contextualSpacing/>
        <w:rPr>
          <w:rFonts w:ascii="Garamond" w:eastAsia="Times New Roman" w:hAnsi="Garamond"/>
          <w:b/>
          <w:lang w:val="en-US" w:eastAsia="en-GB"/>
        </w:rPr>
      </w:pPr>
    </w:p>
    <w:p w:rsidR="00A12A17" w:rsidRPr="00ED58C0" w:rsidRDefault="00A12A17" w:rsidP="00A12A17">
      <w:pPr>
        <w:spacing w:line="23" w:lineRule="atLeast"/>
        <w:ind w:left="18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lang w:val="en-US" w:eastAsia="en-GB"/>
        </w:rPr>
        <w:t>Market Trends</w:t>
      </w:r>
      <w:r w:rsidRPr="00ED58C0">
        <w:rPr>
          <w:rFonts w:ascii="Palatino Linotype" w:eastAsia="Times New Roman" w:hAnsi="Palatino Linotype"/>
          <w:b/>
          <w:sz w:val="22"/>
          <w:szCs w:val="22"/>
          <w:vertAlign w:val="superscript"/>
          <w:lang w:val="en-US" w:eastAsia="en-GB"/>
        </w:rPr>
        <w:footnoteReference w:id="2"/>
      </w:r>
      <w:r w:rsidRPr="00ED58C0">
        <w:rPr>
          <w:rFonts w:ascii="Palatino Linotype" w:eastAsia="Times New Roman" w:hAnsi="Palatino Linotype"/>
          <w:b/>
          <w:sz w:val="22"/>
          <w:szCs w:val="22"/>
          <w:lang w:val="en-US" w:eastAsia="en-GB"/>
        </w:rPr>
        <w:t xml:space="preserve"> – </w:t>
      </w:r>
    </w:p>
    <w:p w:rsidR="00A12A17" w:rsidRPr="00ED58C0" w:rsidRDefault="00A12A17" w:rsidP="00A12A17">
      <w:pPr>
        <w:spacing w:line="23" w:lineRule="atLeast"/>
        <w:ind w:left="180"/>
        <w:contextualSpacing/>
        <w:rPr>
          <w:rFonts w:ascii="Palatino Linotype" w:eastAsia="Times New Roman" w:hAnsi="Palatino Linotype"/>
          <w:b/>
          <w:sz w:val="22"/>
          <w:szCs w:val="22"/>
          <w:lang w:val="en-US" w:eastAsia="en-GB"/>
        </w:rPr>
      </w:pPr>
    </w:p>
    <w:p w:rsidR="00A12A17" w:rsidRPr="00ED58C0" w:rsidRDefault="00A12A17" w:rsidP="00A12A17">
      <w:pPr>
        <w:spacing w:line="360" w:lineRule="auto"/>
        <w:ind w:left="72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u w:val="single"/>
          <w:lang w:val="en-US" w:eastAsia="en-GB"/>
        </w:rPr>
        <w:t>Equity Markets (Figures 1-2, Table A1)</w:t>
      </w:r>
      <w:r w:rsidRPr="00ED58C0">
        <w:rPr>
          <w:rFonts w:ascii="Palatino Linotype" w:eastAsia="Times New Roman" w:hAnsi="Palatino Linotype"/>
          <w:b/>
          <w:sz w:val="22"/>
          <w:szCs w:val="22"/>
          <w:lang w:val="en-US" w:eastAsia="en-GB"/>
        </w:rPr>
        <w:t>-</w:t>
      </w:r>
    </w:p>
    <w:p w:rsidR="00A12A17" w:rsidRPr="00ED58C0" w:rsidRDefault="00A12A17" w:rsidP="00A12A17">
      <w:pPr>
        <w:numPr>
          <w:ilvl w:val="0"/>
          <w:numId w:val="8"/>
        </w:numPr>
        <w:spacing w:line="276" w:lineRule="auto"/>
        <w:jc w:val="both"/>
        <w:rPr>
          <w:rFonts w:ascii="Palatino Linotype" w:eastAsia="Times New Roman" w:hAnsi="Palatino Linotype"/>
          <w:bCs/>
          <w:color w:val="FF0000"/>
          <w:sz w:val="22"/>
          <w:szCs w:val="22"/>
          <w:lang w:val="en-US" w:eastAsia="en-GB"/>
        </w:rPr>
      </w:pPr>
      <w:r w:rsidRPr="00ED58C0">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March</w:t>
      </w:r>
      <w:r w:rsidRPr="00ED58C0">
        <w:rPr>
          <w:rFonts w:ascii="Palatino Linotype" w:eastAsia="Times New Roman" w:hAnsi="Palatino Linotype"/>
          <w:bCs/>
          <w:sz w:val="22"/>
          <w:szCs w:val="22"/>
          <w:lang w:val="en-US" w:eastAsia="en-GB"/>
        </w:rPr>
        <w:t xml:space="preserve"> 2021, highest annualized monthly volatility amongst the BRICS countries was observed in Russian Traded (</w:t>
      </w:r>
      <w:r w:rsidRPr="005A0259">
        <w:rPr>
          <w:rFonts w:ascii="Palatino Linotype" w:eastAsia="Times New Roman" w:hAnsi="Palatino Linotype"/>
          <w:bCs/>
          <w:sz w:val="22"/>
          <w:szCs w:val="22"/>
          <w:lang w:val="en-US" w:eastAsia="en-GB"/>
        </w:rPr>
        <w:t>25.8</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per cent) followed by</w:t>
      </w:r>
      <w:r w:rsidRPr="005A0259">
        <w:rPr>
          <w:rFonts w:ascii="Palatino Linotype" w:eastAsia="Times New Roman" w:hAnsi="Palatino Linotype"/>
          <w:bCs/>
          <w:sz w:val="22"/>
          <w:szCs w:val="22"/>
          <w:lang w:val="en-US" w:eastAsia="en-GB"/>
        </w:rPr>
        <w:t xml:space="preserve"> </w:t>
      </w:r>
      <w:r w:rsidRPr="007023FA">
        <w:rPr>
          <w:rFonts w:ascii="Palatino Linotype" w:eastAsia="Times New Roman" w:hAnsi="Palatino Linotype"/>
          <w:bCs/>
          <w:sz w:val="22"/>
          <w:szCs w:val="22"/>
          <w:lang w:val="en-US" w:eastAsia="en-GB"/>
        </w:rPr>
        <w:t xml:space="preserve">Brazil IBOVESPA </w:t>
      </w:r>
      <w:r w:rsidRPr="00ED58C0">
        <w:rPr>
          <w:rFonts w:ascii="Palatino Linotype" w:eastAsia="Times New Roman" w:hAnsi="Palatino Linotype"/>
          <w:bCs/>
          <w:sz w:val="22"/>
          <w:szCs w:val="22"/>
          <w:lang w:val="en-US" w:eastAsia="en-GB"/>
        </w:rPr>
        <w:t>(</w:t>
      </w:r>
      <w:r w:rsidRPr="00941640">
        <w:rPr>
          <w:rFonts w:ascii="Palatino Linotype" w:eastAsia="Times New Roman" w:hAnsi="Palatino Linotype"/>
          <w:bCs/>
          <w:sz w:val="22"/>
          <w:szCs w:val="22"/>
          <w:lang w:val="en-US" w:eastAsia="en-GB"/>
        </w:rPr>
        <w:t>23.0</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per cent) and</w:t>
      </w:r>
      <w:r w:rsidRPr="00941640">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Shanghai Composite (</w:t>
      </w:r>
      <w:r>
        <w:rPr>
          <w:rFonts w:ascii="Palatino Linotype" w:eastAsia="Times New Roman" w:hAnsi="Palatino Linotype"/>
          <w:bCs/>
          <w:sz w:val="22"/>
          <w:szCs w:val="22"/>
          <w:lang w:val="en-US" w:eastAsia="en-GB"/>
        </w:rPr>
        <w:t>20.2</w:t>
      </w:r>
      <w:r w:rsidRPr="00ED58C0">
        <w:rPr>
          <w:rFonts w:ascii="Palatino Linotype" w:eastAsia="Times New Roman" w:hAnsi="Palatino Linotype"/>
          <w:bCs/>
          <w:sz w:val="22"/>
          <w:szCs w:val="22"/>
          <w:lang w:val="en-US" w:eastAsia="en-GB"/>
        </w:rPr>
        <w:t xml:space="preserve"> per cent). The lowest annualized volatility among BRICS was observed</w:t>
      </w:r>
      <w:r>
        <w:rPr>
          <w:rFonts w:ascii="Palatino Linotype" w:eastAsia="Times New Roman" w:hAnsi="Palatino Linotype"/>
          <w:bCs/>
          <w:sz w:val="22"/>
          <w:szCs w:val="22"/>
          <w:lang w:val="en-US" w:eastAsia="en-GB"/>
        </w:rPr>
        <w:t xml:space="preserve"> for</w:t>
      </w:r>
      <w:r w:rsidRPr="00ED58C0">
        <w:rPr>
          <w:rFonts w:ascii="Palatino Linotype" w:eastAsia="Times New Roman" w:hAnsi="Palatino Linotype"/>
          <w:bCs/>
          <w:sz w:val="22"/>
          <w:szCs w:val="22"/>
          <w:lang w:val="en-US" w:eastAsia="en-GB"/>
        </w:rPr>
        <w:t xml:space="preserve"> </w:t>
      </w:r>
      <w:r w:rsidRPr="007023FA">
        <w:rPr>
          <w:rFonts w:ascii="Palatino Linotype" w:eastAsia="Times New Roman" w:hAnsi="Palatino Linotype"/>
          <w:bCs/>
          <w:sz w:val="22"/>
          <w:szCs w:val="22"/>
          <w:lang w:val="en-US" w:eastAsia="en-GB"/>
        </w:rPr>
        <w:t>South Africa</w:t>
      </w:r>
      <w:r>
        <w:rPr>
          <w:rFonts w:ascii="Palatino Linotype" w:eastAsia="Times New Roman" w:hAnsi="Palatino Linotype"/>
          <w:bCs/>
          <w:sz w:val="22"/>
          <w:szCs w:val="22"/>
          <w:lang w:val="en-US" w:eastAsia="en-GB"/>
        </w:rPr>
        <w:t xml:space="preserve"> FTSE </w:t>
      </w:r>
      <w:r w:rsidRPr="00ED58C0">
        <w:rPr>
          <w:rFonts w:ascii="Palatino Linotype" w:eastAsia="Times New Roman" w:hAnsi="Palatino Linotype"/>
          <w:bCs/>
          <w:sz w:val="22"/>
          <w:szCs w:val="22"/>
          <w:lang w:val="en-US" w:eastAsia="en-GB"/>
        </w:rPr>
        <w:t>(</w:t>
      </w:r>
      <w:r>
        <w:rPr>
          <w:rFonts w:ascii="Palatino Linotype" w:eastAsia="Times New Roman" w:hAnsi="Palatino Linotype"/>
          <w:sz w:val="22"/>
          <w:szCs w:val="22"/>
          <w:lang w:val="en-IN" w:eastAsia="en-IN"/>
        </w:rPr>
        <w:t>16</w:t>
      </w:r>
      <w:r w:rsidRPr="007023FA">
        <w:rPr>
          <w:rFonts w:ascii="Palatino Linotype" w:eastAsia="Times New Roman" w:hAnsi="Palatino Linotype"/>
          <w:sz w:val="22"/>
          <w:szCs w:val="22"/>
          <w:lang w:val="en-IN" w:eastAsia="en-IN"/>
        </w:rPr>
        <w:t>.8</w:t>
      </w:r>
      <w:r w:rsidRPr="00ED58C0">
        <w:rPr>
          <w:rFonts w:ascii="Palatino Linotype" w:eastAsia="Times New Roman" w:hAnsi="Palatino Linotype"/>
          <w:sz w:val="22"/>
          <w:szCs w:val="22"/>
          <w:lang w:val="en-IN" w:eastAsia="en-IN"/>
        </w:rPr>
        <w:t xml:space="preserve"> per cent</w:t>
      </w:r>
      <w:r>
        <w:rPr>
          <w:rFonts w:ascii="Palatino Linotype" w:eastAsia="Times New Roman" w:hAnsi="Palatino Linotype"/>
          <w:sz w:val="22"/>
          <w:szCs w:val="22"/>
          <w:lang w:val="en-IN" w:eastAsia="en-IN"/>
        </w:rPr>
        <w:t>)</w:t>
      </w:r>
      <w:r>
        <w:rPr>
          <w:rFonts w:ascii="Palatino Linotype" w:eastAsia="Times New Roman" w:hAnsi="Palatino Linotype"/>
          <w:bCs/>
          <w:sz w:val="22"/>
          <w:szCs w:val="22"/>
          <w:lang w:val="en-US" w:eastAsia="en-GB"/>
        </w:rPr>
        <w:t xml:space="preserve"> followed by</w:t>
      </w:r>
      <w:r w:rsidRPr="00ED58C0">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India (Sensex </w:t>
      </w:r>
      <w:r w:rsidRPr="00E5322E">
        <w:rPr>
          <w:rFonts w:ascii="Palatino Linotype" w:eastAsia="Times New Roman" w:hAnsi="Palatino Linotype"/>
          <w:bCs/>
          <w:sz w:val="22"/>
          <w:szCs w:val="22"/>
          <w:lang w:val="en-US" w:eastAsia="en-GB"/>
        </w:rPr>
        <w:t>18.6</w:t>
      </w:r>
      <w:r w:rsidRPr="00ED58C0">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and Nifty 18.5 per cent</w:t>
      </w:r>
      <w:r w:rsidRPr="00ED58C0">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 xml:space="preserve">Among the developed markets, highest annualized volatility was observed in </w:t>
      </w:r>
      <w:r>
        <w:rPr>
          <w:rFonts w:ascii="Palatino Linotype" w:eastAsia="Times New Roman" w:hAnsi="Palatino Linotype"/>
          <w:bCs/>
          <w:sz w:val="22"/>
          <w:szCs w:val="22"/>
          <w:lang w:val="en-US" w:eastAsia="en-GB"/>
        </w:rPr>
        <w:t>USA Nasdaq Composite</w:t>
      </w:r>
      <w:r w:rsidRPr="00F82B92">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28.5</w:t>
      </w:r>
      <w:r w:rsidRPr="00ED58C0">
        <w:rPr>
          <w:rFonts w:ascii="Palatino Linotype" w:eastAsia="Times New Roman" w:hAnsi="Palatino Linotype"/>
          <w:bCs/>
          <w:sz w:val="22"/>
          <w:szCs w:val="22"/>
          <w:lang w:val="en-US" w:eastAsia="en-GB"/>
        </w:rPr>
        <w:t xml:space="preserve"> per cent) and the lowest was observed at </w:t>
      </w:r>
      <w:r>
        <w:rPr>
          <w:rFonts w:ascii="Palatino Linotype" w:eastAsia="Times New Roman" w:hAnsi="Palatino Linotype"/>
          <w:bCs/>
          <w:sz w:val="22"/>
          <w:szCs w:val="22"/>
          <w:lang w:val="en-US" w:eastAsia="en-GB"/>
        </w:rPr>
        <w:t xml:space="preserve">Singapore STI </w:t>
      </w:r>
      <w:r w:rsidRPr="00ED58C0">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9.8 per cent</w:t>
      </w:r>
      <w:r w:rsidRPr="00ED58C0">
        <w:rPr>
          <w:rFonts w:ascii="Palatino Linotype" w:eastAsia="Times New Roman" w:hAnsi="Palatino Linotype"/>
          <w:bCs/>
          <w:sz w:val="22"/>
          <w:szCs w:val="22"/>
          <w:lang w:val="en-US" w:eastAsia="en-GB"/>
        </w:rPr>
        <w:t xml:space="preserve">). </w:t>
      </w:r>
    </w:p>
    <w:p w:rsidR="00A12A17" w:rsidRPr="00ED58C0" w:rsidRDefault="00A12A17" w:rsidP="00A12A17">
      <w:pPr>
        <w:spacing w:line="276" w:lineRule="auto"/>
        <w:ind w:left="357"/>
        <w:jc w:val="both"/>
        <w:rPr>
          <w:rFonts w:ascii="Garamond" w:eastAsia="Times New Roman" w:hAnsi="Garamond"/>
          <w:bCs/>
          <w:color w:val="FF0000"/>
          <w:lang w:val="en-US" w:eastAsia="en-GB"/>
        </w:rPr>
      </w:pPr>
    </w:p>
    <w:p w:rsidR="00A12A17" w:rsidRPr="00ED58C0" w:rsidRDefault="00A12A17" w:rsidP="00A12A17">
      <w:pPr>
        <w:numPr>
          <w:ilvl w:val="0"/>
          <w:numId w:val="8"/>
        </w:numPr>
        <w:spacing w:line="276" w:lineRule="auto"/>
        <w:jc w:val="both"/>
        <w:rPr>
          <w:rFonts w:ascii="Palatino Linotype" w:eastAsia="Times New Roman" w:hAnsi="Palatino Linotype"/>
          <w:bCs/>
          <w:color w:val="FF0000"/>
          <w:sz w:val="22"/>
          <w:szCs w:val="22"/>
          <w:lang w:val="en-US" w:eastAsia="en-GB"/>
        </w:rPr>
      </w:pPr>
      <w:r w:rsidRPr="00ED58C0">
        <w:rPr>
          <w:rFonts w:ascii="Palatino Linotype" w:eastAsia="Times New Roman" w:hAnsi="Palatino Linotype"/>
          <w:bCs/>
          <w:sz w:val="22"/>
          <w:szCs w:val="22"/>
          <w:lang w:val="en-US" w:eastAsia="en-GB"/>
        </w:rPr>
        <w:t>In most of the analyzed markets</w:t>
      </w:r>
      <w:r w:rsidRPr="00ED58C0">
        <w:rPr>
          <w:rFonts w:ascii="Palatino Linotype" w:eastAsia="Times New Roman" w:hAnsi="Palatino Linotype"/>
          <w:bCs/>
          <w:sz w:val="22"/>
          <w:szCs w:val="22"/>
          <w:vertAlign w:val="superscript"/>
          <w:lang w:val="en-US" w:eastAsia="en-GB"/>
        </w:rPr>
        <w:footnoteReference w:id="3"/>
      </w:r>
      <w:r w:rsidRPr="00ED58C0">
        <w:rPr>
          <w:rFonts w:ascii="Palatino Linotype" w:eastAsia="Times New Roman" w:hAnsi="Palatino Linotype"/>
          <w:bCs/>
          <w:sz w:val="22"/>
          <w:szCs w:val="22"/>
          <w:lang w:val="en-US" w:eastAsia="en-GB"/>
        </w:rPr>
        <w:t xml:space="preserve">, an increase was observed in most of the indices during </w:t>
      </w:r>
      <w:r>
        <w:rPr>
          <w:rFonts w:ascii="Palatino Linotype" w:eastAsia="Times New Roman" w:hAnsi="Palatino Linotype"/>
          <w:bCs/>
          <w:sz w:val="22"/>
          <w:szCs w:val="22"/>
          <w:lang w:val="en-US" w:eastAsia="en-GB"/>
        </w:rPr>
        <w:t>March</w:t>
      </w:r>
      <w:r w:rsidRPr="00ED58C0">
        <w:rPr>
          <w:rFonts w:ascii="Palatino Linotype" w:eastAsia="Times New Roman" w:hAnsi="Palatino Linotype"/>
          <w:bCs/>
          <w:sz w:val="22"/>
          <w:szCs w:val="22"/>
          <w:lang w:val="en-US" w:eastAsia="en-GB"/>
        </w:rPr>
        <w:t xml:space="preserve"> 2021 over the previous month. Amongst BRICS nations, an increase was observed in</w:t>
      </w:r>
      <w:r>
        <w:rPr>
          <w:rFonts w:ascii="Palatino Linotype" w:eastAsia="Times New Roman" w:hAnsi="Palatino Linotype"/>
          <w:bCs/>
          <w:sz w:val="22"/>
          <w:szCs w:val="22"/>
          <w:lang w:val="en-US" w:eastAsia="en-GB"/>
        </w:rPr>
        <w:t xml:space="preserve"> </w:t>
      </w:r>
      <w:r w:rsidRPr="007023FA">
        <w:rPr>
          <w:rFonts w:ascii="Palatino Linotype" w:eastAsia="Times New Roman" w:hAnsi="Palatino Linotype"/>
          <w:bCs/>
          <w:sz w:val="22"/>
          <w:szCs w:val="22"/>
          <w:lang w:val="en-US" w:eastAsia="en-GB"/>
        </w:rPr>
        <w:t xml:space="preserve">Brazil IBOVESPA </w:t>
      </w:r>
      <w:r w:rsidRPr="00ED58C0">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 xml:space="preserve">6.0 </w:t>
      </w:r>
      <w:r w:rsidRPr="00ED58C0">
        <w:rPr>
          <w:rFonts w:ascii="Palatino Linotype" w:eastAsia="Times New Roman" w:hAnsi="Palatino Linotype"/>
          <w:bCs/>
          <w:sz w:val="22"/>
          <w:szCs w:val="22"/>
          <w:lang w:val="en-US" w:eastAsia="en-GB"/>
        </w:rPr>
        <w:t>per cent)</w:t>
      </w:r>
      <w:r>
        <w:rPr>
          <w:rFonts w:ascii="Palatino Linotype" w:eastAsia="Times New Roman" w:hAnsi="Palatino Linotype"/>
          <w:bCs/>
          <w:sz w:val="22"/>
          <w:szCs w:val="22"/>
          <w:lang w:val="en-US" w:eastAsia="en-GB"/>
        </w:rPr>
        <w:t>,</w:t>
      </w:r>
      <w:r w:rsidRPr="00ED58C0">
        <w:rPr>
          <w:rFonts w:ascii="Palatino Linotype" w:eastAsia="Times New Roman" w:hAnsi="Palatino Linotype"/>
          <w:bCs/>
          <w:sz w:val="22"/>
          <w:szCs w:val="22"/>
          <w:lang w:val="en-US" w:eastAsia="en-GB"/>
        </w:rPr>
        <w:t xml:space="preserve"> followed by </w:t>
      </w:r>
      <w:r w:rsidRPr="00467793">
        <w:rPr>
          <w:rFonts w:ascii="Palatino Linotype" w:eastAsia="Times New Roman" w:hAnsi="Palatino Linotype"/>
          <w:bCs/>
          <w:sz w:val="22"/>
          <w:szCs w:val="22"/>
          <w:lang w:val="en-US" w:eastAsia="en-GB"/>
        </w:rPr>
        <w:t>Russian Traded</w:t>
      </w:r>
      <w:r>
        <w:rPr>
          <w:rFonts w:ascii="Palatino Linotype" w:eastAsia="Times New Roman" w:hAnsi="Palatino Linotype"/>
          <w:bCs/>
          <w:sz w:val="22"/>
          <w:szCs w:val="22"/>
          <w:lang w:val="en-US" w:eastAsia="en-GB"/>
        </w:rPr>
        <w:t xml:space="preserve"> (5</w:t>
      </w:r>
      <w:r w:rsidRPr="00467793">
        <w:rPr>
          <w:rFonts w:ascii="Palatino Linotype" w:eastAsia="Times New Roman" w:hAnsi="Palatino Linotype"/>
          <w:bCs/>
          <w:sz w:val="22"/>
          <w:szCs w:val="22"/>
          <w:lang w:val="en-US" w:eastAsia="en-GB"/>
        </w:rPr>
        <w:t>.4</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per cent</w:t>
      </w:r>
      <w:r>
        <w:rPr>
          <w:rFonts w:ascii="Palatino Linotype" w:eastAsia="Times New Roman" w:hAnsi="Palatino Linotype"/>
          <w:bCs/>
          <w:sz w:val="22"/>
          <w:szCs w:val="22"/>
          <w:lang w:val="en-US" w:eastAsia="en-GB"/>
        </w:rPr>
        <w:t xml:space="preserve">). India’s </w:t>
      </w:r>
      <w:r w:rsidRPr="0097439B">
        <w:rPr>
          <w:rFonts w:ascii="Palatino Linotype" w:eastAsia="Times New Roman" w:hAnsi="Palatino Linotype"/>
          <w:bCs/>
          <w:sz w:val="22"/>
          <w:szCs w:val="22"/>
          <w:lang w:val="en-US" w:eastAsia="en-GB"/>
        </w:rPr>
        <w:t>Nifty 50</w:t>
      </w:r>
      <w:r w:rsidRPr="00ED58C0">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increased by 1.1 </w:t>
      </w:r>
      <w:r w:rsidRPr="00ED58C0">
        <w:rPr>
          <w:rFonts w:ascii="Palatino Linotype" w:eastAsia="Times New Roman" w:hAnsi="Palatino Linotype"/>
          <w:bCs/>
          <w:sz w:val="22"/>
          <w:szCs w:val="22"/>
          <w:lang w:val="en-US" w:eastAsia="en-GB"/>
        </w:rPr>
        <w:t>per cent</w:t>
      </w:r>
      <w:r>
        <w:rPr>
          <w:rFonts w:ascii="Palatino Linotype" w:eastAsia="Times New Roman" w:hAnsi="Palatino Linotype"/>
          <w:bCs/>
          <w:sz w:val="22"/>
          <w:szCs w:val="22"/>
          <w:lang w:val="en-US" w:eastAsia="en-GB"/>
        </w:rPr>
        <w:t xml:space="preserve"> and Sensex increased by 0.8 </w:t>
      </w:r>
      <w:r w:rsidRPr="00ED58C0">
        <w:rPr>
          <w:rFonts w:ascii="Palatino Linotype" w:eastAsia="Times New Roman" w:hAnsi="Palatino Linotype"/>
          <w:bCs/>
          <w:sz w:val="22"/>
          <w:szCs w:val="22"/>
          <w:lang w:val="en-US" w:eastAsia="en-GB"/>
        </w:rPr>
        <w:t>per cent</w:t>
      </w:r>
      <w:r>
        <w:rPr>
          <w:rFonts w:ascii="Palatino Linotype" w:eastAsia="Times New Roman" w:hAnsi="Palatino Linotype"/>
          <w:bCs/>
          <w:sz w:val="22"/>
          <w:szCs w:val="22"/>
          <w:lang w:val="en-US" w:eastAsia="en-GB"/>
        </w:rPr>
        <w:t xml:space="preserve"> whereas</w:t>
      </w:r>
      <w:r w:rsidRPr="00853856">
        <w:rPr>
          <w:rFonts w:ascii="Palatino Linotype" w:eastAsia="Times New Roman" w:hAnsi="Palatino Linotype"/>
          <w:bCs/>
          <w:sz w:val="22"/>
          <w:szCs w:val="22"/>
          <w:lang w:val="en-US" w:eastAsia="en-GB"/>
        </w:rPr>
        <w:t>South Africa FTSE</w:t>
      </w:r>
      <w:r w:rsidRPr="00ED58C0">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increased by 0.5</w:t>
      </w:r>
      <w:r w:rsidRPr="00ED58C0">
        <w:rPr>
          <w:rFonts w:ascii="Palatino Linotype" w:eastAsia="Times New Roman" w:hAnsi="Palatino Linotype"/>
          <w:bCs/>
          <w:sz w:val="22"/>
          <w:szCs w:val="22"/>
          <w:lang w:val="en-US" w:eastAsia="en-GB"/>
        </w:rPr>
        <w:t xml:space="preserve"> per cen</w:t>
      </w:r>
      <w:r>
        <w:rPr>
          <w:rFonts w:ascii="Palatino Linotype" w:eastAsia="Times New Roman" w:hAnsi="Palatino Linotype"/>
          <w:bCs/>
          <w:sz w:val="22"/>
          <w:szCs w:val="22"/>
          <w:lang w:val="en-US" w:eastAsia="en-GB"/>
        </w:rPr>
        <w:t xml:space="preserve"> over the previous month</w:t>
      </w:r>
      <w:r w:rsidRPr="00ED58C0">
        <w:rPr>
          <w:rFonts w:ascii="Palatino Linotype" w:eastAsia="Times New Roman" w:hAnsi="Palatino Linotype"/>
          <w:bCs/>
          <w:sz w:val="22"/>
          <w:szCs w:val="22"/>
          <w:lang w:val="en-US" w:eastAsia="en-GB"/>
        </w:rPr>
        <w:t>)</w:t>
      </w:r>
      <w:r w:rsidRPr="00467793">
        <w:rPr>
          <w:rFonts w:ascii="Palatino Linotype" w:eastAsia="Times New Roman" w:hAnsi="Palatino Linotype"/>
          <w:bCs/>
          <w:sz w:val="22"/>
          <w:szCs w:val="22"/>
          <w:lang w:val="en-US" w:eastAsia="en-GB"/>
        </w:rPr>
        <w:t>.</w:t>
      </w:r>
      <w:r w:rsidRPr="00ED58C0">
        <w:rPr>
          <w:rFonts w:ascii="Palatino Linotype" w:eastAsia="Times New Roman" w:hAnsi="Palatino Linotype"/>
          <w:bCs/>
          <w:sz w:val="22"/>
          <w:szCs w:val="22"/>
          <w:lang w:val="en-US" w:eastAsia="en-GB"/>
        </w:rPr>
        <w:t xml:space="preserve"> However, a decrease was observed for Shanghai Composite</w:t>
      </w:r>
      <w:r>
        <w:rPr>
          <w:rFonts w:ascii="Palatino Linotype" w:eastAsia="Times New Roman" w:hAnsi="Palatino Linotype"/>
          <w:bCs/>
          <w:sz w:val="22"/>
          <w:szCs w:val="22"/>
          <w:lang w:val="en-US" w:eastAsia="en-GB"/>
        </w:rPr>
        <w:t xml:space="preserve">  of1.9</w:t>
      </w:r>
      <w:r w:rsidRPr="00ED58C0">
        <w:rPr>
          <w:rFonts w:ascii="Palatino Linotype" w:eastAsia="Times New Roman" w:hAnsi="Palatino Linotype"/>
          <w:bCs/>
          <w:sz w:val="22"/>
          <w:szCs w:val="22"/>
          <w:lang w:val="en-US" w:eastAsia="en-GB"/>
        </w:rPr>
        <w:t xml:space="preserve"> per cent. </w:t>
      </w:r>
    </w:p>
    <w:p w:rsidR="00A12A17" w:rsidRPr="00ED58C0" w:rsidRDefault="00A12A17" w:rsidP="00A12A17">
      <w:pPr>
        <w:spacing w:line="276" w:lineRule="auto"/>
        <w:ind w:left="357"/>
        <w:jc w:val="both"/>
        <w:rPr>
          <w:rFonts w:ascii="Garamond" w:eastAsia="Times New Roman" w:hAnsi="Garamond"/>
          <w:bCs/>
          <w:color w:val="FF0000"/>
          <w:lang w:val="en-US" w:eastAsia="en-GB"/>
        </w:rPr>
      </w:pPr>
    </w:p>
    <w:p w:rsidR="00A12A17" w:rsidRPr="00460FD6" w:rsidRDefault="00A12A17" w:rsidP="00A12A17">
      <w:pPr>
        <w:numPr>
          <w:ilvl w:val="0"/>
          <w:numId w:val="8"/>
        </w:numPr>
        <w:spacing w:line="276" w:lineRule="auto"/>
        <w:contextualSpacing/>
        <w:jc w:val="both"/>
        <w:rPr>
          <w:rFonts w:ascii="Palatino Linotype" w:eastAsia="Times New Roman" w:hAnsi="Palatino Linotype"/>
          <w:bCs/>
          <w:sz w:val="22"/>
          <w:szCs w:val="22"/>
          <w:lang w:val="en-US" w:eastAsia="en-GB"/>
        </w:rPr>
      </w:pPr>
      <w:r w:rsidRPr="00ED58C0">
        <w:rPr>
          <w:rFonts w:ascii="Palatino Linotype" w:eastAsia="Times New Roman" w:hAnsi="Palatino Linotype"/>
          <w:bCs/>
          <w:sz w:val="22"/>
          <w:szCs w:val="22"/>
          <w:lang w:val="en-US" w:eastAsia="en-GB"/>
        </w:rPr>
        <w:t xml:space="preserve">Among the developed economies, in the month of </w:t>
      </w:r>
      <w:r>
        <w:rPr>
          <w:rFonts w:ascii="Palatino Linotype" w:eastAsia="Times New Roman" w:hAnsi="Palatino Linotype"/>
          <w:bCs/>
          <w:sz w:val="22"/>
          <w:szCs w:val="22"/>
          <w:lang w:val="en-US" w:eastAsia="en-GB"/>
        </w:rPr>
        <w:t>March</w:t>
      </w:r>
      <w:r w:rsidRPr="00ED58C0">
        <w:rPr>
          <w:rFonts w:ascii="Palatino Linotype" w:eastAsia="Times New Roman" w:hAnsi="Palatino Linotype"/>
          <w:bCs/>
          <w:sz w:val="22"/>
          <w:szCs w:val="22"/>
          <w:lang w:val="en-US" w:eastAsia="en-GB"/>
        </w:rPr>
        <w:t xml:space="preserve"> 2021, highest indices growth was observed for German DAX</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8.9</w:t>
      </w:r>
      <w:r w:rsidRPr="00ED58C0">
        <w:rPr>
          <w:rFonts w:ascii="Palatino Linotype" w:eastAsia="Times New Roman" w:hAnsi="Palatino Linotype"/>
          <w:bCs/>
          <w:sz w:val="22"/>
          <w:szCs w:val="22"/>
          <w:lang w:val="en-US" w:eastAsia="en-GB"/>
        </w:rPr>
        <w:t xml:space="preserve"> per cent) followed by Singapore STI</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w:t>
      </w:r>
      <w:r w:rsidRPr="00C40CE9">
        <w:rPr>
          <w:rFonts w:ascii="Palatino Linotype" w:eastAsia="Times New Roman" w:hAnsi="Palatino Linotype"/>
          <w:bCs/>
          <w:sz w:val="22"/>
          <w:szCs w:val="22"/>
          <w:lang w:val="en-US" w:eastAsia="en-GB"/>
        </w:rPr>
        <w:t>7.3</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 xml:space="preserve">per cent). </w:t>
      </w:r>
      <w:r>
        <w:rPr>
          <w:rFonts w:ascii="Palatino Linotype" w:eastAsia="Times New Roman" w:hAnsi="Palatino Linotype"/>
          <w:bCs/>
          <w:sz w:val="22"/>
          <w:szCs w:val="22"/>
          <w:lang w:val="en-US" w:eastAsia="en-GB"/>
        </w:rPr>
        <w:t xml:space="preserve">A decrease in </w:t>
      </w:r>
      <w:r w:rsidRPr="00ED58C0">
        <w:rPr>
          <w:rFonts w:ascii="Palatino Linotype" w:eastAsia="Times New Roman" w:hAnsi="Palatino Linotype"/>
          <w:bCs/>
          <w:sz w:val="22"/>
          <w:szCs w:val="22"/>
          <w:lang w:val="en-US" w:eastAsia="en-GB"/>
        </w:rPr>
        <w:t>monthly growth was observed in</w:t>
      </w:r>
      <w:r w:rsidRPr="00B16BAD">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Hong Kong HANG SENG (</w:t>
      </w:r>
      <w:r>
        <w:rPr>
          <w:rFonts w:ascii="Palatino Linotype" w:eastAsia="Times New Roman" w:hAnsi="Palatino Linotype"/>
          <w:bCs/>
          <w:sz w:val="22"/>
          <w:szCs w:val="22"/>
          <w:lang w:val="en-US" w:eastAsia="en-GB"/>
        </w:rPr>
        <w:t>2.1</w:t>
      </w:r>
      <w:r w:rsidRPr="00ED58C0">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 xml:space="preserve">followed by </w:t>
      </w:r>
      <w:r>
        <w:rPr>
          <w:rFonts w:ascii="Palatino Linotype" w:eastAsia="Times New Roman" w:hAnsi="Palatino Linotype"/>
          <w:bCs/>
          <w:sz w:val="22"/>
          <w:szCs w:val="22"/>
          <w:lang w:val="en-US" w:eastAsia="en-GB"/>
        </w:rPr>
        <w:t xml:space="preserve">slight growth at </w:t>
      </w:r>
      <w:r w:rsidRPr="00ED58C0">
        <w:rPr>
          <w:rFonts w:ascii="Palatino Linotype" w:eastAsia="Times New Roman" w:hAnsi="Palatino Linotype"/>
          <w:bCs/>
          <w:sz w:val="22"/>
          <w:szCs w:val="22"/>
          <w:lang w:val="en-US" w:eastAsia="en-GB"/>
        </w:rPr>
        <w:t>Nasdaq COMPOSITE</w:t>
      </w:r>
      <w:r>
        <w:rPr>
          <w:rFonts w:ascii="Palatino Linotype" w:eastAsia="Times New Roman" w:hAnsi="Palatino Linotype"/>
          <w:bCs/>
          <w:sz w:val="22"/>
          <w:szCs w:val="22"/>
          <w:lang w:val="en-US" w:eastAsia="en-GB"/>
        </w:rPr>
        <w:t xml:space="preserve"> (0.4</w:t>
      </w:r>
      <w:r w:rsidRPr="00ED58C0">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and</w:t>
      </w:r>
      <w:r w:rsidRPr="00ED58C0">
        <w:rPr>
          <w:rFonts w:ascii="Palatino Linotype" w:eastAsia="Times New Roman" w:hAnsi="Palatino Linotype"/>
          <w:bCs/>
          <w:sz w:val="22"/>
          <w:szCs w:val="22"/>
          <w:lang w:val="en-US" w:eastAsia="en-GB"/>
        </w:rPr>
        <w:t xml:space="preserve"> Japan Nikkei </w:t>
      </w:r>
      <w:r>
        <w:rPr>
          <w:rFonts w:ascii="Palatino Linotype" w:eastAsia="Times New Roman" w:hAnsi="Palatino Linotype"/>
          <w:bCs/>
          <w:sz w:val="22"/>
          <w:szCs w:val="22"/>
          <w:lang w:val="en-US" w:eastAsia="en-GB"/>
        </w:rPr>
        <w:t>(0.7</w:t>
      </w:r>
      <w:r w:rsidRPr="00ED58C0">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 xml:space="preserve">Growth </w:t>
      </w:r>
      <w:r>
        <w:rPr>
          <w:rFonts w:ascii="Palatino Linotype" w:eastAsia="Times New Roman" w:hAnsi="Palatino Linotype"/>
          <w:bCs/>
          <w:sz w:val="22"/>
          <w:szCs w:val="22"/>
          <w:lang w:val="en-US" w:eastAsia="en-GB"/>
        </w:rPr>
        <w:t xml:space="preserve">in </w:t>
      </w:r>
      <w:r w:rsidRPr="00ED58C0">
        <w:rPr>
          <w:rFonts w:ascii="Palatino Linotype" w:eastAsia="Times New Roman" w:hAnsi="Palatino Linotype"/>
          <w:bCs/>
          <w:sz w:val="22"/>
          <w:szCs w:val="22"/>
          <w:lang w:val="en-US" w:eastAsia="en-GB"/>
        </w:rPr>
        <w:t>UK FTSE 100</w:t>
      </w:r>
      <w:r>
        <w:rPr>
          <w:rFonts w:ascii="Palatino Linotype" w:eastAsia="Times New Roman" w:hAnsi="Palatino Linotype"/>
          <w:bCs/>
          <w:sz w:val="22"/>
          <w:szCs w:val="22"/>
          <w:lang w:val="en-US" w:eastAsia="en-GB"/>
        </w:rPr>
        <w:t>, South Korea KOSPI,</w:t>
      </w:r>
      <w:r w:rsidRPr="00ED58C0">
        <w:rPr>
          <w:rFonts w:ascii="Palatino Linotype" w:eastAsia="Times New Roman" w:hAnsi="Palatino Linotype"/>
          <w:bCs/>
          <w:sz w:val="22"/>
          <w:szCs w:val="22"/>
          <w:lang w:val="en-US" w:eastAsia="en-GB"/>
        </w:rPr>
        <w:t xml:space="preserve"> and France CAC 40</w:t>
      </w:r>
      <w:r w:rsidRPr="00675AF0">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 xml:space="preserve">were </w:t>
      </w:r>
      <w:r>
        <w:rPr>
          <w:rFonts w:ascii="Palatino Linotype" w:eastAsia="Times New Roman" w:hAnsi="Palatino Linotype"/>
          <w:bCs/>
          <w:sz w:val="22"/>
          <w:szCs w:val="22"/>
          <w:lang w:val="en-US" w:eastAsia="en-GB"/>
        </w:rPr>
        <w:t>3.6</w:t>
      </w:r>
      <w:r w:rsidRPr="00ED58C0">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1.6 </w:t>
      </w:r>
      <w:r w:rsidRPr="00ED58C0">
        <w:rPr>
          <w:rFonts w:ascii="Palatino Linotype" w:eastAsia="Times New Roman" w:hAnsi="Palatino Linotype"/>
          <w:bCs/>
          <w:sz w:val="22"/>
          <w:szCs w:val="22"/>
          <w:lang w:val="en-US" w:eastAsia="en-GB"/>
        </w:rPr>
        <w:t xml:space="preserve">and </w:t>
      </w:r>
      <w:r>
        <w:rPr>
          <w:rFonts w:ascii="Palatino Linotype" w:eastAsia="Times New Roman" w:hAnsi="Palatino Linotype"/>
          <w:bCs/>
          <w:sz w:val="22"/>
          <w:szCs w:val="22"/>
          <w:lang w:val="en-US" w:eastAsia="en-GB"/>
        </w:rPr>
        <w:t>6.4</w:t>
      </w:r>
      <w:r w:rsidRPr="00ED58C0">
        <w:rPr>
          <w:rFonts w:ascii="Palatino Linotype" w:eastAsia="Times New Roman" w:hAnsi="Palatino Linotype"/>
          <w:bCs/>
          <w:sz w:val="22"/>
          <w:szCs w:val="22"/>
          <w:lang w:val="en-US" w:eastAsia="en-GB"/>
        </w:rPr>
        <w:t xml:space="preserve"> per cent respectively</w:t>
      </w:r>
      <w:r>
        <w:rPr>
          <w:rFonts w:ascii="Palatino Linotype" w:eastAsia="Times New Roman" w:hAnsi="Palatino Linotype"/>
          <w:bCs/>
          <w:sz w:val="22"/>
          <w:szCs w:val="22"/>
          <w:lang w:val="en-US" w:eastAsia="en-GB"/>
        </w:rPr>
        <w:t xml:space="preserve"> over the previous month.</w:t>
      </w:r>
      <w:r w:rsidRPr="00675AF0">
        <w:rPr>
          <w:rFonts w:ascii="Palatino Linotype" w:eastAsia="Times New Roman" w:hAnsi="Palatino Linotype"/>
          <w:bCs/>
          <w:sz w:val="22"/>
          <w:szCs w:val="22"/>
          <w:lang w:val="en-US" w:eastAsia="en-GB"/>
        </w:rPr>
        <w:t xml:space="preserve"> </w:t>
      </w:r>
    </w:p>
    <w:p w:rsidR="00A12A17" w:rsidRDefault="00A12A17" w:rsidP="00A12A17">
      <w:pPr>
        <w:spacing w:line="23" w:lineRule="atLeast"/>
        <w:jc w:val="both"/>
        <w:outlineLvl w:val="0"/>
        <w:rPr>
          <w:rFonts w:ascii="Garamond" w:hAnsi="Garamond"/>
          <w:b/>
          <w:bCs/>
          <w:noProof/>
          <w:lang w:val="en-US"/>
        </w:rPr>
      </w:pPr>
    </w:p>
    <w:p w:rsidR="00A12A17" w:rsidRPr="002622E2" w:rsidRDefault="00A12A17" w:rsidP="00A12A17">
      <w:pPr>
        <w:spacing w:line="23" w:lineRule="atLeast"/>
        <w:jc w:val="both"/>
        <w:outlineLvl w:val="0"/>
        <w:rPr>
          <w:rFonts w:ascii="Garamond" w:hAnsi="Garamond"/>
          <w:b/>
          <w:bCs/>
          <w:szCs w:val="22"/>
        </w:rPr>
      </w:pPr>
      <w:r w:rsidRPr="002622E2">
        <w:rPr>
          <w:rFonts w:ascii="Garamond" w:hAnsi="Garamond"/>
          <w:b/>
          <w:bCs/>
          <w:noProof/>
          <w:lang w:val="en-US"/>
        </w:rPr>
        <w:t>Figure</w:t>
      </w:r>
      <w:r w:rsidRPr="002622E2">
        <w:rPr>
          <w:rFonts w:ascii="Garamond" w:hAnsi="Garamond"/>
          <w:b/>
          <w:bCs/>
          <w:szCs w:val="22"/>
        </w:rPr>
        <w:t xml:space="preserve"> 1: Stock Market Trends in Selected Developed Markets</w:t>
      </w:r>
    </w:p>
    <w:p w:rsidR="00A12A17" w:rsidRPr="002622E2" w:rsidRDefault="00A12A17" w:rsidP="00A12A17">
      <w:pPr>
        <w:spacing w:line="23" w:lineRule="atLeast"/>
        <w:jc w:val="both"/>
        <w:outlineLvl w:val="0"/>
        <w:rPr>
          <w:rFonts w:ascii="Garamond" w:hAnsi="Garamond"/>
          <w:bCs/>
          <w:sz w:val="22"/>
          <w:szCs w:val="22"/>
        </w:rPr>
      </w:pPr>
      <w:r w:rsidRPr="00797A8B">
        <w:rPr>
          <w:rFonts w:ascii="Garamond" w:hAnsi="Garamond"/>
          <w:bCs/>
          <w:noProof/>
          <w:sz w:val="22"/>
          <w:szCs w:val="22"/>
          <w:lang w:val="en-IN" w:eastAsia="en-IN" w:bidi="hi-IN"/>
        </w:rPr>
        <w:drawing>
          <wp:inline distT="0" distB="0" distL="0" distR="0">
            <wp:extent cx="6191250" cy="3990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1250" cy="3990975"/>
                    </a:xfrm>
                    <a:prstGeom prst="rect">
                      <a:avLst/>
                    </a:prstGeom>
                    <a:noFill/>
                    <a:ln>
                      <a:noFill/>
                    </a:ln>
                  </pic:spPr>
                </pic:pic>
              </a:graphicData>
            </a:graphic>
          </wp:inline>
        </w:drawing>
      </w:r>
    </w:p>
    <w:p w:rsidR="00A12A17" w:rsidRPr="002622E2" w:rsidRDefault="00A12A17" w:rsidP="00A12A17">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31 March 2020</w:t>
      </w:r>
      <w:r w:rsidRPr="002622E2">
        <w:rPr>
          <w:rFonts w:ascii="Garamond" w:hAnsi="Garamond"/>
          <w:bCs/>
          <w:sz w:val="18"/>
          <w:szCs w:val="18"/>
        </w:rPr>
        <w:t>.</w:t>
      </w:r>
    </w:p>
    <w:p w:rsidR="00A12A17" w:rsidRPr="002622E2" w:rsidRDefault="00A12A17" w:rsidP="00A12A17">
      <w:pPr>
        <w:spacing w:line="23" w:lineRule="atLeast"/>
        <w:jc w:val="both"/>
        <w:outlineLvl w:val="0"/>
        <w:rPr>
          <w:rFonts w:ascii="Garamond" w:hAnsi="Garamond"/>
          <w:bCs/>
          <w:sz w:val="18"/>
          <w:szCs w:val="18"/>
        </w:rPr>
      </w:pPr>
      <w:r w:rsidRPr="002622E2">
        <w:rPr>
          <w:rFonts w:ascii="Garamond" w:hAnsi="Garamond"/>
          <w:bCs/>
          <w:sz w:val="18"/>
          <w:szCs w:val="18"/>
        </w:rPr>
        <w:t>Source: Refinitiv</w:t>
      </w:r>
    </w:p>
    <w:p w:rsidR="00A12A17" w:rsidRPr="00073FE2" w:rsidRDefault="00A12A17" w:rsidP="00A12A17">
      <w:pPr>
        <w:spacing w:line="23" w:lineRule="atLeast"/>
        <w:rPr>
          <w:rFonts w:ascii="Garamond" w:hAnsi="Garamond"/>
          <w:bCs/>
          <w:strike/>
          <w:sz w:val="22"/>
          <w:szCs w:val="22"/>
        </w:rPr>
      </w:pPr>
    </w:p>
    <w:p w:rsidR="00A12A17" w:rsidRPr="002622E2" w:rsidRDefault="00A12A17" w:rsidP="00A12A17">
      <w:pPr>
        <w:spacing w:line="23" w:lineRule="atLeast"/>
        <w:rPr>
          <w:rFonts w:ascii="Garamond" w:hAnsi="Garamond"/>
          <w:b/>
          <w:bCs/>
          <w:szCs w:val="22"/>
        </w:rPr>
      </w:pPr>
    </w:p>
    <w:p w:rsidR="00A12A17" w:rsidRDefault="00A12A17" w:rsidP="00A12A17">
      <w:pPr>
        <w:rPr>
          <w:rFonts w:ascii="Garamond" w:hAnsi="Garamond"/>
          <w:b/>
          <w:bCs/>
          <w:szCs w:val="22"/>
        </w:rPr>
      </w:pPr>
      <w:r>
        <w:rPr>
          <w:rFonts w:ascii="Garamond" w:hAnsi="Garamond"/>
          <w:b/>
          <w:bCs/>
          <w:szCs w:val="22"/>
        </w:rPr>
        <w:br w:type="page"/>
      </w:r>
    </w:p>
    <w:p w:rsidR="00A12A17" w:rsidRPr="002622E2" w:rsidRDefault="00A12A17" w:rsidP="00A12A17">
      <w:pPr>
        <w:spacing w:line="23" w:lineRule="atLeast"/>
        <w:rPr>
          <w:rFonts w:ascii="Garamond" w:hAnsi="Garamond"/>
          <w:b/>
          <w:bCs/>
          <w:szCs w:val="22"/>
        </w:rPr>
      </w:pPr>
      <w:r w:rsidRPr="002622E2">
        <w:rPr>
          <w:rFonts w:ascii="Garamond" w:hAnsi="Garamond"/>
          <w:b/>
          <w:bCs/>
          <w:szCs w:val="22"/>
        </w:rPr>
        <w:t>Figure 2: Stock Market Trends in Selected Emerging Markets</w:t>
      </w:r>
    </w:p>
    <w:p w:rsidR="00A12A17" w:rsidRPr="002622E2" w:rsidRDefault="00A12A17" w:rsidP="00A12A17">
      <w:pPr>
        <w:spacing w:line="23" w:lineRule="atLeast"/>
        <w:rPr>
          <w:rFonts w:ascii="Garamond" w:hAnsi="Garamond"/>
          <w:bCs/>
          <w:sz w:val="22"/>
          <w:szCs w:val="22"/>
        </w:rPr>
      </w:pPr>
      <w:r w:rsidRPr="00797A8B">
        <w:rPr>
          <w:rFonts w:ascii="Garamond" w:hAnsi="Garamond"/>
          <w:bCs/>
          <w:noProof/>
          <w:sz w:val="22"/>
          <w:szCs w:val="22"/>
          <w:lang w:val="en-IN" w:eastAsia="en-IN" w:bidi="hi-IN"/>
        </w:rPr>
        <w:drawing>
          <wp:inline distT="0" distB="0" distL="0" distR="0">
            <wp:extent cx="6048375" cy="3905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48375" cy="3905250"/>
                    </a:xfrm>
                    <a:prstGeom prst="rect">
                      <a:avLst/>
                    </a:prstGeom>
                    <a:noFill/>
                    <a:ln>
                      <a:noFill/>
                    </a:ln>
                  </pic:spPr>
                </pic:pic>
              </a:graphicData>
            </a:graphic>
          </wp:inline>
        </w:drawing>
      </w:r>
    </w:p>
    <w:p w:rsidR="00A12A17" w:rsidRPr="002622E2" w:rsidRDefault="00A12A17" w:rsidP="00A12A17">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31 March 2020</w:t>
      </w:r>
      <w:r w:rsidRPr="002622E2">
        <w:rPr>
          <w:rFonts w:ascii="Garamond" w:hAnsi="Garamond"/>
          <w:bCs/>
          <w:sz w:val="18"/>
          <w:szCs w:val="18"/>
        </w:rPr>
        <w:t>.</w:t>
      </w:r>
    </w:p>
    <w:p w:rsidR="00A12A17" w:rsidRPr="0066149F" w:rsidRDefault="00A12A17" w:rsidP="00A12A17">
      <w:pPr>
        <w:spacing w:line="23" w:lineRule="atLeast"/>
        <w:jc w:val="both"/>
        <w:outlineLvl w:val="0"/>
        <w:rPr>
          <w:rFonts w:ascii="Garamond" w:eastAsia="Times New Roman" w:hAnsi="Garamond"/>
          <w:b/>
          <w:szCs w:val="22"/>
          <w:u w:val="single"/>
          <w:lang w:val="en-US" w:eastAsia="en-GB"/>
        </w:rPr>
      </w:pPr>
      <w:r w:rsidRPr="002622E2">
        <w:rPr>
          <w:rFonts w:ascii="Garamond" w:hAnsi="Garamond"/>
          <w:bCs/>
          <w:sz w:val="18"/>
          <w:szCs w:val="18"/>
        </w:rPr>
        <w:t>Source: Refinitiv</w:t>
      </w:r>
    </w:p>
    <w:p w:rsidR="00A12A17" w:rsidRPr="0066149F" w:rsidRDefault="00A12A17" w:rsidP="00A12A17">
      <w:pPr>
        <w:spacing w:line="360" w:lineRule="auto"/>
        <w:ind w:left="720"/>
        <w:contextualSpacing/>
        <w:rPr>
          <w:rFonts w:ascii="Garamond" w:eastAsia="Times New Roman" w:hAnsi="Garamond"/>
          <w:b/>
          <w:szCs w:val="22"/>
          <w:u w:val="single"/>
          <w:lang w:val="en-US" w:eastAsia="en-GB"/>
        </w:rPr>
      </w:pPr>
    </w:p>
    <w:p w:rsidR="00A12A17" w:rsidRPr="0066149F" w:rsidRDefault="00A12A17" w:rsidP="00A12A17">
      <w:pPr>
        <w:spacing w:line="276" w:lineRule="auto"/>
        <w:ind w:left="720"/>
        <w:contextualSpacing/>
        <w:rPr>
          <w:rFonts w:ascii="Garamond" w:hAnsi="Garamond"/>
          <w:bCs/>
          <w:sz w:val="22"/>
          <w:szCs w:val="22"/>
          <w:lang w:val="en-US"/>
        </w:rPr>
      </w:pPr>
      <w:r w:rsidRPr="0066149F">
        <w:rPr>
          <w:rFonts w:ascii="Garamond" w:eastAsia="Times New Roman" w:hAnsi="Garamond"/>
          <w:b/>
          <w:sz w:val="22"/>
          <w:szCs w:val="22"/>
          <w:u w:val="single"/>
          <w:lang w:val="en-US" w:eastAsia="en-GB"/>
        </w:rPr>
        <w:t>BOND Market (Figures 3-4)</w:t>
      </w:r>
    </w:p>
    <w:p w:rsidR="00A12A17" w:rsidRPr="0066149F" w:rsidRDefault="00A12A17" w:rsidP="00A12A17">
      <w:pPr>
        <w:numPr>
          <w:ilvl w:val="0"/>
          <w:numId w:val="8"/>
        </w:numPr>
        <w:spacing w:line="276" w:lineRule="auto"/>
        <w:contextualSpacing/>
        <w:jc w:val="both"/>
        <w:rPr>
          <w:rFonts w:ascii="Palatino Linotype" w:hAnsi="Palatino Linotype"/>
          <w:bCs/>
          <w:color w:val="FF0000"/>
          <w:sz w:val="22"/>
          <w:szCs w:val="22"/>
          <w:lang w:val="en-US"/>
        </w:rPr>
      </w:pPr>
      <w:r w:rsidRPr="0066149F">
        <w:rPr>
          <w:rFonts w:ascii="Palatino Linotype" w:eastAsia="Times New Roman" w:hAnsi="Palatino Linotype"/>
          <w:bCs/>
          <w:color w:val="000000"/>
          <w:sz w:val="22"/>
          <w:szCs w:val="22"/>
          <w:lang w:val="en-US" w:eastAsia="en-GB"/>
        </w:rPr>
        <w:t>Among the countries analysed</w:t>
      </w:r>
      <w:r w:rsidRPr="0066149F">
        <w:rPr>
          <w:rFonts w:ascii="Palatino Linotype" w:eastAsia="Times New Roman" w:hAnsi="Palatino Linotype"/>
          <w:bCs/>
          <w:color w:val="000000"/>
          <w:sz w:val="22"/>
          <w:szCs w:val="22"/>
          <w:vertAlign w:val="superscript"/>
          <w:lang w:val="en-US" w:eastAsia="en-GB"/>
        </w:rPr>
        <w:footnoteReference w:id="4"/>
      </w:r>
      <w:r w:rsidRPr="0066149F">
        <w:rPr>
          <w:rFonts w:ascii="Palatino Linotype" w:eastAsia="Times New Roman" w:hAnsi="Palatino Linotype"/>
          <w:bCs/>
          <w:color w:val="000000"/>
          <w:sz w:val="22"/>
          <w:szCs w:val="22"/>
          <w:lang w:val="en-US" w:eastAsia="en-GB"/>
        </w:rPr>
        <w:t xml:space="preserve">, for bond yield, 10-year bond yield in </w:t>
      </w:r>
      <w:r>
        <w:rPr>
          <w:rFonts w:ascii="Palatino Linotype" w:eastAsia="Times New Roman" w:hAnsi="Palatino Linotype"/>
          <w:bCs/>
          <w:color w:val="000000"/>
          <w:sz w:val="22"/>
          <w:szCs w:val="22"/>
          <w:lang w:val="en-US" w:eastAsia="en-GB"/>
        </w:rPr>
        <w:t>March</w:t>
      </w:r>
      <w:r w:rsidRPr="0066149F">
        <w:rPr>
          <w:rFonts w:ascii="Palatino Linotype" w:eastAsia="Times New Roman" w:hAnsi="Palatino Linotype"/>
          <w:bCs/>
          <w:color w:val="000000"/>
          <w:sz w:val="22"/>
          <w:szCs w:val="22"/>
          <w:lang w:val="en-US" w:eastAsia="en-GB"/>
        </w:rPr>
        <w:t xml:space="preserve"> 2021</w:t>
      </w:r>
      <w:r>
        <w:rPr>
          <w:rFonts w:ascii="Palatino Linotype" w:eastAsia="Times New Roman" w:hAnsi="Palatino Linotype"/>
          <w:bCs/>
          <w:color w:val="000000"/>
          <w:sz w:val="22"/>
          <w:szCs w:val="22"/>
          <w:lang w:val="en-US" w:eastAsia="en-GB"/>
        </w:rPr>
        <w:t xml:space="preserve">, </w:t>
      </w:r>
      <w:r w:rsidRPr="0066149F">
        <w:rPr>
          <w:rFonts w:ascii="Palatino Linotype" w:eastAsia="Times New Roman" w:hAnsi="Palatino Linotype"/>
          <w:bCs/>
          <w:color w:val="000000"/>
          <w:sz w:val="22"/>
          <w:szCs w:val="22"/>
          <w:lang w:val="en-US" w:eastAsia="en-GB"/>
        </w:rPr>
        <w:t xml:space="preserve">a </w:t>
      </w:r>
      <w:r>
        <w:rPr>
          <w:rFonts w:ascii="Palatino Linotype" w:eastAsia="Times New Roman" w:hAnsi="Palatino Linotype"/>
          <w:bCs/>
          <w:color w:val="000000"/>
          <w:sz w:val="22"/>
          <w:szCs w:val="22"/>
          <w:lang w:val="en-US" w:eastAsia="en-GB"/>
        </w:rPr>
        <w:t>negative</w:t>
      </w:r>
      <w:r w:rsidRPr="0066149F">
        <w:rPr>
          <w:rFonts w:ascii="Palatino Linotype" w:eastAsia="Times New Roman" w:hAnsi="Palatino Linotype"/>
          <w:bCs/>
          <w:color w:val="000000"/>
          <w:sz w:val="22"/>
          <w:szCs w:val="22"/>
          <w:lang w:val="en-US" w:eastAsia="en-GB"/>
        </w:rPr>
        <w:t xml:space="preserve"> change for most developed and developing economies (Chart 3 &amp; 4)</w:t>
      </w:r>
      <w:r>
        <w:rPr>
          <w:rFonts w:ascii="Palatino Linotype" w:eastAsia="Times New Roman" w:hAnsi="Palatino Linotype"/>
          <w:bCs/>
          <w:color w:val="000000"/>
          <w:sz w:val="22"/>
          <w:szCs w:val="22"/>
          <w:lang w:val="en-US" w:eastAsia="en-GB"/>
        </w:rPr>
        <w:t xml:space="preserve"> was observed</w:t>
      </w:r>
      <w:r w:rsidRPr="0066149F">
        <w:rPr>
          <w:rFonts w:ascii="Palatino Linotype" w:eastAsia="Times New Roman" w:hAnsi="Palatino Linotype"/>
          <w:bCs/>
          <w:color w:val="000000"/>
          <w:sz w:val="22"/>
          <w:szCs w:val="22"/>
          <w:lang w:val="en-US" w:eastAsia="en-GB"/>
        </w:rPr>
        <w:t>.</w:t>
      </w:r>
    </w:p>
    <w:p w:rsidR="00A12A17" w:rsidRPr="0066149F" w:rsidRDefault="00A12A17" w:rsidP="00A12A17">
      <w:pPr>
        <w:spacing w:line="23" w:lineRule="atLeast"/>
        <w:rPr>
          <w:rFonts w:ascii="Garamond" w:hAnsi="Garamond"/>
          <w:bCs/>
          <w:sz w:val="22"/>
          <w:szCs w:val="22"/>
        </w:rPr>
      </w:pPr>
    </w:p>
    <w:p w:rsidR="00A12A17" w:rsidRPr="004C4151" w:rsidRDefault="00A12A17" w:rsidP="00A12A17">
      <w:pPr>
        <w:rPr>
          <w:rFonts w:ascii="Garamond" w:hAnsi="Garamond"/>
          <w:b/>
          <w:bCs/>
          <w:szCs w:val="22"/>
        </w:rPr>
      </w:pPr>
      <w:r w:rsidRPr="004C4151">
        <w:rPr>
          <w:rFonts w:ascii="Garamond" w:hAnsi="Garamond"/>
          <w:b/>
          <w:bCs/>
          <w:szCs w:val="22"/>
        </w:rPr>
        <w:t>Figure 3: Movement of 10-year Government Bond Yields in Developed Nations</w:t>
      </w:r>
    </w:p>
    <w:p w:rsidR="00A12A17" w:rsidRPr="004C4151" w:rsidRDefault="00A12A17" w:rsidP="00A12A17">
      <w:pPr>
        <w:rPr>
          <w:rFonts w:ascii="Garamond" w:hAnsi="Garamond"/>
          <w:bCs/>
          <w:sz w:val="22"/>
          <w:szCs w:val="22"/>
        </w:rPr>
      </w:pPr>
    </w:p>
    <w:p w:rsidR="00A12A17" w:rsidRPr="004C4151" w:rsidRDefault="00A12A17" w:rsidP="00A12A17">
      <w:pPr>
        <w:spacing w:line="23" w:lineRule="atLeast"/>
        <w:jc w:val="both"/>
        <w:outlineLvl w:val="0"/>
        <w:rPr>
          <w:rFonts w:ascii="Garamond" w:hAnsi="Garamond"/>
          <w:bCs/>
          <w:sz w:val="22"/>
          <w:szCs w:val="22"/>
        </w:rPr>
      </w:pPr>
      <w:r w:rsidRPr="00797A8B">
        <w:rPr>
          <w:rFonts w:ascii="Garamond" w:hAnsi="Garamond"/>
          <w:bCs/>
          <w:noProof/>
          <w:sz w:val="22"/>
          <w:szCs w:val="22"/>
          <w:lang w:val="en-IN" w:eastAsia="en-IN" w:bidi="hi-IN"/>
        </w:rPr>
        <w:drawing>
          <wp:inline distT="0" distB="0" distL="0" distR="0">
            <wp:extent cx="6324600" cy="2924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24600" cy="2924175"/>
                    </a:xfrm>
                    <a:prstGeom prst="rect">
                      <a:avLst/>
                    </a:prstGeom>
                    <a:noFill/>
                    <a:ln>
                      <a:noFill/>
                    </a:ln>
                  </pic:spPr>
                </pic:pic>
              </a:graphicData>
            </a:graphic>
          </wp:inline>
        </w:drawing>
      </w:r>
    </w:p>
    <w:p w:rsidR="00A12A17" w:rsidRPr="004C4151" w:rsidRDefault="00A12A17" w:rsidP="00A12A17">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rsidR="00A12A17" w:rsidRPr="004C4151" w:rsidRDefault="00A12A17" w:rsidP="00A12A17">
      <w:pPr>
        <w:spacing w:line="23" w:lineRule="atLeast"/>
        <w:jc w:val="both"/>
        <w:outlineLvl w:val="0"/>
        <w:rPr>
          <w:rFonts w:ascii="Garamond" w:hAnsi="Garamond"/>
          <w:bCs/>
          <w:sz w:val="22"/>
          <w:szCs w:val="22"/>
        </w:rPr>
      </w:pPr>
    </w:p>
    <w:p w:rsidR="00A12A17" w:rsidRDefault="00A12A17" w:rsidP="00A12A17">
      <w:pPr>
        <w:rPr>
          <w:rFonts w:ascii="Garamond" w:hAnsi="Garamond"/>
          <w:bCs/>
          <w:sz w:val="22"/>
          <w:szCs w:val="22"/>
        </w:rPr>
      </w:pPr>
    </w:p>
    <w:p w:rsidR="00A12A17" w:rsidRDefault="00A12A17" w:rsidP="00A12A17">
      <w:pPr>
        <w:rPr>
          <w:rFonts w:ascii="Garamond" w:hAnsi="Garamond"/>
          <w:bCs/>
          <w:sz w:val="22"/>
          <w:szCs w:val="22"/>
        </w:rPr>
      </w:pPr>
    </w:p>
    <w:p w:rsidR="00A12A17" w:rsidRPr="004C4151" w:rsidRDefault="00A12A17" w:rsidP="00A12A17">
      <w:pPr>
        <w:rPr>
          <w:rFonts w:ascii="Garamond" w:hAnsi="Garamond"/>
          <w:bCs/>
          <w:sz w:val="22"/>
          <w:szCs w:val="22"/>
        </w:rPr>
      </w:pPr>
    </w:p>
    <w:p w:rsidR="00A12A17" w:rsidRPr="004C4151" w:rsidRDefault="00A12A17" w:rsidP="00A12A17">
      <w:pPr>
        <w:spacing w:line="23" w:lineRule="atLeast"/>
        <w:jc w:val="both"/>
        <w:outlineLvl w:val="0"/>
        <w:rPr>
          <w:rFonts w:ascii="Garamond" w:hAnsi="Garamond"/>
          <w:b/>
          <w:bCs/>
          <w:szCs w:val="22"/>
        </w:rPr>
      </w:pPr>
      <w:r w:rsidRPr="004C4151">
        <w:rPr>
          <w:rFonts w:ascii="Garamond" w:hAnsi="Garamond"/>
          <w:b/>
          <w:bCs/>
          <w:szCs w:val="22"/>
        </w:rPr>
        <w:t>Figure 4: Movement of 10-year Government Bond Yields in BRIC Nations</w:t>
      </w:r>
    </w:p>
    <w:p w:rsidR="00A12A17" w:rsidRPr="004C4151" w:rsidRDefault="00A12A17" w:rsidP="00A12A17">
      <w:pPr>
        <w:spacing w:line="23" w:lineRule="atLeast"/>
        <w:jc w:val="both"/>
        <w:outlineLvl w:val="0"/>
        <w:rPr>
          <w:rFonts w:ascii="Garamond" w:hAnsi="Garamond"/>
          <w:bCs/>
          <w:sz w:val="22"/>
          <w:szCs w:val="22"/>
        </w:rPr>
      </w:pPr>
      <w:r w:rsidRPr="00797A8B">
        <w:rPr>
          <w:rFonts w:ascii="Garamond" w:hAnsi="Garamond"/>
          <w:bCs/>
          <w:noProof/>
          <w:sz w:val="22"/>
          <w:szCs w:val="22"/>
          <w:lang w:val="en-IN" w:eastAsia="en-IN" w:bidi="hi-IN"/>
        </w:rPr>
        <w:drawing>
          <wp:inline distT="0" distB="0" distL="0" distR="0">
            <wp:extent cx="6076950" cy="2828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6950" cy="2828925"/>
                    </a:xfrm>
                    <a:prstGeom prst="rect">
                      <a:avLst/>
                    </a:prstGeom>
                    <a:noFill/>
                    <a:ln>
                      <a:noFill/>
                    </a:ln>
                  </pic:spPr>
                </pic:pic>
              </a:graphicData>
            </a:graphic>
          </wp:inline>
        </w:drawing>
      </w:r>
    </w:p>
    <w:p w:rsidR="00A12A17" w:rsidRPr="004C4151" w:rsidRDefault="00A12A17" w:rsidP="00A12A17">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rsidR="00A12A17" w:rsidRPr="004C4151" w:rsidRDefault="00A12A17" w:rsidP="00A12A17">
      <w:pPr>
        <w:spacing w:line="23" w:lineRule="atLeast"/>
        <w:jc w:val="both"/>
        <w:rPr>
          <w:rFonts w:ascii="Garamond" w:eastAsia="Times New Roman" w:hAnsi="Garamond"/>
          <w:bCs/>
          <w:sz w:val="22"/>
          <w:szCs w:val="22"/>
          <w:lang w:val="en-US"/>
        </w:rPr>
      </w:pPr>
    </w:p>
    <w:p w:rsidR="00A12A17" w:rsidRDefault="00A12A17" w:rsidP="00A12A17">
      <w:pPr>
        <w:spacing w:line="360" w:lineRule="auto"/>
        <w:jc w:val="both"/>
        <w:rPr>
          <w:rFonts w:ascii="Palatino Linotype" w:eastAsia="Times New Roman" w:hAnsi="Palatino Linotype"/>
          <w:b/>
          <w:sz w:val="22"/>
          <w:szCs w:val="22"/>
          <w:u w:val="single"/>
          <w:lang w:val="en-US"/>
        </w:rPr>
      </w:pPr>
    </w:p>
    <w:p w:rsidR="00A12A17" w:rsidRPr="006D42D9" w:rsidRDefault="00A12A17" w:rsidP="00A12A17">
      <w:pPr>
        <w:spacing w:line="360" w:lineRule="auto"/>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t>Fund Mobilisation by Issuance of Equity and Bonds (Table A2)</w:t>
      </w:r>
      <w:r w:rsidRPr="006D42D9">
        <w:rPr>
          <w:rFonts w:ascii="Palatino Linotype" w:eastAsia="Times New Roman" w:hAnsi="Palatino Linotype"/>
          <w:b/>
          <w:sz w:val="22"/>
          <w:szCs w:val="22"/>
          <w:lang w:val="en-US"/>
        </w:rPr>
        <w:t xml:space="preserve"> – </w:t>
      </w:r>
    </w:p>
    <w:p w:rsidR="00A12A17" w:rsidRPr="006D42D9"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There was a </w:t>
      </w:r>
      <w:r w:rsidRPr="00AC67A7">
        <w:rPr>
          <w:rFonts w:ascii="Palatino Linotype" w:eastAsia="Times New Roman" w:hAnsi="Palatino Linotype"/>
          <w:bCs/>
          <w:sz w:val="22"/>
          <w:szCs w:val="22"/>
          <w:lang w:val="en-US" w:eastAsia="en-GB"/>
        </w:rPr>
        <w:t>23.2</w:t>
      </w:r>
      <w:r>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 xml:space="preserve">per cent </w:t>
      </w:r>
      <w:r>
        <w:rPr>
          <w:rFonts w:ascii="Palatino Linotype" w:eastAsia="Times New Roman" w:hAnsi="Palatino Linotype"/>
          <w:bCs/>
          <w:sz w:val="22"/>
          <w:szCs w:val="22"/>
          <w:lang w:val="en-US" w:eastAsia="en-GB"/>
        </w:rPr>
        <w:t>decrease</w:t>
      </w:r>
      <w:r w:rsidRPr="006D42D9">
        <w:rPr>
          <w:rFonts w:ascii="Palatino Linotype" w:eastAsia="Times New Roman" w:hAnsi="Palatino Linotype"/>
          <w:bCs/>
          <w:sz w:val="22"/>
          <w:szCs w:val="22"/>
          <w:lang w:val="en-US" w:eastAsia="en-GB"/>
        </w:rPr>
        <w:t xml:space="preserve"> in the fund mobilization at the selected analyzed exchanges world-wide during </w:t>
      </w:r>
      <w:r>
        <w:rPr>
          <w:rFonts w:ascii="Palatino Linotype" w:eastAsia="Times New Roman" w:hAnsi="Palatino Linotype"/>
          <w:bCs/>
          <w:sz w:val="22"/>
          <w:szCs w:val="22"/>
          <w:lang w:val="en-US" w:eastAsia="en-GB"/>
        </w:rPr>
        <w:t>February</w:t>
      </w:r>
      <w:r w:rsidRPr="006D42D9">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6D42D9">
        <w:rPr>
          <w:rFonts w:ascii="Palatino Linotype" w:eastAsia="Times New Roman" w:hAnsi="Palatino Linotype"/>
          <w:bCs/>
          <w:sz w:val="22"/>
          <w:szCs w:val="22"/>
          <w:lang w:val="en-US" w:eastAsia="en-GB"/>
        </w:rPr>
        <w:t xml:space="preserve"> (at </w:t>
      </w:r>
      <w:r w:rsidRPr="00AC67A7">
        <w:rPr>
          <w:rFonts w:ascii="Palatino Linotype" w:eastAsia="Times New Roman" w:hAnsi="Palatino Linotype"/>
          <w:bCs/>
          <w:sz w:val="22"/>
          <w:szCs w:val="22"/>
          <w:lang w:val="en-US" w:eastAsia="en-GB"/>
        </w:rPr>
        <w:t>290,853</w:t>
      </w:r>
      <w:r>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 xml:space="preserve">million USD) against previous month (at </w:t>
      </w:r>
      <w:r w:rsidRPr="00F41E53">
        <w:rPr>
          <w:rFonts w:ascii="Palatino Linotype" w:eastAsia="Times New Roman" w:hAnsi="Palatino Linotype"/>
          <w:bCs/>
          <w:sz w:val="22"/>
          <w:szCs w:val="22"/>
          <w:lang w:val="en-US" w:eastAsia="en-GB"/>
        </w:rPr>
        <w:t xml:space="preserve"> 378,923</w:t>
      </w:r>
      <w:r>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 xml:space="preserve">million USD). Only </w:t>
      </w:r>
      <w:r w:rsidRPr="00D8214E">
        <w:rPr>
          <w:rFonts w:ascii="Palatino Linotype" w:eastAsia="Times New Roman" w:hAnsi="Palatino Linotype"/>
          <w:bCs/>
          <w:sz w:val="22"/>
          <w:szCs w:val="22"/>
          <w:lang w:val="en-US" w:eastAsia="en-GB"/>
        </w:rPr>
        <w:t xml:space="preserve"> 14.9 </w:t>
      </w:r>
      <w:r w:rsidRPr="00D05BCE">
        <w:rPr>
          <w:rFonts w:ascii="Palatino Linotype" w:eastAsia="Times New Roman" w:hAnsi="Palatino Linotype"/>
          <w:bCs/>
          <w:sz w:val="22"/>
          <w:szCs w:val="22"/>
          <w:lang w:val="en-US" w:eastAsia="en-GB"/>
        </w:rPr>
        <w:t xml:space="preserve"> p</w:t>
      </w:r>
      <w:r w:rsidRPr="006D42D9">
        <w:rPr>
          <w:rFonts w:ascii="Palatino Linotype" w:eastAsia="Times New Roman" w:hAnsi="Palatino Linotype"/>
          <w:bCs/>
          <w:sz w:val="22"/>
          <w:szCs w:val="22"/>
          <w:lang w:val="en-US" w:eastAsia="en-GB"/>
        </w:rPr>
        <w:t xml:space="preserve">er cent of the total fund mobilization in </w:t>
      </w:r>
      <w:r>
        <w:rPr>
          <w:rFonts w:ascii="Palatino Linotype" w:eastAsia="Times New Roman" w:hAnsi="Palatino Linotype"/>
          <w:bCs/>
          <w:color w:val="000000"/>
          <w:sz w:val="22"/>
          <w:szCs w:val="22"/>
          <w:lang w:val="en-US" w:eastAsia="en-GB"/>
        </w:rPr>
        <w:t>February</w:t>
      </w:r>
      <w:r w:rsidRPr="006D42D9">
        <w:rPr>
          <w:rFonts w:ascii="Palatino Linotype" w:eastAsia="Times New Roman" w:hAnsi="Palatino Linotype"/>
          <w:bCs/>
          <w:color w:val="000000"/>
          <w:sz w:val="22"/>
          <w:szCs w:val="22"/>
          <w:lang w:val="en-US" w:eastAsia="en-GB"/>
        </w:rPr>
        <w:t xml:space="preserve"> 202</w:t>
      </w:r>
      <w:r>
        <w:rPr>
          <w:rFonts w:ascii="Palatino Linotype" w:eastAsia="Times New Roman" w:hAnsi="Palatino Linotype"/>
          <w:bCs/>
          <w:color w:val="000000"/>
          <w:sz w:val="22"/>
          <w:szCs w:val="22"/>
          <w:lang w:val="en-US" w:eastAsia="en-GB"/>
        </w:rPr>
        <w:t>1</w:t>
      </w:r>
      <w:r w:rsidRPr="006D42D9">
        <w:rPr>
          <w:rFonts w:ascii="Palatino Linotype" w:eastAsia="Times New Roman" w:hAnsi="Palatino Linotype"/>
          <w:bCs/>
          <w:color w:val="000000"/>
          <w:sz w:val="22"/>
          <w:szCs w:val="22"/>
          <w:lang w:val="en-US" w:eastAsia="en-GB"/>
        </w:rPr>
        <w:t xml:space="preserve"> </w:t>
      </w:r>
      <w:r w:rsidRPr="006D42D9">
        <w:rPr>
          <w:rFonts w:ascii="Palatino Linotype" w:eastAsia="Times New Roman" w:hAnsi="Palatino Linotype"/>
          <w:bCs/>
          <w:sz w:val="22"/>
          <w:szCs w:val="22"/>
          <w:lang w:val="en-US" w:eastAsia="en-GB"/>
        </w:rPr>
        <w:t>was in equity and remaining was in debt.</w:t>
      </w:r>
    </w:p>
    <w:p w:rsidR="00A12A17" w:rsidRPr="006D42D9"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As per the data available on World Federation of Exchanges (WFE)</w:t>
      </w:r>
      <w:r w:rsidRPr="006D42D9">
        <w:rPr>
          <w:rFonts w:ascii="Palatino Linotype" w:eastAsia="Times New Roman" w:hAnsi="Palatino Linotype"/>
          <w:bCs/>
          <w:sz w:val="22"/>
          <w:szCs w:val="22"/>
          <w:vertAlign w:val="superscript"/>
          <w:lang w:val="en-US" w:eastAsia="en-GB"/>
        </w:rPr>
        <w:footnoteReference w:id="5"/>
      </w:r>
      <w:r w:rsidRPr="006D42D9">
        <w:rPr>
          <w:rFonts w:ascii="Palatino Linotype" w:eastAsia="Times New Roman" w:hAnsi="Palatino Linotype"/>
          <w:bCs/>
          <w:sz w:val="22"/>
          <w:szCs w:val="22"/>
          <w:lang w:val="en-US" w:eastAsia="en-GB"/>
        </w:rPr>
        <w:t xml:space="preserve">, highest amount mobilized through equities and bonds in </w:t>
      </w:r>
      <w:r>
        <w:rPr>
          <w:rFonts w:ascii="Palatino Linotype" w:eastAsia="Times New Roman" w:hAnsi="Palatino Linotype"/>
          <w:bCs/>
          <w:sz w:val="22"/>
          <w:szCs w:val="22"/>
          <w:lang w:val="en-US" w:eastAsia="en-GB"/>
        </w:rPr>
        <w:t>February</w:t>
      </w:r>
      <w:r w:rsidRPr="006D42D9">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2021 </w:t>
      </w:r>
      <w:r w:rsidRPr="006D42D9">
        <w:rPr>
          <w:rFonts w:ascii="Palatino Linotype" w:eastAsia="Times New Roman" w:hAnsi="Palatino Linotype"/>
          <w:bCs/>
          <w:sz w:val="22"/>
          <w:szCs w:val="22"/>
          <w:lang w:val="en-US" w:eastAsia="en-GB"/>
        </w:rPr>
        <w:t xml:space="preserve">was at </w:t>
      </w:r>
      <w:r w:rsidRPr="00797ED8">
        <w:rPr>
          <w:rFonts w:ascii="Palatino Linotype" w:eastAsia="Times New Roman" w:hAnsi="Palatino Linotype"/>
          <w:bCs/>
          <w:sz w:val="22"/>
          <w:szCs w:val="22"/>
          <w:lang w:val="en-US" w:eastAsia="en-GB"/>
        </w:rPr>
        <w:t>Korea Exchange</w:t>
      </w:r>
      <w:r w:rsidRPr="006D42D9">
        <w:rPr>
          <w:rFonts w:ascii="Palatino Linotype" w:eastAsia="Times New Roman" w:hAnsi="Palatino Linotype"/>
          <w:bCs/>
          <w:sz w:val="22"/>
          <w:szCs w:val="22"/>
          <w:lang w:val="en-US" w:eastAsia="en-GB"/>
        </w:rPr>
        <w:t xml:space="preserve"> (</w:t>
      </w:r>
      <w:r w:rsidRPr="003C1BFA">
        <w:rPr>
          <w:rFonts w:ascii="Palatino Linotype" w:eastAsia="Times New Roman" w:hAnsi="Palatino Linotype"/>
          <w:bCs/>
          <w:sz w:val="22"/>
          <w:szCs w:val="22"/>
          <w:lang w:val="en-US" w:eastAsia="en-GB"/>
        </w:rPr>
        <w:t>58,228</w:t>
      </w:r>
      <w:r w:rsidRPr="00912E51">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million USD) followed by</w:t>
      </w:r>
      <w:r w:rsidRPr="006D42D9">
        <w:rPr>
          <w:rFonts w:ascii="Palatino Linotype" w:hAnsi="Palatino Linotype"/>
          <w:sz w:val="22"/>
          <w:szCs w:val="22"/>
        </w:rPr>
        <w:t xml:space="preserve"> LSE Group </w:t>
      </w:r>
      <w:r w:rsidRPr="006D42D9">
        <w:rPr>
          <w:rFonts w:ascii="Palatino Linotype" w:eastAsia="Times New Roman" w:hAnsi="Palatino Linotype"/>
          <w:bCs/>
          <w:sz w:val="22"/>
          <w:szCs w:val="22"/>
          <w:lang w:val="en-US" w:eastAsia="en-GB"/>
        </w:rPr>
        <w:t>(</w:t>
      </w:r>
      <w:r w:rsidRPr="003C1BFA">
        <w:rPr>
          <w:rFonts w:ascii="Palatino Linotype" w:eastAsia="Times New Roman" w:hAnsi="Palatino Linotype"/>
          <w:bCs/>
          <w:sz w:val="22"/>
          <w:szCs w:val="22"/>
          <w:lang w:val="en-US" w:eastAsia="en-GB"/>
        </w:rPr>
        <w:t>54,353</w:t>
      </w:r>
      <w:r w:rsidRPr="00912E51">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 xml:space="preserve">million USD) and </w:t>
      </w:r>
      <w:r w:rsidRPr="003C1BFA">
        <w:rPr>
          <w:rFonts w:ascii="Palatino Linotype" w:eastAsia="Times New Roman" w:hAnsi="Palatino Linotype"/>
          <w:bCs/>
          <w:sz w:val="22"/>
          <w:szCs w:val="22"/>
          <w:lang w:val="en-US" w:eastAsia="en-GB"/>
        </w:rPr>
        <w:t>Deutsche Boerse AG</w:t>
      </w:r>
      <w:r w:rsidRPr="006D42D9">
        <w:rPr>
          <w:rFonts w:ascii="Palatino Linotype" w:eastAsia="Times New Roman" w:hAnsi="Palatino Linotype"/>
          <w:bCs/>
          <w:sz w:val="22"/>
          <w:szCs w:val="22"/>
          <w:lang w:val="en-US" w:eastAsia="en-GB"/>
        </w:rPr>
        <w:t xml:space="preserve"> (</w:t>
      </w:r>
      <w:r w:rsidRPr="003C1BFA">
        <w:rPr>
          <w:rFonts w:ascii="Palatino Linotype" w:eastAsia="Times New Roman" w:hAnsi="Palatino Linotype"/>
          <w:bCs/>
          <w:sz w:val="22"/>
          <w:szCs w:val="22"/>
          <w:lang w:val="en-US" w:eastAsia="en-GB"/>
        </w:rPr>
        <w:t>35,340</w:t>
      </w:r>
      <w:r w:rsidRPr="00912E51">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 xml:space="preserve">million USD). </w:t>
      </w:r>
    </w:p>
    <w:p w:rsidR="00A12A17" w:rsidRPr="006D42D9"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February</w:t>
      </w:r>
      <w:r w:rsidRPr="006D42D9">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6D42D9">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w:t>
      </w:r>
      <w:r w:rsidRPr="006D42D9">
        <w:rPr>
          <w:rFonts w:ascii="Palatino Linotype" w:eastAsia="Times New Roman" w:hAnsi="Palatino Linotype"/>
          <w:bCs/>
          <w:sz w:val="22"/>
          <w:szCs w:val="22"/>
          <w:lang w:val="en-US" w:eastAsia="en-GB"/>
        </w:rPr>
        <w:t xml:space="preserve">t </w:t>
      </w:r>
      <w:r w:rsidRPr="00AB497F">
        <w:rPr>
          <w:rFonts w:ascii="Palatino Linotype" w:eastAsia="Times New Roman" w:hAnsi="Palatino Linotype"/>
          <w:bCs/>
          <w:sz w:val="22"/>
          <w:szCs w:val="22"/>
          <w:lang w:val="en-US" w:eastAsia="en-GB"/>
        </w:rPr>
        <w:t>LSE Group</w:t>
      </w:r>
      <w:r w:rsidRPr="006D42D9">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 xml:space="preserve"> only</w:t>
      </w:r>
      <w:r w:rsidRPr="006D42D9">
        <w:rPr>
          <w:rFonts w:ascii="Palatino Linotype" w:eastAsia="Times New Roman" w:hAnsi="Palatino Linotype"/>
          <w:bCs/>
          <w:sz w:val="22"/>
          <w:szCs w:val="22"/>
          <w:lang w:val="en-US" w:eastAsia="en-GB"/>
        </w:rPr>
        <w:t xml:space="preserve"> </w:t>
      </w:r>
      <w:r w:rsidRPr="00AB497F">
        <w:rPr>
          <w:rFonts w:ascii="Palatino Linotype" w:eastAsia="Times New Roman" w:hAnsi="Palatino Linotype"/>
          <w:bCs/>
          <w:sz w:val="22"/>
          <w:szCs w:val="22"/>
          <w:lang w:val="en-US" w:eastAsia="en-GB"/>
        </w:rPr>
        <w:t>2,427</w:t>
      </w:r>
      <w:r w:rsidRPr="00912E51">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million USD were raised through equity and the remaining amount was</w:t>
      </w:r>
      <w:r>
        <w:rPr>
          <w:rFonts w:ascii="Palatino Linotype" w:eastAsia="Times New Roman" w:hAnsi="Palatino Linotype"/>
          <w:bCs/>
          <w:sz w:val="22"/>
          <w:szCs w:val="22"/>
          <w:lang w:val="en-US" w:eastAsia="en-GB"/>
        </w:rPr>
        <w:t xml:space="preserve"> raised through bonds whereas </w:t>
      </w:r>
      <w:r w:rsidRPr="006D42D9">
        <w:rPr>
          <w:rFonts w:ascii="Palatino Linotype" w:eastAsia="Times New Roman" w:hAnsi="Palatino Linotype"/>
          <w:bCs/>
          <w:sz w:val="22"/>
          <w:szCs w:val="22"/>
          <w:lang w:val="en-US" w:eastAsia="en-GB"/>
        </w:rPr>
        <w:t xml:space="preserve">fund mobilization at </w:t>
      </w:r>
      <w:r w:rsidRPr="00715D07">
        <w:rPr>
          <w:rFonts w:ascii="Palatino Linotype" w:eastAsia="Times New Roman" w:hAnsi="Palatino Linotype"/>
          <w:bCs/>
          <w:sz w:val="22"/>
          <w:szCs w:val="22"/>
          <w:lang w:val="en-US" w:eastAsia="en-GB"/>
        </w:rPr>
        <w:t>Deutsche Boerse AG</w:t>
      </w:r>
      <w:r w:rsidRPr="006D42D9">
        <w:rPr>
          <w:rFonts w:ascii="Palatino Linotype" w:eastAsia="Times New Roman" w:hAnsi="Palatino Linotype"/>
          <w:bCs/>
          <w:sz w:val="22"/>
          <w:szCs w:val="22"/>
          <w:lang w:val="en-US" w:eastAsia="en-GB"/>
        </w:rPr>
        <w:t xml:space="preserve"> in equity was</w:t>
      </w:r>
      <w:r>
        <w:rPr>
          <w:rFonts w:ascii="Palatino Linotype" w:eastAsia="Times New Roman" w:hAnsi="Palatino Linotype"/>
          <w:bCs/>
          <w:sz w:val="22"/>
          <w:szCs w:val="22"/>
          <w:lang w:val="en-US" w:eastAsia="en-GB"/>
        </w:rPr>
        <w:t xml:space="preserve"> only</w:t>
      </w:r>
      <w:r w:rsidRPr="006D42D9">
        <w:rPr>
          <w:rFonts w:ascii="Palatino Linotype" w:eastAsia="Times New Roman" w:hAnsi="Palatino Linotype"/>
          <w:bCs/>
          <w:sz w:val="22"/>
          <w:szCs w:val="22"/>
          <w:lang w:val="en-US" w:eastAsia="en-GB"/>
        </w:rPr>
        <w:t xml:space="preserve"> </w:t>
      </w:r>
      <w:r w:rsidRPr="00715D07">
        <w:rPr>
          <w:rFonts w:ascii="Palatino Linotype" w:eastAsia="Times New Roman" w:hAnsi="Palatino Linotype"/>
          <w:bCs/>
          <w:sz w:val="22"/>
          <w:szCs w:val="22"/>
          <w:lang w:val="en-US" w:eastAsia="en-GB"/>
        </w:rPr>
        <w:t>1,404</w:t>
      </w:r>
      <w:r w:rsidRPr="00912E51">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 xml:space="preserve">million USD and the remaining amount was raised through bonds </w:t>
      </w:r>
      <w:r>
        <w:rPr>
          <w:rFonts w:ascii="Palatino Linotype" w:eastAsia="Times New Roman" w:hAnsi="Palatino Linotype"/>
          <w:bCs/>
          <w:sz w:val="22"/>
          <w:szCs w:val="22"/>
          <w:lang w:val="en-US" w:eastAsia="en-GB"/>
        </w:rPr>
        <w:t>and</w:t>
      </w:r>
      <w:r w:rsidRPr="006D42D9">
        <w:rPr>
          <w:rFonts w:ascii="Palatino Linotype" w:eastAsia="Times New Roman" w:hAnsi="Palatino Linotype"/>
          <w:bCs/>
          <w:sz w:val="22"/>
          <w:szCs w:val="22"/>
          <w:lang w:val="en-US" w:eastAsia="en-GB"/>
        </w:rPr>
        <w:t xml:space="preserve"> at </w:t>
      </w:r>
      <w:r w:rsidRPr="006D42D9">
        <w:rPr>
          <w:rFonts w:ascii="Palatino Linotype" w:hAnsi="Palatino Linotype"/>
          <w:sz w:val="22"/>
          <w:szCs w:val="22"/>
        </w:rPr>
        <w:t xml:space="preserve">Korea Exchange </w:t>
      </w:r>
      <w:r w:rsidRPr="006D42D9">
        <w:rPr>
          <w:rFonts w:ascii="Palatino Linotype" w:eastAsia="Times New Roman" w:hAnsi="Palatino Linotype"/>
          <w:bCs/>
          <w:sz w:val="22"/>
          <w:szCs w:val="22"/>
          <w:lang w:val="en-US" w:eastAsia="en-GB"/>
        </w:rPr>
        <w:t xml:space="preserve">entire amount was raised through bonds only. </w:t>
      </w:r>
    </w:p>
    <w:p w:rsidR="00A12A17" w:rsidRPr="006D42D9"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Maximum fund mobilization through equities in </w:t>
      </w:r>
      <w:r>
        <w:rPr>
          <w:rFonts w:ascii="Palatino Linotype" w:eastAsia="Times New Roman" w:hAnsi="Palatino Linotype"/>
          <w:bCs/>
          <w:sz w:val="22"/>
          <w:szCs w:val="22"/>
          <w:lang w:val="en-US" w:eastAsia="en-GB"/>
        </w:rPr>
        <w:t>February 2021</w:t>
      </w:r>
      <w:r w:rsidRPr="006D42D9">
        <w:rPr>
          <w:rFonts w:ascii="Palatino Linotype" w:eastAsia="Times New Roman" w:hAnsi="Palatino Linotype"/>
          <w:bCs/>
          <w:sz w:val="22"/>
          <w:szCs w:val="22"/>
          <w:lang w:val="en-US" w:eastAsia="en-GB"/>
        </w:rPr>
        <w:t xml:space="preserve"> was at </w:t>
      </w:r>
      <w:r w:rsidRPr="00D875C3">
        <w:rPr>
          <w:rFonts w:ascii="Palatino Linotype" w:eastAsia="Times New Roman" w:hAnsi="Palatino Linotype"/>
          <w:bCs/>
          <w:sz w:val="22"/>
          <w:szCs w:val="22"/>
          <w:lang w:val="en-US" w:eastAsia="en-GB"/>
        </w:rPr>
        <w:t>Euronext</w:t>
      </w:r>
      <w:r w:rsidRPr="006D42D9">
        <w:rPr>
          <w:rFonts w:ascii="Palatino Linotype" w:eastAsia="Times New Roman" w:hAnsi="Palatino Linotype"/>
          <w:bCs/>
          <w:sz w:val="22"/>
          <w:szCs w:val="22"/>
          <w:lang w:val="en-US" w:eastAsia="en-GB"/>
        </w:rPr>
        <w:t xml:space="preserve"> (</w:t>
      </w:r>
      <w:r w:rsidRPr="00D875C3">
        <w:rPr>
          <w:rFonts w:ascii="Palatino Linotype" w:eastAsia="Times New Roman" w:hAnsi="Palatino Linotype"/>
          <w:bCs/>
          <w:sz w:val="22"/>
          <w:szCs w:val="22"/>
          <w:lang w:val="en-US" w:eastAsia="en-GB"/>
        </w:rPr>
        <w:t>12,855</w:t>
      </w:r>
      <w:r w:rsidRPr="00685B58">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million USD) followed by</w:t>
      </w:r>
      <w:r w:rsidRPr="006D42D9">
        <w:t xml:space="preserve"> </w:t>
      </w:r>
      <w:r w:rsidRPr="007438BB">
        <w:rPr>
          <w:rFonts w:ascii="Palatino Linotype" w:eastAsia="Times New Roman" w:hAnsi="Palatino Linotype"/>
          <w:bCs/>
          <w:sz w:val="22"/>
          <w:szCs w:val="22"/>
          <w:lang w:val="en-US" w:eastAsia="en-GB"/>
        </w:rPr>
        <w:t>Hong Kong Exchanges and Clearing</w:t>
      </w:r>
      <w:r w:rsidRPr="006D42D9">
        <w:rPr>
          <w:rFonts w:ascii="Palatino Linotype" w:eastAsia="Times New Roman" w:hAnsi="Palatino Linotype"/>
          <w:bCs/>
          <w:sz w:val="22"/>
          <w:szCs w:val="22"/>
          <w:lang w:val="en-US" w:eastAsia="en-GB"/>
        </w:rPr>
        <w:t xml:space="preserve"> (</w:t>
      </w:r>
      <w:r w:rsidRPr="00D875C3">
        <w:rPr>
          <w:rFonts w:ascii="Palatino Linotype" w:eastAsia="Times New Roman" w:hAnsi="Palatino Linotype"/>
          <w:bCs/>
          <w:sz w:val="22"/>
          <w:szCs w:val="22"/>
          <w:lang w:val="en-US" w:eastAsia="en-GB"/>
        </w:rPr>
        <w:t>12,293</w:t>
      </w:r>
      <w:r w:rsidRPr="00685B58">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 xml:space="preserve">million USD).   </w:t>
      </w:r>
    </w:p>
    <w:p w:rsidR="00A12A17" w:rsidRPr="006D42D9" w:rsidRDefault="00A12A17" w:rsidP="00A12A17">
      <w:pPr>
        <w:spacing w:line="276" w:lineRule="auto"/>
        <w:jc w:val="both"/>
        <w:rPr>
          <w:rFonts w:ascii="Palatino Linotype" w:eastAsia="Times New Roman" w:hAnsi="Palatino Linotype"/>
          <w:bCs/>
          <w:sz w:val="22"/>
          <w:szCs w:val="22"/>
          <w:lang w:val="en-US"/>
        </w:rPr>
      </w:pPr>
    </w:p>
    <w:p w:rsidR="00A12A17" w:rsidRPr="006D42D9" w:rsidRDefault="00A12A17" w:rsidP="00A12A17">
      <w:pPr>
        <w:spacing w:line="276" w:lineRule="auto"/>
        <w:ind w:left="284"/>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t>Market Capitalisation of Major</w:t>
      </w:r>
      <w:r w:rsidRPr="006D42D9">
        <w:rPr>
          <w:rFonts w:ascii="Palatino Linotype" w:eastAsia="Times New Roman" w:hAnsi="Palatino Linotype"/>
          <w:b/>
          <w:sz w:val="22"/>
          <w:szCs w:val="22"/>
          <w:lang w:val="en-US"/>
        </w:rPr>
        <w:t xml:space="preserve"> Exchanges (Table A3) –</w:t>
      </w:r>
    </w:p>
    <w:p w:rsidR="00A12A17" w:rsidRPr="006D42D9" w:rsidRDefault="00A12A17" w:rsidP="00A12A17">
      <w:pPr>
        <w:spacing w:line="276" w:lineRule="auto"/>
        <w:ind w:left="360"/>
        <w:contextualSpacing/>
        <w:jc w:val="both"/>
        <w:rPr>
          <w:rFonts w:ascii="Palatino Linotype" w:eastAsia="Times New Roman" w:hAnsi="Palatino Linotype"/>
          <w:b/>
          <w:sz w:val="22"/>
          <w:szCs w:val="22"/>
          <w:lang w:val="en-US" w:eastAsia="en-GB"/>
        </w:rPr>
      </w:pPr>
    </w:p>
    <w:p w:rsidR="00A12A17" w:rsidRPr="006D42D9" w:rsidRDefault="00A12A17" w:rsidP="00A12A17">
      <w:pPr>
        <w:numPr>
          <w:ilvl w:val="0"/>
          <w:numId w:val="8"/>
        </w:numPr>
        <w:spacing w:line="276" w:lineRule="auto"/>
        <w:ind w:left="357" w:hanging="357"/>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Most of the analysed exchanges of selected markets</w:t>
      </w:r>
      <w:r w:rsidRPr="006D42D9">
        <w:rPr>
          <w:rFonts w:ascii="Palatino Linotype" w:eastAsia="Times New Roman" w:hAnsi="Palatino Linotype"/>
          <w:bCs/>
          <w:sz w:val="22"/>
          <w:szCs w:val="22"/>
          <w:vertAlign w:val="superscript"/>
          <w:lang w:val="en-US" w:eastAsia="en-GB"/>
        </w:rPr>
        <w:footnoteReference w:id="6"/>
      </w:r>
      <w:r w:rsidRPr="006D42D9">
        <w:rPr>
          <w:rFonts w:ascii="Palatino Linotype" w:eastAsia="Times New Roman" w:hAnsi="Palatino Linotype"/>
          <w:bCs/>
          <w:sz w:val="22"/>
          <w:szCs w:val="22"/>
          <w:lang w:val="en-US" w:eastAsia="en-GB"/>
        </w:rPr>
        <w:t>, reflected a</w:t>
      </w:r>
      <w:r>
        <w:rPr>
          <w:rFonts w:ascii="Palatino Linotype" w:eastAsia="Times New Roman" w:hAnsi="Palatino Linotype"/>
          <w:bCs/>
          <w:sz w:val="22"/>
          <w:szCs w:val="22"/>
          <w:lang w:val="en-US" w:eastAsia="en-GB"/>
        </w:rPr>
        <w:t xml:space="preserve"> rise </w:t>
      </w:r>
      <w:r w:rsidRPr="006D42D9">
        <w:rPr>
          <w:rFonts w:ascii="Palatino Linotype" w:eastAsia="Times New Roman" w:hAnsi="Palatino Linotype"/>
          <w:bCs/>
          <w:sz w:val="22"/>
          <w:szCs w:val="22"/>
          <w:lang w:val="en-US" w:eastAsia="en-GB"/>
        </w:rPr>
        <w:t xml:space="preserve">in market capitalization in the month of </w:t>
      </w:r>
      <w:r>
        <w:rPr>
          <w:rFonts w:ascii="Palatino Linotype" w:eastAsia="Times New Roman" w:hAnsi="Palatino Linotype"/>
          <w:bCs/>
          <w:sz w:val="22"/>
          <w:szCs w:val="22"/>
          <w:lang w:val="en-US" w:eastAsia="en-GB"/>
        </w:rPr>
        <w:t>February</w:t>
      </w:r>
      <w:r w:rsidRPr="006D42D9">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6D42D9">
        <w:rPr>
          <w:rFonts w:ascii="Palatino Linotype" w:eastAsia="Times New Roman" w:hAnsi="Palatino Linotype"/>
          <w:bCs/>
          <w:sz w:val="22"/>
          <w:szCs w:val="22"/>
          <w:lang w:val="en-US" w:eastAsia="en-GB"/>
        </w:rPr>
        <w:t xml:space="preserve"> as compared to previous month.</w:t>
      </w:r>
    </w:p>
    <w:p w:rsidR="00A12A17" w:rsidRPr="006D42D9"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Among the exchanges which registered highest increase in market capitalization were </w:t>
      </w:r>
      <w:r w:rsidRPr="00CD5518">
        <w:rPr>
          <w:rFonts w:ascii="Palatino Linotype" w:eastAsia="Times New Roman" w:hAnsi="Palatino Linotype"/>
          <w:bCs/>
          <w:sz w:val="22"/>
          <w:szCs w:val="22"/>
          <w:lang w:val="en-US" w:eastAsia="en-GB"/>
        </w:rPr>
        <w:t>BME Spanish Exchanges</w:t>
      </w:r>
      <w:r w:rsidRPr="006D42D9">
        <w:rPr>
          <w:rFonts w:ascii="Palatino Linotype" w:eastAsia="Times New Roman" w:hAnsi="Palatino Linotype"/>
          <w:bCs/>
          <w:sz w:val="22"/>
          <w:szCs w:val="22"/>
          <w:lang w:val="en-US" w:eastAsia="en-GB"/>
        </w:rPr>
        <w:t xml:space="preserve">, </w:t>
      </w:r>
      <w:r w:rsidRPr="00CD5518">
        <w:rPr>
          <w:rFonts w:ascii="Palatino Linotype" w:eastAsia="Times New Roman" w:hAnsi="Palatino Linotype"/>
          <w:bCs/>
          <w:sz w:val="22"/>
          <w:szCs w:val="22"/>
          <w:lang w:val="en-US" w:eastAsia="en-GB"/>
        </w:rPr>
        <w:t>LSE Group</w:t>
      </w:r>
      <w:r w:rsidRPr="006D42D9">
        <w:rPr>
          <w:rFonts w:ascii="Palatino Linotype" w:eastAsia="Times New Roman" w:hAnsi="Palatino Linotype"/>
          <w:bCs/>
          <w:sz w:val="22"/>
          <w:szCs w:val="22"/>
          <w:lang w:val="en-US" w:eastAsia="en-GB"/>
        </w:rPr>
        <w:t xml:space="preserve">, and </w:t>
      </w:r>
      <w:r w:rsidRPr="007A5924">
        <w:rPr>
          <w:rFonts w:ascii="Palatino Linotype" w:eastAsia="Times New Roman" w:hAnsi="Palatino Linotype"/>
          <w:bCs/>
          <w:sz w:val="22"/>
          <w:szCs w:val="22"/>
          <w:lang w:val="en-US" w:eastAsia="en-GB"/>
        </w:rPr>
        <w:t>Hong Kong Exchanges and Clearing</w:t>
      </w:r>
      <w:r w:rsidRPr="006D42D9">
        <w:rPr>
          <w:rFonts w:ascii="Palatino Linotype" w:eastAsia="Times New Roman" w:hAnsi="Palatino Linotype"/>
          <w:bCs/>
          <w:sz w:val="22"/>
          <w:szCs w:val="22"/>
          <w:lang w:val="en-US" w:eastAsia="en-GB"/>
        </w:rPr>
        <w:t xml:space="preserve"> (</w:t>
      </w:r>
      <w:r w:rsidRPr="007A5924">
        <w:rPr>
          <w:rFonts w:ascii="Palatino Linotype" w:eastAsia="Times New Roman" w:hAnsi="Palatino Linotype"/>
          <w:bCs/>
          <w:sz w:val="22"/>
          <w:szCs w:val="22"/>
          <w:lang w:val="en-US" w:eastAsia="en-GB"/>
        </w:rPr>
        <w:t>5.3</w:t>
      </w:r>
      <w:r w:rsidRPr="006D42D9">
        <w:rPr>
          <w:rFonts w:ascii="Palatino Linotype" w:eastAsia="Times New Roman" w:hAnsi="Palatino Linotype"/>
          <w:bCs/>
          <w:sz w:val="22"/>
          <w:szCs w:val="22"/>
          <w:lang w:val="en-US" w:eastAsia="en-GB"/>
        </w:rPr>
        <w:t xml:space="preserve">, </w:t>
      </w:r>
      <w:r w:rsidRPr="007A5924">
        <w:rPr>
          <w:rFonts w:ascii="Palatino Linotype" w:eastAsia="Times New Roman" w:hAnsi="Palatino Linotype"/>
          <w:bCs/>
          <w:sz w:val="22"/>
          <w:szCs w:val="22"/>
          <w:lang w:val="en-US" w:eastAsia="en-GB"/>
        </w:rPr>
        <w:t>4.5</w:t>
      </w:r>
      <w:r w:rsidRPr="006D42D9">
        <w:rPr>
          <w:rFonts w:ascii="Palatino Linotype" w:eastAsia="Times New Roman" w:hAnsi="Palatino Linotype"/>
          <w:bCs/>
          <w:sz w:val="22"/>
          <w:szCs w:val="22"/>
          <w:lang w:val="en-US" w:eastAsia="en-GB"/>
        </w:rPr>
        <w:t xml:space="preserve"> and </w:t>
      </w:r>
      <w:r w:rsidRPr="007A5924">
        <w:rPr>
          <w:rFonts w:ascii="Palatino Linotype" w:eastAsia="Times New Roman" w:hAnsi="Palatino Linotype"/>
          <w:bCs/>
          <w:sz w:val="22"/>
          <w:szCs w:val="22"/>
          <w:lang w:val="en-US" w:eastAsia="en-GB"/>
        </w:rPr>
        <w:t>4.4</w:t>
      </w:r>
      <w:r w:rsidRPr="006D42D9">
        <w:rPr>
          <w:rFonts w:ascii="Palatino Linotype" w:eastAsia="Times New Roman" w:hAnsi="Palatino Linotype"/>
          <w:bCs/>
          <w:sz w:val="22"/>
          <w:szCs w:val="22"/>
          <w:lang w:val="en-US" w:eastAsia="en-GB"/>
        </w:rPr>
        <w:t xml:space="preserve"> per cent respectively).</w:t>
      </w:r>
    </w:p>
    <w:p w:rsidR="00A12A17" w:rsidRPr="006D42D9"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Among the exchanges which </w:t>
      </w:r>
      <w:r>
        <w:rPr>
          <w:rFonts w:ascii="Palatino Linotype" w:eastAsia="Times New Roman" w:hAnsi="Palatino Linotype"/>
          <w:bCs/>
          <w:sz w:val="22"/>
          <w:szCs w:val="22"/>
          <w:lang w:val="en-US" w:eastAsia="en-GB"/>
        </w:rPr>
        <w:t xml:space="preserve">registered a decrease in </w:t>
      </w:r>
      <w:r w:rsidRPr="006D42D9">
        <w:rPr>
          <w:rFonts w:ascii="Palatino Linotype" w:eastAsia="Times New Roman" w:hAnsi="Palatino Linotype"/>
          <w:bCs/>
          <w:sz w:val="22"/>
          <w:szCs w:val="22"/>
          <w:lang w:val="en-US" w:eastAsia="en-GB"/>
        </w:rPr>
        <w:t>the market capitalization among the analysed ones were</w:t>
      </w:r>
      <w:r w:rsidRPr="002E432C">
        <w:t xml:space="preserve"> </w:t>
      </w:r>
      <w:r w:rsidRPr="007A5924">
        <w:rPr>
          <w:rFonts w:ascii="Palatino Linotype" w:eastAsia="Times New Roman" w:hAnsi="Palatino Linotype"/>
          <w:bCs/>
          <w:sz w:val="22"/>
          <w:szCs w:val="22"/>
          <w:lang w:val="en-US" w:eastAsia="en-GB"/>
        </w:rPr>
        <w:t>B3 - Brasil Bolsa Balcão</w:t>
      </w:r>
      <w:r w:rsidRPr="002E432C">
        <w:rPr>
          <w:rFonts w:ascii="Palatino Linotype" w:eastAsia="Times New Roman" w:hAnsi="Palatino Linotype"/>
          <w:bCs/>
          <w:sz w:val="22"/>
          <w:szCs w:val="22"/>
          <w:lang w:val="en-US" w:eastAsia="en-GB"/>
        </w:rPr>
        <w:t xml:space="preserve"> </w:t>
      </w:r>
      <w:r w:rsidRPr="006D42D9">
        <w:rPr>
          <w:rFonts w:ascii="Palatino Linotype" w:eastAsia="Times New Roman" w:hAnsi="Palatino Linotype"/>
          <w:bCs/>
          <w:sz w:val="22"/>
          <w:szCs w:val="22"/>
          <w:lang w:val="en-US" w:eastAsia="en-GB"/>
        </w:rPr>
        <w:t>(</w:t>
      </w:r>
      <w:r w:rsidRPr="00C55EA3">
        <w:rPr>
          <w:rFonts w:ascii="Palatino Linotype" w:eastAsia="Times New Roman" w:hAnsi="Palatino Linotype"/>
          <w:bCs/>
          <w:sz w:val="22"/>
          <w:szCs w:val="22"/>
          <w:lang w:val="en-US" w:eastAsia="en-GB"/>
        </w:rPr>
        <w:t>-2.0</w:t>
      </w:r>
      <w:r w:rsidRPr="006D42D9">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and</w:t>
      </w:r>
      <w:r w:rsidRPr="002E432C">
        <w:t xml:space="preserve"> </w:t>
      </w:r>
      <w:r w:rsidRPr="00C55EA3">
        <w:rPr>
          <w:rFonts w:ascii="Palatino Linotype" w:eastAsia="Times New Roman" w:hAnsi="Palatino Linotype"/>
          <w:bCs/>
          <w:sz w:val="22"/>
          <w:szCs w:val="22"/>
          <w:lang w:val="en-US" w:eastAsia="en-GB"/>
        </w:rPr>
        <w:t>Shenzhen Stock Exchange</w:t>
      </w:r>
      <w:r w:rsidRPr="006D42D9">
        <w:rPr>
          <w:rFonts w:ascii="Palatino Linotype" w:eastAsia="Times New Roman" w:hAnsi="Palatino Linotype"/>
          <w:bCs/>
          <w:sz w:val="22"/>
          <w:szCs w:val="22"/>
          <w:lang w:val="en-US" w:eastAsia="en-GB"/>
        </w:rPr>
        <w:t xml:space="preserve"> (</w:t>
      </w:r>
      <w:r w:rsidRPr="00C55EA3">
        <w:rPr>
          <w:rFonts w:ascii="Palatino Linotype" w:eastAsia="Times New Roman" w:hAnsi="Palatino Linotype"/>
          <w:bCs/>
          <w:sz w:val="22"/>
          <w:szCs w:val="22"/>
          <w:lang w:val="en-US" w:eastAsia="en-GB"/>
        </w:rPr>
        <w:t>-1.4</w:t>
      </w:r>
      <w:r w:rsidRPr="006D42D9">
        <w:rPr>
          <w:rFonts w:ascii="Palatino Linotype" w:eastAsia="Times New Roman" w:hAnsi="Palatino Linotype"/>
          <w:bCs/>
          <w:sz w:val="22"/>
          <w:szCs w:val="22"/>
          <w:lang w:val="en-US" w:eastAsia="en-GB"/>
        </w:rPr>
        <w:t xml:space="preserve"> per cent).</w:t>
      </w:r>
    </w:p>
    <w:p w:rsidR="00A12A17" w:rsidRPr="00497662" w:rsidRDefault="00A12A17" w:rsidP="00A12A17">
      <w:pPr>
        <w:spacing w:line="276" w:lineRule="auto"/>
        <w:ind w:left="360"/>
        <w:contextualSpacing/>
        <w:jc w:val="both"/>
        <w:rPr>
          <w:rFonts w:ascii="Palatino Linotype" w:eastAsia="Times New Roman" w:hAnsi="Palatino Linotype"/>
          <w:b/>
          <w:sz w:val="22"/>
          <w:szCs w:val="22"/>
          <w:u w:val="single"/>
          <w:lang w:val="en-US"/>
        </w:rPr>
      </w:pPr>
    </w:p>
    <w:p w:rsidR="00A12A17" w:rsidRPr="00497662" w:rsidRDefault="00A12A17" w:rsidP="00A12A17">
      <w:pPr>
        <w:spacing w:line="276" w:lineRule="auto"/>
        <w:ind w:left="360"/>
        <w:contextualSpacing/>
        <w:jc w:val="both"/>
        <w:rPr>
          <w:rFonts w:ascii="Palatino Linotype" w:eastAsia="Times New Roman" w:hAnsi="Palatino Linotype"/>
          <w:b/>
          <w:sz w:val="22"/>
          <w:szCs w:val="22"/>
          <w:lang w:val="en-US" w:eastAsia="en-GB"/>
        </w:rPr>
      </w:pPr>
      <w:r w:rsidRPr="00497662">
        <w:rPr>
          <w:rFonts w:ascii="Palatino Linotype" w:eastAsia="Times New Roman" w:hAnsi="Palatino Linotype"/>
          <w:b/>
          <w:sz w:val="22"/>
          <w:szCs w:val="22"/>
          <w:u w:val="single"/>
          <w:lang w:val="en-US"/>
        </w:rPr>
        <w:t xml:space="preserve">Derivatives </w:t>
      </w:r>
      <w:r w:rsidRPr="00497662">
        <w:rPr>
          <w:rFonts w:ascii="Palatino Linotype" w:eastAsia="Times New Roman" w:hAnsi="Palatino Linotype"/>
          <w:b/>
          <w:sz w:val="22"/>
          <w:szCs w:val="22"/>
          <w:lang w:val="en-US" w:eastAsia="en-GB"/>
        </w:rPr>
        <w:t xml:space="preserve">(Figures 5-6, Table A4–A8) – </w:t>
      </w:r>
    </w:p>
    <w:p w:rsidR="00A12A17" w:rsidRPr="00497662" w:rsidRDefault="00A12A17" w:rsidP="00A12A17">
      <w:pPr>
        <w:spacing w:line="276" w:lineRule="auto"/>
        <w:ind w:left="360"/>
        <w:contextualSpacing/>
        <w:jc w:val="both"/>
        <w:rPr>
          <w:rFonts w:ascii="Palatino Linotype" w:eastAsia="Times New Roman" w:hAnsi="Palatino Linotype"/>
          <w:b/>
          <w:sz w:val="22"/>
          <w:szCs w:val="22"/>
          <w:lang w:val="en-US" w:eastAsia="en-GB"/>
        </w:rPr>
      </w:pPr>
    </w:p>
    <w:p w:rsidR="00A12A17" w:rsidRPr="00497662"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497662">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February 2021</w:t>
      </w:r>
      <w:r w:rsidRPr="00497662">
        <w:rPr>
          <w:rFonts w:ascii="Palatino Linotype" w:eastAsia="Times New Roman" w:hAnsi="Palatino Linotype"/>
          <w:bCs/>
          <w:sz w:val="22"/>
          <w:szCs w:val="22"/>
          <w:lang w:val="en-US" w:eastAsia="en-GB"/>
        </w:rPr>
        <w:t>, the highest number of single stock futures contracts traded was at</w:t>
      </w:r>
      <w:r w:rsidRPr="008D6B22">
        <w:t xml:space="preserve"> </w:t>
      </w:r>
      <w:r w:rsidRPr="008D6B22">
        <w:rPr>
          <w:rFonts w:ascii="Palatino Linotype" w:eastAsia="Times New Roman" w:hAnsi="Palatino Linotype"/>
          <w:bCs/>
          <w:sz w:val="22"/>
          <w:szCs w:val="22"/>
          <w:lang w:val="en-US" w:eastAsia="en-GB"/>
        </w:rPr>
        <w:t>Borsa Istanbul</w:t>
      </w:r>
      <w:r w:rsidRPr="00497662">
        <w:rPr>
          <w:rFonts w:ascii="Palatino Linotype" w:eastAsia="Times New Roman" w:hAnsi="Palatino Linotype"/>
          <w:bCs/>
          <w:sz w:val="22"/>
          <w:szCs w:val="22"/>
          <w:lang w:val="en-US" w:eastAsia="en-GB"/>
        </w:rPr>
        <w:t xml:space="preserve"> (</w:t>
      </w:r>
      <w:r w:rsidRPr="005849EF">
        <w:rPr>
          <w:rFonts w:ascii="Palatino Linotype" w:eastAsia="Times New Roman" w:hAnsi="Palatino Linotype"/>
          <w:bCs/>
          <w:sz w:val="22"/>
          <w:szCs w:val="22"/>
          <w:lang w:val="en-US" w:eastAsia="en-GB"/>
        </w:rPr>
        <w:t>143,312,941</w:t>
      </w:r>
      <w:r w:rsidRPr="008D6B22">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followed by </w:t>
      </w:r>
      <w:r w:rsidRPr="008D6B22">
        <w:rPr>
          <w:rFonts w:ascii="Palatino Linotype" w:eastAsia="Times New Roman" w:hAnsi="Palatino Linotype"/>
          <w:bCs/>
          <w:sz w:val="22"/>
          <w:szCs w:val="22"/>
          <w:lang w:val="en-US" w:eastAsia="en-GB"/>
        </w:rPr>
        <w:t>Korea Exchange</w:t>
      </w:r>
      <w:r w:rsidRPr="00497662">
        <w:rPr>
          <w:rFonts w:ascii="Palatino Linotype" w:eastAsia="Times New Roman" w:hAnsi="Palatino Linotype"/>
          <w:bCs/>
          <w:sz w:val="22"/>
          <w:szCs w:val="22"/>
          <w:lang w:val="en-US" w:eastAsia="en-GB"/>
        </w:rPr>
        <w:t xml:space="preserve"> (</w:t>
      </w:r>
      <w:r w:rsidRPr="005849EF">
        <w:rPr>
          <w:rFonts w:ascii="Palatino Linotype" w:eastAsia="Times New Roman" w:hAnsi="Palatino Linotype"/>
          <w:bCs/>
          <w:sz w:val="22"/>
          <w:szCs w:val="22"/>
          <w:lang w:val="en-US" w:eastAsia="en-GB"/>
        </w:rPr>
        <w:t>118,275,248</w:t>
      </w:r>
      <w:r w:rsidRPr="008D6B22">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The highest number of single stock options were traded at </w:t>
      </w:r>
      <w:r w:rsidRPr="008D6B22">
        <w:rPr>
          <w:rFonts w:ascii="Palatino Linotype" w:eastAsia="Times New Roman" w:hAnsi="Palatino Linotype"/>
          <w:bCs/>
          <w:sz w:val="22"/>
          <w:szCs w:val="22"/>
          <w:lang w:val="en-US" w:eastAsia="en-GB"/>
        </w:rPr>
        <w:t>Nasdaq - US</w:t>
      </w:r>
      <w:r w:rsidRPr="00497662">
        <w:rPr>
          <w:rFonts w:ascii="Palatino Linotype" w:eastAsia="Times New Roman" w:hAnsi="Palatino Linotype"/>
          <w:bCs/>
          <w:sz w:val="22"/>
          <w:szCs w:val="22"/>
          <w:lang w:val="en-US" w:eastAsia="en-GB"/>
        </w:rPr>
        <w:t xml:space="preserve"> (</w:t>
      </w:r>
      <w:r w:rsidRPr="005849EF">
        <w:rPr>
          <w:rFonts w:ascii="Palatino Linotype" w:eastAsia="Times New Roman" w:hAnsi="Palatino Linotype"/>
          <w:bCs/>
          <w:sz w:val="22"/>
          <w:szCs w:val="22"/>
          <w:lang w:val="en-US" w:eastAsia="en-GB"/>
        </w:rPr>
        <w:t>213,092,696</w:t>
      </w:r>
      <w:r w:rsidRPr="008D6B22">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followed by </w:t>
      </w:r>
      <w:r w:rsidRPr="00EC4088">
        <w:rPr>
          <w:rFonts w:ascii="Palatino Linotype" w:eastAsia="Times New Roman" w:hAnsi="Palatino Linotype"/>
          <w:bCs/>
          <w:sz w:val="22"/>
          <w:szCs w:val="22"/>
          <w:lang w:val="en-US" w:eastAsia="en-GB"/>
        </w:rPr>
        <w:t>Cboe Global Markets</w:t>
      </w:r>
      <w:r w:rsidRPr="008D6B22">
        <w:rPr>
          <w:rFonts w:ascii="Palatino Linotype" w:eastAsia="Times New Roman" w:hAnsi="Palatino Linotype"/>
          <w:bCs/>
          <w:sz w:val="22"/>
          <w:szCs w:val="22"/>
          <w:lang w:val="en-US" w:eastAsia="en-GB"/>
        </w:rPr>
        <w:t xml:space="preserve"> </w:t>
      </w:r>
      <w:r w:rsidRPr="00497662">
        <w:rPr>
          <w:rFonts w:ascii="Palatino Linotype" w:eastAsia="Times New Roman" w:hAnsi="Palatino Linotype"/>
          <w:bCs/>
          <w:sz w:val="22"/>
          <w:szCs w:val="22"/>
          <w:lang w:val="en-US" w:eastAsia="en-GB"/>
        </w:rPr>
        <w:t>(</w:t>
      </w:r>
      <w:r w:rsidRPr="00EC4088">
        <w:rPr>
          <w:rFonts w:ascii="Palatino Linotype" w:eastAsia="Times New Roman" w:hAnsi="Palatino Linotype"/>
          <w:bCs/>
          <w:sz w:val="22"/>
          <w:szCs w:val="22"/>
          <w:lang w:val="en-US" w:eastAsia="en-GB"/>
        </w:rPr>
        <w:t>141,688,753</w:t>
      </w:r>
      <w:r w:rsidRPr="008D6B22">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w:t>
      </w:r>
    </w:p>
    <w:p w:rsidR="00A12A17"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497662">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February 2021</w:t>
      </w:r>
      <w:r w:rsidRPr="00497662">
        <w:rPr>
          <w:rFonts w:ascii="Palatino Linotype" w:eastAsia="Times New Roman" w:hAnsi="Palatino Linotype"/>
          <w:bCs/>
          <w:sz w:val="22"/>
          <w:szCs w:val="22"/>
          <w:lang w:val="en-US" w:eastAsia="en-GB"/>
        </w:rPr>
        <w:t>, the highest number of stock</w:t>
      </w:r>
      <w:r>
        <w:rPr>
          <w:rFonts w:ascii="Palatino Linotype" w:eastAsia="Times New Roman" w:hAnsi="Palatino Linotype"/>
          <w:bCs/>
          <w:sz w:val="22"/>
          <w:szCs w:val="22"/>
          <w:lang w:val="en-US" w:eastAsia="en-GB"/>
        </w:rPr>
        <w:t xml:space="preserve"> index</w:t>
      </w:r>
      <w:r w:rsidRPr="00497662">
        <w:rPr>
          <w:rFonts w:ascii="Palatino Linotype" w:eastAsia="Times New Roman" w:hAnsi="Palatino Linotype"/>
          <w:bCs/>
          <w:sz w:val="22"/>
          <w:szCs w:val="22"/>
          <w:lang w:val="en-US" w:eastAsia="en-GB"/>
        </w:rPr>
        <w:t xml:space="preserve"> futures contracts traded was at </w:t>
      </w:r>
      <w:r w:rsidRPr="008D6B22">
        <w:rPr>
          <w:rFonts w:ascii="Palatino Linotype" w:eastAsia="Times New Roman" w:hAnsi="Palatino Linotype"/>
          <w:bCs/>
          <w:sz w:val="22"/>
          <w:szCs w:val="22"/>
          <w:lang w:val="en-US" w:eastAsia="en-GB"/>
        </w:rPr>
        <w:t>B3 - Brasil Bolsa Balcão</w:t>
      </w:r>
      <w:r w:rsidRPr="00497662">
        <w:rPr>
          <w:rFonts w:ascii="Palatino Linotype" w:eastAsia="Times New Roman" w:hAnsi="Palatino Linotype"/>
          <w:bCs/>
          <w:sz w:val="22"/>
          <w:szCs w:val="22"/>
          <w:lang w:val="en-US" w:eastAsia="en-GB"/>
        </w:rPr>
        <w:t xml:space="preserve"> (</w:t>
      </w:r>
      <w:r w:rsidRPr="00EC4088">
        <w:rPr>
          <w:rFonts w:ascii="Palatino Linotype" w:eastAsia="Times New Roman" w:hAnsi="Palatino Linotype"/>
          <w:bCs/>
          <w:sz w:val="22"/>
          <w:szCs w:val="22"/>
          <w:lang w:val="en-US" w:eastAsia="en-GB"/>
        </w:rPr>
        <w:t>317,928,898</w:t>
      </w:r>
      <w:r w:rsidRPr="008D6B22">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followed by </w:t>
      </w:r>
      <w:r w:rsidRPr="008D6B22">
        <w:rPr>
          <w:rFonts w:ascii="Palatino Linotype" w:eastAsia="Times New Roman" w:hAnsi="Palatino Linotype"/>
          <w:bCs/>
          <w:sz w:val="22"/>
          <w:szCs w:val="22"/>
          <w:lang w:val="en-US" w:eastAsia="en-GB"/>
        </w:rPr>
        <w:t>CME Group</w:t>
      </w:r>
      <w:r w:rsidRPr="00497662">
        <w:rPr>
          <w:rFonts w:ascii="Palatino Linotype" w:eastAsia="Times New Roman" w:hAnsi="Palatino Linotype"/>
          <w:bCs/>
          <w:sz w:val="22"/>
          <w:szCs w:val="22"/>
          <w:lang w:val="en-US" w:eastAsia="en-GB"/>
        </w:rPr>
        <w:t xml:space="preserve"> (</w:t>
      </w:r>
      <w:r w:rsidRPr="00EC4088">
        <w:rPr>
          <w:rFonts w:ascii="Palatino Linotype" w:eastAsia="Times New Roman" w:hAnsi="Palatino Linotype"/>
          <w:bCs/>
          <w:sz w:val="22"/>
          <w:szCs w:val="22"/>
          <w:lang w:val="en-US" w:eastAsia="en-GB"/>
        </w:rPr>
        <w:t>92,186,967</w:t>
      </w:r>
      <w:r w:rsidRPr="008D6B22">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The highest number of stock </w:t>
      </w:r>
      <w:r>
        <w:rPr>
          <w:rFonts w:ascii="Palatino Linotype" w:eastAsia="Times New Roman" w:hAnsi="Palatino Linotype"/>
          <w:bCs/>
          <w:sz w:val="22"/>
          <w:szCs w:val="22"/>
          <w:lang w:val="en-US" w:eastAsia="en-GB"/>
        </w:rPr>
        <w:t xml:space="preserve">index </w:t>
      </w:r>
      <w:r w:rsidRPr="00497662">
        <w:rPr>
          <w:rFonts w:ascii="Palatino Linotype" w:eastAsia="Times New Roman" w:hAnsi="Palatino Linotype"/>
          <w:bCs/>
          <w:sz w:val="22"/>
          <w:szCs w:val="22"/>
          <w:lang w:val="en-US" w:eastAsia="en-GB"/>
        </w:rPr>
        <w:t xml:space="preserve">options were traded at </w:t>
      </w:r>
      <w:r w:rsidRPr="000000F6">
        <w:rPr>
          <w:rFonts w:ascii="Palatino Linotype" w:eastAsia="Times New Roman" w:hAnsi="Palatino Linotype"/>
          <w:bCs/>
          <w:sz w:val="22"/>
          <w:szCs w:val="22"/>
          <w:lang w:val="en-US" w:eastAsia="en-GB"/>
        </w:rPr>
        <w:t>Korea Exchange</w:t>
      </w:r>
      <w:r w:rsidRPr="00497662">
        <w:rPr>
          <w:rFonts w:ascii="Palatino Linotype" w:eastAsia="Times New Roman" w:hAnsi="Palatino Linotype"/>
          <w:bCs/>
          <w:sz w:val="22"/>
          <w:szCs w:val="22"/>
          <w:lang w:val="en-US" w:eastAsia="en-GB"/>
        </w:rPr>
        <w:t xml:space="preserve"> (</w:t>
      </w:r>
      <w:r w:rsidRPr="000000F6">
        <w:rPr>
          <w:rFonts w:ascii="Palatino Linotype" w:eastAsia="Times New Roman" w:hAnsi="Palatino Linotype"/>
          <w:bCs/>
          <w:sz w:val="22"/>
          <w:szCs w:val="22"/>
          <w:lang w:val="en-US" w:eastAsia="en-GB"/>
        </w:rPr>
        <w:t>59,371,920</w:t>
      </w:r>
      <w:r w:rsidRPr="008D6B22">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followed by </w:t>
      </w:r>
      <w:r w:rsidRPr="000000F6">
        <w:rPr>
          <w:rFonts w:ascii="Palatino Linotype" w:eastAsia="Times New Roman" w:hAnsi="Palatino Linotype"/>
          <w:bCs/>
          <w:sz w:val="22"/>
          <w:szCs w:val="22"/>
          <w:lang w:val="en-US" w:eastAsia="en-GB"/>
        </w:rPr>
        <w:t>Cboe Global Markets</w:t>
      </w:r>
      <w:r w:rsidRPr="00497662">
        <w:rPr>
          <w:rFonts w:ascii="Palatino Linotype" w:eastAsia="Times New Roman" w:hAnsi="Palatino Linotype"/>
          <w:bCs/>
          <w:sz w:val="22"/>
          <w:szCs w:val="22"/>
          <w:lang w:val="en-US" w:eastAsia="en-GB"/>
        </w:rPr>
        <w:t xml:space="preserve"> (</w:t>
      </w:r>
      <w:r w:rsidRPr="000000F6">
        <w:rPr>
          <w:rFonts w:ascii="Palatino Linotype" w:eastAsia="Times New Roman" w:hAnsi="Palatino Linotype"/>
          <w:bCs/>
          <w:sz w:val="22"/>
          <w:szCs w:val="22"/>
          <w:lang w:val="en-US" w:eastAsia="en-GB"/>
        </w:rPr>
        <w:t>36,940,744</w:t>
      </w:r>
      <w:r w:rsidRPr="008D6B22">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w:t>
      </w:r>
    </w:p>
    <w:p w:rsidR="00A12A17" w:rsidRPr="00497662"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497662">
        <w:rPr>
          <w:rFonts w:ascii="Palatino Linotype" w:eastAsia="Times New Roman" w:hAnsi="Palatino Linotype"/>
          <w:bCs/>
          <w:sz w:val="22"/>
          <w:szCs w:val="22"/>
          <w:lang w:val="en-US" w:eastAsia="en-GB"/>
        </w:rPr>
        <w:t>Highest number of currency futures contracts were traded at Moscow Exchange (</w:t>
      </w:r>
      <w:r w:rsidRPr="0022057D">
        <w:rPr>
          <w:rFonts w:ascii="Palatino Linotype" w:eastAsia="Times New Roman" w:hAnsi="Palatino Linotype"/>
          <w:bCs/>
          <w:sz w:val="22"/>
          <w:szCs w:val="22"/>
          <w:lang w:val="en-US" w:eastAsia="en-GB"/>
        </w:rPr>
        <w:t>78,415,583</w:t>
      </w:r>
      <w:r w:rsidRPr="00717DF6">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followed by </w:t>
      </w:r>
      <w:r>
        <w:rPr>
          <w:rFonts w:ascii="Palatino Linotype" w:eastAsia="Times New Roman" w:hAnsi="Palatino Linotype"/>
          <w:bCs/>
          <w:sz w:val="22"/>
          <w:szCs w:val="22"/>
          <w:lang w:val="en-US" w:eastAsia="en-GB"/>
        </w:rPr>
        <w:t>B3 - Brasil Bolsa Balcao</w:t>
      </w:r>
      <w:r w:rsidRPr="00497662">
        <w:rPr>
          <w:rFonts w:ascii="Palatino Linotype" w:eastAsia="Times New Roman" w:hAnsi="Palatino Linotype"/>
          <w:bCs/>
          <w:sz w:val="22"/>
          <w:szCs w:val="22"/>
          <w:lang w:val="en-US" w:eastAsia="en-GB"/>
        </w:rPr>
        <w:t xml:space="preserve"> (</w:t>
      </w:r>
      <w:r w:rsidRPr="00776C87">
        <w:rPr>
          <w:rFonts w:ascii="Palatino Linotype" w:eastAsia="Times New Roman" w:hAnsi="Palatino Linotype"/>
          <w:bCs/>
          <w:sz w:val="22"/>
          <w:szCs w:val="22"/>
          <w:lang w:val="en-US" w:eastAsia="en-GB"/>
        </w:rPr>
        <w:t>64,655,504</w:t>
      </w:r>
      <w:r w:rsidRPr="00717DF6">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The highest number of currency options were traded at </w:t>
      </w:r>
      <w:r w:rsidRPr="00776C87">
        <w:rPr>
          <w:rFonts w:ascii="Palatino Linotype" w:eastAsia="Times New Roman" w:hAnsi="Palatino Linotype"/>
          <w:bCs/>
          <w:sz w:val="22"/>
          <w:szCs w:val="22"/>
          <w:lang w:val="en-US" w:eastAsia="en-GB"/>
        </w:rPr>
        <w:t>Moscow Exchange</w:t>
      </w:r>
      <w:r w:rsidRPr="00497662">
        <w:rPr>
          <w:rFonts w:ascii="Palatino Linotype" w:eastAsia="Times New Roman" w:hAnsi="Palatino Linotype"/>
          <w:bCs/>
          <w:sz w:val="22"/>
          <w:szCs w:val="22"/>
          <w:lang w:val="en-US" w:eastAsia="en-GB"/>
        </w:rPr>
        <w:t xml:space="preserve"> (</w:t>
      </w:r>
      <w:r w:rsidRPr="00776C87">
        <w:rPr>
          <w:rFonts w:ascii="Palatino Linotype" w:eastAsia="Times New Roman" w:hAnsi="Palatino Linotype"/>
          <w:bCs/>
          <w:sz w:val="22"/>
          <w:szCs w:val="22"/>
          <w:lang w:val="en-US" w:eastAsia="en-GB"/>
        </w:rPr>
        <w:t>1,704,090</w:t>
      </w:r>
      <w:r w:rsidRPr="00717DF6">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followed by </w:t>
      </w:r>
      <w:r w:rsidRPr="00776C87">
        <w:rPr>
          <w:rFonts w:ascii="Palatino Linotype" w:eastAsia="Times New Roman" w:hAnsi="Palatino Linotype"/>
          <w:bCs/>
          <w:sz w:val="22"/>
          <w:szCs w:val="22"/>
          <w:lang w:val="en-US" w:eastAsia="en-GB"/>
        </w:rPr>
        <w:t>Tel-Aviv Stock Exchange</w:t>
      </w:r>
      <w:r w:rsidRPr="00497662">
        <w:rPr>
          <w:rFonts w:ascii="Palatino Linotype" w:eastAsia="Times New Roman" w:hAnsi="Palatino Linotype"/>
          <w:bCs/>
          <w:sz w:val="22"/>
          <w:szCs w:val="22"/>
          <w:lang w:val="en-US" w:eastAsia="en-GB"/>
        </w:rPr>
        <w:t xml:space="preserve"> (</w:t>
      </w:r>
      <w:r w:rsidRPr="005466D8">
        <w:rPr>
          <w:rFonts w:ascii="Palatino Linotype" w:eastAsia="Times New Roman" w:hAnsi="Palatino Linotype"/>
          <w:bCs/>
          <w:sz w:val="22"/>
          <w:szCs w:val="22"/>
          <w:lang w:val="en-US" w:eastAsia="en-GB"/>
        </w:rPr>
        <w:t>1,176,696</w:t>
      </w:r>
      <w:r w:rsidRPr="00717DF6">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w:t>
      </w:r>
    </w:p>
    <w:p w:rsidR="00A12A17" w:rsidRPr="003121B9"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3121B9">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February 2021</w:t>
      </w:r>
      <w:r w:rsidRPr="003121B9">
        <w:rPr>
          <w:rFonts w:ascii="Palatino Linotype" w:eastAsia="Times New Roman" w:hAnsi="Palatino Linotype"/>
          <w:bCs/>
          <w:sz w:val="22"/>
          <w:szCs w:val="22"/>
          <w:lang w:val="en-US" w:eastAsia="en-GB"/>
        </w:rPr>
        <w:t>, the highest number of interest rate futures were traded at CME Group (</w:t>
      </w:r>
      <w:r w:rsidRPr="00E95DF9">
        <w:rPr>
          <w:rFonts w:ascii="Palatino Linotype" w:eastAsia="Times New Roman" w:hAnsi="Palatino Linotype"/>
          <w:bCs/>
          <w:sz w:val="22"/>
          <w:szCs w:val="22"/>
          <w:lang w:val="en-US" w:eastAsia="en-GB"/>
        </w:rPr>
        <w:t>204,206,273</w:t>
      </w:r>
      <w:r w:rsidRPr="003121B9">
        <w:rPr>
          <w:rFonts w:ascii="Palatino Linotype" w:eastAsia="Times New Roman" w:hAnsi="Palatino Linotype"/>
          <w:bCs/>
          <w:sz w:val="22"/>
          <w:szCs w:val="22"/>
          <w:lang w:val="en-US" w:eastAsia="en-GB"/>
        </w:rPr>
        <w:t xml:space="preserve">) followed by </w:t>
      </w:r>
      <w:r w:rsidRPr="00223D07">
        <w:rPr>
          <w:rFonts w:ascii="Palatino Linotype" w:eastAsia="Times New Roman" w:hAnsi="Palatino Linotype"/>
          <w:bCs/>
          <w:sz w:val="22"/>
          <w:szCs w:val="22"/>
          <w:lang w:val="en-US" w:eastAsia="en-GB"/>
        </w:rPr>
        <w:t>Deutsche Boerse AG</w:t>
      </w:r>
      <w:r w:rsidRPr="003121B9">
        <w:rPr>
          <w:rFonts w:ascii="Palatino Linotype" w:eastAsia="Times New Roman" w:hAnsi="Palatino Linotype"/>
          <w:bCs/>
          <w:sz w:val="22"/>
          <w:szCs w:val="22"/>
          <w:lang w:val="en-US" w:eastAsia="en-GB"/>
        </w:rPr>
        <w:t xml:space="preserve"> (</w:t>
      </w:r>
      <w:r w:rsidRPr="00223D07">
        <w:rPr>
          <w:rFonts w:ascii="Palatino Linotype" w:eastAsia="Times New Roman" w:hAnsi="Palatino Linotype"/>
          <w:bCs/>
          <w:sz w:val="22"/>
          <w:szCs w:val="22"/>
          <w:lang w:val="en-US" w:eastAsia="en-GB"/>
        </w:rPr>
        <w:t>49,865,752</w:t>
      </w:r>
      <w:r w:rsidRPr="003121B9">
        <w:rPr>
          <w:rFonts w:ascii="Palatino Linotype" w:eastAsia="Times New Roman" w:hAnsi="Palatino Linotype"/>
          <w:bCs/>
          <w:sz w:val="22"/>
          <w:szCs w:val="22"/>
          <w:lang w:val="en-US" w:eastAsia="en-GB"/>
        </w:rPr>
        <w:t xml:space="preserve">). Highest number of interest rate options were traded at </w:t>
      </w:r>
      <w:r w:rsidRPr="0032487C">
        <w:rPr>
          <w:rFonts w:ascii="Palatino Linotype" w:eastAsia="Times New Roman" w:hAnsi="Palatino Linotype"/>
          <w:bCs/>
          <w:sz w:val="22"/>
          <w:szCs w:val="22"/>
          <w:lang w:val="en-US" w:eastAsia="en-GB"/>
        </w:rPr>
        <w:t>CME Group</w:t>
      </w:r>
      <w:r w:rsidRPr="003121B9">
        <w:rPr>
          <w:rFonts w:ascii="Palatino Linotype" w:eastAsia="Times New Roman" w:hAnsi="Palatino Linotype"/>
          <w:bCs/>
          <w:sz w:val="22"/>
          <w:szCs w:val="22"/>
          <w:lang w:val="en-US" w:eastAsia="en-GB"/>
        </w:rPr>
        <w:t xml:space="preserve"> (</w:t>
      </w:r>
      <w:r w:rsidRPr="0032487C">
        <w:rPr>
          <w:rFonts w:ascii="Palatino Linotype" w:eastAsia="Times New Roman" w:hAnsi="Palatino Linotype"/>
          <w:bCs/>
          <w:sz w:val="22"/>
          <w:szCs w:val="22"/>
          <w:lang w:val="en-US" w:eastAsia="en-GB"/>
        </w:rPr>
        <w:t>47,476,935</w:t>
      </w:r>
      <w:r w:rsidRPr="003121B9">
        <w:rPr>
          <w:rFonts w:ascii="Palatino Linotype" w:eastAsia="Times New Roman" w:hAnsi="Palatino Linotype"/>
          <w:bCs/>
          <w:sz w:val="22"/>
          <w:szCs w:val="22"/>
          <w:lang w:val="en-US" w:eastAsia="en-GB"/>
        </w:rPr>
        <w:t xml:space="preserve">) followed by </w:t>
      </w:r>
      <w:r w:rsidRPr="0032487C">
        <w:rPr>
          <w:rFonts w:ascii="Palatino Linotype" w:eastAsia="Times New Roman" w:hAnsi="Palatino Linotype"/>
          <w:bCs/>
          <w:sz w:val="22"/>
          <w:szCs w:val="22"/>
          <w:lang w:val="en-US" w:eastAsia="en-GB"/>
        </w:rPr>
        <w:t>B3 - Brasil Bolsa Balcão</w:t>
      </w:r>
      <w:r w:rsidRPr="003121B9">
        <w:rPr>
          <w:rFonts w:ascii="Palatino Linotype" w:eastAsia="Times New Roman" w:hAnsi="Palatino Linotype"/>
          <w:bCs/>
          <w:sz w:val="22"/>
          <w:szCs w:val="22"/>
          <w:lang w:val="en-US" w:eastAsia="en-GB"/>
        </w:rPr>
        <w:t xml:space="preserve"> (</w:t>
      </w:r>
      <w:r w:rsidRPr="00F44CEB">
        <w:rPr>
          <w:rFonts w:ascii="Palatino Linotype" w:eastAsia="Times New Roman" w:hAnsi="Palatino Linotype"/>
          <w:bCs/>
          <w:sz w:val="22"/>
          <w:szCs w:val="22"/>
          <w:lang w:val="en-US" w:eastAsia="en-GB"/>
        </w:rPr>
        <w:t>9,321,322</w:t>
      </w:r>
      <w:r w:rsidRPr="003121B9">
        <w:rPr>
          <w:rFonts w:ascii="Palatino Linotype" w:eastAsia="Times New Roman" w:hAnsi="Palatino Linotype"/>
          <w:bCs/>
          <w:sz w:val="22"/>
          <w:szCs w:val="22"/>
          <w:lang w:val="en-US" w:eastAsia="en-GB"/>
        </w:rPr>
        <w:t xml:space="preserve">). </w:t>
      </w:r>
    </w:p>
    <w:p w:rsidR="00A12A17" w:rsidRPr="00497662" w:rsidRDefault="00A12A17" w:rsidP="00A12A17">
      <w:pPr>
        <w:numPr>
          <w:ilvl w:val="0"/>
          <w:numId w:val="8"/>
        </w:numPr>
        <w:spacing w:line="276" w:lineRule="auto"/>
        <w:jc w:val="both"/>
        <w:rPr>
          <w:rFonts w:ascii="Palatino Linotype" w:eastAsia="Times New Roman" w:hAnsi="Palatino Linotype"/>
          <w:bCs/>
          <w:sz w:val="22"/>
          <w:szCs w:val="22"/>
          <w:lang w:val="en-US" w:eastAsia="en-GB"/>
        </w:rPr>
      </w:pPr>
      <w:r w:rsidRPr="00497662">
        <w:rPr>
          <w:rFonts w:ascii="Palatino Linotype" w:eastAsia="Times New Roman" w:hAnsi="Palatino Linotype"/>
          <w:bCs/>
          <w:sz w:val="22"/>
          <w:szCs w:val="22"/>
          <w:lang w:val="en-US" w:eastAsia="en-GB"/>
        </w:rPr>
        <w:t xml:space="preserve">The highest number of commodity futures contracts were traded at </w:t>
      </w:r>
      <w:r w:rsidRPr="00F44CEB">
        <w:rPr>
          <w:rFonts w:ascii="Palatino Linotype" w:eastAsia="Times New Roman" w:hAnsi="Palatino Linotype"/>
          <w:bCs/>
          <w:sz w:val="22"/>
          <w:szCs w:val="22"/>
          <w:lang w:val="en-US" w:eastAsia="en-GB"/>
        </w:rPr>
        <w:t>Zhengzhou Commodity Exchange</w:t>
      </w:r>
      <w:r w:rsidRPr="00497662">
        <w:rPr>
          <w:rFonts w:ascii="Palatino Linotype" w:eastAsia="Times New Roman" w:hAnsi="Palatino Linotype"/>
          <w:bCs/>
          <w:sz w:val="22"/>
          <w:szCs w:val="22"/>
          <w:lang w:val="en-US" w:eastAsia="en-GB"/>
        </w:rPr>
        <w:t xml:space="preserve"> (</w:t>
      </w:r>
      <w:r w:rsidRPr="00F44CEB">
        <w:rPr>
          <w:rFonts w:ascii="Palatino Linotype" w:eastAsia="Times New Roman" w:hAnsi="Palatino Linotype"/>
          <w:bCs/>
          <w:sz w:val="22"/>
          <w:szCs w:val="22"/>
          <w:lang w:val="en-US" w:eastAsia="en-GB"/>
        </w:rPr>
        <w:t>146,364,261</w:t>
      </w:r>
      <w:r w:rsidRPr="006522E0">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followed by </w:t>
      </w:r>
      <w:r w:rsidRPr="00F44CEB">
        <w:rPr>
          <w:rFonts w:ascii="Palatino Linotype" w:eastAsia="Times New Roman" w:hAnsi="Palatino Linotype"/>
          <w:bCs/>
          <w:sz w:val="22"/>
          <w:szCs w:val="22"/>
          <w:lang w:val="en-US" w:eastAsia="en-GB"/>
        </w:rPr>
        <w:t>Shanghai Futures Exchange</w:t>
      </w:r>
      <w:r w:rsidRPr="00497662">
        <w:rPr>
          <w:rFonts w:ascii="Palatino Linotype" w:eastAsia="Times New Roman" w:hAnsi="Palatino Linotype"/>
          <w:bCs/>
          <w:sz w:val="22"/>
          <w:szCs w:val="22"/>
          <w:lang w:val="en-US" w:eastAsia="en-GB"/>
        </w:rPr>
        <w:t xml:space="preserve"> (</w:t>
      </w:r>
      <w:r w:rsidRPr="00030217">
        <w:rPr>
          <w:rFonts w:ascii="Palatino Linotype" w:eastAsia="Times New Roman" w:hAnsi="Palatino Linotype"/>
          <w:bCs/>
          <w:sz w:val="22"/>
          <w:szCs w:val="22"/>
          <w:lang w:val="en-US" w:eastAsia="en-GB"/>
        </w:rPr>
        <w:t>146,286,009</w:t>
      </w:r>
      <w:r w:rsidRPr="006522E0">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in </w:t>
      </w:r>
      <w:r>
        <w:rPr>
          <w:rFonts w:ascii="Palatino Linotype" w:eastAsia="Times New Roman" w:hAnsi="Palatino Linotype"/>
          <w:bCs/>
          <w:sz w:val="22"/>
          <w:szCs w:val="22"/>
          <w:lang w:val="en-US" w:eastAsia="en-GB"/>
        </w:rPr>
        <w:t>February 2021</w:t>
      </w:r>
      <w:r w:rsidRPr="00497662">
        <w:rPr>
          <w:rFonts w:ascii="Palatino Linotype" w:eastAsia="Times New Roman" w:hAnsi="Palatino Linotype"/>
          <w:bCs/>
          <w:sz w:val="22"/>
          <w:szCs w:val="22"/>
          <w:lang w:val="en-US" w:eastAsia="en-GB"/>
        </w:rPr>
        <w:t>. Among the commodity options the highest number of contracts were traded at CME Group (</w:t>
      </w:r>
      <w:r w:rsidRPr="00030217">
        <w:rPr>
          <w:rFonts w:ascii="Palatino Linotype" w:eastAsia="Times New Roman" w:hAnsi="Palatino Linotype"/>
          <w:bCs/>
          <w:sz w:val="22"/>
          <w:szCs w:val="22"/>
          <w:lang w:val="en-US" w:eastAsia="en-GB"/>
        </w:rPr>
        <w:t>12,537,672</w:t>
      </w:r>
      <w:r w:rsidRPr="006522E0">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followed by Dalian Commodity Exchange (</w:t>
      </w:r>
      <w:r w:rsidRPr="00030217">
        <w:rPr>
          <w:rFonts w:ascii="Palatino Linotype" w:eastAsia="Times New Roman" w:hAnsi="Palatino Linotype"/>
          <w:bCs/>
          <w:sz w:val="22"/>
          <w:szCs w:val="22"/>
          <w:lang w:val="en-US" w:eastAsia="en-GB"/>
        </w:rPr>
        <w:t>4,927,944</w:t>
      </w:r>
      <w:r w:rsidRPr="006522E0">
        <w:rPr>
          <w:rFonts w:ascii="Palatino Linotype" w:eastAsia="Times New Roman" w:hAnsi="Palatino Linotype"/>
          <w:bCs/>
          <w:sz w:val="22"/>
          <w:szCs w:val="22"/>
          <w:lang w:val="en-US" w:eastAsia="en-GB"/>
        </w:rPr>
        <w:t>)</w:t>
      </w:r>
      <w:r w:rsidRPr="00497662">
        <w:rPr>
          <w:rFonts w:ascii="Palatino Linotype" w:eastAsia="Times New Roman" w:hAnsi="Palatino Linotype"/>
          <w:bCs/>
          <w:sz w:val="22"/>
          <w:szCs w:val="22"/>
          <w:lang w:val="en-US" w:eastAsia="en-GB"/>
        </w:rPr>
        <w:t xml:space="preserve"> during the same period.</w:t>
      </w:r>
    </w:p>
    <w:p w:rsidR="00A12A17" w:rsidRPr="00497662" w:rsidRDefault="00A12A17" w:rsidP="00A12A17">
      <w:pPr>
        <w:numPr>
          <w:ilvl w:val="0"/>
          <w:numId w:val="8"/>
        </w:numPr>
        <w:spacing w:line="276" w:lineRule="auto"/>
        <w:ind w:hanging="357"/>
        <w:contextualSpacing/>
        <w:jc w:val="both"/>
        <w:rPr>
          <w:rFonts w:ascii="Palatino Linotype" w:hAnsi="Palatino Linotype"/>
          <w:bCs/>
          <w:sz w:val="22"/>
          <w:szCs w:val="22"/>
          <w:lang w:val="en-US"/>
        </w:rPr>
      </w:pPr>
      <w:r w:rsidRPr="00497662">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February 2021</w:t>
      </w:r>
      <w:r w:rsidRPr="00497662">
        <w:rPr>
          <w:rFonts w:ascii="Palatino Linotype" w:eastAsia="Times New Roman" w:hAnsi="Palatino Linotype"/>
          <w:bCs/>
          <w:sz w:val="22"/>
          <w:szCs w:val="22"/>
          <w:lang w:val="en-US" w:eastAsia="en-GB"/>
        </w:rPr>
        <w:t>, most of the analysed</w:t>
      </w:r>
      <w:r w:rsidRPr="00497662">
        <w:rPr>
          <w:rFonts w:ascii="Palatino Linotype" w:eastAsia="Times New Roman" w:hAnsi="Palatino Linotype"/>
          <w:bCs/>
          <w:sz w:val="22"/>
          <w:szCs w:val="22"/>
          <w:vertAlign w:val="superscript"/>
          <w:lang w:val="en-US" w:eastAsia="en-GB"/>
        </w:rPr>
        <w:footnoteReference w:id="7"/>
      </w:r>
      <w:r w:rsidRPr="00497662">
        <w:rPr>
          <w:rFonts w:ascii="Palatino Linotype" w:eastAsia="Times New Roman" w:hAnsi="Palatino Linotype"/>
          <w:bCs/>
          <w:sz w:val="22"/>
          <w:szCs w:val="22"/>
          <w:lang w:val="en-US" w:eastAsia="en-GB"/>
        </w:rPr>
        <w:t xml:space="preserve"> currencies </w:t>
      </w:r>
      <w:r>
        <w:rPr>
          <w:rFonts w:ascii="Palatino Linotype" w:eastAsia="Times New Roman" w:hAnsi="Palatino Linotype"/>
          <w:bCs/>
          <w:sz w:val="22"/>
          <w:szCs w:val="22"/>
          <w:lang w:val="en-US" w:eastAsia="en-GB"/>
        </w:rPr>
        <w:t>depreciated</w:t>
      </w:r>
      <w:r w:rsidRPr="00497662">
        <w:rPr>
          <w:rFonts w:ascii="Palatino Linotype" w:eastAsia="Times New Roman" w:hAnsi="Palatino Linotype"/>
          <w:bCs/>
          <w:sz w:val="22"/>
          <w:szCs w:val="22"/>
          <w:lang w:val="en-US" w:eastAsia="en-GB"/>
        </w:rPr>
        <w:t xml:space="preserve"> against dollar. </w:t>
      </w:r>
      <w:r>
        <w:rPr>
          <w:rFonts w:ascii="Palatino Linotype" w:eastAsia="Times New Roman" w:hAnsi="Palatino Linotype"/>
          <w:bCs/>
          <w:sz w:val="22"/>
          <w:szCs w:val="22"/>
          <w:lang w:val="en-US" w:eastAsia="en-GB"/>
        </w:rPr>
        <w:t>Yen</w:t>
      </w:r>
      <w:r w:rsidRPr="00497662">
        <w:rPr>
          <w:rFonts w:ascii="Palatino Linotype" w:eastAsia="Times New Roman" w:hAnsi="Palatino Linotype"/>
          <w:bCs/>
          <w:sz w:val="22"/>
          <w:szCs w:val="22"/>
          <w:lang w:val="en-US" w:eastAsia="en-GB"/>
        </w:rPr>
        <w:t xml:space="preserve"> and </w:t>
      </w:r>
      <w:r>
        <w:rPr>
          <w:rFonts w:ascii="Palatino Linotype" w:eastAsia="Times New Roman" w:hAnsi="Palatino Linotype"/>
          <w:bCs/>
          <w:sz w:val="22"/>
          <w:szCs w:val="22"/>
          <w:lang w:val="en-US" w:eastAsia="en-GB"/>
        </w:rPr>
        <w:t>Swiss Franc</w:t>
      </w:r>
      <w:r w:rsidRPr="00497662">
        <w:rPr>
          <w:rFonts w:ascii="Palatino Linotype" w:eastAsia="Times New Roman" w:hAnsi="Palatino Linotype"/>
          <w:bCs/>
          <w:sz w:val="22"/>
          <w:szCs w:val="22"/>
          <w:lang w:val="en-US" w:eastAsia="en-GB"/>
        </w:rPr>
        <w:t xml:space="preserve"> were most </w:t>
      </w:r>
      <w:r>
        <w:rPr>
          <w:rFonts w:ascii="Palatino Linotype" w:eastAsia="Times New Roman" w:hAnsi="Palatino Linotype"/>
          <w:bCs/>
          <w:sz w:val="22"/>
          <w:szCs w:val="22"/>
          <w:lang w:val="en-US" w:eastAsia="en-GB"/>
        </w:rPr>
        <w:t>depreciating</w:t>
      </w:r>
      <w:r w:rsidRPr="00497662">
        <w:rPr>
          <w:rFonts w:ascii="Palatino Linotype" w:eastAsia="Times New Roman" w:hAnsi="Palatino Linotype"/>
          <w:bCs/>
          <w:sz w:val="22"/>
          <w:szCs w:val="22"/>
          <w:lang w:val="en-US" w:eastAsia="en-GB"/>
        </w:rPr>
        <w:t xml:space="preserve"> currencies against dollar among the analysed currencies.</w:t>
      </w:r>
    </w:p>
    <w:p w:rsidR="00A12A17" w:rsidRPr="0024165F" w:rsidRDefault="00A12A17" w:rsidP="00A12A17">
      <w:pPr>
        <w:spacing w:line="276" w:lineRule="auto"/>
        <w:outlineLvl w:val="0"/>
        <w:rPr>
          <w:rFonts w:ascii="Palatino Linotype" w:eastAsia="Times New Roman" w:hAnsi="Palatino Linotype"/>
          <w:b/>
          <w:sz w:val="22"/>
          <w:szCs w:val="22"/>
          <w:u w:val="single"/>
        </w:rPr>
      </w:pPr>
    </w:p>
    <w:p w:rsidR="00A12A17" w:rsidRPr="0024165F" w:rsidRDefault="00A12A17" w:rsidP="00A12A17">
      <w:pPr>
        <w:spacing w:line="276" w:lineRule="auto"/>
        <w:outlineLvl w:val="0"/>
        <w:rPr>
          <w:rFonts w:ascii="Palatino Linotype" w:eastAsia="Times New Roman" w:hAnsi="Palatino Linotype"/>
          <w:b/>
          <w:sz w:val="22"/>
          <w:szCs w:val="22"/>
          <w:lang w:eastAsia="en-GB"/>
        </w:rPr>
      </w:pPr>
      <w:r w:rsidRPr="0024165F">
        <w:rPr>
          <w:rFonts w:ascii="Palatino Linotype" w:eastAsia="Times New Roman" w:hAnsi="Palatino Linotype"/>
          <w:b/>
          <w:sz w:val="22"/>
          <w:szCs w:val="22"/>
          <w:u w:val="single"/>
        </w:rPr>
        <w:t xml:space="preserve">US Treasury Securities </w:t>
      </w:r>
      <w:r w:rsidRPr="0024165F">
        <w:rPr>
          <w:rFonts w:ascii="Palatino Linotype" w:eastAsia="Times New Roman" w:hAnsi="Palatino Linotype"/>
          <w:b/>
          <w:sz w:val="22"/>
          <w:szCs w:val="22"/>
          <w:lang w:eastAsia="en-GB"/>
        </w:rPr>
        <w:t>(Table A9)</w:t>
      </w:r>
    </w:p>
    <w:p w:rsidR="00A12A17" w:rsidRPr="0024165F" w:rsidRDefault="00A12A17" w:rsidP="00A12A17">
      <w:pPr>
        <w:spacing w:line="276" w:lineRule="auto"/>
        <w:outlineLvl w:val="0"/>
        <w:rPr>
          <w:rFonts w:ascii="Palatino Linotype" w:hAnsi="Palatino Linotype"/>
          <w:bCs/>
          <w:sz w:val="22"/>
          <w:szCs w:val="22"/>
        </w:rPr>
      </w:pPr>
    </w:p>
    <w:p w:rsidR="00A12A17" w:rsidRPr="0024165F" w:rsidRDefault="00A12A17" w:rsidP="00A12A17">
      <w:pPr>
        <w:numPr>
          <w:ilvl w:val="0"/>
          <w:numId w:val="8"/>
        </w:numPr>
        <w:spacing w:line="276" w:lineRule="auto"/>
        <w:contextualSpacing/>
        <w:jc w:val="both"/>
        <w:rPr>
          <w:rFonts w:ascii="Palatino Linotype" w:hAnsi="Palatino Linotype"/>
          <w:bCs/>
          <w:sz w:val="22"/>
          <w:szCs w:val="22"/>
          <w:lang w:val="en-US"/>
        </w:rPr>
      </w:pPr>
      <w:r w:rsidRPr="0024165F">
        <w:rPr>
          <w:rFonts w:ascii="Palatino Linotype" w:eastAsia="Times New Roman" w:hAnsi="Palatino Linotype"/>
          <w:bCs/>
          <w:sz w:val="22"/>
          <w:szCs w:val="22"/>
          <w:lang w:val="en-US" w:eastAsia="en-GB"/>
        </w:rPr>
        <w:t xml:space="preserve">At the end of </w:t>
      </w:r>
      <w:r>
        <w:rPr>
          <w:rFonts w:ascii="Palatino Linotype" w:eastAsia="Times New Roman" w:hAnsi="Palatino Linotype"/>
          <w:bCs/>
          <w:sz w:val="22"/>
          <w:szCs w:val="22"/>
          <w:lang w:val="en-US" w:eastAsia="en-GB"/>
        </w:rPr>
        <w:t>February</w:t>
      </w:r>
      <w:r w:rsidRPr="0024165F">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24165F">
        <w:rPr>
          <w:rFonts w:ascii="Palatino Linotype" w:eastAsia="Times New Roman" w:hAnsi="Palatino Linotype"/>
          <w:bCs/>
          <w:sz w:val="22"/>
          <w:szCs w:val="22"/>
          <w:lang w:val="en-US" w:eastAsia="en-GB"/>
        </w:rPr>
        <w:t xml:space="preserve">, Japan was the biggest foreign holder of US Treasury Securities </w:t>
      </w:r>
      <w:r>
        <w:rPr>
          <w:rFonts w:ascii="Palatino Linotype" w:eastAsia="Times New Roman" w:hAnsi="Palatino Linotype"/>
          <w:bCs/>
          <w:sz w:val="22"/>
          <w:szCs w:val="22"/>
          <w:lang w:val="en-US" w:eastAsia="en-GB"/>
        </w:rPr>
        <w:t>holding</w:t>
      </w:r>
      <w:r w:rsidRPr="0024165F">
        <w:rPr>
          <w:rFonts w:ascii="Palatino Linotype" w:eastAsia="Times New Roman" w:hAnsi="Palatino Linotype"/>
          <w:bCs/>
          <w:sz w:val="22"/>
          <w:szCs w:val="22"/>
          <w:lang w:val="en-US" w:eastAsia="en-GB"/>
        </w:rPr>
        <w:t xml:space="preserve"> 17.</w:t>
      </w:r>
      <w:r>
        <w:rPr>
          <w:rFonts w:ascii="Palatino Linotype" w:eastAsia="Times New Roman" w:hAnsi="Palatino Linotype"/>
          <w:bCs/>
          <w:sz w:val="22"/>
          <w:szCs w:val="22"/>
          <w:lang w:val="en-US" w:eastAsia="en-GB"/>
        </w:rPr>
        <w:t>7</w:t>
      </w:r>
      <w:r w:rsidRPr="0024165F">
        <w:rPr>
          <w:rFonts w:ascii="Palatino Linotype" w:eastAsia="Times New Roman" w:hAnsi="Palatino Linotype"/>
          <w:bCs/>
          <w:sz w:val="22"/>
          <w:szCs w:val="22"/>
          <w:lang w:val="en-US" w:eastAsia="en-GB"/>
        </w:rPr>
        <w:t xml:space="preserve"> per cent </w:t>
      </w:r>
      <w:r>
        <w:rPr>
          <w:rFonts w:ascii="Palatino Linotype" w:eastAsia="Times New Roman" w:hAnsi="Palatino Linotype"/>
          <w:bCs/>
          <w:sz w:val="22"/>
          <w:szCs w:val="22"/>
          <w:lang w:val="en-US" w:eastAsia="en-GB"/>
        </w:rPr>
        <w:t xml:space="preserve">of the total US treasury Securities </w:t>
      </w:r>
      <w:r w:rsidRPr="0024165F">
        <w:rPr>
          <w:rFonts w:ascii="Palatino Linotype" w:eastAsia="Times New Roman" w:hAnsi="Palatino Linotype"/>
          <w:bCs/>
          <w:sz w:val="22"/>
          <w:szCs w:val="22"/>
          <w:lang w:val="en-US" w:eastAsia="en-GB"/>
        </w:rPr>
        <w:t>followed by China with 15.</w:t>
      </w:r>
      <w:r>
        <w:rPr>
          <w:rFonts w:ascii="Palatino Linotype" w:eastAsia="Times New Roman" w:hAnsi="Palatino Linotype"/>
          <w:bCs/>
          <w:sz w:val="22"/>
          <w:szCs w:val="22"/>
          <w:lang w:val="en-US" w:eastAsia="en-GB"/>
        </w:rPr>
        <w:t>6</w:t>
      </w:r>
      <w:r w:rsidRPr="0024165F">
        <w:rPr>
          <w:rFonts w:ascii="Palatino Linotype" w:eastAsia="Times New Roman" w:hAnsi="Palatino Linotype"/>
          <w:bCs/>
          <w:sz w:val="22"/>
          <w:szCs w:val="22"/>
          <w:lang w:val="en-US" w:eastAsia="en-GB"/>
        </w:rPr>
        <w:t xml:space="preserve"> per cent. The total foreign holding of US Treasury Securities at the end of </w:t>
      </w:r>
      <w:r>
        <w:rPr>
          <w:rFonts w:ascii="Palatino Linotype" w:eastAsia="Times New Roman" w:hAnsi="Palatino Linotype"/>
          <w:bCs/>
          <w:sz w:val="22"/>
          <w:szCs w:val="22"/>
          <w:lang w:val="en-US" w:eastAsia="en-GB"/>
        </w:rPr>
        <w:t>February</w:t>
      </w:r>
      <w:r w:rsidRPr="0024165F">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24165F">
        <w:rPr>
          <w:rFonts w:ascii="Palatino Linotype" w:eastAsia="Times New Roman" w:hAnsi="Palatino Linotype"/>
          <w:bCs/>
          <w:sz w:val="22"/>
          <w:szCs w:val="22"/>
          <w:lang w:val="en-US" w:eastAsia="en-GB"/>
        </w:rPr>
        <w:t xml:space="preserve"> was USD </w:t>
      </w:r>
      <w:r>
        <w:rPr>
          <w:rFonts w:ascii="Palatino Linotype" w:eastAsia="Times New Roman" w:hAnsi="Palatino Linotype"/>
          <w:bCs/>
          <w:sz w:val="22"/>
          <w:szCs w:val="22"/>
          <w:lang w:val="en-US" w:eastAsia="en-GB"/>
        </w:rPr>
        <w:t>7,099</w:t>
      </w:r>
      <w:r w:rsidRPr="0024165F">
        <w:rPr>
          <w:rFonts w:ascii="Palatino Linotype" w:eastAsia="Times New Roman" w:hAnsi="Palatino Linotype"/>
          <w:bCs/>
          <w:sz w:val="22"/>
          <w:szCs w:val="22"/>
          <w:lang w:val="en-US" w:eastAsia="en-GB"/>
        </w:rPr>
        <w:t xml:space="preserve"> billion. The holdings of US Treasury Securities by India reduced to 3.0 from </w:t>
      </w:r>
      <w:r>
        <w:rPr>
          <w:rFonts w:ascii="Palatino Linotype" w:eastAsia="Times New Roman" w:hAnsi="Palatino Linotype"/>
          <w:bCs/>
          <w:sz w:val="22"/>
          <w:szCs w:val="22"/>
          <w:lang w:val="en-US" w:eastAsia="en-GB"/>
        </w:rPr>
        <w:t>2.9</w:t>
      </w:r>
      <w:r w:rsidRPr="0024165F">
        <w:rPr>
          <w:rFonts w:ascii="Palatino Linotype" w:eastAsia="Times New Roman" w:hAnsi="Palatino Linotype"/>
          <w:bCs/>
          <w:sz w:val="22"/>
          <w:szCs w:val="22"/>
          <w:lang w:val="en-US" w:eastAsia="en-GB"/>
        </w:rPr>
        <w:t xml:space="preserve"> per cent at the end of </w:t>
      </w:r>
      <w:r>
        <w:rPr>
          <w:rFonts w:ascii="Palatino Linotype" w:eastAsia="Times New Roman" w:hAnsi="Palatino Linotype"/>
          <w:bCs/>
          <w:sz w:val="22"/>
          <w:szCs w:val="22"/>
          <w:lang w:val="en-US" w:eastAsia="en-GB"/>
        </w:rPr>
        <w:t>February</w:t>
      </w:r>
      <w:r w:rsidRPr="0024165F">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24165F">
        <w:rPr>
          <w:rFonts w:ascii="Palatino Linotype" w:eastAsia="Times New Roman" w:hAnsi="Palatino Linotype"/>
          <w:bCs/>
          <w:sz w:val="22"/>
          <w:szCs w:val="22"/>
          <w:lang w:val="en-US" w:eastAsia="en-GB"/>
        </w:rPr>
        <w:t xml:space="preserve"> against a month earlier.</w:t>
      </w:r>
    </w:p>
    <w:p w:rsidR="00A12A17" w:rsidRPr="0024165F" w:rsidRDefault="00A12A17" w:rsidP="00A12A17">
      <w:pPr>
        <w:rPr>
          <w:rFonts w:ascii="Garamond" w:hAnsi="Garamond"/>
          <w:b/>
          <w:bCs/>
          <w:szCs w:val="22"/>
        </w:rPr>
      </w:pPr>
    </w:p>
    <w:p w:rsidR="00A12A17" w:rsidRPr="0024165F" w:rsidRDefault="00A12A17" w:rsidP="00A12A17">
      <w:pPr>
        <w:rPr>
          <w:rFonts w:ascii="Garamond" w:hAnsi="Garamond"/>
          <w:b/>
          <w:bCs/>
          <w:szCs w:val="22"/>
        </w:rPr>
      </w:pPr>
    </w:p>
    <w:p w:rsidR="00A12A17" w:rsidRDefault="00A12A17" w:rsidP="00A12A17">
      <w:pPr>
        <w:rPr>
          <w:rFonts w:ascii="Garamond" w:hAnsi="Garamond"/>
          <w:b/>
          <w:bCs/>
          <w:szCs w:val="22"/>
        </w:rPr>
      </w:pPr>
      <w:r>
        <w:rPr>
          <w:rFonts w:ascii="Garamond" w:hAnsi="Garamond"/>
          <w:b/>
          <w:bCs/>
          <w:szCs w:val="22"/>
        </w:rPr>
        <w:br w:type="page"/>
      </w:r>
    </w:p>
    <w:p w:rsidR="00A12A17" w:rsidRPr="002A058E" w:rsidRDefault="00A12A17" w:rsidP="00A12A17">
      <w:pPr>
        <w:rPr>
          <w:rFonts w:ascii="Garamond" w:hAnsi="Garamond"/>
          <w:bCs/>
          <w:szCs w:val="22"/>
        </w:rPr>
      </w:pPr>
      <w:r w:rsidRPr="002A058E">
        <w:rPr>
          <w:rFonts w:ascii="Garamond" w:hAnsi="Garamond"/>
          <w:b/>
          <w:bCs/>
          <w:szCs w:val="22"/>
        </w:rPr>
        <w:t>Figure 5: Movement of the Major Currencies against USD</w:t>
      </w:r>
    </w:p>
    <w:p w:rsidR="00A12A17" w:rsidRPr="002A058E" w:rsidRDefault="00A12A17" w:rsidP="00A12A17">
      <w:pPr>
        <w:spacing w:line="23" w:lineRule="atLeast"/>
        <w:jc w:val="both"/>
        <w:rPr>
          <w:rFonts w:ascii="Garamond" w:hAnsi="Garamond"/>
          <w:bCs/>
          <w:sz w:val="18"/>
          <w:szCs w:val="18"/>
        </w:rPr>
      </w:pPr>
      <w:r w:rsidRPr="00797A8B">
        <w:rPr>
          <w:rFonts w:ascii="Garamond" w:hAnsi="Garamond"/>
          <w:bCs/>
          <w:noProof/>
          <w:sz w:val="18"/>
          <w:szCs w:val="18"/>
          <w:lang w:val="en-IN" w:eastAsia="en-IN" w:bidi="hi-IN"/>
        </w:rPr>
        <w:drawing>
          <wp:inline distT="0" distB="0" distL="0" distR="0">
            <wp:extent cx="59055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05500" cy="3429000"/>
                    </a:xfrm>
                    <a:prstGeom prst="rect">
                      <a:avLst/>
                    </a:prstGeom>
                    <a:noFill/>
                    <a:ln>
                      <a:noFill/>
                    </a:ln>
                  </pic:spPr>
                </pic:pic>
              </a:graphicData>
            </a:graphic>
          </wp:inline>
        </w:drawing>
      </w:r>
    </w:p>
    <w:p w:rsidR="00A12A17" w:rsidRPr="002A058E" w:rsidRDefault="00A12A17" w:rsidP="00A12A17">
      <w:pPr>
        <w:spacing w:line="23" w:lineRule="atLeast"/>
        <w:jc w:val="both"/>
        <w:rPr>
          <w:rFonts w:ascii="Garamond" w:hAnsi="Garamond"/>
          <w:bCs/>
          <w:sz w:val="18"/>
          <w:szCs w:val="18"/>
        </w:rPr>
      </w:pPr>
      <w:r w:rsidRPr="002A058E">
        <w:rPr>
          <w:rFonts w:ascii="Garamond" w:hAnsi="Garamond"/>
          <w:bCs/>
          <w:sz w:val="18"/>
          <w:szCs w:val="18"/>
        </w:rPr>
        <w:t xml:space="preserve">Note: All indices have been </w:t>
      </w:r>
      <w:r>
        <w:rPr>
          <w:rFonts w:ascii="Garamond" w:hAnsi="Garamond"/>
          <w:bCs/>
          <w:sz w:val="18"/>
          <w:szCs w:val="18"/>
        </w:rPr>
        <w:t>normalised to 100 on 31 March 2020</w:t>
      </w:r>
      <w:r w:rsidRPr="002A058E">
        <w:rPr>
          <w:rFonts w:ascii="Garamond" w:hAnsi="Garamond"/>
          <w:bCs/>
          <w:sz w:val="18"/>
          <w:szCs w:val="18"/>
        </w:rPr>
        <w:t>.</w:t>
      </w:r>
    </w:p>
    <w:p w:rsidR="00A12A17" w:rsidRPr="002A058E" w:rsidRDefault="00A12A17" w:rsidP="00A12A17">
      <w:pPr>
        <w:spacing w:line="23" w:lineRule="atLeast"/>
        <w:outlineLvl w:val="0"/>
        <w:rPr>
          <w:rFonts w:ascii="Garamond" w:hAnsi="Garamond"/>
          <w:bCs/>
          <w:sz w:val="18"/>
          <w:szCs w:val="18"/>
        </w:rPr>
      </w:pPr>
      <w:r w:rsidRPr="002A058E">
        <w:rPr>
          <w:rFonts w:ascii="Garamond" w:hAnsi="Garamond"/>
          <w:bCs/>
          <w:sz w:val="18"/>
          <w:szCs w:val="18"/>
        </w:rPr>
        <w:t>Source: Refinitiv</w:t>
      </w:r>
    </w:p>
    <w:p w:rsidR="00A12A17" w:rsidRPr="002A058E" w:rsidRDefault="00A12A17" w:rsidP="00A12A17">
      <w:pPr>
        <w:rPr>
          <w:rFonts w:ascii="Garamond" w:hAnsi="Garamond"/>
          <w:b/>
          <w:bCs/>
          <w:szCs w:val="22"/>
        </w:rPr>
      </w:pPr>
    </w:p>
    <w:p w:rsidR="00A12A17" w:rsidRPr="002A058E" w:rsidRDefault="00A12A17" w:rsidP="00A12A17">
      <w:pPr>
        <w:rPr>
          <w:rFonts w:ascii="Garamond" w:hAnsi="Garamond"/>
          <w:b/>
          <w:bCs/>
          <w:szCs w:val="22"/>
        </w:rPr>
      </w:pPr>
    </w:p>
    <w:p w:rsidR="00A12A17" w:rsidRPr="002A058E" w:rsidRDefault="00A12A17" w:rsidP="00A12A17">
      <w:pPr>
        <w:rPr>
          <w:rFonts w:ascii="Garamond" w:hAnsi="Garamond"/>
          <w:b/>
          <w:bCs/>
          <w:szCs w:val="22"/>
        </w:rPr>
      </w:pPr>
    </w:p>
    <w:p w:rsidR="00A12A17" w:rsidRPr="002A058E" w:rsidRDefault="00A12A17" w:rsidP="00A12A17">
      <w:pPr>
        <w:rPr>
          <w:rFonts w:ascii="Garamond" w:hAnsi="Garamond"/>
          <w:b/>
          <w:bCs/>
          <w:szCs w:val="22"/>
        </w:rPr>
      </w:pPr>
    </w:p>
    <w:p w:rsidR="00A12A17" w:rsidRPr="002A058E" w:rsidRDefault="00A12A17" w:rsidP="00A12A17">
      <w:pPr>
        <w:rPr>
          <w:rFonts w:ascii="Garamond" w:hAnsi="Garamond"/>
          <w:b/>
          <w:bCs/>
          <w:szCs w:val="22"/>
        </w:rPr>
      </w:pPr>
      <w:r>
        <w:rPr>
          <w:rFonts w:ascii="Garamond" w:hAnsi="Garamond"/>
          <w:b/>
          <w:bCs/>
          <w:szCs w:val="22"/>
        </w:rPr>
        <w:br w:type="page"/>
      </w:r>
      <w:r w:rsidRPr="002A058E">
        <w:rPr>
          <w:rFonts w:ascii="Garamond" w:hAnsi="Garamond"/>
          <w:b/>
          <w:bCs/>
          <w:szCs w:val="22"/>
        </w:rPr>
        <w:t>Figure 6: Movement of the US Dollar Index and MSCI EM Currency Index</w:t>
      </w:r>
    </w:p>
    <w:p w:rsidR="00A12A17" w:rsidRPr="002A058E" w:rsidRDefault="00A12A17" w:rsidP="00A12A17">
      <w:pPr>
        <w:spacing w:line="23" w:lineRule="atLeast"/>
        <w:outlineLvl w:val="0"/>
        <w:rPr>
          <w:rFonts w:ascii="Garamond" w:hAnsi="Garamond"/>
          <w:bCs/>
          <w:sz w:val="22"/>
          <w:szCs w:val="22"/>
        </w:rPr>
      </w:pPr>
    </w:p>
    <w:p w:rsidR="00A12A17" w:rsidRPr="002A058E" w:rsidRDefault="00A12A17" w:rsidP="00A12A17">
      <w:pPr>
        <w:spacing w:line="23" w:lineRule="atLeast"/>
        <w:outlineLvl w:val="0"/>
        <w:rPr>
          <w:rFonts w:ascii="Garamond" w:hAnsi="Garamond"/>
          <w:bCs/>
          <w:sz w:val="22"/>
          <w:szCs w:val="22"/>
        </w:rPr>
      </w:pPr>
      <w:r w:rsidRPr="00797A8B">
        <w:rPr>
          <w:rFonts w:ascii="Garamond" w:hAnsi="Garamond"/>
          <w:bCs/>
          <w:noProof/>
          <w:sz w:val="22"/>
          <w:szCs w:val="22"/>
          <w:lang w:val="en-IN" w:eastAsia="en-IN" w:bidi="hi-IN"/>
        </w:rPr>
        <w:drawing>
          <wp:inline distT="0" distB="0" distL="0" distR="0">
            <wp:extent cx="6200775" cy="3124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00775" cy="3124200"/>
                    </a:xfrm>
                    <a:prstGeom prst="rect">
                      <a:avLst/>
                    </a:prstGeom>
                    <a:noFill/>
                    <a:ln>
                      <a:noFill/>
                    </a:ln>
                  </pic:spPr>
                </pic:pic>
              </a:graphicData>
            </a:graphic>
          </wp:inline>
        </w:drawing>
      </w:r>
    </w:p>
    <w:p w:rsidR="00A12A17" w:rsidRPr="002A058E" w:rsidRDefault="00A12A17" w:rsidP="00A12A17">
      <w:pPr>
        <w:tabs>
          <w:tab w:val="left" w:pos="3760"/>
        </w:tabs>
        <w:spacing w:line="23" w:lineRule="atLeast"/>
        <w:rPr>
          <w:rFonts w:ascii="Garamond" w:hAnsi="Garamond"/>
          <w:bCs/>
          <w:sz w:val="18"/>
          <w:szCs w:val="18"/>
        </w:rPr>
      </w:pPr>
      <w:r w:rsidRPr="002A058E">
        <w:rPr>
          <w:rFonts w:ascii="Garamond" w:hAnsi="Garamond"/>
          <w:bCs/>
          <w:sz w:val="18"/>
          <w:szCs w:val="18"/>
        </w:rPr>
        <w:t>Note:</w:t>
      </w:r>
    </w:p>
    <w:p w:rsidR="00A12A17" w:rsidRPr="002A058E" w:rsidRDefault="00A12A17" w:rsidP="00A12A17">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 xml:space="preserve">All indices have been </w:t>
      </w:r>
      <w:r>
        <w:rPr>
          <w:rFonts w:ascii="Garamond" w:eastAsia="Times New Roman" w:hAnsi="Garamond"/>
          <w:bCs/>
          <w:sz w:val="18"/>
          <w:szCs w:val="18"/>
        </w:rPr>
        <w:t>normalised to 100 on 31 March 2020</w:t>
      </w:r>
      <w:r w:rsidRPr="002A058E">
        <w:rPr>
          <w:rFonts w:ascii="Garamond" w:eastAsia="Times New Roman" w:hAnsi="Garamond"/>
          <w:bCs/>
          <w:sz w:val="18"/>
          <w:szCs w:val="18"/>
        </w:rPr>
        <w:t>.</w:t>
      </w:r>
    </w:p>
    <w:p w:rsidR="00A12A17" w:rsidRPr="002A058E" w:rsidRDefault="00A12A17" w:rsidP="00A12A17">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A12A17" w:rsidRPr="002A058E" w:rsidRDefault="00A12A17" w:rsidP="00A12A17">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MSCI Emerging Markets (EM) Currency Index tracks the performance of twenty-five emerging-market currencies relative to the US Dollar.</w:t>
      </w:r>
    </w:p>
    <w:p w:rsidR="00A12A17" w:rsidRPr="002A058E" w:rsidRDefault="00A12A17" w:rsidP="00A12A17">
      <w:pPr>
        <w:spacing w:line="23" w:lineRule="atLeast"/>
        <w:outlineLvl w:val="0"/>
        <w:rPr>
          <w:rFonts w:ascii="Garamond" w:hAnsi="Garamond"/>
          <w:bCs/>
          <w:sz w:val="18"/>
          <w:szCs w:val="18"/>
        </w:rPr>
      </w:pPr>
      <w:r w:rsidRPr="002A058E">
        <w:rPr>
          <w:rFonts w:ascii="Garamond" w:hAnsi="Garamond"/>
          <w:bCs/>
          <w:sz w:val="18"/>
          <w:szCs w:val="18"/>
        </w:rPr>
        <w:t>Source: Refinitiv</w:t>
      </w:r>
    </w:p>
    <w:p w:rsidR="00A12A17" w:rsidRPr="002A058E" w:rsidRDefault="00A12A17" w:rsidP="00A12A17">
      <w:pPr>
        <w:spacing w:after="240" w:line="23" w:lineRule="atLeast"/>
        <w:jc w:val="both"/>
        <w:rPr>
          <w:rFonts w:ascii="Garamond" w:eastAsia="Times New Roman" w:hAnsi="Garamond"/>
          <w:bCs/>
          <w:sz w:val="18"/>
          <w:szCs w:val="18"/>
          <w:lang w:eastAsia="en-GB"/>
        </w:rPr>
      </w:pPr>
    </w:p>
    <w:p w:rsidR="00A12A17" w:rsidRPr="002A058E" w:rsidRDefault="00A12A17" w:rsidP="00A12A17">
      <w:pPr>
        <w:spacing w:after="240" w:line="23" w:lineRule="atLeast"/>
        <w:jc w:val="both"/>
        <w:rPr>
          <w:rFonts w:ascii="Garamond" w:eastAsia="Times New Roman" w:hAnsi="Garamond"/>
          <w:bCs/>
          <w:sz w:val="18"/>
          <w:szCs w:val="18"/>
          <w:lang w:eastAsia="en-GB"/>
        </w:rPr>
      </w:pPr>
    </w:p>
    <w:p w:rsidR="00A12A17" w:rsidRPr="002A058E" w:rsidRDefault="00A12A17" w:rsidP="00A12A17">
      <w:pPr>
        <w:rPr>
          <w:rFonts w:ascii="Garamond" w:hAnsi="Garamond"/>
          <w:b/>
          <w:bCs/>
          <w:szCs w:val="22"/>
        </w:rPr>
      </w:pPr>
    </w:p>
    <w:p w:rsidR="00A12A17" w:rsidRPr="00073FE2" w:rsidRDefault="00A12A17" w:rsidP="00A12A17">
      <w:pPr>
        <w:rPr>
          <w:rFonts w:ascii="Garamond" w:hAnsi="Garamond"/>
          <w:b/>
          <w:bCs/>
          <w:strike/>
          <w:szCs w:val="22"/>
        </w:rPr>
        <w:sectPr w:rsidR="00A12A17" w:rsidRPr="00073FE2" w:rsidSect="00332F86">
          <w:headerReference w:type="even" r:id="rId42"/>
          <w:headerReference w:type="default" r:id="rId43"/>
          <w:footerReference w:type="even" r:id="rId44"/>
          <w:footerReference w:type="default" r:id="rId45"/>
          <w:pgSz w:w="11906" w:h="16838" w:code="9"/>
          <w:pgMar w:top="578" w:right="1009" w:bottom="578" w:left="1009" w:header="431" w:footer="431" w:gutter="0"/>
          <w:cols w:space="720"/>
          <w:docGrid w:linePitch="360"/>
        </w:sectPr>
      </w:pPr>
    </w:p>
    <w:p w:rsidR="00A12A17" w:rsidRPr="001972CA" w:rsidRDefault="00A12A17" w:rsidP="00A12A17">
      <w:pPr>
        <w:rPr>
          <w:rFonts w:ascii="Garamond" w:hAnsi="Garamond"/>
          <w:b/>
          <w:bCs/>
          <w:szCs w:val="22"/>
        </w:rPr>
      </w:pPr>
      <w:r w:rsidRPr="001972CA">
        <w:rPr>
          <w:rFonts w:ascii="Garamond" w:hAnsi="Garamond"/>
          <w:b/>
          <w:bCs/>
          <w:szCs w:val="22"/>
        </w:rPr>
        <w:t>Table A1: Performance of Stock Indices</w:t>
      </w:r>
    </w:p>
    <w:tbl>
      <w:tblPr>
        <w:tblW w:w="14015" w:type="dxa"/>
        <w:tblLook w:val="04A0" w:firstRow="1" w:lastRow="0" w:firstColumn="1" w:lastColumn="0" w:noHBand="0" w:noVBand="1"/>
      </w:tblPr>
      <w:tblGrid>
        <w:gridCol w:w="1226"/>
        <w:gridCol w:w="3154"/>
        <w:gridCol w:w="2199"/>
        <w:gridCol w:w="1227"/>
        <w:gridCol w:w="1227"/>
        <w:gridCol w:w="1125"/>
        <w:gridCol w:w="1125"/>
        <w:gridCol w:w="1793"/>
        <w:gridCol w:w="939"/>
      </w:tblGrid>
      <w:tr w:rsidR="00A12A17" w:rsidRPr="00797A8B" w:rsidTr="00A91C39">
        <w:trPr>
          <w:trHeight w:val="243"/>
        </w:trPr>
        <w:tc>
          <w:tcPr>
            <w:tcW w:w="1226"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Country</w:t>
            </w:r>
          </w:p>
        </w:tc>
        <w:tc>
          <w:tcPr>
            <w:tcW w:w="3154"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Name of the Index</w:t>
            </w:r>
          </w:p>
        </w:tc>
        <w:tc>
          <w:tcPr>
            <w:tcW w:w="2199" w:type="dxa"/>
            <w:tcBorders>
              <w:top w:val="single" w:sz="8" w:space="0" w:color="auto"/>
              <w:left w:val="nil"/>
              <w:bottom w:val="nil"/>
              <w:right w:val="single" w:sz="8" w:space="0" w:color="auto"/>
            </w:tcBorders>
            <w:shd w:val="clear" w:color="000000" w:fill="B4C6E7"/>
            <w:noWrap/>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Closing Value as on</w:t>
            </w:r>
          </w:p>
        </w:tc>
        <w:tc>
          <w:tcPr>
            <w:tcW w:w="4704" w:type="dxa"/>
            <w:gridSpan w:val="4"/>
            <w:tcBorders>
              <w:top w:val="single" w:sz="8" w:space="0" w:color="auto"/>
              <w:left w:val="nil"/>
              <w:bottom w:val="single" w:sz="8" w:space="0" w:color="auto"/>
              <w:right w:val="single" w:sz="8" w:space="0" w:color="000000"/>
            </w:tcBorders>
            <w:shd w:val="clear" w:color="000000" w:fill="B4C6E7"/>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Closing Value before</w:t>
            </w:r>
          </w:p>
        </w:tc>
        <w:tc>
          <w:tcPr>
            <w:tcW w:w="1793"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Monthly Volatility (Annualised)</w:t>
            </w:r>
          </w:p>
        </w:tc>
        <w:tc>
          <w:tcPr>
            <w:tcW w:w="939"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P/E Ratio</w:t>
            </w:r>
          </w:p>
        </w:tc>
      </w:tr>
      <w:tr w:rsidR="00A12A17" w:rsidRPr="00797A8B" w:rsidTr="00A91C39">
        <w:trPr>
          <w:trHeight w:val="243"/>
        </w:trPr>
        <w:tc>
          <w:tcPr>
            <w:tcW w:w="1226" w:type="dxa"/>
            <w:vMerge/>
            <w:tcBorders>
              <w:top w:val="single" w:sz="8" w:space="0" w:color="auto"/>
              <w:left w:val="single" w:sz="8" w:space="0" w:color="auto"/>
              <w:bottom w:val="single" w:sz="8" w:space="0" w:color="000000"/>
              <w:right w:val="single" w:sz="8" w:space="0" w:color="auto"/>
            </w:tcBorders>
            <w:vAlign w:val="center"/>
            <w:hideMark/>
          </w:tcPr>
          <w:p w:rsidR="00A12A17" w:rsidRPr="00663D86" w:rsidRDefault="00A12A17" w:rsidP="00A91C39">
            <w:pPr>
              <w:rPr>
                <w:rFonts w:ascii="Garamond" w:eastAsia="Times New Roman" w:hAnsi="Garamond" w:cs="Calibri"/>
                <w:b/>
                <w:bCs/>
                <w:color w:val="000000"/>
                <w:sz w:val="20"/>
                <w:szCs w:val="20"/>
                <w:lang w:val="en-US" w:bidi="hi-IN"/>
              </w:rPr>
            </w:pPr>
          </w:p>
        </w:tc>
        <w:tc>
          <w:tcPr>
            <w:tcW w:w="3154" w:type="dxa"/>
            <w:vMerge/>
            <w:tcBorders>
              <w:top w:val="single" w:sz="8" w:space="0" w:color="auto"/>
              <w:left w:val="single" w:sz="8" w:space="0" w:color="auto"/>
              <w:bottom w:val="single" w:sz="8" w:space="0" w:color="000000"/>
              <w:right w:val="single" w:sz="8" w:space="0" w:color="auto"/>
            </w:tcBorders>
            <w:vAlign w:val="center"/>
            <w:hideMark/>
          </w:tcPr>
          <w:p w:rsidR="00A12A17" w:rsidRPr="00663D86" w:rsidRDefault="00A12A17" w:rsidP="00A91C39">
            <w:pPr>
              <w:rPr>
                <w:rFonts w:ascii="Garamond" w:eastAsia="Times New Roman" w:hAnsi="Garamond" w:cs="Calibri"/>
                <w:b/>
                <w:bCs/>
                <w:color w:val="000000"/>
                <w:sz w:val="20"/>
                <w:szCs w:val="20"/>
                <w:lang w:val="en-US" w:bidi="hi-IN"/>
              </w:rPr>
            </w:pPr>
          </w:p>
        </w:tc>
        <w:tc>
          <w:tcPr>
            <w:tcW w:w="2199" w:type="dxa"/>
            <w:tcBorders>
              <w:top w:val="nil"/>
              <w:left w:val="nil"/>
              <w:bottom w:val="single" w:sz="8" w:space="0" w:color="auto"/>
              <w:right w:val="single" w:sz="8" w:space="0" w:color="auto"/>
            </w:tcBorders>
            <w:shd w:val="clear" w:color="000000" w:fill="B4C6E7"/>
            <w:noWrap/>
            <w:hideMark/>
          </w:tcPr>
          <w:p w:rsidR="00A12A17" w:rsidRPr="00F405DE" w:rsidRDefault="00A12A17" w:rsidP="00A91C39">
            <w:pPr>
              <w:jc w:val="center"/>
              <w:rPr>
                <w:rFonts w:ascii="Garamond" w:eastAsia="Times New Roman" w:hAnsi="Garamond" w:cs="Calibri"/>
                <w:b/>
                <w:bCs/>
                <w:color w:val="000000"/>
                <w:sz w:val="20"/>
                <w:szCs w:val="20"/>
                <w:lang w:val="en-US" w:bidi="hi-IN"/>
              </w:rPr>
            </w:pPr>
            <w:r>
              <w:rPr>
                <w:rFonts w:ascii="Garamond" w:eastAsia="Times New Roman" w:hAnsi="Garamond" w:cs="Calibri"/>
                <w:b/>
                <w:bCs/>
                <w:color w:val="000000"/>
                <w:sz w:val="20"/>
                <w:szCs w:val="20"/>
                <w:lang w:val="en-US" w:bidi="hi-IN"/>
              </w:rPr>
              <w:t>31</w:t>
            </w:r>
            <w:r w:rsidRPr="00F405DE">
              <w:rPr>
                <w:rFonts w:ascii="Garamond" w:eastAsia="Times New Roman" w:hAnsi="Garamond" w:cs="Calibri"/>
                <w:b/>
                <w:bCs/>
                <w:color w:val="000000"/>
                <w:sz w:val="20"/>
                <w:szCs w:val="20"/>
                <w:lang w:val="en-US" w:bidi="hi-IN"/>
              </w:rPr>
              <w:t>-</w:t>
            </w:r>
            <w:r>
              <w:rPr>
                <w:rFonts w:ascii="Garamond" w:eastAsia="Times New Roman" w:hAnsi="Garamond" w:cs="Calibri"/>
                <w:b/>
                <w:bCs/>
                <w:color w:val="000000"/>
                <w:sz w:val="20"/>
                <w:szCs w:val="20"/>
                <w:lang w:val="en-US" w:bidi="hi-IN"/>
              </w:rPr>
              <w:t>Mar</w:t>
            </w:r>
            <w:r w:rsidRPr="00F405DE">
              <w:rPr>
                <w:rFonts w:ascii="Garamond" w:eastAsia="Times New Roman" w:hAnsi="Garamond" w:cs="Calibri"/>
                <w:b/>
                <w:bCs/>
                <w:color w:val="000000"/>
                <w:sz w:val="20"/>
                <w:szCs w:val="20"/>
                <w:lang w:val="en-US" w:bidi="hi-IN"/>
              </w:rPr>
              <w:t>-21</w:t>
            </w:r>
          </w:p>
        </w:tc>
        <w:tc>
          <w:tcPr>
            <w:tcW w:w="1227" w:type="dxa"/>
            <w:tcBorders>
              <w:top w:val="nil"/>
              <w:left w:val="nil"/>
              <w:bottom w:val="single" w:sz="8" w:space="0" w:color="auto"/>
              <w:right w:val="single" w:sz="8" w:space="0" w:color="auto"/>
            </w:tcBorders>
            <w:shd w:val="clear" w:color="000000" w:fill="B4C6E7"/>
            <w:noWrap/>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1-Month</w:t>
            </w:r>
          </w:p>
        </w:tc>
        <w:tc>
          <w:tcPr>
            <w:tcW w:w="1227" w:type="dxa"/>
            <w:tcBorders>
              <w:top w:val="nil"/>
              <w:left w:val="nil"/>
              <w:bottom w:val="single" w:sz="8" w:space="0" w:color="auto"/>
              <w:right w:val="single" w:sz="8" w:space="0" w:color="auto"/>
            </w:tcBorders>
            <w:shd w:val="clear" w:color="000000" w:fill="B4C6E7"/>
            <w:noWrap/>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3-Month</w:t>
            </w:r>
          </w:p>
        </w:tc>
        <w:tc>
          <w:tcPr>
            <w:tcW w:w="1125" w:type="dxa"/>
            <w:tcBorders>
              <w:top w:val="nil"/>
              <w:left w:val="nil"/>
              <w:bottom w:val="single" w:sz="8" w:space="0" w:color="auto"/>
              <w:right w:val="single" w:sz="8" w:space="0" w:color="auto"/>
            </w:tcBorders>
            <w:shd w:val="clear" w:color="000000" w:fill="B4C6E7"/>
            <w:noWrap/>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6-Month</w:t>
            </w:r>
          </w:p>
        </w:tc>
        <w:tc>
          <w:tcPr>
            <w:tcW w:w="1125" w:type="dxa"/>
            <w:tcBorders>
              <w:top w:val="nil"/>
              <w:left w:val="nil"/>
              <w:bottom w:val="single" w:sz="8" w:space="0" w:color="auto"/>
              <w:right w:val="single" w:sz="8" w:space="0" w:color="auto"/>
            </w:tcBorders>
            <w:shd w:val="clear" w:color="000000" w:fill="B4C6E7"/>
            <w:noWrap/>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1-Year</w:t>
            </w:r>
          </w:p>
        </w:tc>
        <w:tc>
          <w:tcPr>
            <w:tcW w:w="1793" w:type="dxa"/>
            <w:vMerge/>
            <w:tcBorders>
              <w:top w:val="single" w:sz="8" w:space="0" w:color="auto"/>
              <w:left w:val="single" w:sz="8" w:space="0" w:color="auto"/>
              <w:bottom w:val="single" w:sz="8" w:space="0" w:color="000000"/>
              <w:right w:val="single" w:sz="8" w:space="0" w:color="auto"/>
            </w:tcBorders>
            <w:vAlign w:val="center"/>
            <w:hideMark/>
          </w:tcPr>
          <w:p w:rsidR="00A12A17" w:rsidRPr="00663D86" w:rsidRDefault="00A12A17" w:rsidP="00A91C39">
            <w:pPr>
              <w:rPr>
                <w:rFonts w:ascii="Garamond" w:eastAsia="Times New Roman" w:hAnsi="Garamond" w:cs="Calibri"/>
                <w:b/>
                <w:bCs/>
                <w:color w:val="000000"/>
                <w:sz w:val="20"/>
                <w:szCs w:val="20"/>
                <w:lang w:val="en-US" w:bidi="hi-IN"/>
              </w:rPr>
            </w:pPr>
          </w:p>
        </w:tc>
        <w:tc>
          <w:tcPr>
            <w:tcW w:w="939" w:type="dxa"/>
            <w:vMerge/>
            <w:tcBorders>
              <w:top w:val="single" w:sz="8" w:space="0" w:color="auto"/>
              <w:left w:val="single" w:sz="8" w:space="0" w:color="auto"/>
              <w:bottom w:val="single" w:sz="8" w:space="0" w:color="000000"/>
              <w:right w:val="single" w:sz="8" w:space="0" w:color="auto"/>
            </w:tcBorders>
            <w:vAlign w:val="center"/>
            <w:hideMark/>
          </w:tcPr>
          <w:p w:rsidR="00A12A17" w:rsidRPr="00663D86" w:rsidRDefault="00A12A17" w:rsidP="00A91C39">
            <w:pPr>
              <w:rPr>
                <w:rFonts w:ascii="Garamond" w:eastAsia="Times New Roman" w:hAnsi="Garamond" w:cs="Calibri"/>
                <w:b/>
                <w:bCs/>
                <w:color w:val="000000"/>
                <w:sz w:val="20"/>
                <w:szCs w:val="20"/>
                <w:lang w:val="en-US" w:bidi="hi-IN"/>
              </w:rPr>
            </w:pPr>
          </w:p>
        </w:tc>
      </w:tr>
      <w:tr w:rsidR="00A12A17" w:rsidRPr="00797A8B" w:rsidTr="00A91C39">
        <w:trPr>
          <w:trHeight w:val="243"/>
        </w:trPr>
        <w:tc>
          <w:tcPr>
            <w:tcW w:w="14015"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BRICS Nations</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Brazil</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BRAZIL IBOVESPA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116633.7</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110035.2</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119017.2</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94603.4</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73019.8</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23.0</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17.8</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Russia</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RUSSIAN TRADED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1936.4</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1837.2</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1802.3</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1488.1</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1383.6</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25.8</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18.3</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India</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Nifty 50</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14690.7</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14529.2</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13981.8</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11247.6</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8597.8</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18.5</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797A8B">
              <w:rPr>
                <w:rFonts w:ascii="Garamond" w:hAnsi="Garamond" w:cs="Calibri"/>
                <w:sz w:val="20"/>
                <w:szCs w:val="20"/>
              </w:rPr>
              <w:t>33.2</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India</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S&amp;P BSE SENSEX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49509.2</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49100.0</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47751.3</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38067.9</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29468.5</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18.6</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797A8B">
              <w:rPr>
                <w:rFonts w:ascii="Garamond" w:hAnsi="Garamond" w:cs="Calibri"/>
                <w:sz w:val="20"/>
                <w:szCs w:val="20"/>
              </w:rPr>
              <w:t>34.4</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China</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SHANGHAI SE COMPOSITE</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3441.9</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3509.1</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3473.1</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3218.1</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2750.3</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20.2</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13.8</w:t>
            </w:r>
          </w:p>
        </w:tc>
      </w:tr>
      <w:tr w:rsidR="00A12A17" w:rsidRPr="00797A8B" w:rsidTr="00A91C39">
        <w:trPr>
          <w:trHeight w:val="243"/>
        </w:trPr>
        <w:tc>
          <w:tcPr>
            <w:tcW w:w="1226" w:type="dxa"/>
            <w:tcBorders>
              <w:top w:val="nil"/>
              <w:left w:val="single" w:sz="8" w:space="0" w:color="auto"/>
              <w:bottom w:val="single" w:sz="8" w:space="0" w:color="auto"/>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South Africa</w:t>
            </w:r>
          </w:p>
        </w:tc>
        <w:tc>
          <w:tcPr>
            <w:tcW w:w="3154" w:type="dxa"/>
            <w:tcBorders>
              <w:top w:val="nil"/>
              <w:left w:val="nil"/>
              <w:bottom w:val="single" w:sz="8" w:space="0" w:color="auto"/>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FTSE/JSE AFRICA ALL SHR</w:t>
            </w:r>
          </w:p>
        </w:tc>
        <w:tc>
          <w:tcPr>
            <w:tcW w:w="2199"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66485.3</w:t>
            </w:r>
          </w:p>
        </w:tc>
        <w:tc>
          <w:tcPr>
            <w:tcW w:w="1227"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66138.1</w:t>
            </w:r>
          </w:p>
        </w:tc>
        <w:tc>
          <w:tcPr>
            <w:tcW w:w="1227"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59408.7</w:t>
            </w:r>
          </w:p>
        </w:tc>
        <w:tc>
          <w:tcPr>
            <w:tcW w:w="1125"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54265.0</w:t>
            </w:r>
          </w:p>
        </w:tc>
        <w:tc>
          <w:tcPr>
            <w:tcW w:w="1125"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44490.3</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16.8</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17.1</w:t>
            </w:r>
          </w:p>
        </w:tc>
      </w:tr>
      <w:tr w:rsidR="00A12A17" w:rsidRPr="00797A8B" w:rsidTr="00A91C39">
        <w:trPr>
          <w:trHeight w:val="255"/>
        </w:trPr>
        <w:tc>
          <w:tcPr>
            <w:tcW w:w="14015"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A12A17" w:rsidRPr="00663D86" w:rsidRDefault="00A12A17" w:rsidP="00A91C39">
            <w:pPr>
              <w:jc w:val="center"/>
              <w:rPr>
                <w:rFonts w:ascii="Garamond" w:eastAsia="Times New Roman" w:hAnsi="Garamond" w:cs="Calibri"/>
                <w:b/>
                <w:bCs/>
                <w:color w:val="000000"/>
                <w:sz w:val="20"/>
                <w:szCs w:val="20"/>
                <w:lang w:val="en-US" w:bidi="hi-IN"/>
              </w:rPr>
            </w:pPr>
            <w:r w:rsidRPr="00663D86">
              <w:rPr>
                <w:rFonts w:ascii="Garamond" w:eastAsia="Times New Roman" w:hAnsi="Garamond" w:cs="Calibri"/>
                <w:b/>
                <w:bCs/>
                <w:color w:val="000000"/>
                <w:sz w:val="20"/>
                <w:szCs w:val="20"/>
                <w:lang w:val="en-US" w:bidi="hi-IN"/>
              </w:rPr>
              <w:t>Developed Markets</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USA</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NASDAQ COMPOSITE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13246.9</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13192.3</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12888.3</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11167.5</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7700.1</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28.5</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NA</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USA</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DOW JONES INDUS. AVG</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32981.6</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30932.4</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30606.5</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27781.7</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21917.2</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13.3</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25.0</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France</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CAC 40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6067.2</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5703.2</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5551.4</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4803.4</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4396.1</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11.3</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25.4</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Germany</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DAX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15008.3</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13786.3</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13718.8</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12760.7</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9935.8</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14.1</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23.2</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UK</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FTSE 100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6713.6</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6483.4</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6460.5</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5866.1</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5672.0</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10.5</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19.0</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Hong Kong</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HANG SENG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28378.4</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28980.2</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27231.1</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23459.1</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23603.5</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21.5</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14.6</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South Korea</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KOSPI </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3061.4</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3013.0</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2873.5</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2327.9</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1754.6</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13.9</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NA</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Japan</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NIKKEI 225</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29178.8</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28966.0</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27444.2</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23185.1</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18917.0</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19.0</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24.6</w:t>
            </w:r>
          </w:p>
        </w:tc>
      </w:tr>
      <w:tr w:rsidR="00A12A17" w:rsidRPr="00797A8B" w:rsidTr="00A91C39">
        <w:trPr>
          <w:trHeight w:val="233"/>
        </w:trPr>
        <w:tc>
          <w:tcPr>
            <w:tcW w:w="1226" w:type="dxa"/>
            <w:tcBorders>
              <w:top w:val="nil"/>
              <w:left w:val="single" w:sz="8" w:space="0" w:color="auto"/>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Singapore</w:t>
            </w:r>
          </w:p>
        </w:tc>
        <w:tc>
          <w:tcPr>
            <w:tcW w:w="3154" w:type="dxa"/>
            <w:tcBorders>
              <w:top w:val="nil"/>
              <w:left w:val="nil"/>
              <w:bottom w:val="nil"/>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STRAITS TIMES  STI</w:t>
            </w:r>
          </w:p>
        </w:tc>
        <w:tc>
          <w:tcPr>
            <w:tcW w:w="219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3165.3</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2949.0</w:t>
            </w:r>
          </w:p>
        </w:tc>
        <w:tc>
          <w:tcPr>
            <w:tcW w:w="1227"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2843.8</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2466.6</w:t>
            </w:r>
          </w:p>
        </w:tc>
        <w:tc>
          <w:tcPr>
            <w:tcW w:w="1125"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2481.2</w:t>
            </w:r>
          </w:p>
        </w:tc>
        <w:tc>
          <w:tcPr>
            <w:tcW w:w="1793"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9.8</w:t>
            </w:r>
          </w:p>
        </w:tc>
        <w:tc>
          <w:tcPr>
            <w:tcW w:w="939" w:type="dxa"/>
            <w:tcBorders>
              <w:top w:val="nil"/>
              <w:left w:val="nil"/>
              <w:bottom w:val="nil"/>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18.5</w:t>
            </w:r>
          </w:p>
        </w:tc>
      </w:tr>
      <w:tr w:rsidR="00A12A17" w:rsidRPr="00797A8B" w:rsidTr="00A91C39">
        <w:trPr>
          <w:trHeight w:val="243"/>
        </w:trPr>
        <w:tc>
          <w:tcPr>
            <w:tcW w:w="1226" w:type="dxa"/>
            <w:tcBorders>
              <w:top w:val="nil"/>
              <w:left w:val="single" w:sz="8" w:space="0" w:color="auto"/>
              <w:bottom w:val="single" w:sz="8" w:space="0" w:color="auto"/>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20"/>
                <w:szCs w:val="20"/>
                <w:lang w:val="en-US" w:bidi="hi-IN"/>
              </w:rPr>
            </w:pPr>
            <w:r w:rsidRPr="00663D86">
              <w:rPr>
                <w:rFonts w:ascii="Garamond" w:eastAsia="Times New Roman" w:hAnsi="Garamond" w:cs="Calibri"/>
                <w:color w:val="000000"/>
                <w:sz w:val="20"/>
                <w:szCs w:val="20"/>
                <w:lang w:val="en-US" w:bidi="hi-IN"/>
              </w:rPr>
              <w:t>Taiwan</w:t>
            </w:r>
          </w:p>
        </w:tc>
        <w:tc>
          <w:tcPr>
            <w:tcW w:w="3154" w:type="dxa"/>
            <w:tcBorders>
              <w:top w:val="nil"/>
              <w:left w:val="nil"/>
              <w:bottom w:val="single" w:sz="8" w:space="0" w:color="auto"/>
              <w:right w:val="single" w:sz="8" w:space="0" w:color="auto"/>
            </w:tcBorders>
            <w:shd w:val="clear" w:color="000000" w:fill="D9E1F2"/>
            <w:noWrap/>
            <w:hideMark/>
          </w:tcPr>
          <w:p w:rsidR="00A12A17" w:rsidRPr="00663D86" w:rsidRDefault="00A12A17" w:rsidP="00A91C39">
            <w:pPr>
              <w:rPr>
                <w:rFonts w:ascii="Garamond" w:eastAsia="Times New Roman" w:hAnsi="Garamond" w:cs="Calibri"/>
                <w:color w:val="000000"/>
                <w:sz w:val="18"/>
                <w:szCs w:val="18"/>
                <w:lang w:val="en-US" w:bidi="hi-IN"/>
              </w:rPr>
            </w:pPr>
            <w:r w:rsidRPr="00663D86">
              <w:rPr>
                <w:rFonts w:ascii="Garamond" w:eastAsia="Times New Roman" w:hAnsi="Garamond" w:cs="Calibri"/>
                <w:color w:val="000000"/>
                <w:sz w:val="18"/>
                <w:szCs w:val="18"/>
                <w:lang w:val="en-US" w:bidi="hi-IN"/>
              </w:rPr>
              <w:t xml:space="preserve">TAIWAN TAIEX </w:t>
            </w:r>
          </w:p>
        </w:tc>
        <w:tc>
          <w:tcPr>
            <w:tcW w:w="2199"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16431.1</w:t>
            </w:r>
          </w:p>
        </w:tc>
        <w:tc>
          <w:tcPr>
            <w:tcW w:w="1227"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15953.8</w:t>
            </w:r>
          </w:p>
        </w:tc>
        <w:tc>
          <w:tcPr>
            <w:tcW w:w="1227"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14732.5</w:t>
            </w:r>
          </w:p>
        </w:tc>
        <w:tc>
          <w:tcPr>
            <w:tcW w:w="1125"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12515.6</w:t>
            </w:r>
          </w:p>
        </w:tc>
        <w:tc>
          <w:tcPr>
            <w:tcW w:w="1125"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9708.1</w:t>
            </w:r>
          </w:p>
        </w:tc>
        <w:tc>
          <w:tcPr>
            <w:tcW w:w="1793"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13.8</w:t>
            </w:r>
          </w:p>
        </w:tc>
        <w:tc>
          <w:tcPr>
            <w:tcW w:w="939" w:type="dxa"/>
            <w:tcBorders>
              <w:top w:val="nil"/>
              <w:left w:val="nil"/>
              <w:bottom w:val="single" w:sz="8" w:space="0" w:color="auto"/>
              <w:right w:val="single" w:sz="8" w:space="0" w:color="auto"/>
            </w:tcBorders>
            <w:shd w:val="clear" w:color="auto" w:fill="auto"/>
            <w:noWrap/>
            <w:hideMark/>
          </w:tcPr>
          <w:p w:rsidR="00A12A17" w:rsidRPr="00663D86" w:rsidRDefault="00A12A17" w:rsidP="00A91C39">
            <w:pPr>
              <w:ind w:firstLineChars="100" w:firstLine="200"/>
              <w:jc w:val="right"/>
              <w:rPr>
                <w:rFonts w:ascii="Garamond" w:eastAsia="Times New Roman" w:hAnsi="Garamond" w:cs="Calibri"/>
                <w:sz w:val="20"/>
                <w:szCs w:val="20"/>
                <w:lang w:val="en-US" w:bidi="hi-IN"/>
              </w:rPr>
            </w:pPr>
            <w:r w:rsidRPr="00663D86">
              <w:rPr>
                <w:rFonts w:ascii="Garamond" w:eastAsia="Times New Roman" w:hAnsi="Garamond" w:cs="Calibri"/>
                <w:sz w:val="20"/>
                <w:szCs w:val="20"/>
                <w:lang w:val="en-US" w:bidi="hi-IN"/>
              </w:rPr>
              <w:t>20.9</w:t>
            </w:r>
          </w:p>
        </w:tc>
      </w:tr>
    </w:tbl>
    <w:p w:rsidR="00A12A17" w:rsidRPr="001972CA" w:rsidRDefault="00A12A17" w:rsidP="00A12A17">
      <w:pPr>
        <w:spacing w:line="23" w:lineRule="atLeast"/>
        <w:jc w:val="both"/>
        <w:rPr>
          <w:rFonts w:ascii="Garamond" w:hAnsi="Garamond"/>
          <w:bCs/>
          <w:sz w:val="18"/>
          <w:szCs w:val="18"/>
        </w:rPr>
      </w:pPr>
      <w:r w:rsidRPr="001972CA">
        <w:rPr>
          <w:rFonts w:ascii="Garamond" w:hAnsi="Garamond"/>
          <w:bCs/>
          <w:sz w:val="18"/>
          <w:szCs w:val="18"/>
        </w:rPr>
        <w:t xml:space="preserve"> Note: </w:t>
      </w:r>
      <w:r>
        <w:rPr>
          <w:rFonts w:ascii="Garamond" w:hAnsi="Garamond"/>
          <w:bCs/>
          <w:sz w:val="18"/>
          <w:szCs w:val="18"/>
        </w:rPr>
        <w:t xml:space="preserve">* </w:t>
      </w:r>
      <w:r w:rsidRPr="001972CA">
        <w:rPr>
          <w:rFonts w:ascii="Garamond" w:hAnsi="Garamond"/>
          <w:bCs/>
          <w:sz w:val="18"/>
          <w:szCs w:val="18"/>
        </w:rPr>
        <w:t xml:space="preserve">P/E Ratios as on the last trading day of month. Trailing PE ratio has been used from Refinitiv for all Indices apart from Sensex, Nifty 50, Kospi, Nikkei and Taiwan Taiex. Forward PE from Refinitiv was used for Kospi, Nikkei and Taiwan Taiex. Data for Sensex and Nifty was taken from respective exchange website. Data is as on </w:t>
      </w:r>
      <w:r>
        <w:rPr>
          <w:rFonts w:ascii="Garamond" w:hAnsi="Garamond"/>
          <w:bCs/>
          <w:sz w:val="18"/>
          <w:szCs w:val="18"/>
          <w:lang w:val="en-US"/>
        </w:rPr>
        <w:t xml:space="preserve">12 April </w:t>
      </w:r>
      <w:r w:rsidRPr="001972CA">
        <w:rPr>
          <w:rFonts w:ascii="Garamond" w:hAnsi="Garamond"/>
          <w:bCs/>
          <w:sz w:val="18"/>
          <w:szCs w:val="18"/>
          <w:lang w:val="en-US"/>
        </w:rPr>
        <w:t>2021</w:t>
      </w:r>
    </w:p>
    <w:p w:rsidR="00A12A17" w:rsidRDefault="00A12A17" w:rsidP="00A12A17">
      <w:pPr>
        <w:spacing w:line="23" w:lineRule="atLeast"/>
        <w:jc w:val="both"/>
        <w:rPr>
          <w:rFonts w:ascii="Garamond" w:hAnsi="Garamond"/>
          <w:bCs/>
          <w:sz w:val="18"/>
          <w:szCs w:val="18"/>
        </w:rPr>
      </w:pPr>
      <w:r w:rsidRPr="001972CA">
        <w:rPr>
          <w:rFonts w:ascii="Garamond" w:hAnsi="Garamond"/>
          <w:bCs/>
          <w:sz w:val="18"/>
          <w:szCs w:val="18"/>
        </w:rPr>
        <w:t xml:space="preserve">Source: Refinitiv, BSE and National Stock Exchange </w:t>
      </w:r>
    </w:p>
    <w:p w:rsidR="00A12A17" w:rsidRPr="00073FE2" w:rsidRDefault="00A12A17" w:rsidP="00A12A17">
      <w:pPr>
        <w:spacing w:line="23" w:lineRule="atLeast"/>
        <w:rPr>
          <w:rFonts w:ascii="Garamond" w:hAnsi="Garamond"/>
          <w:b/>
          <w:bCs/>
          <w:strike/>
          <w:szCs w:val="22"/>
        </w:rPr>
        <w:sectPr w:rsidR="00A12A17" w:rsidRPr="00073FE2" w:rsidSect="00C02A9E">
          <w:pgSz w:w="16838" w:h="11906" w:orient="landscape" w:code="9"/>
          <w:pgMar w:top="1009" w:right="578" w:bottom="1009" w:left="578" w:header="431" w:footer="431" w:gutter="0"/>
          <w:cols w:space="720"/>
          <w:docGrid w:linePitch="360"/>
        </w:sectPr>
      </w:pPr>
    </w:p>
    <w:p w:rsidR="00A12A17" w:rsidRPr="00E25198" w:rsidRDefault="00A12A17" w:rsidP="00A12A17">
      <w:pPr>
        <w:spacing w:line="23" w:lineRule="atLeast"/>
        <w:jc w:val="both"/>
        <w:rPr>
          <w:rFonts w:ascii="Garamond" w:hAnsi="Garamond"/>
          <w:b/>
          <w:bCs/>
          <w:szCs w:val="22"/>
        </w:rPr>
      </w:pPr>
    </w:p>
    <w:p w:rsidR="00A12A17" w:rsidRPr="00E25198" w:rsidRDefault="00A12A17" w:rsidP="00A12A17">
      <w:pPr>
        <w:spacing w:line="23" w:lineRule="atLeast"/>
        <w:jc w:val="both"/>
        <w:rPr>
          <w:rFonts w:ascii="Garamond" w:hAnsi="Garamond"/>
          <w:b/>
          <w:bCs/>
          <w:szCs w:val="22"/>
        </w:rPr>
      </w:pPr>
      <w:r w:rsidRPr="00E25198">
        <w:rPr>
          <w:rFonts w:ascii="Garamond" w:hAnsi="Garamond"/>
          <w:b/>
          <w:bCs/>
          <w:szCs w:val="22"/>
        </w:rPr>
        <w:t>Table A2: Fund Mobilisation by Issuance of Equity and Bond in Major Exchanges (USD million)</w:t>
      </w:r>
    </w:p>
    <w:tbl>
      <w:tblPr>
        <w:tblW w:w="9722" w:type="dxa"/>
        <w:tblCellMar>
          <w:left w:w="0" w:type="dxa"/>
          <w:right w:w="0" w:type="dxa"/>
        </w:tblCellMar>
        <w:tblLook w:val="04A0" w:firstRow="1" w:lastRow="0" w:firstColumn="1" w:lastColumn="0" w:noHBand="0" w:noVBand="1"/>
      </w:tblPr>
      <w:tblGrid>
        <w:gridCol w:w="3402"/>
        <w:gridCol w:w="1053"/>
        <w:gridCol w:w="1053"/>
        <w:gridCol w:w="1054"/>
        <w:gridCol w:w="1053"/>
        <w:gridCol w:w="1053"/>
        <w:gridCol w:w="1054"/>
      </w:tblGrid>
      <w:tr w:rsidR="00A12A17" w:rsidRPr="00797A8B" w:rsidTr="00A91C39">
        <w:trPr>
          <w:trHeight w:val="257"/>
        </w:trPr>
        <w:tc>
          <w:tcPr>
            <w:tcW w:w="3402" w:type="dxa"/>
            <w:tcBorders>
              <w:top w:val="single" w:sz="8" w:space="0" w:color="auto"/>
              <w:left w:val="single" w:sz="8" w:space="0" w:color="auto"/>
              <w:bottom w:val="nil"/>
              <w:right w:val="single" w:sz="8" w:space="0" w:color="auto"/>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lang w:val="en-US" w:bidi="hi-IN"/>
              </w:rPr>
            </w:pPr>
            <w:r w:rsidRPr="00797A8B">
              <w:rPr>
                <w:rFonts w:ascii="Garamond" w:hAnsi="Garamond" w:cs="Calibri"/>
                <w:b/>
                <w:bCs/>
                <w:color w:val="FFFFFF"/>
                <w:sz w:val="20"/>
                <w:szCs w:val="20"/>
              </w:rPr>
              <w:t>Month</w:t>
            </w:r>
          </w:p>
        </w:tc>
        <w:tc>
          <w:tcPr>
            <w:tcW w:w="3160" w:type="dxa"/>
            <w:gridSpan w:val="3"/>
            <w:tcBorders>
              <w:top w:val="single" w:sz="8" w:space="0" w:color="auto"/>
              <w:left w:val="nil"/>
              <w:bottom w:val="nil"/>
              <w:right w:val="single" w:sz="8" w:space="0" w:color="000000"/>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Jan-21</w:t>
            </w:r>
          </w:p>
        </w:tc>
        <w:tc>
          <w:tcPr>
            <w:tcW w:w="3160" w:type="dxa"/>
            <w:gridSpan w:val="3"/>
            <w:tcBorders>
              <w:top w:val="single" w:sz="8" w:space="0" w:color="auto"/>
              <w:left w:val="nil"/>
              <w:bottom w:val="nil"/>
              <w:right w:val="single" w:sz="8" w:space="0" w:color="000000"/>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Feb-21</w:t>
            </w:r>
          </w:p>
        </w:tc>
      </w:tr>
      <w:tr w:rsidR="00A12A17" w:rsidRPr="00797A8B" w:rsidTr="00A91C39">
        <w:trPr>
          <w:trHeight w:val="247"/>
        </w:trPr>
        <w:tc>
          <w:tcPr>
            <w:tcW w:w="3402" w:type="dxa"/>
            <w:tcBorders>
              <w:top w:val="single" w:sz="4" w:space="0" w:color="auto"/>
              <w:left w:val="single" w:sz="4" w:space="0" w:color="auto"/>
              <w:bottom w:val="single" w:sz="4" w:space="0" w:color="auto"/>
              <w:right w:val="single" w:sz="4" w:space="0" w:color="auto"/>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Exchange Name</w:t>
            </w:r>
          </w:p>
        </w:tc>
        <w:tc>
          <w:tcPr>
            <w:tcW w:w="1053" w:type="dxa"/>
            <w:tcBorders>
              <w:top w:val="single" w:sz="4" w:space="0" w:color="auto"/>
              <w:left w:val="nil"/>
              <w:bottom w:val="single" w:sz="4" w:space="0" w:color="auto"/>
              <w:right w:val="single" w:sz="4" w:space="0" w:color="auto"/>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Bond</w:t>
            </w:r>
          </w:p>
        </w:tc>
        <w:tc>
          <w:tcPr>
            <w:tcW w:w="1053" w:type="dxa"/>
            <w:tcBorders>
              <w:top w:val="single" w:sz="4" w:space="0" w:color="auto"/>
              <w:left w:val="nil"/>
              <w:bottom w:val="single" w:sz="4" w:space="0" w:color="auto"/>
              <w:right w:val="single" w:sz="4" w:space="0" w:color="auto"/>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Equity</w:t>
            </w:r>
          </w:p>
        </w:tc>
        <w:tc>
          <w:tcPr>
            <w:tcW w:w="1054" w:type="dxa"/>
            <w:tcBorders>
              <w:top w:val="single" w:sz="4" w:space="0" w:color="auto"/>
              <w:left w:val="nil"/>
              <w:bottom w:val="single" w:sz="4" w:space="0" w:color="auto"/>
              <w:right w:val="single" w:sz="4" w:space="0" w:color="auto"/>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Total</w:t>
            </w:r>
          </w:p>
        </w:tc>
        <w:tc>
          <w:tcPr>
            <w:tcW w:w="1053" w:type="dxa"/>
            <w:tcBorders>
              <w:top w:val="single" w:sz="4" w:space="0" w:color="auto"/>
              <w:left w:val="nil"/>
              <w:bottom w:val="single" w:sz="4" w:space="0" w:color="auto"/>
              <w:right w:val="single" w:sz="4" w:space="0" w:color="auto"/>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Bond</w:t>
            </w:r>
          </w:p>
        </w:tc>
        <w:tc>
          <w:tcPr>
            <w:tcW w:w="1053" w:type="dxa"/>
            <w:tcBorders>
              <w:top w:val="single" w:sz="4" w:space="0" w:color="auto"/>
              <w:left w:val="nil"/>
              <w:bottom w:val="single" w:sz="4" w:space="0" w:color="auto"/>
              <w:right w:val="single" w:sz="4" w:space="0" w:color="auto"/>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Equity</w:t>
            </w:r>
          </w:p>
        </w:tc>
        <w:tc>
          <w:tcPr>
            <w:tcW w:w="1054" w:type="dxa"/>
            <w:tcBorders>
              <w:top w:val="single" w:sz="4" w:space="0" w:color="auto"/>
              <w:left w:val="nil"/>
              <w:bottom w:val="single" w:sz="4" w:space="0" w:color="auto"/>
              <w:right w:val="single" w:sz="4" w:space="0" w:color="auto"/>
            </w:tcBorders>
            <w:shd w:val="clear" w:color="000000" w:fill="2F5496"/>
            <w:tcMar>
              <w:top w:w="15" w:type="dxa"/>
              <w:left w:w="15" w:type="dxa"/>
              <w:bottom w:w="0" w:type="dxa"/>
              <w:right w:w="15" w:type="dxa"/>
            </w:tcMar>
            <w:vAlign w:val="center"/>
            <w:hideMark/>
          </w:tcPr>
          <w:p w:rsidR="00A12A17" w:rsidRPr="00797A8B" w:rsidRDefault="00A12A17" w:rsidP="00A91C39">
            <w:pPr>
              <w:jc w:val="center"/>
              <w:rPr>
                <w:rFonts w:ascii="Garamond" w:hAnsi="Garamond" w:cs="Calibri"/>
                <w:b/>
                <w:bCs/>
                <w:color w:val="FFFFFF"/>
                <w:sz w:val="20"/>
                <w:szCs w:val="20"/>
              </w:rPr>
            </w:pPr>
            <w:r w:rsidRPr="00797A8B">
              <w:rPr>
                <w:rFonts w:ascii="Garamond" w:hAnsi="Garamond" w:cs="Calibri"/>
                <w:b/>
                <w:bCs/>
                <w:color w:val="FFFFFF"/>
                <w:sz w:val="20"/>
                <w:szCs w:val="20"/>
              </w:rPr>
              <w:t>Total</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B3 - Brasil Bolsa Balcão</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Nasdaq – US</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NYSE</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ASX Australian Securities Exchange</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595</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595</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1,326</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1,326</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Hong Kong Exchanges and Clearing</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22,437</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8,837</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31,274</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14,610</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12,293</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26,904</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Japan Exchange Group</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5,397</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11,557</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16,954</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5,634</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660</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6,294</w:t>
            </w:r>
          </w:p>
        </w:tc>
      </w:tr>
      <w:tr w:rsidR="00A12A17" w:rsidRPr="00797A8B" w:rsidTr="00A91C39">
        <w:trPr>
          <w:trHeight w:val="247"/>
        </w:trPr>
        <w:tc>
          <w:tcPr>
            <w:tcW w:w="340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sz w:val="20"/>
                <w:szCs w:val="20"/>
              </w:rPr>
            </w:pPr>
            <w:r w:rsidRPr="00797A8B">
              <w:rPr>
                <w:rFonts w:ascii="Garamond" w:hAnsi="Garamond" w:cs="Calibri"/>
                <w:sz w:val="20"/>
                <w:szCs w:val="20"/>
              </w:rPr>
              <w:t>Korea Exchange</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44,334</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44,334</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58,228</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58,228</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National Stock Exchange of India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40,179</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40,179</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Shanghai Stock Exchange</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10,279</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10,279</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5,567</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5,567</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Shenzhen Stock Exchange</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12,240</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9,085</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21,324</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7,468</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5,548</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13,016</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Singapore Exchange</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28,966</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294</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29,261</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23,054</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130</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23,184</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BME Spanish Exchanges</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65,826</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1,275</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67,101</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31,970</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1,118</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33,088</w:t>
            </w:r>
          </w:p>
        </w:tc>
      </w:tr>
      <w:tr w:rsidR="00A12A17" w:rsidRPr="00797A8B" w:rsidTr="00A91C39">
        <w:trPr>
          <w:trHeight w:val="247"/>
        </w:trPr>
        <w:tc>
          <w:tcPr>
            <w:tcW w:w="340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sz w:val="20"/>
                <w:szCs w:val="20"/>
              </w:rPr>
            </w:pPr>
            <w:r w:rsidRPr="00797A8B">
              <w:rPr>
                <w:rFonts w:ascii="Garamond" w:hAnsi="Garamond" w:cs="Calibri"/>
                <w:sz w:val="20"/>
                <w:szCs w:val="20"/>
              </w:rPr>
              <w:t>Deutsche Boerse AG</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39,863</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0</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39,863</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33,936</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1,404</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35,340</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Euronext</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5,956</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5,956</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12,855</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12,855</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Johannesburg Stock Exchange</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2,408</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49</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2,457</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4,652</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48</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4,700</w:t>
            </w:r>
          </w:p>
        </w:tc>
      </w:tr>
      <w:tr w:rsidR="00A12A17" w:rsidRPr="00797A8B" w:rsidTr="00A91C39">
        <w:trPr>
          <w:trHeight w:val="247"/>
        </w:trPr>
        <w:tc>
          <w:tcPr>
            <w:tcW w:w="340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sz w:val="20"/>
                <w:szCs w:val="20"/>
              </w:rPr>
            </w:pPr>
            <w:r w:rsidRPr="00797A8B">
              <w:rPr>
                <w:rFonts w:ascii="Garamond" w:hAnsi="Garamond" w:cs="Calibri"/>
                <w:sz w:val="20"/>
                <w:szCs w:val="20"/>
              </w:rPr>
              <w:t>LSE Group</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57,761</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1,034</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58,795</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51,926</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2,427</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54,353</w:t>
            </w:r>
          </w:p>
        </w:tc>
      </w:tr>
      <w:tr w:rsidR="00A12A17" w:rsidRPr="00797A8B" w:rsidTr="00A91C39">
        <w:trPr>
          <w:trHeight w:val="257"/>
        </w:trPr>
        <w:tc>
          <w:tcPr>
            <w:tcW w:w="3402"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Moscow Exchange</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10,551</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10,551</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15,997</w:t>
            </w:r>
          </w:p>
        </w:tc>
        <w:tc>
          <w:tcPr>
            <w:tcW w:w="105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NA</w:t>
            </w:r>
          </w:p>
        </w:tc>
        <w:tc>
          <w:tcPr>
            <w:tcW w:w="1054"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15,997</w:t>
            </w:r>
          </w:p>
        </w:tc>
      </w:tr>
      <w:tr w:rsidR="00A12A17" w:rsidRPr="00797A8B" w:rsidTr="00A91C39">
        <w:trPr>
          <w:trHeight w:val="247"/>
        </w:trPr>
        <w:tc>
          <w:tcPr>
            <w:tcW w:w="3402" w:type="dxa"/>
            <w:tcBorders>
              <w:top w:val="nil"/>
              <w:left w:val="single" w:sz="4" w:space="0" w:color="auto"/>
              <w:bottom w:val="single" w:sz="4" w:space="0" w:color="auto"/>
              <w:right w:val="single" w:sz="4" w:space="0" w:color="auto"/>
            </w:tcBorders>
            <w:shd w:val="clear" w:color="000000" w:fill="BDD6EE"/>
            <w:tcMar>
              <w:top w:w="15" w:type="dxa"/>
              <w:left w:w="15" w:type="dxa"/>
              <w:bottom w:w="0" w:type="dxa"/>
              <w:right w:w="15" w:type="dxa"/>
            </w:tcMar>
            <w:vAlign w:val="center"/>
            <w:hideMark/>
          </w:tcPr>
          <w:p w:rsidR="00A12A17" w:rsidRPr="00797A8B" w:rsidRDefault="00A12A17" w:rsidP="00A91C39">
            <w:pPr>
              <w:rPr>
                <w:rFonts w:ascii="Garamond" w:hAnsi="Garamond" w:cs="Calibri"/>
                <w:b/>
                <w:bCs/>
                <w:color w:val="000000"/>
                <w:sz w:val="20"/>
                <w:szCs w:val="20"/>
              </w:rPr>
            </w:pPr>
            <w:r w:rsidRPr="00797A8B">
              <w:rPr>
                <w:rFonts w:ascii="Garamond" w:hAnsi="Garamond" w:cs="Calibri"/>
                <w:b/>
                <w:bCs/>
                <w:color w:val="000000"/>
                <w:sz w:val="20"/>
                <w:szCs w:val="20"/>
              </w:rPr>
              <w:t>Grand Total</w:t>
            </w:r>
          </w:p>
        </w:tc>
        <w:tc>
          <w:tcPr>
            <w:tcW w:w="1053" w:type="dxa"/>
            <w:tcBorders>
              <w:top w:val="nil"/>
              <w:left w:val="nil"/>
              <w:bottom w:val="single" w:sz="4" w:space="0" w:color="auto"/>
              <w:right w:val="single" w:sz="4" w:space="0" w:color="auto"/>
            </w:tcBorders>
            <w:shd w:val="clear" w:color="000000" w:fill="BDD6EE"/>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b/>
                <w:bCs/>
                <w:color w:val="000000"/>
                <w:sz w:val="20"/>
                <w:szCs w:val="20"/>
              </w:rPr>
            </w:pPr>
            <w:r w:rsidRPr="00797A8B">
              <w:rPr>
                <w:rFonts w:ascii="Garamond" w:hAnsi="Garamond" w:cs="Calibri"/>
                <w:b/>
                <w:bCs/>
                <w:color w:val="000000"/>
                <w:sz w:val="20"/>
                <w:szCs w:val="20"/>
              </w:rPr>
              <w:t xml:space="preserve"> 329,962</w:t>
            </w:r>
          </w:p>
        </w:tc>
        <w:tc>
          <w:tcPr>
            <w:tcW w:w="1053" w:type="dxa"/>
            <w:tcBorders>
              <w:top w:val="nil"/>
              <w:left w:val="nil"/>
              <w:bottom w:val="single" w:sz="4" w:space="0" w:color="auto"/>
              <w:right w:val="single" w:sz="4" w:space="0" w:color="auto"/>
            </w:tcBorders>
            <w:shd w:val="clear" w:color="000000" w:fill="BDD6EE"/>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b/>
                <w:bCs/>
                <w:color w:val="000000"/>
                <w:sz w:val="20"/>
                <w:szCs w:val="20"/>
              </w:rPr>
            </w:pPr>
            <w:r w:rsidRPr="00797A8B">
              <w:rPr>
                <w:rFonts w:ascii="Garamond" w:hAnsi="Garamond" w:cs="Calibri"/>
                <w:b/>
                <w:bCs/>
                <w:color w:val="000000"/>
                <w:sz w:val="20"/>
                <w:szCs w:val="20"/>
              </w:rPr>
              <w:t xml:space="preserve"> 48,961</w:t>
            </w:r>
          </w:p>
        </w:tc>
        <w:tc>
          <w:tcPr>
            <w:tcW w:w="1054" w:type="dxa"/>
            <w:tcBorders>
              <w:top w:val="nil"/>
              <w:left w:val="nil"/>
              <w:bottom w:val="single" w:sz="4" w:space="0" w:color="auto"/>
              <w:right w:val="single" w:sz="4" w:space="0" w:color="auto"/>
            </w:tcBorders>
            <w:shd w:val="clear" w:color="000000" w:fill="BDD6EE"/>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b/>
                <w:bCs/>
                <w:color w:val="000000"/>
                <w:sz w:val="20"/>
                <w:szCs w:val="20"/>
              </w:rPr>
            </w:pPr>
            <w:r w:rsidRPr="00797A8B">
              <w:rPr>
                <w:rFonts w:ascii="Garamond" w:hAnsi="Garamond" w:cs="Calibri"/>
                <w:b/>
                <w:bCs/>
                <w:color w:val="000000"/>
                <w:sz w:val="20"/>
                <w:szCs w:val="20"/>
              </w:rPr>
              <w:t xml:space="preserve"> 378,923</w:t>
            </w:r>
          </w:p>
        </w:tc>
        <w:tc>
          <w:tcPr>
            <w:tcW w:w="1053" w:type="dxa"/>
            <w:tcBorders>
              <w:top w:val="nil"/>
              <w:left w:val="nil"/>
              <w:bottom w:val="single" w:sz="4" w:space="0" w:color="auto"/>
              <w:right w:val="single" w:sz="4" w:space="0" w:color="auto"/>
            </w:tcBorders>
            <w:shd w:val="clear" w:color="000000" w:fill="BDD6EE"/>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b/>
                <w:bCs/>
                <w:color w:val="000000"/>
                <w:sz w:val="20"/>
                <w:szCs w:val="20"/>
              </w:rPr>
            </w:pPr>
            <w:r w:rsidRPr="00797A8B">
              <w:rPr>
                <w:rFonts w:ascii="Garamond" w:hAnsi="Garamond" w:cs="Calibri"/>
                <w:b/>
                <w:bCs/>
                <w:color w:val="000000"/>
                <w:sz w:val="20"/>
                <w:szCs w:val="20"/>
              </w:rPr>
              <w:t xml:space="preserve"> 247,477</w:t>
            </w:r>
          </w:p>
        </w:tc>
        <w:tc>
          <w:tcPr>
            <w:tcW w:w="1053" w:type="dxa"/>
            <w:tcBorders>
              <w:top w:val="nil"/>
              <w:left w:val="nil"/>
              <w:bottom w:val="single" w:sz="4" w:space="0" w:color="auto"/>
              <w:right w:val="single" w:sz="4" w:space="0" w:color="auto"/>
            </w:tcBorders>
            <w:shd w:val="clear" w:color="000000" w:fill="BDD6EE"/>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b/>
                <w:bCs/>
                <w:color w:val="000000"/>
                <w:sz w:val="20"/>
                <w:szCs w:val="20"/>
              </w:rPr>
            </w:pPr>
            <w:r w:rsidRPr="00797A8B">
              <w:rPr>
                <w:rFonts w:ascii="Garamond" w:hAnsi="Garamond" w:cs="Calibri"/>
                <w:b/>
                <w:bCs/>
                <w:color w:val="000000"/>
                <w:sz w:val="20"/>
                <w:szCs w:val="20"/>
              </w:rPr>
              <w:t xml:space="preserve"> 43,376</w:t>
            </w:r>
          </w:p>
        </w:tc>
        <w:tc>
          <w:tcPr>
            <w:tcW w:w="1054" w:type="dxa"/>
            <w:tcBorders>
              <w:top w:val="nil"/>
              <w:left w:val="nil"/>
              <w:bottom w:val="single" w:sz="4" w:space="0" w:color="auto"/>
              <w:right w:val="single" w:sz="4" w:space="0" w:color="auto"/>
            </w:tcBorders>
            <w:shd w:val="clear" w:color="000000" w:fill="BDD6EE"/>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b/>
                <w:bCs/>
                <w:color w:val="000000"/>
                <w:sz w:val="20"/>
                <w:szCs w:val="20"/>
              </w:rPr>
            </w:pPr>
            <w:r w:rsidRPr="00797A8B">
              <w:rPr>
                <w:rFonts w:ascii="Garamond" w:hAnsi="Garamond" w:cs="Calibri"/>
                <w:b/>
                <w:bCs/>
                <w:color w:val="000000"/>
                <w:sz w:val="20"/>
                <w:szCs w:val="20"/>
              </w:rPr>
              <w:t xml:space="preserve"> 290,853</w:t>
            </w:r>
          </w:p>
        </w:tc>
      </w:tr>
    </w:tbl>
    <w:p w:rsidR="00A12A17" w:rsidRPr="00E25198" w:rsidRDefault="00A12A17" w:rsidP="00A12A17">
      <w:pPr>
        <w:jc w:val="both"/>
        <w:rPr>
          <w:rFonts w:ascii="Garamond" w:hAnsi="Garamond"/>
          <w:bCs/>
          <w:sz w:val="18"/>
          <w:szCs w:val="18"/>
        </w:rPr>
      </w:pPr>
      <w:r w:rsidRPr="00E25198">
        <w:rPr>
          <w:rFonts w:ascii="Garamond" w:hAnsi="Garamond"/>
          <w:bCs/>
          <w:sz w:val="18"/>
          <w:szCs w:val="18"/>
        </w:rPr>
        <w:t xml:space="preserve"> 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A12A17" w:rsidRPr="00E25198" w:rsidRDefault="00A12A17" w:rsidP="00A12A17">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Australian Securities Exchange: including investment funds</w:t>
      </w:r>
    </w:p>
    <w:p w:rsidR="00A12A17" w:rsidRPr="00E25198" w:rsidRDefault="00A12A17" w:rsidP="00A12A17">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 xml:space="preserve">BME: Including investment companies listed (open-end investment companies). </w:t>
      </w:r>
    </w:p>
    <w:p w:rsidR="00A12A17" w:rsidRPr="00E25198" w:rsidRDefault="00A12A17" w:rsidP="00A12A17">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Euronext: includes Belgium, England, France, Netherlands and Portugal</w:t>
      </w:r>
    </w:p>
    <w:p w:rsidR="00A12A17" w:rsidRPr="00E25198" w:rsidRDefault="00A12A17" w:rsidP="00A12A17">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Korea Exchange: including Kosdaq market data</w:t>
      </w:r>
    </w:p>
    <w:p w:rsidR="00A12A17" w:rsidRPr="00E25198" w:rsidRDefault="00A12A17" w:rsidP="00A12A17">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LSE Group: includes London Stock Exchange and BorsaItaliana</w:t>
      </w:r>
    </w:p>
    <w:p w:rsidR="00A12A17" w:rsidRPr="00E25198" w:rsidRDefault="00A12A17" w:rsidP="00A12A17">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Nasdaq Nordic Exchanges include Copenhagen, Helsinki, Iceland, Stockholm, Tallinn, Riga and Vilnius Stock Exchanges</w:t>
      </w:r>
    </w:p>
    <w:p w:rsidR="00A12A17" w:rsidRPr="00E25198" w:rsidRDefault="00A12A17" w:rsidP="00A12A17">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NSE India: including “Emerge” market data</w:t>
      </w:r>
    </w:p>
    <w:p w:rsidR="00A12A17" w:rsidRPr="00E25198" w:rsidRDefault="00A12A17" w:rsidP="00A12A17">
      <w:pPr>
        <w:outlineLvl w:val="0"/>
        <w:rPr>
          <w:rFonts w:ascii="Garamond" w:hAnsi="Garamond"/>
          <w:bCs/>
          <w:sz w:val="18"/>
          <w:szCs w:val="18"/>
        </w:rPr>
      </w:pPr>
      <w:r w:rsidRPr="00E25198">
        <w:rPr>
          <w:rFonts w:ascii="Garamond" w:hAnsi="Garamond"/>
          <w:bCs/>
          <w:sz w:val="18"/>
          <w:szCs w:val="18"/>
        </w:rPr>
        <w:t>NA = Not Available</w:t>
      </w:r>
    </w:p>
    <w:p w:rsidR="00A12A17" w:rsidRPr="00E25198" w:rsidRDefault="00A12A17" w:rsidP="00A12A17">
      <w:pPr>
        <w:spacing w:line="23" w:lineRule="atLeast"/>
        <w:rPr>
          <w:rFonts w:ascii="Garamond" w:hAnsi="Garamond"/>
          <w:bCs/>
          <w:sz w:val="18"/>
          <w:szCs w:val="18"/>
        </w:rPr>
      </w:pPr>
      <w:r w:rsidRPr="00E25198">
        <w:rPr>
          <w:rFonts w:ascii="Garamond" w:hAnsi="Garamond"/>
          <w:bCs/>
          <w:sz w:val="18"/>
          <w:szCs w:val="18"/>
        </w:rPr>
        <w:t>Source: World Federation of Exchanges</w:t>
      </w:r>
    </w:p>
    <w:p w:rsidR="00A12A17" w:rsidRPr="00E25198" w:rsidRDefault="00A12A17" w:rsidP="00A12A17">
      <w:pPr>
        <w:rPr>
          <w:rFonts w:ascii="Garamond" w:hAnsi="Garamond"/>
          <w:bCs/>
          <w:sz w:val="22"/>
          <w:szCs w:val="22"/>
        </w:rPr>
      </w:pPr>
    </w:p>
    <w:p w:rsidR="00A12A17" w:rsidRPr="00E25198" w:rsidRDefault="00A12A17" w:rsidP="00A12A17">
      <w:pPr>
        <w:spacing w:line="23" w:lineRule="atLeast"/>
        <w:jc w:val="both"/>
        <w:outlineLvl w:val="0"/>
        <w:rPr>
          <w:rFonts w:ascii="Garamond" w:hAnsi="Garamond"/>
          <w:b/>
          <w:bCs/>
          <w:szCs w:val="22"/>
        </w:rPr>
      </w:pPr>
      <w:r w:rsidRPr="00E25198">
        <w:rPr>
          <w:rFonts w:ascii="Garamond" w:hAnsi="Garamond"/>
          <w:b/>
          <w:bCs/>
          <w:szCs w:val="22"/>
        </w:rPr>
        <w:t>Table A3: Domestic Market Capitalisation of Major Exchanges (USD billion)</w:t>
      </w:r>
    </w:p>
    <w:tbl>
      <w:tblPr>
        <w:tblW w:w="8794" w:type="dxa"/>
        <w:jc w:val="center"/>
        <w:tblCellMar>
          <w:left w:w="0" w:type="dxa"/>
          <w:right w:w="0" w:type="dxa"/>
        </w:tblCellMar>
        <w:tblLook w:val="04A0" w:firstRow="1" w:lastRow="0" w:firstColumn="1" w:lastColumn="0" w:noHBand="0" w:noVBand="1"/>
      </w:tblPr>
      <w:tblGrid>
        <w:gridCol w:w="4561"/>
        <w:gridCol w:w="1411"/>
        <w:gridCol w:w="1411"/>
        <w:gridCol w:w="1411"/>
      </w:tblGrid>
      <w:tr w:rsidR="00A12A17" w:rsidRPr="00797A8B" w:rsidTr="00A91C39">
        <w:trPr>
          <w:trHeight w:val="248"/>
          <w:jc w:val="center"/>
        </w:trPr>
        <w:tc>
          <w:tcPr>
            <w:tcW w:w="4561" w:type="dxa"/>
            <w:tcBorders>
              <w:top w:val="single" w:sz="4" w:space="0" w:color="auto"/>
              <w:left w:val="single" w:sz="4" w:space="0" w:color="auto"/>
              <w:bottom w:val="single" w:sz="4" w:space="0" w:color="auto"/>
              <w:right w:val="single" w:sz="4" w:space="0" w:color="auto"/>
            </w:tcBorders>
            <w:shd w:val="clear" w:color="000000" w:fill="B4C6E7"/>
            <w:noWrap/>
            <w:tcMar>
              <w:top w:w="15" w:type="dxa"/>
              <w:left w:w="15" w:type="dxa"/>
              <w:bottom w:w="0" w:type="dxa"/>
              <w:right w:w="15" w:type="dxa"/>
            </w:tcMar>
            <w:vAlign w:val="center"/>
            <w:hideMark/>
          </w:tcPr>
          <w:p w:rsidR="00A12A17" w:rsidRPr="00797A8B" w:rsidRDefault="00A12A17" w:rsidP="00A91C39">
            <w:pPr>
              <w:rPr>
                <w:rFonts w:ascii="Garamond" w:hAnsi="Garamond" w:cs="Calibri"/>
                <w:b/>
                <w:bCs/>
                <w:color w:val="000000"/>
                <w:sz w:val="20"/>
                <w:szCs w:val="20"/>
                <w:lang w:val="en-US" w:bidi="hi-IN"/>
              </w:rPr>
            </w:pPr>
            <w:r w:rsidRPr="00797A8B">
              <w:rPr>
                <w:rFonts w:ascii="Garamond" w:hAnsi="Garamond" w:cs="Calibri"/>
                <w:b/>
                <w:bCs/>
                <w:color w:val="000000"/>
                <w:sz w:val="20"/>
                <w:szCs w:val="20"/>
              </w:rPr>
              <w:t>Exchnage</w:t>
            </w:r>
          </w:p>
        </w:tc>
        <w:tc>
          <w:tcPr>
            <w:tcW w:w="1411" w:type="dxa"/>
            <w:tcBorders>
              <w:top w:val="single" w:sz="4" w:space="0" w:color="auto"/>
              <w:left w:val="nil"/>
              <w:bottom w:val="single" w:sz="4" w:space="0" w:color="auto"/>
              <w:right w:val="single" w:sz="4" w:space="0" w:color="auto"/>
            </w:tcBorders>
            <w:shd w:val="clear" w:color="000000" w:fill="B4C6E7"/>
            <w:noWrap/>
            <w:tcMar>
              <w:top w:w="15" w:type="dxa"/>
              <w:left w:w="15" w:type="dxa"/>
              <w:bottom w:w="0" w:type="dxa"/>
              <w:right w:w="15" w:type="dxa"/>
            </w:tcMar>
            <w:vAlign w:val="center"/>
            <w:hideMark/>
          </w:tcPr>
          <w:p w:rsidR="00A12A17" w:rsidRPr="00797A8B" w:rsidRDefault="00A12A17" w:rsidP="00A91C39">
            <w:pPr>
              <w:jc w:val="center"/>
              <w:rPr>
                <w:rFonts w:ascii="Calibri" w:hAnsi="Calibri" w:cs="Calibri"/>
                <w:b/>
                <w:bCs/>
                <w:color w:val="000000"/>
                <w:sz w:val="18"/>
                <w:szCs w:val="18"/>
              </w:rPr>
            </w:pPr>
            <w:r w:rsidRPr="00797A8B">
              <w:rPr>
                <w:rFonts w:ascii="Calibri" w:hAnsi="Calibri" w:cs="Calibri"/>
                <w:b/>
                <w:bCs/>
                <w:color w:val="000000"/>
                <w:sz w:val="18"/>
                <w:szCs w:val="18"/>
              </w:rPr>
              <w:t>Jan-21</w:t>
            </w:r>
          </w:p>
        </w:tc>
        <w:tc>
          <w:tcPr>
            <w:tcW w:w="1411" w:type="dxa"/>
            <w:tcBorders>
              <w:top w:val="single" w:sz="4" w:space="0" w:color="auto"/>
              <w:left w:val="nil"/>
              <w:bottom w:val="single" w:sz="4" w:space="0" w:color="auto"/>
              <w:right w:val="single" w:sz="4" w:space="0" w:color="auto"/>
            </w:tcBorders>
            <w:shd w:val="clear" w:color="000000" w:fill="B4C6E7"/>
            <w:noWrap/>
            <w:tcMar>
              <w:top w:w="15" w:type="dxa"/>
              <w:left w:w="15" w:type="dxa"/>
              <w:bottom w:w="0" w:type="dxa"/>
              <w:right w:w="15" w:type="dxa"/>
            </w:tcMar>
            <w:vAlign w:val="center"/>
            <w:hideMark/>
          </w:tcPr>
          <w:p w:rsidR="00A12A17" w:rsidRPr="00797A8B" w:rsidRDefault="00A12A17" w:rsidP="00A91C39">
            <w:pPr>
              <w:jc w:val="center"/>
              <w:rPr>
                <w:rFonts w:ascii="Calibri" w:hAnsi="Calibri" w:cs="Calibri"/>
                <w:b/>
                <w:bCs/>
                <w:color w:val="000000"/>
                <w:sz w:val="18"/>
                <w:szCs w:val="18"/>
              </w:rPr>
            </w:pPr>
            <w:r w:rsidRPr="00797A8B">
              <w:rPr>
                <w:rFonts w:ascii="Calibri" w:hAnsi="Calibri" w:cs="Calibri"/>
                <w:b/>
                <w:bCs/>
                <w:color w:val="000000"/>
                <w:sz w:val="18"/>
                <w:szCs w:val="18"/>
              </w:rPr>
              <w:t>Feb-21</w:t>
            </w:r>
          </w:p>
        </w:tc>
        <w:tc>
          <w:tcPr>
            <w:tcW w:w="1411" w:type="dxa"/>
            <w:tcBorders>
              <w:top w:val="single" w:sz="4" w:space="0" w:color="auto"/>
              <w:left w:val="nil"/>
              <w:bottom w:val="single" w:sz="4" w:space="0" w:color="auto"/>
              <w:right w:val="single" w:sz="4" w:space="0" w:color="auto"/>
            </w:tcBorders>
            <w:shd w:val="clear" w:color="000000" w:fill="B4C6E7"/>
            <w:noWrap/>
            <w:tcMar>
              <w:top w:w="15" w:type="dxa"/>
              <w:left w:w="15" w:type="dxa"/>
              <w:bottom w:w="0" w:type="dxa"/>
              <w:right w:w="15" w:type="dxa"/>
            </w:tcMar>
            <w:vAlign w:val="center"/>
            <w:hideMark/>
          </w:tcPr>
          <w:p w:rsidR="00A12A17" w:rsidRPr="00797A8B" w:rsidRDefault="00A12A17" w:rsidP="00A91C39">
            <w:pPr>
              <w:rPr>
                <w:rFonts w:ascii="Calibri" w:hAnsi="Calibri" w:cs="Calibri"/>
                <w:b/>
                <w:bCs/>
                <w:color w:val="000000"/>
                <w:sz w:val="18"/>
                <w:szCs w:val="18"/>
              </w:rPr>
            </w:pPr>
            <w:r w:rsidRPr="00797A8B">
              <w:rPr>
                <w:rFonts w:ascii="Calibri" w:hAnsi="Calibri" w:cs="Calibri"/>
                <w:b/>
                <w:bCs/>
                <w:color w:val="000000"/>
                <w:sz w:val="18"/>
                <w:szCs w:val="18"/>
              </w:rPr>
              <w:t>% Change MoM</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Nasdaq - US</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19,335</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19,513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0.9%</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NYSE</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LSE Group</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3,670</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3,833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4.5%</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Deutsche Boerse AG</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2,059</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2,113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2.6%</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BME Spanish Exchanges</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664</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699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5.3%</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Japan Exchange Group</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6,347</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6,540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3.0%</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Singapore Exchange</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647</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0.4%</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Hong Kong Exchanges and Clearing</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6,475</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6,763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4.4%</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Korea Exchange</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2,049</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2,071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1.1%</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ASX Australian Securities Exchange</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1,526</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1,544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1.2%</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B3 - Brasil Bolsa Balcão</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1,198</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1,174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-2.0%</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Moscow Exchange</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805</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824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2.3%</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National Stock Exchange of India</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2,575</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NA</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Shanghai Stock Exchange</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6,499</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6,557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0.9%</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Shenzhen Stock Exchange</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4,901</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4,831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-1.4%</w:t>
            </w:r>
          </w:p>
        </w:tc>
      </w:tr>
      <w:tr w:rsidR="00A12A17" w:rsidRPr="00797A8B" w:rsidTr="00A91C39">
        <w:trPr>
          <w:trHeight w:val="248"/>
          <w:jc w:val="center"/>
        </w:trPr>
        <w:tc>
          <w:tcPr>
            <w:tcW w:w="0" w:type="auto"/>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vAlign w:val="center"/>
            <w:hideMark/>
          </w:tcPr>
          <w:p w:rsidR="00A12A17" w:rsidRPr="00797A8B" w:rsidRDefault="00A12A17" w:rsidP="00A91C39">
            <w:pPr>
              <w:rPr>
                <w:rFonts w:ascii="Garamond" w:hAnsi="Garamond" w:cs="Calibri"/>
                <w:color w:val="000000"/>
                <w:sz w:val="20"/>
                <w:szCs w:val="20"/>
              </w:rPr>
            </w:pPr>
            <w:r w:rsidRPr="00797A8B">
              <w:rPr>
                <w:rFonts w:ascii="Garamond" w:hAnsi="Garamond" w:cs="Calibri"/>
                <w:color w:val="000000"/>
                <w:sz w:val="20"/>
                <w:szCs w:val="20"/>
              </w:rPr>
              <w:t>Johannesburg Stock Exchange</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1,095</w:t>
            </w:r>
          </w:p>
        </w:tc>
        <w:tc>
          <w:tcPr>
            <w:tcW w:w="141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 xml:space="preserve"> 1,134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A12A17" w:rsidRPr="00797A8B" w:rsidRDefault="00A12A17" w:rsidP="00A91C39">
            <w:pPr>
              <w:ind w:right="113"/>
              <w:jc w:val="right"/>
              <w:rPr>
                <w:rFonts w:ascii="Garamond" w:hAnsi="Garamond" w:cs="Calibri"/>
                <w:color w:val="000000"/>
                <w:sz w:val="20"/>
                <w:szCs w:val="20"/>
              </w:rPr>
            </w:pPr>
            <w:r w:rsidRPr="00797A8B">
              <w:rPr>
                <w:rFonts w:ascii="Garamond" w:hAnsi="Garamond" w:cs="Calibri"/>
                <w:color w:val="000000"/>
                <w:sz w:val="20"/>
                <w:szCs w:val="20"/>
              </w:rPr>
              <w:t>3.5%</w:t>
            </w:r>
          </w:p>
        </w:tc>
      </w:tr>
    </w:tbl>
    <w:p w:rsidR="00A12A17" w:rsidRPr="00E25198" w:rsidRDefault="00A12A17" w:rsidP="00A12A17">
      <w:pPr>
        <w:spacing w:line="23" w:lineRule="atLeast"/>
        <w:ind w:left="851"/>
        <w:jc w:val="both"/>
        <w:outlineLvl w:val="0"/>
        <w:rPr>
          <w:rFonts w:ascii="Garamond" w:hAnsi="Garamond"/>
          <w:bCs/>
          <w:sz w:val="18"/>
          <w:szCs w:val="18"/>
        </w:rPr>
      </w:pPr>
      <w:r w:rsidRPr="00E25198">
        <w:rPr>
          <w:rFonts w:ascii="Garamond" w:hAnsi="Garamond"/>
          <w:bCs/>
          <w:sz w:val="18"/>
          <w:szCs w:val="18"/>
        </w:rPr>
        <w:t xml:space="preserve"> NA: Not Available</w:t>
      </w:r>
    </w:p>
    <w:p w:rsidR="00A12A17" w:rsidRPr="00E25198" w:rsidRDefault="00A12A17" w:rsidP="00A12A17">
      <w:pPr>
        <w:spacing w:line="23" w:lineRule="atLeast"/>
        <w:ind w:left="851"/>
        <w:jc w:val="both"/>
        <w:outlineLvl w:val="0"/>
        <w:rPr>
          <w:rFonts w:ascii="Garamond" w:hAnsi="Garamond"/>
          <w:bCs/>
          <w:sz w:val="18"/>
          <w:szCs w:val="18"/>
        </w:rPr>
      </w:pPr>
      <w:r w:rsidRPr="00E25198">
        <w:rPr>
          <w:rFonts w:ascii="Garamond" w:hAnsi="Garamond"/>
          <w:bCs/>
          <w:sz w:val="18"/>
          <w:szCs w:val="18"/>
        </w:rPr>
        <w:t>Source: World Federation of Exchanges</w:t>
      </w:r>
    </w:p>
    <w:p w:rsidR="00A12A17" w:rsidRPr="00E25198" w:rsidRDefault="00A12A17" w:rsidP="00A12A17">
      <w:pPr>
        <w:spacing w:line="23" w:lineRule="atLeast"/>
        <w:ind w:left="851"/>
        <w:jc w:val="both"/>
        <w:outlineLvl w:val="0"/>
        <w:rPr>
          <w:rFonts w:ascii="Garamond" w:hAnsi="Garamond"/>
          <w:bCs/>
          <w:sz w:val="18"/>
          <w:szCs w:val="18"/>
        </w:rPr>
      </w:pPr>
      <w:r w:rsidRPr="00E25198">
        <w:rPr>
          <w:rFonts w:ascii="Garamond" w:hAnsi="Garamond"/>
          <w:bCs/>
          <w:sz w:val="18"/>
          <w:szCs w:val="18"/>
        </w:rPr>
        <w:t xml:space="preserve">Note: </w:t>
      </w:r>
    </w:p>
    <w:p w:rsidR="00A12A17" w:rsidRPr="00E25198" w:rsidRDefault="00A12A17" w:rsidP="00A12A17">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The figures provided in some versions of SEBI Bulletin are sourced from Refinitiv which provides country wise market capitalization data (estimated internally by Refinitiv).</w:t>
      </w:r>
    </w:p>
    <w:p w:rsidR="00A12A17" w:rsidRPr="00E25198" w:rsidRDefault="00A12A17" w:rsidP="00A12A17">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The figures provided World Federation of Exchanges are more detailed and are provided by respective member exchanges.</w:t>
      </w:r>
    </w:p>
    <w:p w:rsidR="00A12A17" w:rsidRDefault="00A12A17" w:rsidP="00A12A17">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 xml:space="preserve">As per the data available as on </w:t>
      </w:r>
      <w:r>
        <w:rPr>
          <w:rFonts w:ascii="Garamond" w:hAnsi="Garamond"/>
          <w:bCs/>
          <w:sz w:val="18"/>
          <w:szCs w:val="18"/>
          <w:lang w:val="en-US"/>
        </w:rPr>
        <w:t xml:space="preserve">12 April </w:t>
      </w:r>
      <w:r w:rsidRPr="00E25198">
        <w:rPr>
          <w:rFonts w:ascii="Garamond" w:hAnsi="Garamond"/>
          <w:bCs/>
          <w:sz w:val="18"/>
          <w:szCs w:val="18"/>
          <w:lang w:val="en-US"/>
        </w:rPr>
        <w:t>2021.</w:t>
      </w:r>
    </w:p>
    <w:p w:rsidR="00A12A17" w:rsidRPr="00E25198" w:rsidRDefault="00A12A17" w:rsidP="00A12A17">
      <w:pPr>
        <w:spacing w:line="23" w:lineRule="atLeast"/>
        <w:jc w:val="both"/>
        <w:outlineLvl w:val="0"/>
        <w:rPr>
          <w:rFonts w:ascii="Garamond" w:hAnsi="Garamond"/>
          <w:b/>
          <w:bCs/>
          <w:szCs w:val="22"/>
        </w:rPr>
      </w:pPr>
      <w:r w:rsidRPr="00E25198">
        <w:rPr>
          <w:rFonts w:ascii="Garamond" w:hAnsi="Garamond"/>
          <w:b/>
          <w:bCs/>
          <w:szCs w:val="22"/>
        </w:rPr>
        <w:t>Table A4: Stock Futures and Stock Options Traded in Major Exchanges</w:t>
      </w:r>
    </w:p>
    <w:p w:rsidR="00A12A17" w:rsidRPr="00E25198" w:rsidRDefault="00A12A17" w:rsidP="00A12A17">
      <w:pPr>
        <w:spacing w:line="23" w:lineRule="atLeast"/>
        <w:ind w:right="-744"/>
        <w:jc w:val="right"/>
        <w:outlineLvl w:val="0"/>
        <w:rPr>
          <w:rFonts w:ascii="Garamond" w:hAnsi="Garamond"/>
          <w:bCs/>
          <w:sz w:val="22"/>
          <w:szCs w:val="22"/>
        </w:rPr>
      </w:pPr>
      <w:r w:rsidRPr="00E25198">
        <w:rPr>
          <w:rFonts w:ascii="Garamond" w:hAnsi="Garamond"/>
          <w:bCs/>
          <w:sz w:val="22"/>
          <w:szCs w:val="22"/>
        </w:rPr>
        <w:t>Notional Turnover in (USD million)</w:t>
      </w:r>
    </w:p>
    <w:tbl>
      <w:tblPr>
        <w:tblW w:w="10658" w:type="dxa"/>
        <w:tblLook w:val="04A0" w:firstRow="1" w:lastRow="0" w:firstColumn="1" w:lastColumn="0" w:noHBand="0" w:noVBand="1"/>
      </w:tblPr>
      <w:tblGrid>
        <w:gridCol w:w="3651"/>
        <w:gridCol w:w="1189"/>
        <w:gridCol w:w="1150"/>
        <w:gridCol w:w="1153"/>
        <w:gridCol w:w="1189"/>
        <w:gridCol w:w="1150"/>
        <w:gridCol w:w="1176"/>
      </w:tblGrid>
      <w:tr w:rsidR="00A12A17" w:rsidRPr="00797A8B" w:rsidTr="00A91C39">
        <w:trPr>
          <w:trHeight w:val="256"/>
        </w:trPr>
        <w:tc>
          <w:tcPr>
            <w:tcW w:w="3651"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Exchange</w:t>
            </w:r>
          </w:p>
        </w:tc>
        <w:tc>
          <w:tcPr>
            <w:tcW w:w="7007" w:type="dxa"/>
            <w:gridSpan w:val="6"/>
            <w:tcBorders>
              <w:top w:val="single" w:sz="8" w:space="0" w:color="auto"/>
              <w:left w:val="nil"/>
              <w:bottom w:val="single" w:sz="8" w:space="0" w:color="auto"/>
              <w:right w:val="single" w:sz="8" w:space="0" w:color="000000"/>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Feb-21</w:t>
            </w:r>
          </w:p>
        </w:tc>
      </w:tr>
      <w:tr w:rsidR="00A12A17" w:rsidRPr="00797A8B" w:rsidTr="00A91C39">
        <w:trPr>
          <w:trHeight w:val="270"/>
        </w:trPr>
        <w:tc>
          <w:tcPr>
            <w:tcW w:w="3651" w:type="dxa"/>
            <w:vMerge/>
            <w:tcBorders>
              <w:top w:val="single" w:sz="8" w:space="0" w:color="auto"/>
              <w:left w:val="single" w:sz="8" w:space="0" w:color="auto"/>
              <w:bottom w:val="single" w:sz="8" w:space="0" w:color="000000"/>
              <w:right w:val="single" w:sz="8" w:space="0" w:color="auto"/>
            </w:tcBorders>
            <w:vAlign w:val="center"/>
            <w:hideMark/>
          </w:tcPr>
          <w:p w:rsidR="00A12A17" w:rsidRPr="00930E82" w:rsidRDefault="00A12A17" w:rsidP="00A91C39">
            <w:pPr>
              <w:rPr>
                <w:rFonts w:ascii="Garamond" w:eastAsia="Times New Roman" w:hAnsi="Garamond" w:cs="Calibri"/>
                <w:b/>
                <w:bCs/>
                <w:color w:val="000000"/>
                <w:sz w:val="20"/>
                <w:szCs w:val="20"/>
                <w:lang w:val="en-US" w:bidi="hi-IN"/>
              </w:rPr>
            </w:pPr>
          </w:p>
        </w:tc>
        <w:tc>
          <w:tcPr>
            <w:tcW w:w="3492" w:type="dxa"/>
            <w:gridSpan w:val="3"/>
            <w:tcBorders>
              <w:top w:val="single" w:sz="8" w:space="0" w:color="auto"/>
              <w:left w:val="nil"/>
              <w:bottom w:val="single" w:sz="8" w:space="0" w:color="auto"/>
              <w:right w:val="single" w:sz="8" w:space="0" w:color="000000"/>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Single Stock Futures</w:t>
            </w:r>
          </w:p>
        </w:tc>
        <w:tc>
          <w:tcPr>
            <w:tcW w:w="3515" w:type="dxa"/>
            <w:gridSpan w:val="3"/>
            <w:tcBorders>
              <w:top w:val="single" w:sz="8" w:space="0" w:color="auto"/>
              <w:left w:val="nil"/>
              <w:bottom w:val="single" w:sz="8" w:space="0" w:color="auto"/>
              <w:right w:val="single" w:sz="8" w:space="0" w:color="000000"/>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Single Stock Options</w:t>
            </w:r>
          </w:p>
        </w:tc>
      </w:tr>
      <w:tr w:rsidR="00A12A17" w:rsidRPr="00797A8B" w:rsidTr="00A91C39">
        <w:trPr>
          <w:trHeight w:val="246"/>
        </w:trPr>
        <w:tc>
          <w:tcPr>
            <w:tcW w:w="3651" w:type="dxa"/>
            <w:vMerge/>
            <w:tcBorders>
              <w:top w:val="single" w:sz="8" w:space="0" w:color="auto"/>
              <w:left w:val="single" w:sz="8" w:space="0" w:color="auto"/>
              <w:bottom w:val="single" w:sz="8" w:space="0" w:color="000000"/>
              <w:right w:val="single" w:sz="8" w:space="0" w:color="auto"/>
            </w:tcBorders>
            <w:vAlign w:val="center"/>
            <w:hideMark/>
          </w:tcPr>
          <w:p w:rsidR="00A12A17" w:rsidRPr="00930E82" w:rsidRDefault="00A12A17" w:rsidP="00A91C39">
            <w:pPr>
              <w:rPr>
                <w:rFonts w:ascii="Garamond" w:eastAsia="Times New Roman" w:hAnsi="Garamond" w:cs="Calibri"/>
                <w:b/>
                <w:bCs/>
                <w:color w:val="000000"/>
                <w:sz w:val="20"/>
                <w:szCs w:val="20"/>
                <w:lang w:val="en-US" w:bidi="hi-IN"/>
              </w:rPr>
            </w:pPr>
          </w:p>
        </w:tc>
        <w:tc>
          <w:tcPr>
            <w:tcW w:w="1189" w:type="dxa"/>
            <w:tcBorders>
              <w:top w:val="nil"/>
              <w:left w:val="nil"/>
              <w:bottom w:val="nil"/>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Number of</w:t>
            </w:r>
          </w:p>
        </w:tc>
        <w:tc>
          <w:tcPr>
            <w:tcW w:w="1150" w:type="dxa"/>
            <w:tcBorders>
              <w:top w:val="nil"/>
              <w:left w:val="nil"/>
              <w:bottom w:val="nil"/>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Notional</w:t>
            </w:r>
          </w:p>
        </w:tc>
        <w:tc>
          <w:tcPr>
            <w:tcW w:w="1152" w:type="dxa"/>
            <w:tcBorders>
              <w:top w:val="nil"/>
              <w:left w:val="nil"/>
              <w:bottom w:val="nil"/>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Open</w:t>
            </w:r>
          </w:p>
        </w:tc>
        <w:tc>
          <w:tcPr>
            <w:tcW w:w="1189" w:type="dxa"/>
            <w:tcBorders>
              <w:top w:val="nil"/>
              <w:left w:val="nil"/>
              <w:bottom w:val="nil"/>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Number of</w:t>
            </w:r>
          </w:p>
        </w:tc>
        <w:tc>
          <w:tcPr>
            <w:tcW w:w="1150" w:type="dxa"/>
            <w:tcBorders>
              <w:top w:val="nil"/>
              <w:left w:val="nil"/>
              <w:bottom w:val="nil"/>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Notional</w:t>
            </w:r>
          </w:p>
        </w:tc>
        <w:tc>
          <w:tcPr>
            <w:tcW w:w="1175" w:type="dxa"/>
            <w:tcBorders>
              <w:top w:val="nil"/>
              <w:left w:val="nil"/>
              <w:bottom w:val="nil"/>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Open</w:t>
            </w:r>
          </w:p>
        </w:tc>
      </w:tr>
      <w:tr w:rsidR="00A12A17" w:rsidRPr="00797A8B" w:rsidTr="00A91C39">
        <w:trPr>
          <w:trHeight w:val="463"/>
        </w:trPr>
        <w:tc>
          <w:tcPr>
            <w:tcW w:w="3651" w:type="dxa"/>
            <w:vMerge/>
            <w:tcBorders>
              <w:top w:val="single" w:sz="8" w:space="0" w:color="auto"/>
              <w:left w:val="single" w:sz="8" w:space="0" w:color="auto"/>
              <w:bottom w:val="single" w:sz="8" w:space="0" w:color="000000"/>
              <w:right w:val="single" w:sz="8" w:space="0" w:color="auto"/>
            </w:tcBorders>
            <w:vAlign w:val="center"/>
            <w:hideMark/>
          </w:tcPr>
          <w:p w:rsidR="00A12A17" w:rsidRPr="00930E82" w:rsidRDefault="00A12A17" w:rsidP="00A91C39">
            <w:pPr>
              <w:rPr>
                <w:rFonts w:ascii="Garamond" w:eastAsia="Times New Roman" w:hAnsi="Garamond" w:cs="Calibri"/>
                <w:b/>
                <w:bCs/>
                <w:color w:val="000000"/>
                <w:sz w:val="20"/>
                <w:szCs w:val="20"/>
                <w:lang w:val="en-US" w:bidi="hi-IN"/>
              </w:rPr>
            </w:pPr>
          </w:p>
        </w:tc>
        <w:tc>
          <w:tcPr>
            <w:tcW w:w="1189" w:type="dxa"/>
            <w:tcBorders>
              <w:top w:val="nil"/>
              <w:left w:val="nil"/>
              <w:bottom w:val="single" w:sz="8" w:space="0" w:color="auto"/>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Contracts Traded</w:t>
            </w:r>
          </w:p>
        </w:tc>
        <w:tc>
          <w:tcPr>
            <w:tcW w:w="1150" w:type="dxa"/>
            <w:tcBorders>
              <w:top w:val="nil"/>
              <w:left w:val="nil"/>
              <w:bottom w:val="single" w:sz="8" w:space="0" w:color="auto"/>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Turnover</w:t>
            </w:r>
          </w:p>
        </w:tc>
        <w:tc>
          <w:tcPr>
            <w:tcW w:w="1152" w:type="dxa"/>
            <w:tcBorders>
              <w:top w:val="nil"/>
              <w:left w:val="nil"/>
              <w:bottom w:val="single" w:sz="8" w:space="0" w:color="auto"/>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Interest</w:t>
            </w:r>
          </w:p>
        </w:tc>
        <w:tc>
          <w:tcPr>
            <w:tcW w:w="1189" w:type="dxa"/>
            <w:tcBorders>
              <w:top w:val="nil"/>
              <w:left w:val="nil"/>
              <w:bottom w:val="single" w:sz="8" w:space="0" w:color="auto"/>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Contracts Traded</w:t>
            </w:r>
          </w:p>
        </w:tc>
        <w:tc>
          <w:tcPr>
            <w:tcW w:w="1150" w:type="dxa"/>
            <w:tcBorders>
              <w:top w:val="nil"/>
              <w:left w:val="nil"/>
              <w:bottom w:val="single" w:sz="8" w:space="0" w:color="auto"/>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Turnover</w:t>
            </w:r>
          </w:p>
        </w:tc>
        <w:tc>
          <w:tcPr>
            <w:tcW w:w="1175" w:type="dxa"/>
            <w:tcBorders>
              <w:top w:val="nil"/>
              <w:left w:val="nil"/>
              <w:bottom w:val="single" w:sz="8" w:space="0" w:color="auto"/>
              <w:right w:val="single" w:sz="8" w:space="0" w:color="auto"/>
            </w:tcBorders>
            <w:shd w:val="clear" w:color="000000" w:fill="B4C6E7"/>
            <w:vAlign w:val="center"/>
            <w:hideMark/>
          </w:tcPr>
          <w:p w:rsidR="00A12A17" w:rsidRPr="00930E82" w:rsidRDefault="00A12A17" w:rsidP="00A91C39">
            <w:pPr>
              <w:jc w:val="cente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Interest</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B3 - Brasil Bolsa Balcão</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58,974,100</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505</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22,945,400</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139,867,842</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100,499</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49,232,182</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Bolsa de Valores de Colombia</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9,356</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7</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11,284</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Bolsa Mexicana de Valores</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1,039</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2,935</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101,150</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7</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196,270</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Cboe Global Markets</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141,688,753</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263,150,137</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Nasdaq - US</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213,092,696</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MIAX Exchange Group</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81,162,819</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1,592,827</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ASX Australian Securities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44,312</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58</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376,874</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5,004,000</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9,473</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6,384,152</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Hong Kong Exchanges and Clearing</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241,534</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1,333</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39,835</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14,511,804</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76,567</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11,710,288</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Japan Exchange Group</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1,312</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15,606</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Korea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118,275,248</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103,190</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7,223,647</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91,424</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20,889</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National Stock Exchange of India</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Singapore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276,291</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51,105</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Taiwan Futures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3,146,624</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26,021</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373,674</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9,908</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146</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4,775</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Thailand Futures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3,307,896</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2,017,809</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Athens Stock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760,574</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154</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344,821</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2,171</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1,844</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BME Spanish Exchanges</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108,602</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39</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1,396,317</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1,265,403</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1,294</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7,174,824</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Borsa Istanbul</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143,312,941</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22,401</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8,039,425</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522,611</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89</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955,306</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Budapest Stock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6,043</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47</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5,264</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Deutsche Boerse AG</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4,235,942</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20,395</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6,814,846</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19,348,757</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91,458</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65,436,914</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Euronext</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973,026</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2,840</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1,641,436</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6,965,469</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27,011</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15,734,667</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Moscow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16,492,444</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6,164</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1,723,858</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160,601</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62</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393,960</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Nasdaq Nordic and Baltics</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275,467</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522</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1,756,440</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3,444</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Tehran Stock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2,757,571</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237</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Tel-Aviv Stock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48,889</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0</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76,407</w:t>
            </w:r>
          </w:p>
        </w:tc>
      </w:tr>
      <w:tr w:rsidR="00A12A17" w:rsidRPr="00797A8B" w:rsidTr="00A91C39">
        <w:trPr>
          <w:trHeight w:val="24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Warsaw Stock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200,220</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466</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44,505</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56"/>
        </w:trPr>
        <w:tc>
          <w:tcPr>
            <w:tcW w:w="3651" w:type="dxa"/>
            <w:tcBorders>
              <w:top w:val="nil"/>
              <w:left w:val="single" w:sz="8" w:space="0" w:color="auto"/>
              <w:bottom w:val="nil"/>
              <w:right w:val="single" w:sz="8" w:space="0" w:color="auto"/>
            </w:tcBorders>
            <w:shd w:val="clear" w:color="000000" w:fill="B4C6E7"/>
            <w:vAlign w:val="center"/>
            <w:hideMark/>
          </w:tcPr>
          <w:p w:rsidR="00A12A17" w:rsidRPr="00930E82" w:rsidRDefault="00A12A17" w:rsidP="00A91C39">
            <w:pPr>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Dubai Gold and Commodities Exchange</w:t>
            </w:r>
          </w:p>
        </w:tc>
        <w:tc>
          <w:tcPr>
            <w:tcW w:w="1189"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4,625</w:t>
            </w:r>
          </w:p>
        </w:tc>
        <w:tc>
          <w:tcPr>
            <w:tcW w:w="1150" w:type="dxa"/>
            <w:tcBorders>
              <w:top w:val="nil"/>
              <w:left w:val="nil"/>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16</w:t>
            </w:r>
          </w:p>
        </w:tc>
        <w:tc>
          <w:tcPr>
            <w:tcW w:w="1152"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 xml:space="preserve"> 220</w:t>
            </w:r>
          </w:p>
        </w:tc>
        <w:tc>
          <w:tcPr>
            <w:tcW w:w="1189"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50" w:type="dxa"/>
            <w:tcBorders>
              <w:top w:val="nil"/>
              <w:left w:val="nil"/>
              <w:bottom w:val="nil"/>
              <w:right w:val="nil"/>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c>
          <w:tcPr>
            <w:tcW w:w="1175" w:type="dxa"/>
            <w:tcBorders>
              <w:top w:val="nil"/>
              <w:left w:val="single" w:sz="8" w:space="0" w:color="auto"/>
              <w:bottom w:val="nil"/>
              <w:right w:val="single" w:sz="8" w:space="0" w:color="auto"/>
            </w:tcBorders>
            <w:shd w:val="clear" w:color="auto" w:fill="auto"/>
            <w:vAlign w:val="center"/>
            <w:hideMark/>
          </w:tcPr>
          <w:p w:rsidR="00A12A17" w:rsidRPr="00930E82" w:rsidRDefault="00A12A17" w:rsidP="00A91C39">
            <w:pPr>
              <w:jc w:val="right"/>
              <w:rPr>
                <w:rFonts w:ascii="Garamond" w:eastAsia="Times New Roman" w:hAnsi="Garamond" w:cs="Calibri"/>
                <w:color w:val="000000"/>
                <w:sz w:val="20"/>
                <w:szCs w:val="20"/>
                <w:lang w:val="en-US" w:bidi="hi-IN"/>
              </w:rPr>
            </w:pPr>
            <w:r w:rsidRPr="00930E82">
              <w:rPr>
                <w:rFonts w:ascii="Garamond" w:eastAsia="Times New Roman" w:hAnsi="Garamond" w:cs="Calibri"/>
                <w:color w:val="000000"/>
                <w:sz w:val="20"/>
                <w:szCs w:val="20"/>
                <w:lang w:val="en-US" w:bidi="hi-IN"/>
              </w:rPr>
              <w:t>NA</w:t>
            </w:r>
          </w:p>
        </w:tc>
      </w:tr>
      <w:tr w:rsidR="00A12A17" w:rsidRPr="00797A8B" w:rsidTr="00A91C39">
        <w:trPr>
          <w:trHeight w:val="256"/>
        </w:trPr>
        <w:tc>
          <w:tcPr>
            <w:tcW w:w="3651" w:type="dxa"/>
            <w:tcBorders>
              <w:top w:val="single" w:sz="8" w:space="0" w:color="auto"/>
              <w:left w:val="single" w:sz="8" w:space="0" w:color="auto"/>
              <w:bottom w:val="single" w:sz="8" w:space="0" w:color="auto"/>
              <w:right w:val="nil"/>
            </w:tcBorders>
            <w:shd w:val="clear" w:color="000000" w:fill="D9E1F2"/>
            <w:vAlign w:val="center"/>
            <w:hideMark/>
          </w:tcPr>
          <w:p w:rsidR="00A12A17" w:rsidRPr="00930E82" w:rsidRDefault="00A12A17" w:rsidP="00A91C39">
            <w:pPr>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Grand Total</w:t>
            </w:r>
          </w:p>
        </w:tc>
        <w:tc>
          <w:tcPr>
            <w:tcW w:w="1189" w:type="dxa"/>
            <w:tcBorders>
              <w:top w:val="single" w:sz="8" w:space="0" w:color="auto"/>
              <w:left w:val="nil"/>
              <w:bottom w:val="single" w:sz="8" w:space="0" w:color="auto"/>
              <w:right w:val="nil"/>
            </w:tcBorders>
            <w:shd w:val="clear" w:color="000000" w:fill="D9E1F2"/>
            <w:vAlign w:val="bottom"/>
            <w:hideMark/>
          </w:tcPr>
          <w:p w:rsidR="00A12A17" w:rsidRPr="00930E82" w:rsidRDefault="00A12A17" w:rsidP="00A91C39">
            <w:pPr>
              <w:jc w:val="right"/>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 xml:space="preserve"> 350,646,284</w:t>
            </w:r>
          </w:p>
        </w:tc>
        <w:tc>
          <w:tcPr>
            <w:tcW w:w="1150" w:type="dxa"/>
            <w:tcBorders>
              <w:top w:val="single" w:sz="8" w:space="0" w:color="auto"/>
              <w:left w:val="nil"/>
              <w:bottom w:val="single" w:sz="8" w:space="0" w:color="auto"/>
              <w:right w:val="nil"/>
            </w:tcBorders>
            <w:shd w:val="clear" w:color="000000" w:fill="D9E1F2"/>
            <w:vAlign w:val="bottom"/>
            <w:hideMark/>
          </w:tcPr>
          <w:p w:rsidR="00A12A17" w:rsidRPr="00930E82" w:rsidRDefault="00A12A17" w:rsidP="00A91C39">
            <w:pPr>
              <w:jc w:val="right"/>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 xml:space="preserve"> 184,158</w:t>
            </w:r>
          </w:p>
        </w:tc>
        <w:tc>
          <w:tcPr>
            <w:tcW w:w="1152" w:type="dxa"/>
            <w:tcBorders>
              <w:top w:val="single" w:sz="8" w:space="0" w:color="auto"/>
              <w:left w:val="nil"/>
              <w:bottom w:val="single" w:sz="8" w:space="0" w:color="auto"/>
              <w:right w:val="nil"/>
            </w:tcBorders>
            <w:shd w:val="clear" w:color="000000" w:fill="D9E1F2"/>
            <w:vAlign w:val="bottom"/>
            <w:hideMark/>
          </w:tcPr>
          <w:p w:rsidR="00A12A17" w:rsidRPr="00930E82" w:rsidRDefault="00A12A17" w:rsidP="00A91C39">
            <w:pPr>
              <w:jc w:val="right"/>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 xml:space="preserve"> 53,053,255</w:t>
            </w:r>
          </w:p>
        </w:tc>
        <w:tc>
          <w:tcPr>
            <w:tcW w:w="1189" w:type="dxa"/>
            <w:tcBorders>
              <w:top w:val="single" w:sz="8" w:space="0" w:color="auto"/>
              <w:left w:val="nil"/>
              <w:bottom w:val="single" w:sz="8" w:space="0" w:color="auto"/>
              <w:right w:val="nil"/>
            </w:tcBorders>
            <w:shd w:val="clear" w:color="000000" w:fill="D9E1F2"/>
            <w:vAlign w:val="bottom"/>
            <w:hideMark/>
          </w:tcPr>
          <w:p w:rsidR="00A12A17" w:rsidRPr="00930E82" w:rsidRDefault="00A12A17" w:rsidP="00A91C39">
            <w:pPr>
              <w:jc w:val="right"/>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 xml:space="preserve"> 628,359,620</w:t>
            </w:r>
          </w:p>
        </w:tc>
        <w:tc>
          <w:tcPr>
            <w:tcW w:w="1150" w:type="dxa"/>
            <w:tcBorders>
              <w:top w:val="single" w:sz="8" w:space="0" w:color="auto"/>
              <w:left w:val="nil"/>
              <w:bottom w:val="single" w:sz="8" w:space="0" w:color="auto"/>
              <w:right w:val="nil"/>
            </w:tcBorders>
            <w:shd w:val="clear" w:color="000000" w:fill="D9E1F2"/>
            <w:vAlign w:val="bottom"/>
            <w:hideMark/>
          </w:tcPr>
          <w:p w:rsidR="00A12A17" w:rsidRPr="00930E82" w:rsidRDefault="00A12A17" w:rsidP="00A91C39">
            <w:pPr>
              <w:jc w:val="right"/>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 xml:space="preserve"> 1,903,115</w:t>
            </w:r>
          </w:p>
        </w:tc>
        <w:tc>
          <w:tcPr>
            <w:tcW w:w="1175" w:type="dxa"/>
            <w:tcBorders>
              <w:top w:val="single" w:sz="8" w:space="0" w:color="auto"/>
              <w:left w:val="nil"/>
              <w:bottom w:val="single" w:sz="8" w:space="0" w:color="auto"/>
              <w:right w:val="single" w:sz="8" w:space="0" w:color="auto"/>
            </w:tcBorders>
            <w:shd w:val="clear" w:color="000000" w:fill="D9E1F2"/>
            <w:vAlign w:val="bottom"/>
            <w:hideMark/>
          </w:tcPr>
          <w:p w:rsidR="00A12A17" w:rsidRPr="00930E82" w:rsidRDefault="00A12A17" w:rsidP="00A91C39">
            <w:pPr>
              <w:jc w:val="right"/>
              <w:rPr>
                <w:rFonts w:ascii="Garamond" w:eastAsia="Times New Roman" w:hAnsi="Garamond" w:cs="Calibri"/>
                <w:b/>
                <w:bCs/>
                <w:color w:val="000000"/>
                <w:sz w:val="20"/>
                <w:szCs w:val="20"/>
                <w:lang w:val="en-US" w:bidi="hi-IN"/>
              </w:rPr>
            </w:pPr>
            <w:r w:rsidRPr="00930E82">
              <w:rPr>
                <w:rFonts w:ascii="Garamond" w:eastAsia="Times New Roman" w:hAnsi="Garamond" w:cs="Calibri"/>
                <w:b/>
                <w:bCs/>
                <w:color w:val="000000"/>
                <w:sz w:val="20"/>
                <w:szCs w:val="20"/>
                <w:lang w:val="en-US" w:bidi="hi-IN"/>
              </w:rPr>
              <w:t xml:space="preserve"> 420,488,221</w:t>
            </w:r>
          </w:p>
        </w:tc>
      </w:tr>
    </w:tbl>
    <w:p w:rsidR="00A12A17" w:rsidRPr="00E25198" w:rsidRDefault="00A12A17" w:rsidP="00A12A17">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E25198">
        <w:rPr>
          <w:rFonts w:ascii="Garamond" w:hAnsi="Garamond"/>
          <w:bCs/>
          <w:sz w:val="18"/>
          <w:szCs w:val="18"/>
        </w:rPr>
        <w:t xml:space="preserve"> NA: Not Available</w:t>
      </w:r>
    </w:p>
    <w:p w:rsidR="00A12A17" w:rsidRPr="00E25198" w:rsidRDefault="00A12A17" w:rsidP="00A12A17">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E25198">
        <w:rPr>
          <w:rFonts w:ascii="Garamond" w:hAnsi="Garamond"/>
          <w:bCs/>
          <w:sz w:val="18"/>
          <w:szCs w:val="18"/>
        </w:rPr>
        <w:t>Source: World Federation of Exchanges</w:t>
      </w:r>
    </w:p>
    <w:p w:rsidR="00A12A17" w:rsidRPr="00E25198" w:rsidRDefault="00A12A17" w:rsidP="00A12A17">
      <w:pPr>
        <w:rPr>
          <w:rFonts w:ascii="Garamond" w:eastAsia="Times New Roman" w:hAnsi="Garamond"/>
          <w:bCs/>
          <w:sz w:val="22"/>
          <w:szCs w:val="22"/>
          <w:lang w:val="en-US"/>
        </w:rPr>
      </w:pPr>
    </w:p>
    <w:p w:rsidR="00A12A17" w:rsidRPr="00E25198" w:rsidRDefault="00A12A17" w:rsidP="00A12A17">
      <w:pPr>
        <w:rPr>
          <w:rFonts w:ascii="Garamond" w:eastAsia="Times New Roman" w:hAnsi="Garamond"/>
          <w:bCs/>
          <w:sz w:val="22"/>
          <w:szCs w:val="22"/>
          <w:lang w:val="en-US"/>
        </w:rPr>
      </w:pPr>
      <w:r w:rsidRPr="00E25198">
        <w:rPr>
          <w:rFonts w:ascii="Garamond" w:eastAsia="Times New Roman" w:hAnsi="Garamond"/>
          <w:bCs/>
          <w:sz w:val="22"/>
          <w:szCs w:val="22"/>
          <w:lang w:val="en-US"/>
        </w:rPr>
        <w:br w:type="page"/>
      </w:r>
    </w:p>
    <w:p w:rsidR="00A12A17" w:rsidRPr="00E25198" w:rsidRDefault="00A12A17" w:rsidP="00A12A17">
      <w:pPr>
        <w:spacing w:line="23" w:lineRule="atLeast"/>
        <w:rPr>
          <w:rFonts w:ascii="Garamond" w:eastAsia="Times New Roman" w:hAnsi="Garamond"/>
          <w:b/>
          <w:bCs/>
          <w:szCs w:val="22"/>
          <w:lang w:val="en-US"/>
        </w:rPr>
      </w:pPr>
      <w:r w:rsidRPr="00E25198">
        <w:rPr>
          <w:rFonts w:ascii="Garamond" w:eastAsia="Times New Roman" w:hAnsi="Garamond"/>
          <w:b/>
          <w:bCs/>
          <w:szCs w:val="22"/>
          <w:lang w:val="en-US"/>
        </w:rPr>
        <w:t xml:space="preserve">Table A5: Index Futures and Index Options Traded in Major Exchanges </w:t>
      </w:r>
    </w:p>
    <w:p w:rsidR="00A12A17" w:rsidRPr="00E25198" w:rsidRDefault="00A12A17" w:rsidP="00A12A17">
      <w:pPr>
        <w:spacing w:line="23" w:lineRule="atLeast"/>
        <w:ind w:right="-177"/>
        <w:jc w:val="right"/>
        <w:rPr>
          <w:rFonts w:ascii="Garamond" w:eastAsia="Times New Roman" w:hAnsi="Garamond"/>
          <w:bCs/>
          <w:sz w:val="22"/>
          <w:szCs w:val="22"/>
          <w:lang w:val="en-US"/>
        </w:rPr>
      </w:pPr>
      <w:r w:rsidRPr="00E25198">
        <w:rPr>
          <w:rFonts w:ascii="Garamond" w:hAnsi="Garamond"/>
          <w:bCs/>
          <w:sz w:val="22"/>
          <w:szCs w:val="22"/>
        </w:rPr>
        <w:t>Notional Turnover in (USD million)</w:t>
      </w:r>
    </w:p>
    <w:tbl>
      <w:tblPr>
        <w:tblW w:w="10588" w:type="dxa"/>
        <w:tblLook w:val="04A0" w:firstRow="1" w:lastRow="0" w:firstColumn="1" w:lastColumn="0" w:noHBand="0" w:noVBand="1"/>
      </w:tblPr>
      <w:tblGrid>
        <w:gridCol w:w="3689"/>
        <w:gridCol w:w="1164"/>
        <w:gridCol w:w="1146"/>
        <w:gridCol w:w="1146"/>
        <w:gridCol w:w="1150"/>
        <w:gridCol w:w="1146"/>
        <w:gridCol w:w="1147"/>
      </w:tblGrid>
      <w:tr w:rsidR="00A12A17" w:rsidRPr="00797A8B" w:rsidTr="00A91C39">
        <w:trPr>
          <w:trHeight w:val="260"/>
        </w:trPr>
        <w:tc>
          <w:tcPr>
            <w:tcW w:w="370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Exchange</w:t>
            </w:r>
          </w:p>
        </w:tc>
        <w:tc>
          <w:tcPr>
            <w:tcW w:w="6883" w:type="dxa"/>
            <w:gridSpan w:val="6"/>
            <w:tcBorders>
              <w:top w:val="single" w:sz="4" w:space="0" w:color="auto"/>
              <w:left w:val="nil"/>
              <w:bottom w:val="single" w:sz="4" w:space="0" w:color="auto"/>
              <w:right w:val="single" w:sz="4" w:space="0" w:color="auto"/>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Feb-21</w:t>
            </w:r>
          </w:p>
        </w:tc>
      </w:tr>
      <w:tr w:rsidR="00A12A17" w:rsidRPr="00797A8B" w:rsidTr="00A91C39">
        <w:trPr>
          <w:trHeight w:val="271"/>
        </w:trPr>
        <w:tc>
          <w:tcPr>
            <w:tcW w:w="3705" w:type="dxa"/>
            <w:vMerge/>
            <w:tcBorders>
              <w:top w:val="single" w:sz="4" w:space="0" w:color="auto"/>
              <w:left w:val="single" w:sz="4" w:space="0" w:color="auto"/>
              <w:bottom w:val="single" w:sz="4" w:space="0" w:color="auto"/>
              <w:right w:val="single" w:sz="4" w:space="0" w:color="auto"/>
            </w:tcBorders>
            <w:vAlign w:val="center"/>
            <w:hideMark/>
          </w:tcPr>
          <w:p w:rsidR="00A12A17" w:rsidRPr="00431567" w:rsidRDefault="00A12A17" w:rsidP="00A91C39">
            <w:pPr>
              <w:rPr>
                <w:rFonts w:ascii="Garamond" w:eastAsia="Times New Roman" w:hAnsi="Garamond" w:cs="Calibri"/>
                <w:b/>
                <w:bCs/>
                <w:color w:val="000000"/>
                <w:sz w:val="20"/>
                <w:szCs w:val="20"/>
                <w:lang w:val="en-US" w:bidi="hi-IN"/>
              </w:rPr>
            </w:pPr>
          </w:p>
        </w:tc>
        <w:tc>
          <w:tcPr>
            <w:tcW w:w="3441" w:type="dxa"/>
            <w:gridSpan w:val="3"/>
            <w:tcBorders>
              <w:top w:val="single" w:sz="4" w:space="0" w:color="auto"/>
              <w:left w:val="nil"/>
              <w:bottom w:val="single" w:sz="4" w:space="0" w:color="auto"/>
              <w:right w:val="single" w:sz="4" w:space="0" w:color="000000"/>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Stock Index Futures</w:t>
            </w:r>
          </w:p>
        </w:tc>
        <w:tc>
          <w:tcPr>
            <w:tcW w:w="3441"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Stock Index Options</w:t>
            </w:r>
          </w:p>
        </w:tc>
      </w:tr>
      <w:tr w:rsidR="00A12A17" w:rsidRPr="00797A8B" w:rsidTr="00A91C39">
        <w:trPr>
          <w:trHeight w:val="727"/>
        </w:trPr>
        <w:tc>
          <w:tcPr>
            <w:tcW w:w="3705" w:type="dxa"/>
            <w:vMerge/>
            <w:tcBorders>
              <w:top w:val="single" w:sz="4" w:space="0" w:color="auto"/>
              <w:left w:val="single" w:sz="4" w:space="0" w:color="auto"/>
              <w:bottom w:val="single" w:sz="4" w:space="0" w:color="auto"/>
              <w:right w:val="single" w:sz="4" w:space="0" w:color="auto"/>
            </w:tcBorders>
            <w:vAlign w:val="center"/>
            <w:hideMark/>
          </w:tcPr>
          <w:p w:rsidR="00A12A17" w:rsidRPr="00431567" w:rsidRDefault="00A12A17" w:rsidP="00A91C39">
            <w:pPr>
              <w:rPr>
                <w:rFonts w:ascii="Garamond" w:eastAsia="Times New Roman" w:hAnsi="Garamond" w:cs="Calibri"/>
                <w:b/>
                <w:bCs/>
                <w:color w:val="000000"/>
                <w:sz w:val="20"/>
                <w:szCs w:val="20"/>
                <w:lang w:val="en-US" w:bidi="hi-IN"/>
              </w:rPr>
            </w:pPr>
          </w:p>
        </w:tc>
        <w:tc>
          <w:tcPr>
            <w:tcW w:w="1147" w:type="dxa"/>
            <w:tcBorders>
              <w:top w:val="single" w:sz="4" w:space="0" w:color="auto"/>
              <w:left w:val="nil"/>
              <w:bottom w:val="single" w:sz="4" w:space="0" w:color="auto"/>
              <w:right w:val="single" w:sz="4" w:space="0" w:color="auto"/>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Number of</w:t>
            </w:r>
            <w:r w:rsidRPr="00431567">
              <w:rPr>
                <w:rFonts w:ascii="Garamond" w:eastAsia="Times New Roman" w:hAnsi="Garamond" w:cs="Calibri"/>
                <w:b/>
                <w:bCs/>
                <w:color w:val="000000"/>
                <w:sz w:val="20"/>
                <w:szCs w:val="20"/>
                <w:lang w:val="en-US" w:bidi="hi-IN"/>
              </w:rPr>
              <w:br/>
              <w:t>Contracts Traded</w:t>
            </w:r>
          </w:p>
        </w:tc>
        <w:tc>
          <w:tcPr>
            <w:tcW w:w="1147" w:type="dxa"/>
            <w:tcBorders>
              <w:top w:val="single" w:sz="4" w:space="0" w:color="auto"/>
              <w:left w:val="nil"/>
              <w:bottom w:val="single" w:sz="4" w:space="0" w:color="auto"/>
              <w:right w:val="single" w:sz="4" w:space="0" w:color="auto"/>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Notional</w:t>
            </w:r>
            <w:r w:rsidRPr="00431567">
              <w:rPr>
                <w:rFonts w:ascii="Garamond" w:eastAsia="Times New Roman" w:hAnsi="Garamond" w:cs="Calibri"/>
                <w:b/>
                <w:bCs/>
                <w:color w:val="000000"/>
                <w:sz w:val="20"/>
                <w:szCs w:val="20"/>
                <w:lang w:val="en-US" w:bidi="hi-IN"/>
              </w:rPr>
              <w:br/>
              <w:t>Turnover</w:t>
            </w:r>
          </w:p>
        </w:tc>
        <w:tc>
          <w:tcPr>
            <w:tcW w:w="1147" w:type="dxa"/>
            <w:tcBorders>
              <w:top w:val="single" w:sz="4" w:space="0" w:color="auto"/>
              <w:left w:val="nil"/>
              <w:bottom w:val="single" w:sz="4" w:space="0" w:color="auto"/>
              <w:right w:val="single" w:sz="4" w:space="0" w:color="auto"/>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Open</w:t>
            </w:r>
            <w:r w:rsidRPr="00431567">
              <w:rPr>
                <w:rFonts w:ascii="Garamond" w:eastAsia="Times New Roman" w:hAnsi="Garamond" w:cs="Calibri"/>
                <w:b/>
                <w:bCs/>
                <w:color w:val="000000"/>
                <w:sz w:val="20"/>
                <w:szCs w:val="20"/>
                <w:lang w:val="en-US" w:bidi="hi-IN"/>
              </w:rPr>
              <w:br/>
              <w:t>Interest</w:t>
            </w:r>
          </w:p>
        </w:tc>
        <w:tc>
          <w:tcPr>
            <w:tcW w:w="1147" w:type="dxa"/>
            <w:tcBorders>
              <w:top w:val="single" w:sz="4" w:space="0" w:color="auto"/>
              <w:left w:val="nil"/>
              <w:bottom w:val="single" w:sz="4" w:space="0" w:color="auto"/>
              <w:right w:val="single" w:sz="4" w:space="0" w:color="auto"/>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Number of</w:t>
            </w:r>
            <w:r w:rsidRPr="00431567">
              <w:rPr>
                <w:rFonts w:ascii="Garamond" w:eastAsia="Times New Roman" w:hAnsi="Garamond" w:cs="Calibri"/>
                <w:b/>
                <w:bCs/>
                <w:color w:val="000000"/>
                <w:sz w:val="20"/>
                <w:szCs w:val="20"/>
                <w:lang w:val="en-US" w:bidi="hi-IN"/>
              </w:rPr>
              <w:br/>
              <w:t>Contracts Traded</w:t>
            </w:r>
          </w:p>
        </w:tc>
        <w:tc>
          <w:tcPr>
            <w:tcW w:w="1147" w:type="dxa"/>
            <w:tcBorders>
              <w:top w:val="single" w:sz="4" w:space="0" w:color="auto"/>
              <w:left w:val="nil"/>
              <w:bottom w:val="single" w:sz="4" w:space="0" w:color="auto"/>
              <w:right w:val="single" w:sz="4" w:space="0" w:color="auto"/>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Notional</w:t>
            </w:r>
            <w:r w:rsidRPr="00431567">
              <w:rPr>
                <w:rFonts w:ascii="Garamond" w:eastAsia="Times New Roman" w:hAnsi="Garamond" w:cs="Calibri"/>
                <w:b/>
                <w:bCs/>
                <w:color w:val="000000"/>
                <w:sz w:val="20"/>
                <w:szCs w:val="20"/>
                <w:lang w:val="en-US" w:bidi="hi-IN"/>
              </w:rPr>
              <w:br/>
              <w:t>Turnover</w:t>
            </w:r>
          </w:p>
        </w:tc>
        <w:tc>
          <w:tcPr>
            <w:tcW w:w="1147" w:type="dxa"/>
            <w:tcBorders>
              <w:top w:val="single" w:sz="4" w:space="0" w:color="auto"/>
              <w:left w:val="nil"/>
              <w:bottom w:val="single" w:sz="4" w:space="0" w:color="auto"/>
              <w:right w:val="single" w:sz="4" w:space="0" w:color="auto"/>
            </w:tcBorders>
            <w:shd w:val="clear" w:color="000000" w:fill="B4C6E7"/>
            <w:vAlign w:val="center"/>
            <w:hideMark/>
          </w:tcPr>
          <w:p w:rsidR="00A12A17" w:rsidRPr="00431567" w:rsidRDefault="00A12A17" w:rsidP="00A91C39">
            <w:pPr>
              <w:jc w:val="cente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Open</w:t>
            </w:r>
            <w:r w:rsidRPr="00431567">
              <w:rPr>
                <w:rFonts w:ascii="Garamond" w:eastAsia="Times New Roman" w:hAnsi="Garamond" w:cs="Calibri"/>
                <w:b/>
                <w:bCs/>
                <w:color w:val="000000"/>
                <w:sz w:val="20"/>
                <w:szCs w:val="20"/>
                <w:lang w:val="en-US" w:bidi="hi-IN"/>
              </w:rPr>
              <w:br/>
              <w:t>Interest</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B3 - Brasil Bolsa Balcão</w:t>
            </w:r>
          </w:p>
        </w:tc>
        <w:tc>
          <w:tcPr>
            <w:tcW w:w="1147" w:type="dxa"/>
            <w:tcBorders>
              <w:top w:val="single" w:sz="8" w:space="0" w:color="auto"/>
              <w:left w:val="single" w:sz="8" w:space="0" w:color="auto"/>
              <w:bottom w:val="nil"/>
              <w:right w:val="single" w:sz="8" w:space="0" w:color="auto"/>
            </w:tcBorders>
            <w:shd w:val="clear" w:color="auto" w:fill="auto"/>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317,928,898</w:t>
            </w:r>
          </w:p>
        </w:tc>
        <w:tc>
          <w:tcPr>
            <w:tcW w:w="1147" w:type="dxa"/>
            <w:tcBorders>
              <w:top w:val="single" w:sz="8" w:space="0" w:color="auto"/>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1,830,556</w:t>
            </w:r>
          </w:p>
        </w:tc>
        <w:tc>
          <w:tcPr>
            <w:tcW w:w="1147" w:type="dxa"/>
            <w:tcBorders>
              <w:top w:val="single" w:sz="8" w:space="0" w:color="auto"/>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1,154,165</w:t>
            </w:r>
          </w:p>
        </w:tc>
        <w:tc>
          <w:tcPr>
            <w:tcW w:w="1147" w:type="dxa"/>
            <w:tcBorders>
              <w:top w:val="single" w:sz="8" w:space="0" w:color="auto"/>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4,441,006</w:t>
            </w:r>
          </w:p>
        </w:tc>
        <w:tc>
          <w:tcPr>
            <w:tcW w:w="1147" w:type="dxa"/>
            <w:tcBorders>
              <w:top w:val="single" w:sz="8" w:space="0" w:color="auto"/>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44,262</w:t>
            </w:r>
          </w:p>
        </w:tc>
        <w:tc>
          <w:tcPr>
            <w:tcW w:w="1147" w:type="dxa"/>
            <w:tcBorders>
              <w:top w:val="single" w:sz="8" w:space="0" w:color="auto"/>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510,672</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Bolsa de Valores de Colombia</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2,301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4,590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Bolsa Mexicana de Valores</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18,879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425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16,524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353</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418</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Cboe Global Markets</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36,940,744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23,657,049</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Pr>
                <w:rFonts w:ascii="Garamond" w:eastAsia="Times New Roman" w:hAnsi="Garamond" w:cs="Calibri"/>
                <w:color w:val="000000"/>
                <w:sz w:val="20"/>
                <w:szCs w:val="20"/>
                <w:lang w:val="en-US" w:bidi="hi-IN"/>
              </w:rPr>
              <w:t>Nasdaq -</w:t>
            </w:r>
            <w:r w:rsidRPr="00431567">
              <w:rPr>
                <w:rFonts w:ascii="Garamond" w:eastAsia="Times New Roman" w:hAnsi="Garamond" w:cs="Calibri"/>
                <w:color w:val="000000"/>
                <w:sz w:val="20"/>
                <w:szCs w:val="20"/>
                <w:lang w:val="en-US" w:bidi="hi-IN"/>
              </w:rPr>
              <w:t xml:space="preserve"> US</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363,271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MIAX Exchange Group</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5,000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17</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Matba Rofex</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71,480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85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10,466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969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356</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CME Group</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92,186,967</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10,915,643</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4,780,114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12,710,195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2,708,419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3,201,844</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Cboe Futures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5,109,840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388,306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ASX Australian Securities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829,154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93,657</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285,200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408,238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18,411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414,867</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Hong Kong Exchanges and Clearing</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7,952,265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813,125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549,346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1,711,116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198,394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2,060,951</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Japan Exchange Group</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21,271,609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1,069,109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1,617,444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2,158,757</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1,575,650</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Korea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11,006,772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580,168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633,795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59,371,920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5,195,445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2,249,400</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National Stock Exchange of India</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Singapore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12,747,210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1,344,422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554,415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1,606,487</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Taiwan Futures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7,422,524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424,229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179,354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12,007,296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315,699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508,221</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Thailand Futures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3,355,038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347,562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120,936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91,896</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Bursa Malaysia Derivatives</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223,471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4,175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35,159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670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278</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China Financial Futures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4,503,932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919,404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535,382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2,017,073</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3,238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194,128</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Athens Stock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29,239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120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5,450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2,350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1,138</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BME Spanish Exchanges</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493,729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37,254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113,140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146,733</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1,318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513,995</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Borsa Istanbul</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8,561,943</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23,974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515,947</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16,756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23,956</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Budapest Stock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36,081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9,679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0</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Deutsche Boerse AG</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29,561,730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1,404,128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10,770,400</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30,419,466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1,083,448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50,806,344</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Euronext</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2,265,199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179,922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573,311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1,465,838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101,371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645,671</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Moscow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13,930,641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45,356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614,818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1,400,068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4,621</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471,602</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Nasdaq Nordic and Baltics</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2,404,349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51,878</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428,332</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9,267</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r>
      <w:tr w:rsidR="00A12A17" w:rsidRPr="00797A8B" w:rsidTr="00A91C39">
        <w:trPr>
          <w:trHeight w:val="260"/>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Tel-Aviv Stock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NA</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1,966,679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89,894</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156,528</w:t>
            </w:r>
          </w:p>
        </w:tc>
      </w:tr>
      <w:tr w:rsidR="00A12A17" w:rsidRPr="00797A8B" w:rsidTr="00A91C39">
        <w:trPr>
          <w:trHeight w:val="271"/>
        </w:trPr>
        <w:tc>
          <w:tcPr>
            <w:tcW w:w="3705" w:type="dxa"/>
            <w:tcBorders>
              <w:top w:val="nil"/>
              <w:left w:val="single" w:sz="4" w:space="0" w:color="auto"/>
              <w:bottom w:val="nil"/>
              <w:right w:val="nil"/>
            </w:tcBorders>
            <w:shd w:val="clear" w:color="000000" w:fill="B4C6E7"/>
            <w:vAlign w:val="center"/>
            <w:hideMark/>
          </w:tcPr>
          <w:p w:rsidR="00A12A17" w:rsidRPr="00431567" w:rsidRDefault="00A12A17" w:rsidP="00A91C39">
            <w:pPr>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Warsaw Stock Exchange</w:t>
            </w:r>
          </w:p>
        </w:tc>
        <w:tc>
          <w:tcPr>
            <w:tcW w:w="1147" w:type="dxa"/>
            <w:tcBorders>
              <w:top w:val="nil"/>
              <w:left w:val="single" w:sz="8" w:space="0" w:color="auto"/>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453,385</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4,547</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41,356</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25,679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129</w:t>
            </w:r>
          </w:p>
        </w:tc>
        <w:tc>
          <w:tcPr>
            <w:tcW w:w="1147" w:type="dxa"/>
            <w:tcBorders>
              <w:top w:val="nil"/>
              <w:left w:val="nil"/>
              <w:bottom w:val="nil"/>
              <w:right w:val="single" w:sz="8" w:space="0" w:color="auto"/>
            </w:tcBorders>
            <w:shd w:val="clear" w:color="auto" w:fill="auto"/>
            <w:vAlign w:val="center"/>
            <w:hideMark/>
          </w:tcPr>
          <w:p w:rsidR="00A12A17" w:rsidRPr="00431567" w:rsidRDefault="00A12A17" w:rsidP="00A91C39">
            <w:pPr>
              <w:jc w:val="right"/>
              <w:rPr>
                <w:rFonts w:ascii="Garamond" w:eastAsia="Times New Roman" w:hAnsi="Garamond" w:cs="Calibri"/>
                <w:color w:val="000000"/>
                <w:sz w:val="20"/>
                <w:szCs w:val="20"/>
                <w:lang w:val="en-US" w:bidi="hi-IN"/>
              </w:rPr>
            </w:pPr>
            <w:r w:rsidRPr="00431567">
              <w:rPr>
                <w:rFonts w:ascii="Garamond" w:eastAsia="Times New Roman" w:hAnsi="Garamond" w:cs="Calibri"/>
                <w:color w:val="000000"/>
                <w:sz w:val="20"/>
                <w:szCs w:val="20"/>
                <w:lang w:val="en-US" w:bidi="hi-IN"/>
              </w:rPr>
              <w:t xml:space="preserve"> 24,228</w:t>
            </w:r>
          </w:p>
        </w:tc>
      </w:tr>
      <w:tr w:rsidR="00A12A17" w:rsidRPr="00797A8B" w:rsidTr="00A91C39">
        <w:trPr>
          <w:trHeight w:val="271"/>
        </w:trPr>
        <w:tc>
          <w:tcPr>
            <w:tcW w:w="3705" w:type="dxa"/>
            <w:tcBorders>
              <w:top w:val="single" w:sz="8" w:space="0" w:color="auto"/>
              <w:left w:val="single" w:sz="8" w:space="0" w:color="auto"/>
              <w:bottom w:val="single" w:sz="8" w:space="0" w:color="auto"/>
              <w:right w:val="nil"/>
            </w:tcBorders>
            <w:shd w:val="clear" w:color="000000" w:fill="D9E1F2"/>
            <w:vAlign w:val="center"/>
            <w:hideMark/>
          </w:tcPr>
          <w:p w:rsidR="00A12A17" w:rsidRPr="00431567" w:rsidRDefault="00A12A17" w:rsidP="00A91C39">
            <w:pPr>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Grand Total</w:t>
            </w:r>
          </w:p>
        </w:tc>
        <w:tc>
          <w:tcPr>
            <w:tcW w:w="1147" w:type="dxa"/>
            <w:tcBorders>
              <w:top w:val="single" w:sz="8" w:space="0" w:color="auto"/>
              <w:left w:val="nil"/>
              <w:bottom w:val="single" w:sz="8" w:space="0" w:color="auto"/>
              <w:right w:val="nil"/>
            </w:tcBorders>
            <w:shd w:val="clear" w:color="000000" w:fill="D9E1F2"/>
            <w:vAlign w:val="bottom"/>
            <w:hideMark/>
          </w:tcPr>
          <w:p w:rsidR="00A12A17" w:rsidRPr="00431567" w:rsidRDefault="00A12A17" w:rsidP="00A91C39">
            <w:pPr>
              <w:jc w:val="right"/>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 xml:space="preserve"> 542,366,636</w:t>
            </w:r>
          </w:p>
        </w:tc>
        <w:tc>
          <w:tcPr>
            <w:tcW w:w="1147" w:type="dxa"/>
            <w:tcBorders>
              <w:top w:val="single" w:sz="8" w:space="0" w:color="auto"/>
              <w:left w:val="nil"/>
              <w:bottom w:val="single" w:sz="8" w:space="0" w:color="auto"/>
              <w:right w:val="nil"/>
            </w:tcBorders>
            <w:shd w:val="clear" w:color="000000" w:fill="D9E1F2"/>
            <w:vAlign w:val="bottom"/>
            <w:hideMark/>
          </w:tcPr>
          <w:p w:rsidR="00A12A17" w:rsidRPr="00431567" w:rsidRDefault="00A12A17" w:rsidP="00A91C39">
            <w:pPr>
              <w:jc w:val="right"/>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 xml:space="preserve"> 18,397,808</w:t>
            </w:r>
          </w:p>
        </w:tc>
        <w:tc>
          <w:tcPr>
            <w:tcW w:w="1147" w:type="dxa"/>
            <w:tcBorders>
              <w:top w:val="single" w:sz="8" w:space="0" w:color="auto"/>
              <w:left w:val="nil"/>
              <w:bottom w:val="single" w:sz="8" w:space="0" w:color="auto"/>
              <w:right w:val="nil"/>
            </w:tcBorders>
            <w:shd w:val="clear" w:color="000000" w:fill="D9E1F2"/>
            <w:vAlign w:val="bottom"/>
            <w:hideMark/>
          </w:tcPr>
          <w:p w:rsidR="00A12A17" w:rsidRPr="00431567" w:rsidRDefault="00A12A17" w:rsidP="00A91C39">
            <w:pPr>
              <w:jc w:val="right"/>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 xml:space="preserve"> 24,525,930</w:t>
            </w:r>
          </w:p>
        </w:tc>
        <w:tc>
          <w:tcPr>
            <w:tcW w:w="1147" w:type="dxa"/>
            <w:tcBorders>
              <w:top w:val="single" w:sz="8" w:space="0" w:color="auto"/>
              <w:left w:val="nil"/>
              <w:bottom w:val="single" w:sz="8" w:space="0" w:color="auto"/>
              <w:right w:val="nil"/>
            </w:tcBorders>
            <w:shd w:val="clear" w:color="000000" w:fill="D9E1F2"/>
            <w:vAlign w:val="bottom"/>
            <w:hideMark/>
          </w:tcPr>
          <w:p w:rsidR="00A12A17" w:rsidRPr="00431567" w:rsidRDefault="00A12A17" w:rsidP="00A91C39">
            <w:pPr>
              <w:jc w:val="right"/>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 xml:space="preserve"> 168,683,860</w:t>
            </w:r>
          </w:p>
        </w:tc>
        <w:tc>
          <w:tcPr>
            <w:tcW w:w="1147" w:type="dxa"/>
            <w:tcBorders>
              <w:top w:val="single" w:sz="8" w:space="0" w:color="auto"/>
              <w:left w:val="nil"/>
              <w:bottom w:val="single" w:sz="8" w:space="0" w:color="auto"/>
              <w:right w:val="nil"/>
            </w:tcBorders>
            <w:shd w:val="clear" w:color="000000" w:fill="D9E1F2"/>
            <w:vAlign w:val="bottom"/>
            <w:hideMark/>
          </w:tcPr>
          <w:p w:rsidR="00A12A17" w:rsidRPr="00431567" w:rsidRDefault="00A12A17" w:rsidP="00A91C39">
            <w:pPr>
              <w:jc w:val="right"/>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 xml:space="preserve"> 9,774,001</w:t>
            </w:r>
          </w:p>
        </w:tc>
        <w:tc>
          <w:tcPr>
            <w:tcW w:w="1147" w:type="dxa"/>
            <w:tcBorders>
              <w:top w:val="single" w:sz="8" w:space="0" w:color="auto"/>
              <w:left w:val="nil"/>
              <w:bottom w:val="single" w:sz="8" w:space="0" w:color="auto"/>
              <w:right w:val="single" w:sz="8" w:space="0" w:color="auto"/>
            </w:tcBorders>
            <w:shd w:val="clear" w:color="000000" w:fill="D9E1F2"/>
            <w:vAlign w:val="bottom"/>
            <w:hideMark/>
          </w:tcPr>
          <w:p w:rsidR="00A12A17" w:rsidRPr="00431567" w:rsidRDefault="00A12A17" w:rsidP="00A91C39">
            <w:pPr>
              <w:jc w:val="right"/>
              <w:rPr>
                <w:rFonts w:ascii="Garamond" w:eastAsia="Times New Roman" w:hAnsi="Garamond" w:cs="Calibri"/>
                <w:b/>
                <w:bCs/>
                <w:color w:val="000000"/>
                <w:sz w:val="20"/>
                <w:szCs w:val="20"/>
                <w:lang w:val="en-US" w:bidi="hi-IN"/>
              </w:rPr>
            </w:pPr>
            <w:r w:rsidRPr="00431567">
              <w:rPr>
                <w:rFonts w:ascii="Garamond" w:eastAsia="Times New Roman" w:hAnsi="Garamond" w:cs="Calibri"/>
                <w:b/>
                <w:bCs/>
                <w:color w:val="000000"/>
                <w:sz w:val="20"/>
                <w:szCs w:val="20"/>
                <w:lang w:val="en-US" w:bidi="hi-IN"/>
              </w:rPr>
              <w:t xml:space="preserve"> 88,715,679</w:t>
            </w:r>
          </w:p>
        </w:tc>
      </w:tr>
    </w:tbl>
    <w:p w:rsidR="00A12A17" w:rsidRPr="00E25198" w:rsidRDefault="00A12A17" w:rsidP="00A12A17">
      <w:pPr>
        <w:spacing w:line="23" w:lineRule="atLeast"/>
        <w:rPr>
          <w:rFonts w:ascii="Garamond" w:hAnsi="Garamond"/>
          <w:bCs/>
          <w:sz w:val="18"/>
          <w:szCs w:val="18"/>
        </w:rPr>
      </w:pPr>
    </w:p>
    <w:p w:rsidR="00A12A17" w:rsidRPr="00E25198" w:rsidRDefault="00A12A17" w:rsidP="00A12A17">
      <w:pPr>
        <w:spacing w:line="23" w:lineRule="atLeast"/>
        <w:jc w:val="both"/>
        <w:outlineLvl w:val="0"/>
        <w:rPr>
          <w:rFonts w:ascii="Garamond" w:eastAsia="Times New Roman" w:hAnsi="Garamond" w:cs="Calibri"/>
          <w:color w:val="000000"/>
          <w:sz w:val="20"/>
          <w:szCs w:val="20"/>
          <w:lang w:val="en-IN" w:eastAsia="en-IN"/>
        </w:rPr>
      </w:pPr>
      <w:r w:rsidRPr="00E25198">
        <w:rPr>
          <w:rFonts w:ascii="Garamond" w:hAnsi="Garamond"/>
          <w:bCs/>
          <w:sz w:val="18"/>
          <w:szCs w:val="18"/>
        </w:rPr>
        <w:t>NA: Not Available</w:t>
      </w:r>
      <w:r w:rsidRPr="00E25198">
        <w:rPr>
          <w:rFonts w:ascii="Garamond" w:eastAsia="Times New Roman" w:hAnsi="Garamond" w:cs="Calibri"/>
          <w:color w:val="000000"/>
          <w:sz w:val="20"/>
          <w:szCs w:val="20"/>
          <w:lang w:val="en-IN" w:eastAsia="en-IN"/>
        </w:rPr>
        <w:t>.</w:t>
      </w:r>
    </w:p>
    <w:p w:rsidR="00A12A17" w:rsidRPr="00E25198" w:rsidRDefault="00A12A17" w:rsidP="00A12A17">
      <w:pPr>
        <w:spacing w:line="23" w:lineRule="atLeast"/>
        <w:jc w:val="both"/>
        <w:outlineLvl w:val="0"/>
        <w:rPr>
          <w:rFonts w:ascii="Garamond" w:eastAsia="Times New Roman" w:hAnsi="Garamond"/>
          <w:bCs/>
          <w:sz w:val="18"/>
          <w:szCs w:val="18"/>
          <w:lang w:val="en-US"/>
        </w:rPr>
      </w:pPr>
      <w:r w:rsidRPr="00E25198">
        <w:rPr>
          <w:rFonts w:ascii="Garamond" w:hAnsi="Garamond"/>
          <w:bCs/>
          <w:sz w:val="18"/>
          <w:szCs w:val="18"/>
        </w:rPr>
        <w:t>Source: World Federation of Exchanges</w:t>
      </w:r>
      <w:r w:rsidRPr="00E25198">
        <w:rPr>
          <w:rFonts w:ascii="Garamond" w:eastAsia="Times New Roman" w:hAnsi="Garamond"/>
          <w:bCs/>
          <w:sz w:val="18"/>
          <w:szCs w:val="18"/>
          <w:lang w:val="en-US"/>
        </w:rPr>
        <w:tab/>
      </w:r>
    </w:p>
    <w:p w:rsidR="00A12A17" w:rsidRPr="00E25198" w:rsidRDefault="00A12A17" w:rsidP="00A12A17">
      <w:pPr>
        <w:spacing w:line="23" w:lineRule="atLeast"/>
        <w:jc w:val="both"/>
        <w:outlineLvl w:val="0"/>
        <w:rPr>
          <w:rFonts w:ascii="Garamond" w:eastAsia="Times New Roman" w:hAnsi="Garamond"/>
          <w:bCs/>
          <w:sz w:val="18"/>
          <w:szCs w:val="18"/>
          <w:lang w:val="en-US"/>
        </w:rPr>
      </w:pPr>
    </w:p>
    <w:p w:rsidR="00A12A17" w:rsidRPr="002061D1" w:rsidRDefault="00A12A17" w:rsidP="00A12A17">
      <w:pPr>
        <w:rPr>
          <w:rFonts w:ascii="Garamond" w:hAnsi="Garamond"/>
          <w:bCs/>
          <w:sz w:val="22"/>
          <w:szCs w:val="22"/>
        </w:rPr>
      </w:pPr>
      <w:r w:rsidRPr="00E25198">
        <w:rPr>
          <w:rFonts w:ascii="Garamond" w:hAnsi="Garamond"/>
          <w:bCs/>
          <w:sz w:val="22"/>
          <w:szCs w:val="22"/>
        </w:rPr>
        <w:br w:type="page"/>
      </w:r>
    </w:p>
    <w:p w:rsidR="00A12A17" w:rsidRPr="002061D1" w:rsidRDefault="00A12A17" w:rsidP="00A12A17">
      <w:pPr>
        <w:spacing w:line="23" w:lineRule="atLeast"/>
        <w:jc w:val="both"/>
        <w:rPr>
          <w:rFonts w:ascii="Garamond" w:hAnsi="Garamond"/>
          <w:b/>
          <w:sz w:val="28"/>
          <w:lang w:val="en-US"/>
        </w:rPr>
      </w:pPr>
      <w:r w:rsidRPr="002061D1">
        <w:rPr>
          <w:rFonts w:ascii="Garamond" w:hAnsi="Garamond"/>
          <w:b/>
          <w:bCs/>
          <w:szCs w:val="22"/>
        </w:rPr>
        <w:t>Table A6: Currency Futures and Options Traded in Major Exchanges</w:t>
      </w:r>
    </w:p>
    <w:p w:rsidR="00A12A17" w:rsidRPr="002061D1" w:rsidRDefault="00A12A17" w:rsidP="00A12A17">
      <w:pPr>
        <w:ind w:right="-318"/>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10312" w:type="dxa"/>
        <w:tblLook w:val="04A0" w:firstRow="1" w:lastRow="0" w:firstColumn="1" w:lastColumn="0" w:noHBand="0" w:noVBand="1"/>
      </w:tblPr>
      <w:tblGrid>
        <w:gridCol w:w="3581"/>
        <w:gridCol w:w="1150"/>
        <w:gridCol w:w="1116"/>
        <w:gridCol w:w="1117"/>
        <w:gridCol w:w="1116"/>
        <w:gridCol w:w="1116"/>
        <w:gridCol w:w="1116"/>
      </w:tblGrid>
      <w:tr w:rsidR="00A12A17" w:rsidRPr="00797A8B" w:rsidTr="00A91C39">
        <w:trPr>
          <w:trHeight w:val="238"/>
        </w:trPr>
        <w:tc>
          <w:tcPr>
            <w:tcW w:w="3608"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Exchange</w:t>
            </w:r>
          </w:p>
        </w:tc>
        <w:tc>
          <w:tcPr>
            <w:tcW w:w="6704" w:type="dxa"/>
            <w:gridSpan w:val="6"/>
            <w:tcBorders>
              <w:top w:val="single" w:sz="4" w:space="0" w:color="auto"/>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Feb-21</w:t>
            </w:r>
          </w:p>
        </w:tc>
      </w:tr>
      <w:tr w:rsidR="00A12A17" w:rsidRPr="00797A8B" w:rsidTr="00A91C39">
        <w:trPr>
          <w:trHeight w:val="238"/>
        </w:trPr>
        <w:tc>
          <w:tcPr>
            <w:tcW w:w="3608" w:type="dxa"/>
            <w:vMerge/>
            <w:tcBorders>
              <w:top w:val="single" w:sz="4" w:space="0" w:color="auto"/>
              <w:left w:val="single" w:sz="4" w:space="0" w:color="auto"/>
              <w:bottom w:val="single" w:sz="4" w:space="0" w:color="auto"/>
              <w:right w:val="single" w:sz="4" w:space="0" w:color="auto"/>
            </w:tcBorders>
            <w:vAlign w:val="center"/>
            <w:hideMark/>
          </w:tcPr>
          <w:p w:rsidR="00A12A17" w:rsidRPr="00E87C92" w:rsidRDefault="00A12A17" w:rsidP="00A91C39">
            <w:pPr>
              <w:rPr>
                <w:rFonts w:ascii="Garamond" w:eastAsia="Times New Roman" w:hAnsi="Garamond" w:cs="Calibri"/>
                <w:b/>
                <w:bCs/>
                <w:color w:val="000000"/>
                <w:sz w:val="20"/>
                <w:szCs w:val="20"/>
                <w:lang w:val="en-US" w:bidi="hi-IN"/>
              </w:rPr>
            </w:pPr>
          </w:p>
        </w:tc>
        <w:tc>
          <w:tcPr>
            <w:tcW w:w="3352" w:type="dxa"/>
            <w:gridSpan w:val="3"/>
            <w:tcBorders>
              <w:top w:val="single" w:sz="4" w:space="0" w:color="auto"/>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Currency Futures</w:t>
            </w:r>
          </w:p>
        </w:tc>
        <w:tc>
          <w:tcPr>
            <w:tcW w:w="3352" w:type="dxa"/>
            <w:gridSpan w:val="3"/>
            <w:tcBorders>
              <w:top w:val="single" w:sz="4" w:space="0" w:color="auto"/>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Currency Options</w:t>
            </w:r>
          </w:p>
        </w:tc>
      </w:tr>
      <w:tr w:rsidR="00A12A17" w:rsidRPr="00797A8B" w:rsidTr="00A91C39">
        <w:trPr>
          <w:trHeight w:val="666"/>
        </w:trPr>
        <w:tc>
          <w:tcPr>
            <w:tcW w:w="3608" w:type="dxa"/>
            <w:vMerge/>
            <w:tcBorders>
              <w:top w:val="single" w:sz="4" w:space="0" w:color="auto"/>
              <w:left w:val="single" w:sz="4" w:space="0" w:color="auto"/>
              <w:bottom w:val="single" w:sz="4" w:space="0" w:color="auto"/>
              <w:right w:val="single" w:sz="4" w:space="0" w:color="auto"/>
            </w:tcBorders>
            <w:vAlign w:val="center"/>
            <w:hideMark/>
          </w:tcPr>
          <w:p w:rsidR="00A12A17" w:rsidRPr="00E87C92" w:rsidRDefault="00A12A17" w:rsidP="00A91C39">
            <w:pPr>
              <w:rPr>
                <w:rFonts w:ascii="Garamond" w:eastAsia="Times New Roman" w:hAnsi="Garamond" w:cs="Calibri"/>
                <w:b/>
                <w:bCs/>
                <w:color w:val="000000"/>
                <w:sz w:val="20"/>
                <w:szCs w:val="20"/>
                <w:lang w:val="en-US" w:bidi="hi-IN"/>
              </w:rPr>
            </w:pPr>
          </w:p>
        </w:tc>
        <w:tc>
          <w:tcPr>
            <w:tcW w:w="1117"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Number of</w:t>
            </w:r>
            <w:r w:rsidRPr="00E87C92">
              <w:rPr>
                <w:rFonts w:ascii="Garamond" w:eastAsia="Times New Roman" w:hAnsi="Garamond" w:cs="Calibri"/>
                <w:b/>
                <w:bCs/>
                <w:color w:val="000000"/>
                <w:sz w:val="20"/>
                <w:szCs w:val="20"/>
                <w:lang w:val="en-US" w:bidi="hi-IN"/>
              </w:rPr>
              <w:br/>
              <w:t>Contracts Traded</w:t>
            </w:r>
          </w:p>
        </w:tc>
        <w:tc>
          <w:tcPr>
            <w:tcW w:w="1117"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Notional</w:t>
            </w:r>
            <w:r w:rsidRPr="00E87C92">
              <w:rPr>
                <w:rFonts w:ascii="Garamond" w:eastAsia="Times New Roman" w:hAnsi="Garamond" w:cs="Calibri"/>
                <w:b/>
                <w:bCs/>
                <w:color w:val="000000"/>
                <w:sz w:val="20"/>
                <w:szCs w:val="20"/>
                <w:lang w:val="en-US" w:bidi="hi-IN"/>
              </w:rPr>
              <w:br/>
              <w:t>Turnover</w:t>
            </w:r>
          </w:p>
        </w:tc>
        <w:tc>
          <w:tcPr>
            <w:tcW w:w="1117"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Open</w:t>
            </w:r>
            <w:r w:rsidRPr="00E87C92">
              <w:rPr>
                <w:rFonts w:ascii="Garamond" w:eastAsia="Times New Roman" w:hAnsi="Garamond" w:cs="Calibri"/>
                <w:b/>
                <w:bCs/>
                <w:color w:val="000000"/>
                <w:sz w:val="20"/>
                <w:szCs w:val="20"/>
                <w:lang w:val="en-US" w:bidi="hi-IN"/>
              </w:rPr>
              <w:br/>
              <w:t>Interest</w:t>
            </w:r>
          </w:p>
        </w:tc>
        <w:tc>
          <w:tcPr>
            <w:tcW w:w="1117"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Number of</w:t>
            </w:r>
            <w:r w:rsidRPr="00E87C92">
              <w:rPr>
                <w:rFonts w:ascii="Garamond" w:eastAsia="Times New Roman" w:hAnsi="Garamond" w:cs="Calibri"/>
                <w:b/>
                <w:bCs/>
                <w:color w:val="000000"/>
                <w:sz w:val="20"/>
                <w:szCs w:val="20"/>
                <w:lang w:val="en-US" w:bidi="hi-IN"/>
              </w:rPr>
              <w:br/>
              <w:t>Contracts Traded</w:t>
            </w:r>
          </w:p>
        </w:tc>
        <w:tc>
          <w:tcPr>
            <w:tcW w:w="1117"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Notional</w:t>
            </w:r>
            <w:r w:rsidRPr="00E87C92">
              <w:rPr>
                <w:rFonts w:ascii="Garamond" w:eastAsia="Times New Roman" w:hAnsi="Garamond" w:cs="Calibri"/>
                <w:b/>
                <w:bCs/>
                <w:color w:val="000000"/>
                <w:sz w:val="20"/>
                <w:szCs w:val="20"/>
                <w:lang w:val="en-US" w:bidi="hi-IN"/>
              </w:rPr>
              <w:br/>
              <w:t>Turnover</w:t>
            </w:r>
          </w:p>
        </w:tc>
        <w:tc>
          <w:tcPr>
            <w:tcW w:w="1117"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Open</w:t>
            </w:r>
            <w:r w:rsidRPr="00E87C92">
              <w:rPr>
                <w:rFonts w:ascii="Garamond" w:eastAsia="Times New Roman" w:hAnsi="Garamond" w:cs="Calibri"/>
                <w:b/>
                <w:bCs/>
                <w:color w:val="000000"/>
                <w:sz w:val="20"/>
                <w:szCs w:val="20"/>
                <w:lang w:val="en-US" w:bidi="hi-IN"/>
              </w:rPr>
              <w:br/>
              <w:t>Interest</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B3 - Brasil Bolsa Balcão</w:t>
            </w:r>
          </w:p>
        </w:tc>
        <w:tc>
          <w:tcPr>
            <w:tcW w:w="1117" w:type="dxa"/>
            <w:tcBorders>
              <w:top w:val="single" w:sz="8" w:space="0" w:color="auto"/>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64,655,504</w:t>
            </w:r>
          </w:p>
        </w:tc>
        <w:tc>
          <w:tcPr>
            <w:tcW w:w="1117"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1,110,359</w:t>
            </w:r>
          </w:p>
        </w:tc>
        <w:tc>
          <w:tcPr>
            <w:tcW w:w="1117"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13,091,686</w:t>
            </w:r>
          </w:p>
        </w:tc>
        <w:tc>
          <w:tcPr>
            <w:tcW w:w="1117"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355,193</w:t>
            </w:r>
          </w:p>
        </w:tc>
        <w:tc>
          <w:tcPr>
            <w:tcW w:w="1117"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912</w:t>
            </w:r>
          </w:p>
        </w:tc>
        <w:tc>
          <w:tcPr>
            <w:tcW w:w="1117"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836,150</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Bolsa de Valores de Colombia</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23,062</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1,010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11,896</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Bolsa Mexicana de Valores</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164,167</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1,726</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642,827</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1,400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14</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3,141</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Matba Rofex</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9,070,773</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14,318</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2,631,868</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1,224</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559</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CME Group</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14,640,421</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1,409,270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1,884,128</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713,285</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85,288</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575,228</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Hong Kong Exchanges and Clearing</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133,001</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11,749</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28,121</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309</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31</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2,709</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Korea Exchange</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7,840,849</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73,999</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964,660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National Stock Exchange of India</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Singapore Exchange</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2,287,324</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171,851</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112</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155</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Taiwan Futures Exchange</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16,431</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401</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3,750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662</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Thailand Futures Exchange</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171,832</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62,273</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Borsa Istanbul</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6,242,298</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8,044</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2,453,633</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30,386</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38</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37,004</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Budapest Stock Exchange</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476,019</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542</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522,164</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2,000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2,700</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Moscow Exchange</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78,415,583</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92,434</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4,135,864</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1,704,090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2,040</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1,470,192</w:t>
            </w:r>
          </w:p>
        </w:tc>
      </w:tr>
      <w:tr w:rsidR="00A12A17" w:rsidRPr="00797A8B" w:rsidTr="00A91C39">
        <w:trPr>
          <w:trHeight w:val="23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Tel-Aviv Stock Exchange</w:t>
            </w:r>
          </w:p>
        </w:tc>
        <w:tc>
          <w:tcPr>
            <w:tcW w:w="1117"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1,176,696</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11,096</w:t>
            </w:r>
          </w:p>
        </w:tc>
        <w:tc>
          <w:tcPr>
            <w:tcW w:w="1117"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571,185</w:t>
            </w:r>
          </w:p>
        </w:tc>
      </w:tr>
      <w:tr w:rsidR="00A12A17" w:rsidRPr="00797A8B" w:rsidTr="00A91C39">
        <w:trPr>
          <w:trHeight w:val="248"/>
        </w:trPr>
        <w:tc>
          <w:tcPr>
            <w:tcW w:w="3608"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Dubai Gold and Commodities Exchange</w:t>
            </w:r>
          </w:p>
        </w:tc>
        <w:tc>
          <w:tcPr>
            <w:tcW w:w="1117" w:type="dxa"/>
            <w:tcBorders>
              <w:top w:val="nil"/>
              <w:left w:val="single" w:sz="8" w:space="0" w:color="auto"/>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597,560</w:t>
            </w:r>
          </w:p>
        </w:tc>
        <w:tc>
          <w:tcPr>
            <w:tcW w:w="1117"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3,641</w:t>
            </w:r>
          </w:p>
        </w:tc>
        <w:tc>
          <w:tcPr>
            <w:tcW w:w="1117"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128,851</w:t>
            </w:r>
          </w:p>
        </w:tc>
        <w:tc>
          <w:tcPr>
            <w:tcW w:w="1117"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17"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48"/>
        </w:trPr>
        <w:tc>
          <w:tcPr>
            <w:tcW w:w="3608" w:type="dxa"/>
            <w:tcBorders>
              <w:top w:val="single" w:sz="8" w:space="0" w:color="auto"/>
              <w:left w:val="single" w:sz="8" w:space="0" w:color="auto"/>
              <w:bottom w:val="single" w:sz="8" w:space="0" w:color="auto"/>
              <w:right w:val="nil"/>
            </w:tcBorders>
            <w:shd w:val="clear" w:color="000000" w:fill="D9E1F2"/>
            <w:vAlign w:val="center"/>
            <w:hideMark/>
          </w:tcPr>
          <w:p w:rsidR="00A12A17" w:rsidRPr="00E87C92" w:rsidRDefault="00A12A17" w:rsidP="00A91C39">
            <w:pP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Grand Total</w:t>
            </w:r>
          </w:p>
        </w:tc>
        <w:tc>
          <w:tcPr>
            <w:tcW w:w="1117"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184,734,824</w:t>
            </w:r>
          </w:p>
        </w:tc>
        <w:tc>
          <w:tcPr>
            <w:tcW w:w="1117"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2,727,493</w:t>
            </w:r>
          </w:p>
        </w:tc>
        <w:tc>
          <w:tcPr>
            <w:tcW w:w="1117"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26,733,572</w:t>
            </w:r>
          </w:p>
        </w:tc>
        <w:tc>
          <w:tcPr>
            <w:tcW w:w="1117"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3,984,699</w:t>
            </w:r>
          </w:p>
        </w:tc>
        <w:tc>
          <w:tcPr>
            <w:tcW w:w="1117"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99,422</w:t>
            </w:r>
          </w:p>
        </w:tc>
        <w:tc>
          <w:tcPr>
            <w:tcW w:w="1117" w:type="dxa"/>
            <w:tcBorders>
              <w:top w:val="nil"/>
              <w:left w:val="nil"/>
              <w:bottom w:val="single" w:sz="8" w:space="0" w:color="auto"/>
              <w:right w:val="single" w:sz="8" w:space="0" w:color="auto"/>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3,499,689</w:t>
            </w:r>
          </w:p>
        </w:tc>
      </w:tr>
    </w:tbl>
    <w:p w:rsidR="00A12A17" w:rsidRPr="002061D1" w:rsidRDefault="00A12A17" w:rsidP="00A12A17">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p>
    <w:p w:rsidR="00A12A17" w:rsidRPr="002061D1" w:rsidRDefault="00A12A17" w:rsidP="00A12A17">
      <w:pPr>
        <w:spacing w:line="23" w:lineRule="atLeast"/>
        <w:jc w:val="both"/>
        <w:rPr>
          <w:rFonts w:ascii="Garamond" w:hAnsi="Garamond"/>
          <w:bCs/>
          <w:sz w:val="18"/>
          <w:szCs w:val="18"/>
        </w:rPr>
      </w:pPr>
      <w:r w:rsidRPr="002061D1">
        <w:rPr>
          <w:rFonts w:ascii="Garamond" w:hAnsi="Garamond"/>
          <w:bCs/>
          <w:sz w:val="18"/>
          <w:szCs w:val="18"/>
        </w:rPr>
        <w:t>NA: Not Available</w:t>
      </w:r>
    </w:p>
    <w:p w:rsidR="00A12A17" w:rsidRPr="002061D1" w:rsidRDefault="00A12A17" w:rsidP="00A12A17">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rsidR="00A12A17" w:rsidRPr="002061D1" w:rsidRDefault="00A12A17" w:rsidP="00A12A17">
      <w:pPr>
        <w:spacing w:line="23" w:lineRule="atLeast"/>
        <w:rPr>
          <w:rFonts w:ascii="Garamond" w:hAnsi="Garamond"/>
          <w:bCs/>
          <w:sz w:val="22"/>
          <w:szCs w:val="22"/>
        </w:rPr>
      </w:pPr>
    </w:p>
    <w:p w:rsidR="00A12A17" w:rsidRPr="002061D1" w:rsidRDefault="00A12A17" w:rsidP="00A12A17">
      <w:pPr>
        <w:rPr>
          <w:rFonts w:ascii="Garamond" w:eastAsia="Times New Roman" w:hAnsi="Garamond"/>
          <w:bCs/>
          <w:sz w:val="22"/>
          <w:szCs w:val="22"/>
          <w:lang w:val="en-US"/>
        </w:rPr>
      </w:pPr>
      <w:r>
        <w:rPr>
          <w:rFonts w:ascii="Garamond" w:eastAsia="Times New Roman" w:hAnsi="Garamond"/>
          <w:b/>
          <w:bCs/>
          <w:szCs w:val="22"/>
          <w:lang w:val="en-US"/>
        </w:rPr>
        <w:br w:type="page"/>
      </w:r>
      <w:r w:rsidRPr="002061D1">
        <w:rPr>
          <w:rFonts w:ascii="Garamond" w:eastAsia="Times New Roman" w:hAnsi="Garamond"/>
          <w:b/>
          <w:bCs/>
          <w:szCs w:val="22"/>
          <w:lang w:val="en-US"/>
        </w:rPr>
        <w:t>Table A7: Interest Rate Futures and Options Traded in Major Exchanges</w:t>
      </w:r>
    </w:p>
    <w:p w:rsidR="00A12A17" w:rsidRPr="002061D1" w:rsidRDefault="00A12A17" w:rsidP="00A12A17">
      <w:pPr>
        <w:spacing w:line="23" w:lineRule="atLeast"/>
        <w:ind w:right="-602"/>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10672" w:type="dxa"/>
        <w:tblLook w:val="04A0" w:firstRow="1" w:lastRow="0" w:firstColumn="1" w:lastColumn="0" w:noHBand="0" w:noVBand="1"/>
      </w:tblPr>
      <w:tblGrid>
        <w:gridCol w:w="3734"/>
        <w:gridCol w:w="1156"/>
        <w:gridCol w:w="1156"/>
        <w:gridCol w:w="1157"/>
        <w:gridCol w:w="1156"/>
        <w:gridCol w:w="1156"/>
        <w:gridCol w:w="1157"/>
      </w:tblGrid>
      <w:tr w:rsidR="00A12A17" w:rsidRPr="00797A8B" w:rsidTr="00A91C39">
        <w:trPr>
          <w:trHeight w:val="234"/>
        </w:trPr>
        <w:tc>
          <w:tcPr>
            <w:tcW w:w="373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Exchange</w:t>
            </w:r>
          </w:p>
        </w:tc>
        <w:tc>
          <w:tcPr>
            <w:tcW w:w="6938" w:type="dxa"/>
            <w:gridSpan w:val="6"/>
            <w:tcBorders>
              <w:top w:val="single" w:sz="4" w:space="0" w:color="auto"/>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Feb-21</w:t>
            </w:r>
          </w:p>
        </w:tc>
      </w:tr>
      <w:tr w:rsidR="00A12A17" w:rsidRPr="00797A8B" w:rsidTr="00A91C39">
        <w:trPr>
          <w:trHeight w:val="234"/>
        </w:trPr>
        <w:tc>
          <w:tcPr>
            <w:tcW w:w="3734" w:type="dxa"/>
            <w:vMerge/>
            <w:tcBorders>
              <w:top w:val="single" w:sz="4" w:space="0" w:color="auto"/>
              <w:left w:val="single" w:sz="4" w:space="0" w:color="auto"/>
              <w:bottom w:val="single" w:sz="4" w:space="0" w:color="auto"/>
              <w:right w:val="single" w:sz="4" w:space="0" w:color="auto"/>
            </w:tcBorders>
            <w:vAlign w:val="center"/>
            <w:hideMark/>
          </w:tcPr>
          <w:p w:rsidR="00A12A17" w:rsidRPr="00E87C92" w:rsidRDefault="00A12A17" w:rsidP="00A91C39">
            <w:pPr>
              <w:rPr>
                <w:rFonts w:ascii="Garamond" w:eastAsia="Times New Roman" w:hAnsi="Garamond" w:cs="Calibri"/>
                <w:b/>
                <w:bCs/>
                <w:color w:val="000000"/>
                <w:sz w:val="20"/>
                <w:szCs w:val="20"/>
                <w:lang w:val="en-US" w:bidi="hi-IN"/>
              </w:rPr>
            </w:pPr>
          </w:p>
        </w:tc>
        <w:tc>
          <w:tcPr>
            <w:tcW w:w="3469" w:type="dxa"/>
            <w:gridSpan w:val="3"/>
            <w:tcBorders>
              <w:top w:val="single" w:sz="4" w:space="0" w:color="auto"/>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Interest Rate Futures</w:t>
            </w:r>
          </w:p>
        </w:tc>
        <w:tc>
          <w:tcPr>
            <w:tcW w:w="3469" w:type="dxa"/>
            <w:gridSpan w:val="3"/>
            <w:tcBorders>
              <w:top w:val="single" w:sz="4" w:space="0" w:color="auto"/>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Interest Rate Options</w:t>
            </w:r>
          </w:p>
        </w:tc>
      </w:tr>
      <w:tr w:rsidR="00A12A17" w:rsidRPr="00797A8B" w:rsidTr="00A91C39">
        <w:trPr>
          <w:trHeight w:val="654"/>
        </w:trPr>
        <w:tc>
          <w:tcPr>
            <w:tcW w:w="3734" w:type="dxa"/>
            <w:vMerge/>
            <w:tcBorders>
              <w:top w:val="single" w:sz="4" w:space="0" w:color="auto"/>
              <w:left w:val="single" w:sz="4" w:space="0" w:color="auto"/>
              <w:bottom w:val="single" w:sz="4" w:space="0" w:color="auto"/>
              <w:right w:val="single" w:sz="4" w:space="0" w:color="auto"/>
            </w:tcBorders>
            <w:vAlign w:val="center"/>
            <w:hideMark/>
          </w:tcPr>
          <w:p w:rsidR="00A12A17" w:rsidRPr="00E87C92" w:rsidRDefault="00A12A17" w:rsidP="00A91C39">
            <w:pPr>
              <w:rPr>
                <w:rFonts w:ascii="Garamond" w:eastAsia="Times New Roman" w:hAnsi="Garamond" w:cs="Calibri"/>
                <w:b/>
                <w:bCs/>
                <w:color w:val="000000"/>
                <w:sz w:val="20"/>
                <w:szCs w:val="20"/>
                <w:lang w:val="en-US" w:bidi="hi-IN"/>
              </w:rPr>
            </w:pPr>
          </w:p>
        </w:tc>
        <w:tc>
          <w:tcPr>
            <w:tcW w:w="1156"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Number of</w:t>
            </w:r>
            <w:r w:rsidRPr="00E87C92">
              <w:rPr>
                <w:rFonts w:ascii="Garamond" w:eastAsia="Times New Roman" w:hAnsi="Garamond" w:cs="Calibri"/>
                <w:b/>
                <w:bCs/>
                <w:color w:val="000000"/>
                <w:sz w:val="20"/>
                <w:szCs w:val="20"/>
                <w:lang w:val="en-US" w:bidi="hi-IN"/>
              </w:rPr>
              <w:br/>
              <w:t>Contracts Traded</w:t>
            </w:r>
          </w:p>
        </w:tc>
        <w:tc>
          <w:tcPr>
            <w:tcW w:w="1156"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Notional</w:t>
            </w:r>
            <w:r w:rsidRPr="00E87C92">
              <w:rPr>
                <w:rFonts w:ascii="Garamond" w:eastAsia="Times New Roman" w:hAnsi="Garamond" w:cs="Calibri"/>
                <w:b/>
                <w:bCs/>
                <w:color w:val="000000"/>
                <w:sz w:val="20"/>
                <w:szCs w:val="20"/>
                <w:lang w:val="en-US" w:bidi="hi-IN"/>
              </w:rPr>
              <w:br/>
              <w:t>Turnover</w:t>
            </w:r>
          </w:p>
        </w:tc>
        <w:tc>
          <w:tcPr>
            <w:tcW w:w="1156"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Open</w:t>
            </w:r>
            <w:r w:rsidRPr="00E87C92">
              <w:rPr>
                <w:rFonts w:ascii="Garamond" w:eastAsia="Times New Roman" w:hAnsi="Garamond" w:cs="Calibri"/>
                <w:b/>
                <w:bCs/>
                <w:color w:val="000000"/>
                <w:sz w:val="20"/>
                <w:szCs w:val="20"/>
                <w:lang w:val="en-US" w:bidi="hi-IN"/>
              </w:rPr>
              <w:br/>
              <w:t>Interest</w:t>
            </w:r>
          </w:p>
        </w:tc>
        <w:tc>
          <w:tcPr>
            <w:tcW w:w="1156"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Number of</w:t>
            </w:r>
            <w:r w:rsidRPr="00E87C92">
              <w:rPr>
                <w:rFonts w:ascii="Garamond" w:eastAsia="Times New Roman" w:hAnsi="Garamond" w:cs="Calibri"/>
                <w:b/>
                <w:bCs/>
                <w:color w:val="000000"/>
                <w:sz w:val="20"/>
                <w:szCs w:val="20"/>
                <w:lang w:val="en-US" w:bidi="hi-IN"/>
              </w:rPr>
              <w:br/>
              <w:t>Contracts Traded</w:t>
            </w:r>
          </w:p>
        </w:tc>
        <w:tc>
          <w:tcPr>
            <w:tcW w:w="1156"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Notional</w:t>
            </w:r>
            <w:r w:rsidRPr="00E87C92">
              <w:rPr>
                <w:rFonts w:ascii="Garamond" w:eastAsia="Times New Roman" w:hAnsi="Garamond" w:cs="Calibri"/>
                <w:b/>
                <w:bCs/>
                <w:color w:val="000000"/>
                <w:sz w:val="20"/>
                <w:szCs w:val="20"/>
                <w:lang w:val="en-US" w:bidi="hi-IN"/>
              </w:rPr>
              <w:br/>
              <w:t>Turnover</w:t>
            </w:r>
          </w:p>
        </w:tc>
        <w:tc>
          <w:tcPr>
            <w:tcW w:w="1156" w:type="dxa"/>
            <w:tcBorders>
              <w:top w:val="nil"/>
              <w:left w:val="nil"/>
              <w:bottom w:val="single" w:sz="4" w:space="0" w:color="auto"/>
              <w:right w:val="single" w:sz="4" w:space="0" w:color="auto"/>
            </w:tcBorders>
            <w:shd w:val="clear" w:color="000000" w:fill="B4C6E7"/>
            <w:vAlign w:val="center"/>
            <w:hideMark/>
          </w:tcPr>
          <w:p w:rsidR="00A12A17" w:rsidRPr="00E87C92" w:rsidRDefault="00A12A17" w:rsidP="00A91C39">
            <w:pPr>
              <w:jc w:val="cente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Open</w:t>
            </w:r>
            <w:r w:rsidRPr="00E87C92">
              <w:rPr>
                <w:rFonts w:ascii="Garamond" w:eastAsia="Times New Roman" w:hAnsi="Garamond" w:cs="Calibri"/>
                <w:b/>
                <w:bCs/>
                <w:color w:val="000000"/>
                <w:sz w:val="20"/>
                <w:szCs w:val="20"/>
                <w:lang w:val="en-US" w:bidi="hi-IN"/>
              </w:rPr>
              <w:br/>
              <w:t>Interest</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B3 - Brasil Bolsa Balcão</w:t>
            </w:r>
          </w:p>
        </w:tc>
        <w:tc>
          <w:tcPr>
            <w:tcW w:w="1156" w:type="dxa"/>
            <w:tcBorders>
              <w:top w:val="single" w:sz="8" w:space="0" w:color="auto"/>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44,364,506</w:t>
            </w:r>
          </w:p>
        </w:tc>
        <w:tc>
          <w:tcPr>
            <w:tcW w:w="1156"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1,274,466</w:t>
            </w:r>
          </w:p>
        </w:tc>
        <w:tc>
          <w:tcPr>
            <w:tcW w:w="1156"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31,895,174</w:t>
            </w:r>
          </w:p>
        </w:tc>
        <w:tc>
          <w:tcPr>
            <w:tcW w:w="1156"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9,321,322</w:t>
            </w:r>
          </w:p>
        </w:tc>
        <w:tc>
          <w:tcPr>
            <w:tcW w:w="1156"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109</w:t>
            </w:r>
          </w:p>
        </w:tc>
        <w:tc>
          <w:tcPr>
            <w:tcW w:w="1156" w:type="dxa"/>
            <w:tcBorders>
              <w:top w:val="single" w:sz="8" w:space="0" w:color="auto"/>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34,007,865</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Bolsa de Valores de Colombia</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11,735</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964</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12,751</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Bolsa Mexicana de Valores</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602</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4,600</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CME Group</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204,206,273</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88,608,852</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26,891,734</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47,476,935</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26,885,669</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39,642,170</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ASX Australian Securities Exchange</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11,968,395</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1,933,775</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3,775,806</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4,564</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309</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2,554</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Japan Exchange Group</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741,459</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110,394</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21,364</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1,273</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Korea Exchange</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3,186,491</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317,816</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532,837</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National Stock Exchange of India</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Singapore Exchange</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22,219</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13,696</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China Financial Futures Exchange</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1,648,233</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248,434</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185,055</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Deutsche Boerse AG</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49,865,752</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8,512,291</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5,672,581</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5,626,650</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1,005,296</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1,743,142</w:t>
            </w:r>
          </w:p>
        </w:tc>
      </w:tr>
      <w:tr w:rsidR="00A12A17" w:rsidRPr="00797A8B" w:rsidTr="00A91C39">
        <w:trPr>
          <w:trHeight w:val="23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Moscow Exchange</w:t>
            </w:r>
          </w:p>
        </w:tc>
        <w:tc>
          <w:tcPr>
            <w:tcW w:w="1156" w:type="dxa"/>
            <w:tcBorders>
              <w:top w:val="nil"/>
              <w:left w:val="single" w:sz="8" w:space="0" w:color="auto"/>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12,868</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2</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39,556</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c>
          <w:tcPr>
            <w:tcW w:w="1156" w:type="dxa"/>
            <w:tcBorders>
              <w:top w:val="nil"/>
              <w:left w:val="nil"/>
              <w:bottom w:val="nil"/>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w:t>
            </w:r>
          </w:p>
        </w:tc>
      </w:tr>
      <w:tr w:rsidR="00A12A17" w:rsidRPr="00797A8B" w:rsidTr="00A91C39">
        <w:trPr>
          <w:trHeight w:val="244"/>
        </w:trPr>
        <w:tc>
          <w:tcPr>
            <w:tcW w:w="3734" w:type="dxa"/>
            <w:tcBorders>
              <w:top w:val="nil"/>
              <w:left w:val="single" w:sz="4" w:space="0" w:color="auto"/>
              <w:bottom w:val="nil"/>
              <w:right w:val="nil"/>
            </w:tcBorders>
            <w:shd w:val="clear" w:color="000000" w:fill="B4C6E7"/>
            <w:vAlign w:val="center"/>
            <w:hideMark/>
          </w:tcPr>
          <w:p w:rsidR="00A12A17" w:rsidRPr="00E87C92" w:rsidRDefault="00A12A17" w:rsidP="00A91C39">
            <w:pPr>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Nasdaq Nordic and Baltics</w:t>
            </w:r>
          </w:p>
        </w:tc>
        <w:tc>
          <w:tcPr>
            <w:tcW w:w="1156" w:type="dxa"/>
            <w:tcBorders>
              <w:top w:val="nil"/>
              <w:left w:val="single" w:sz="8" w:space="0" w:color="auto"/>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1,169,634</w:t>
            </w:r>
          </w:p>
        </w:tc>
        <w:tc>
          <w:tcPr>
            <w:tcW w:w="1156"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126,338</w:t>
            </w:r>
          </w:p>
        </w:tc>
        <w:tc>
          <w:tcPr>
            <w:tcW w:w="1156"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0</w:t>
            </w:r>
          </w:p>
        </w:tc>
        <w:tc>
          <w:tcPr>
            <w:tcW w:w="1156"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474,714</w:t>
            </w:r>
          </w:p>
        </w:tc>
        <w:tc>
          <w:tcPr>
            <w:tcW w:w="1156"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51,276</w:t>
            </w:r>
          </w:p>
        </w:tc>
        <w:tc>
          <w:tcPr>
            <w:tcW w:w="1156" w:type="dxa"/>
            <w:tcBorders>
              <w:top w:val="nil"/>
              <w:left w:val="nil"/>
              <w:bottom w:val="single" w:sz="8" w:space="0" w:color="auto"/>
              <w:right w:val="single" w:sz="8" w:space="0" w:color="auto"/>
            </w:tcBorders>
            <w:shd w:val="clear" w:color="auto" w:fill="auto"/>
            <w:vAlign w:val="center"/>
            <w:hideMark/>
          </w:tcPr>
          <w:p w:rsidR="00A12A17" w:rsidRPr="00E87C92" w:rsidRDefault="00A12A17" w:rsidP="00A91C39">
            <w:pPr>
              <w:jc w:val="right"/>
              <w:rPr>
                <w:rFonts w:ascii="Garamond" w:eastAsia="Times New Roman" w:hAnsi="Garamond" w:cs="Calibri"/>
                <w:color w:val="000000"/>
                <w:sz w:val="20"/>
                <w:szCs w:val="20"/>
                <w:lang w:val="en-US" w:bidi="hi-IN"/>
              </w:rPr>
            </w:pPr>
            <w:r w:rsidRPr="00E87C92">
              <w:rPr>
                <w:rFonts w:ascii="Garamond" w:eastAsia="Times New Roman" w:hAnsi="Garamond" w:cs="Calibri"/>
                <w:color w:val="000000"/>
                <w:sz w:val="20"/>
                <w:szCs w:val="20"/>
                <w:lang w:val="en-US" w:bidi="hi-IN"/>
              </w:rPr>
              <w:t xml:space="preserve"> 0</w:t>
            </w:r>
          </w:p>
        </w:tc>
      </w:tr>
      <w:tr w:rsidR="00A12A17" w:rsidRPr="00797A8B" w:rsidTr="00A91C39">
        <w:trPr>
          <w:trHeight w:val="244"/>
        </w:trPr>
        <w:tc>
          <w:tcPr>
            <w:tcW w:w="3734" w:type="dxa"/>
            <w:tcBorders>
              <w:top w:val="single" w:sz="8" w:space="0" w:color="auto"/>
              <w:left w:val="single" w:sz="8" w:space="0" w:color="auto"/>
              <w:bottom w:val="single" w:sz="8" w:space="0" w:color="auto"/>
              <w:right w:val="nil"/>
            </w:tcBorders>
            <w:shd w:val="clear" w:color="000000" w:fill="D9E1F2"/>
            <w:vAlign w:val="center"/>
            <w:hideMark/>
          </w:tcPr>
          <w:p w:rsidR="00A12A17" w:rsidRPr="00E87C92" w:rsidRDefault="00A12A17" w:rsidP="00A91C39">
            <w:pPr>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Grand Total</w:t>
            </w:r>
          </w:p>
        </w:tc>
        <w:tc>
          <w:tcPr>
            <w:tcW w:w="1156"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317,198,167</w:t>
            </w:r>
          </w:p>
        </w:tc>
        <w:tc>
          <w:tcPr>
            <w:tcW w:w="1156"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101,022,943</w:t>
            </w:r>
          </w:p>
        </w:tc>
        <w:tc>
          <w:tcPr>
            <w:tcW w:w="1156"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69,134,184</w:t>
            </w:r>
          </w:p>
        </w:tc>
        <w:tc>
          <w:tcPr>
            <w:tcW w:w="1156"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62,925,549</w:t>
            </w:r>
          </w:p>
        </w:tc>
        <w:tc>
          <w:tcPr>
            <w:tcW w:w="1156" w:type="dxa"/>
            <w:tcBorders>
              <w:top w:val="nil"/>
              <w:left w:val="nil"/>
              <w:bottom w:val="single" w:sz="8" w:space="0" w:color="auto"/>
              <w:right w:val="nil"/>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27,942,659</w:t>
            </w:r>
          </w:p>
        </w:tc>
        <w:tc>
          <w:tcPr>
            <w:tcW w:w="1156" w:type="dxa"/>
            <w:tcBorders>
              <w:top w:val="nil"/>
              <w:left w:val="nil"/>
              <w:bottom w:val="single" w:sz="8" w:space="0" w:color="auto"/>
              <w:right w:val="single" w:sz="8" w:space="0" w:color="auto"/>
            </w:tcBorders>
            <w:shd w:val="clear" w:color="000000" w:fill="D9E1F2"/>
            <w:vAlign w:val="bottom"/>
            <w:hideMark/>
          </w:tcPr>
          <w:p w:rsidR="00A12A17" w:rsidRPr="00E87C92" w:rsidRDefault="00A12A17" w:rsidP="00A91C39">
            <w:pPr>
              <w:jc w:val="right"/>
              <w:rPr>
                <w:rFonts w:ascii="Garamond" w:eastAsia="Times New Roman" w:hAnsi="Garamond" w:cs="Calibri"/>
                <w:b/>
                <w:bCs/>
                <w:color w:val="000000"/>
                <w:sz w:val="20"/>
                <w:szCs w:val="20"/>
                <w:lang w:val="en-US" w:bidi="hi-IN"/>
              </w:rPr>
            </w:pPr>
            <w:r w:rsidRPr="00E87C92">
              <w:rPr>
                <w:rFonts w:ascii="Garamond" w:eastAsia="Times New Roman" w:hAnsi="Garamond" w:cs="Calibri"/>
                <w:b/>
                <w:bCs/>
                <w:color w:val="000000"/>
                <w:sz w:val="20"/>
                <w:szCs w:val="20"/>
                <w:lang w:val="en-US" w:bidi="hi-IN"/>
              </w:rPr>
              <w:t xml:space="preserve"> 75,397,004</w:t>
            </w:r>
          </w:p>
        </w:tc>
      </w:tr>
    </w:tbl>
    <w:p w:rsidR="00A12A17" w:rsidRPr="002061D1" w:rsidRDefault="00A12A17" w:rsidP="00A12A17">
      <w:pPr>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p>
    <w:p w:rsidR="00A12A17" w:rsidRPr="002061D1" w:rsidRDefault="00A12A17" w:rsidP="00A12A17">
      <w:pPr>
        <w:spacing w:line="23" w:lineRule="atLeast"/>
        <w:jc w:val="both"/>
        <w:rPr>
          <w:rFonts w:ascii="Garamond" w:hAnsi="Garamond"/>
          <w:bCs/>
          <w:sz w:val="18"/>
          <w:szCs w:val="18"/>
        </w:rPr>
      </w:pPr>
      <w:r w:rsidRPr="002061D1">
        <w:rPr>
          <w:rFonts w:ascii="Garamond" w:hAnsi="Garamond"/>
          <w:bCs/>
          <w:sz w:val="18"/>
          <w:szCs w:val="18"/>
        </w:rPr>
        <w:t>NA: Not Available</w:t>
      </w:r>
    </w:p>
    <w:p w:rsidR="00A12A17" w:rsidRPr="002061D1" w:rsidRDefault="00A12A17" w:rsidP="00A12A17">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rsidR="00A12A17" w:rsidRPr="002061D1" w:rsidRDefault="00A12A17" w:rsidP="00A12A17">
      <w:pPr>
        <w:rPr>
          <w:rFonts w:ascii="Garamond" w:eastAsia="Times New Roman" w:hAnsi="Garamond"/>
          <w:bCs/>
          <w:sz w:val="22"/>
          <w:szCs w:val="22"/>
          <w:lang w:val="en-US"/>
        </w:rPr>
      </w:pPr>
    </w:p>
    <w:p w:rsidR="00A12A17" w:rsidRPr="001D2656" w:rsidRDefault="00A12A17" w:rsidP="00A12A17">
      <w:pPr>
        <w:rPr>
          <w:rFonts w:ascii="Garamond" w:eastAsia="Times New Roman" w:hAnsi="Garamond"/>
          <w:bCs/>
          <w:sz w:val="22"/>
          <w:szCs w:val="22"/>
          <w:lang w:val="en-US"/>
        </w:rPr>
      </w:pPr>
      <w:r w:rsidRPr="001D2656">
        <w:rPr>
          <w:rFonts w:ascii="Garamond" w:eastAsia="Times New Roman" w:hAnsi="Garamond"/>
          <w:bCs/>
          <w:sz w:val="22"/>
          <w:szCs w:val="22"/>
          <w:lang w:val="en-US"/>
        </w:rPr>
        <w:br w:type="page"/>
      </w:r>
    </w:p>
    <w:p w:rsidR="00A12A17" w:rsidRPr="001D2656" w:rsidRDefault="00A12A17" w:rsidP="00A12A17">
      <w:pPr>
        <w:spacing w:line="23" w:lineRule="atLeast"/>
        <w:rPr>
          <w:rFonts w:ascii="Garamond" w:hAnsi="Garamond"/>
          <w:b/>
          <w:bCs/>
          <w:szCs w:val="22"/>
        </w:rPr>
      </w:pPr>
      <w:r w:rsidRPr="001D2656">
        <w:rPr>
          <w:rFonts w:ascii="Garamond" w:eastAsia="Times New Roman" w:hAnsi="Garamond"/>
          <w:b/>
          <w:bCs/>
          <w:szCs w:val="22"/>
          <w:lang w:val="en-US"/>
        </w:rPr>
        <w:t>Table A8: Commodity Futures and Options Traded in Major Exchanges</w:t>
      </w:r>
    </w:p>
    <w:p w:rsidR="00A12A17" w:rsidRPr="001D2656" w:rsidRDefault="00A12A17" w:rsidP="00A12A17">
      <w:pPr>
        <w:spacing w:line="23" w:lineRule="atLeast"/>
        <w:ind w:right="348"/>
        <w:jc w:val="right"/>
        <w:rPr>
          <w:rFonts w:ascii="Garamond" w:hAnsi="Garamond"/>
          <w:bCs/>
          <w:sz w:val="22"/>
          <w:szCs w:val="22"/>
        </w:rPr>
      </w:pPr>
      <w:r w:rsidRPr="001D2656">
        <w:rPr>
          <w:rFonts w:ascii="Garamond" w:hAnsi="Garamond"/>
          <w:bCs/>
          <w:sz w:val="22"/>
          <w:szCs w:val="22"/>
        </w:rPr>
        <w:t>Notional Turnover in (USD million)</w:t>
      </w:r>
    </w:p>
    <w:tbl>
      <w:tblPr>
        <w:tblW w:w="10612" w:type="dxa"/>
        <w:tblLook w:val="04A0" w:firstRow="1" w:lastRow="0" w:firstColumn="1" w:lastColumn="0" w:noHBand="0" w:noVBand="1"/>
      </w:tblPr>
      <w:tblGrid>
        <w:gridCol w:w="3713"/>
        <w:gridCol w:w="1149"/>
        <w:gridCol w:w="1149"/>
        <w:gridCol w:w="1151"/>
        <w:gridCol w:w="1149"/>
        <w:gridCol w:w="1149"/>
        <w:gridCol w:w="1152"/>
      </w:tblGrid>
      <w:tr w:rsidR="00A12A17" w:rsidRPr="00797A8B" w:rsidTr="00A91C39">
        <w:trPr>
          <w:trHeight w:val="265"/>
        </w:trPr>
        <w:tc>
          <w:tcPr>
            <w:tcW w:w="3713"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Exchange</w:t>
            </w:r>
          </w:p>
        </w:tc>
        <w:tc>
          <w:tcPr>
            <w:tcW w:w="6899" w:type="dxa"/>
            <w:gridSpan w:val="6"/>
            <w:tcBorders>
              <w:top w:val="single" w:sz="4" w:space="0" w:color="auto"/>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Feb-21</w:t>
            </w:r>
          </w:p>
        </w:tc>
      </w:tr>
      <w:tr w:rsidR="00A12A17" w:rsidRPr="00797A8B" w:rsidTr="00A91C39">
        <w:trPr>
          <w:trHeight w:val="265"/>
        </w:trPr>
        <w:tc>
          <w:tcPr>
            <w:tcW w:w="3713" w:type="dxa"/>
            <w:vMerge/>
            <w:tcBorders>
              <w:top w:val="single" w:sz="4" w:space="0" w:color="auto"/>
              <w:left w:val="single" w:sz="4" w:space="0" w:color="auto"/>
              <w:bottom w:val="single" w:sz="4" w:space="0" w:color="auto"/>
              <w:right w:val="single" w:sz="4" w:space="0" w:color="auto"/>
            </w:tcBorders>
            <w:vAlign w:val="center"/>
            <w:hideMark/>
          </w:tcPr>
          <w:p w:rsidR="00A12A17" w:rsidRPr="004A099C" w:rsidRDefault="00A12A17" w:rsidP="00A91C39">
            <w:pPr>
              <w:rPr>
                <w:rFonts w:ascii="Garamond" w:eastAsia="Times New Roman" w:hAnsi="Garamond" w:cs="Calibri"/>
                <w:b/>
                <w:bCs/>
                <w:color w:val="000000"/>
                <w:sz w:val="20"/>
                <w:szCs w:val="20"/>
                <w:lang w:val="en-US" w:bidi="hi-IN"/>
              </w:rPr>
            </w:pPr>
          </w:p>
        </w:tc>
        <w:tc>
          <w:tcPr>
            <w:tcW w:w="3449" w:type="dxa"/>
            <w:gridSpan w:val="3"/>
            <w:tcBorders>
              <w:top w:val="single" w:sz="4" w:space="0" w:color="auto"/>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Commodities Futures</w:t>
            </w:r>
          </w:p>
        </w:tc>
        <w:tc>
          <w:tcPr>
            <w:tcW w:w="3449" w:type="dxa"/>
            <w:gridSpan w:val="3"/>
            <w:tcBorders>
              <w:top w:val="single" w:sz="4" w:space="0" w:color="auto"/>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Commodities Options</w:t>
            </w:r>
          </w:p>
        </w:tc>
      </w:tr>
      <w:tr w:rsidR="00A12A17" w:rsidRPr="00797A8B" w:rsidTr="00A91C39">
        <w:trPr>
          <w:trHeight w:val="742"/>
        </w:trPr>
        <w:tc>
          <w:tcPr>
            <w:tcW w:w="3713" w:type="dxa"/>
            <w:vMerge/>
            <w:tcBorders>
              <w:top w:val="single" w:sz="4" w:space="0" w:color="auto"/>
              <w:left w:val="single" w:sz="4" w:space="0" w:color="auto"/>
              <w:bottom w:val="single" w:sz="4" w:space="0" w:color="auto"/>
              <w:right w:val="single" w:sz="4" w:space="0" w:color="auto"/>
            </w:tcBorders>
            <w:vAlign w:val="center"/>
            <w:hideMark/>
          </w:tcPr>
          <w:p w:rsidR="00A12A17" w:rsidRPr="004A099C" w:rsidRDefault="00A12A17" w:rsidP="00A91C39">
            <w:pPr>
              <w:rPr>
                <w:rFonts w:ascii="Garamond" w:eastAsia="Times New Roman" w:hAnsi="Garamond" w:cs="Calibri"/>
                <w:b/>
                <w:bCs/>
                <w:color w:val="000000"/>
                <w:sz w:val="20"/>
                <w:szCs w:val="20"/>
                <w:lang w:val="en-US" w:bidi="hi-IN"/>
              </w:rPr>
            </w:pPr>
          </w:p>
        </w:tc>
        <w:tc>
          <w:tcPr>
            <w:tcW w:w="1149" w:type="dxa"/>
            <w:tcBorders>
              <w:top w:val="nil"/>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Number of</w:t>
            </w:r>
            <w:r w:rsidRPr="004A099C">
              <w:rPr>
                <w:rFonts w:ascii="Garamond" w:eastAsia="Times New Roman" w:hAnsi="Garamond" w:cs="Calibri"/>
                <w:b/>
                <w:bCs/>
                <w:color w:val="000000"/>
                <w:sz w:val="20"/>
                <w:szCs w:val="20"/>
                <w:lang w:val="en-US" w:bidi="hi-IN"/>
              </w:rPr>
              <w:br/>
              <w:t>Contracts Traded</w:t>
            </w:r>
          </w:p>
        </w:tc>
        <w:tc>
          <w:tcPr>
            <w:tcW w:w="1149" w:type="dxa"/>
            <w:tcBorders>
              <w:top w:val="nil"/>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Notional</w:t>
            </w:r>
            <w:r w:rsidRPr="004A099C">
              <w:rPr>
                <w:rFonts w:ascii="Garamond" w:eastAsia="Times New Roman" w:hAnsi="Garamond" w:cs="Calibri"/>
                <w:b/>
                <w:bCs/>
                <w:color w:val="000000"/>
                <w:sz w:val="20"/>
                <w:szCs w:val="20"/>
                <w:lang w:val="en-US" w:bidi="hi-IN"/>
              </w:rPr>
              <w:br/>
              <w:t>Turnover</w:t>
            </w:r>
          </w:p>
        </w:tc>
        <w:tc>
          <w:tcPr>
            <w:tcW w:w="1149" w:type="dxa"/>
            <w:tcBorders>
              <w:top w:val="nil"/>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Open</w:t>
            </w:r>
            <w:r w:rsidRPr="004A099C">
              <w:rPr>
                <w:rFonts w:ascii="Garamond" w:eastAsia="Times New Roman" w:hAnsi="Garamond" w:cs="Calibri"/>
                <w:b/>
                <w:bCs/>
                <w:color w:val="000000"/>
                <w:sz w:val="20"/>
                <w:szCs w:val="20"/>
                <w:lang w:val="en-US" w:bidi="hi-IN"/>
              </w:rPr>
              <w:br/>
              <w:t>Interest</w:t>
            </w:r>
          </w:p>
        </w:tc>
        <w:tc>
          <w:tcPr>
            <w:tcW w:w="1149" w:type="dxa"/>
            <w:tcBorders>
              <w:top w:val="nil"/>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Number of</w:t>
            </w:r>
            <w:r w:rsidRPr="004A099C">
              <w:rPr>
                <w:rFonts w:ascii="Garamond" w:eastAsia="Times New Roman" w:hAnsi="Garamond" w:cs="Calibri"/>
                <w:b/>
                <w:bCs/>
                <w:color w:val="000000"/>
                <w:sz w:val="20"/>
                <w:szCs w:val="20"/>
                <w:lang w:val="en-US" w:bidi="hi-IN"/>
              </w:rPr>
              <w:br/>
              <w:t>Contracts Traded</w:t>
            </w:r>
          </w:p>
        </w:tc>
        <w:tc>
          <w:tcPr>
            <w:tcW w:w="1149" w:type="dxa"/>
            <w:tcBorders>
              <w:top w:val="nil"/>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Notional</w:t>
            </w:r>
            <w:r w:rsidRPr="004A099C">
              <w:rPr>
                <w:rFonts w:ascii="Garamond" w:eastAsia="Times New Roman" w:hAnsi="Garamond" w:cs="Calibri"/>
                <w:b/>
                <w:bCs/>
                <w:color w:val="000000"/>
                <w:sz w:val="20"/>
                <w:szCs w:val="20"/>
                <w:lang w:val="en-US" w:bidi="hi-IN"/>
              </w:rPr>
              <w:br/>
              <w:t>Turnover</w:t>
            </w:r>
          </w:p>
        </w:tc>
        <w:tc>
          <w:tcPr>
            <w:tcW w:w="1149" w:type="dxa"/>
            <w:tcBorders>
              <w:top w:val="nil"/>
              <w:left w:val="nil"/>
              <w:bottom w:val="single" w:sz="4" w:space="0" w:color="auto"/>
              <w:right w:val="single" w:sz="4" w:space="0" w:color="auto"/>
            </w:tcBorders>
            <w:shd w:val="clear" w:color="000000" w:fill="B4C6E7"/>
            <w:vAlign w:val="center"/>
            <w:hideMark/>
          </w:tcPr>
          <w:p w:rsidR="00A12A17" w:rsidRPr="004A099C" w:rsidRDefault="00A12A17" w:rsidP="00A91C39">
            <w:pPr>
              <w:jc w:val="cente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Open</w:t>
            </w:r>
            <w:r w:rsidRPr="004A099C">
              <w:rPr>
                <w:rFonts w:ascii="Garamond" w:eastAsia="Times New Roman" w:hAnsi="Garamond" w:cs="Calibri"/>
                <w:b/>
                <w:bCs/>
                <w:color w:val="000000"/>
                <w:sz w:val="20"/>
                <w:szCs w:val="20"/>
                <w:lang w:val="en-US" w:bidi="hi-IN"/>
              </w:rPr>
              <w:br/>
              <w:t>Interest</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B3 - Brasil Bolsa Balcão</w:t>
            </w:r>
          </w:p>
        </w:tc>
        <w:tc>
          <w:tcPr>
            <w:tcW w:w="1149" w:type="dxa"/>
            <w:tcBorders>
              <w:top w:val="single" w:sz="8" w:space="0" w:color="auto"/>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184,647</w:t>
            </w:r>
          </w:p>
        </w:tc>
        <w:tc>
          <w:tcPr>
            <w:tcW w:w="1149" w:type="dxa"/>
            <w:tcBorders>
              <w:top w:val="single" w:sz="8" w:space="0" w:color="auto"/>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2,357</w:t>
            </w:r>
          </w:p>
        </w:tc>
        <w:tc>
          <w:tcPr>
            <w:tcW w:w="1149" w:type="dxa"/>
            <w:tcBorders>
              <w:top w:val="single" w:sz="8" w:space="0" w:color="auto"/>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95,115</w:t>
            </w:r>
          </w:p>
        </w:tc>
        <w:tc>
          <w:tcPr>
            <w:tcW w:w="1149" w:type="dxa"/>
            <w:tcBorders>
              <w:top w:val="single" w:sz="8" w:space="0" w:color="auto"/>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52,474</w:t>
            </w:r>
          </w:p>
        </w:tc>
        <w:tc>
          <w:tcPr>
            <w:tcW w:w="1149" w:type="dxa"/>
            <w:tcBorders>
              <w:top w:val="single" w:sz="8" w:space="0" w:color="auto"/>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20</w:t>
            </w:r>
          </w:p>
        </w:tc>
        <w:tc>
          <w:tcPr>
            <w:tcW w:w="1149" w:type="dxa"/>
            <w:tcBorders>
              <w:top w:val="single" w:sz="8" w:space="0" w:color="auto"/>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87,449</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Matba Rofex</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66,075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1,264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62,139</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11,953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32,975</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CME Group</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82,276,977</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4,897,162</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14,357,168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12,537,672</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680,321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10,480,959</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ASX Australian Securities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87,451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1,943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164,817</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12,360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2,245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48,000</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Hong Kong Exchanges and Clearing</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5,694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205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446</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National Stock Exchange of India</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NZX Limited</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21,623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127</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45,790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3,450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8,900</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Singapore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1,544,906</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1,004,999</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253,138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576,654</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Taiwan Futures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8,609</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149</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1,235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2,084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148</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Thailand Futures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887,989</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42,381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Bursa Malaysia Derivatives</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1,108,590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22,219</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192,056</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6,700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13,080</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Zhengzhou Commodity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146,364,261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792,291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8,859,784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1,326,746</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574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908,553</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Dalian Commodity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129,141,584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1,023,378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8,385,894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4,927,944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792</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1,337,401</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Multi Commodity Exchange of India</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17,777,743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103,782</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262,785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144,679</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2,391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6,801</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Shanghai Futures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146,286,009</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1,994,077</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6,728,802</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1,664,218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1,023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163,679</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Borsa Istanbul</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12,891,441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4,338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1,725,900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Deutsche Boerse AG</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589,766</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21,882</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2,514,008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293,226</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1,478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678,707</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Euronext</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1,401,783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19,143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674,004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84,468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1,345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220,200</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LSE Group</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80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Moscow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49,496,257</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35,305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2,126,194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585,263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413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96,560</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Dubai Gold and Commodities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3,374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325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r>
      <w:tr w:rsidR="00A12A17" w:rsidRPr="00797A8B" w:rsidTr="00A91C39">
        <w:trPr>
          <w:trHeight w:val="265"/>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London Metal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11,299,308</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1,565,334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2,046,511</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585,453</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90,070</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432,993</w:t>
            </w:r>
          </w:p>
        </w:tc>
      </w:tr>
      <w:tr w:rsidR="00A12A17" w:rsidRPr="00797A8B" w:rsidTr="00A91C39">
        <w:trPr>
          <w:trHeight w:val="498"/>
        </w:trPr>
        <w:tc>
          <w:tcPr>
            <w:tcW w:w="3713" w:type="dxa"/>
            <w:tcBorders>
              <w:top w:val="nil"/>
              <w:left w:val="single" w:sz="4" w:space="0" w:color="auto"/>
              <w:bottom w:val="nil"/>
              <w:right w:val="nil"/>
            </w:tcBorders>
            <w:shd w:val="clear" w:color="000000" w:fill="B4C6E7"/>
            <w:vAlign w:val="center"/>
            <w:hideMark/>
          </w:tcPr>
          <w:p w:rsidR="00A12A17" w:rsidRPr="004A099C" w:rsidRDefault="00A12A17" w:rsidP="00A91C39">
            <w:pPr>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The Saint-Petersburg International Mercantile Exchange</w:t>
            </w:r>
          </w:p>
        </w:tc>
        <w:tc>
          <w:tcPr>
            <w:tcW w:w="1149" w:type="dxa"/>
            <w:tcBorders>
              <w:top w:val="nil"/>
              <w:left w:val="single" w:sz="8" w:space="0" w:color="auto"/>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3,154</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36</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 xml:space="preserve"> 1,605</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c>
          <w:tcPr>
            <w:tcW w:w="1149" w:type="dxa"/>
            <w:tcBorders>
              <w:top w:val="nil"/>
              <w:left w:val="nil"/>
              <w:bottom w:val="nil"/>
              <w:right w:val="single" w:sz="8" w:space="0" w:color="auto"/>
            </w:tcBorders>
            <w:shd w:val="clear" w:color="auto" w:fill="auto"/>
            <w:vAlign w:val="center"/>
            <w:hideMark/>
          </w:tcPr>
          <w:p w:rsidR="00A12A17" w:rsidRPr="004A099C" w:rsidRDefault="00A12A17" w:rsidP="00A91C39">
            <w:pPr>
              <w:jc w:val="right"/>
              <w:rPr>
                <w:rFonts w:ascii="Garamond" w:eastAsia="Times New Roman" w:hAnsi="Garamond" w:cs="Calibri"/>
                <w:color w:val="000000"/>
                <w:sz w:val="20"/>
                <w:szCs w:val="20"/>
                <w:lang w:val="en-US" w:bidi="hi-IN"/>
              </w:rPr>
            </w:pPr>
            <w:r w:rsidRPr="004A099C">
              <w:rPr>
                <w:rFonts w:ascii="Garamond" w:eastAsia="Times New Roman" w:hAnsi="Garamond" w:cs="Calibri"/>
                <w:color w:val="000000"/>
                <w:sz w:val="20"/>
                <w:szCs w:val="20"/>
                <w:lang w:val="en-US" w:bidi="hi-IN"/>
              </w:rPr>
              <w:t>NA</w:t>
            </w:r>
          </w:p>
        </w:tc>
      </w:tr>
      <w:tr w:rsidR="00A12A17" w:rsidRPr="00797A8B" w:rsidTr="00A91C39">
        <w:trPr>
          <w:trHeight w:val="277"/>
        </w:trPr>
        <w:tc>
          <w:tcPr>
            <w:tcW w:w="3713" w:type="dxa"/>
            <w:tcBorders>
              <w:top w:val="single" w:sz="8" w:space="0" w:color="auto"/>
              <w:left w:val="single" w:sz="8" w:space="0" w:color="auto"/>
              <w:bottom w:val="single" w:sz="8" w:space="0" w:color="auto"/>
              <w:right w:val="nil"/>
            </w:tcBorders>
            <w:shd w:val="clear" w:color="000000" w:fill="D9E1F2"/>
            <w:vAlign w:val="center"/>
            <w:hideMark/>
          </w:tcPr>
          <w:p w:rsidR="00A12A17" w:rsidRPr="004A099C" w:rsidRDefault="00A12A17" w:rsidP="00A91C39">
            <w:pPr>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Grand Total</w:t>
            </w:r>
          </w:p>
        </w:tc>
        <w:tc>
          <w:tcPr>
            <w:tcW w:w="1149" w:type="dxa"/>
            <w:tcBorders>
              <w:top w:val="single" w:sz="8" w:space="0" w:color="auto"/>
              <w:left w:val="nil"/>
              <w:bottom w:val="single" w:sz="8" w:space="0" w:color="auto"/>
              <w:right w:val="nil"/>
            </w:tcBorders>
            <w:shd w:val="clear" w:color="000000" w:fill="D9E1F2"/>
            <w:vAlign w:val="bottom"/>
            <w:hideMark/>
          </w:tcPr>
          <w:p w:rsidR="00A12A17" w:rsidRPr="004A099C" w:rsidRDefault="00A12A17" w:rsidP="00A91C39">
            <w:pPr>
              <w:jc w:val="right"/>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 xml:space="preserve"> 601,447,241</w:t>
            </w:r>
          </w:p>
        </w:tc>
        <w:tc>
          <w:tcPr>
            <w:tcW w:w="1149" w:type="dxa"/>
            <w:tcBorders>
              <w:top w:val="single" w:sz="8" w:space="0" w:color="auto"/>
              <w:left w:val="nil"/>
              <w:bottom w:val="single" w:sz="8" w:space="0" w:color="auto"/>
              <w:right w:val="nil"/>
            </w:tcBorders>
            <w:shd w:val="clear" w:color="000000" w:fill="D9E1F2"/>
            <w:vAlign w:val="bottom"/>
            <w:hideMark/>
          </w:tcPr>
          <w:p w:rsidR="00A12A17" w:rsidRPr="004A099C" w:rsidRDefault="00A12A17" w:rsidP="00A91C39">
            <w:pPr>
              <w:jc w:val="right"/>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 xml:space="preserve"> 10,485,035</w:t>
            </w:r>
          </w:p>
        </w:tc>
        <w:tc>
          <w:tcPr>
            <w:tcW w:w="1149" w:type="dxa"/>
            <w:tcBorders>
              <w:top w:val="single" w:sz="8" w:space="0" w:color="auto"/>
              <w:left w:val="nil"/>
              <w:bottom w:val="single" w:sz="8" w:space="0" w:color="auto"/>
              <w:right w:val="nil"/>
            </w:tcBorders>
            <w:shd w:val="clear" w:color="000000" w:fill="D9E1F2"/>
            <w:vAlign w:val="bottom"/>
            <w:hideMark/>
          </w:tcPr>
          <w:p w:rsidR="00A12A17" w:rsidRPr="004A099C" w:rsidRDefault="00A12A17" w:rsidP="00A91C39">
            <w:pPr>
              <w:jc w:val="right"/>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 xml:space="preserve"> 49,292,038</w:t>
            </w:r>
          </w:p>
        </w:tc>
        <w:tc>
          <w:tcPr>
            <w:tcW w:w="1149" w:type="dxa"/>
            <w:tcBorders>
              <w:top w:val="single" w:sz="8" w:space="0" w:color="auto"/>
              <w:left w:val="nil"/>
              <w:bottom w:val="single" w:sz="8" w:space="0" w:color="auto"/>
              <w:right w:val="nil"/>
            </w:tcBorders>
            <w:shd w:val="clear" w:color="000000" w:fill="D9E1F2"/>
            <w:vAlign w:val="bottom"/>
            <w:hideMark/>
          </w:tcPr>
          <w:p w:rsidR="00A12A17" w:rsidRPr="004A099C" w:rsidRDefault="00A12A17" w:rsidP="00A91C39">
            <w:pPr>
              <w:jc w:val="right"/>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 xml:space="preserve"> 22,491,828</w:t>
            </w:r>
          </w:p>
        </w:tc>
        <w:tc>
          <w:tcPr>
            <w:tcW w:w="1149" w:type="dxa"/>
            <w:tcBorders>
              <w:top w:val="single" w:sz="8" w:space="0" w:color="auto"/>
              <w:left w:val="nil"/>
              <w:bottom w:val="single" w:sz="8" w:space="0" w:color="auto"/>
              <w:right w:val="nil"/>
            </w:tcBorders>
            <w:shd w:val="clear" w:color="000000" w:fill="D9E1F2"/>
            <w:vAlign w:val="bottom"/>
            <w:hideMark/>
          </w:tcPr>
          <w:p w:rsidR="00A12A17" w:rsidRPr="004A099C" w:rsidRDefault="00A12A17" w:rsidP="00A91C39">
            <w:pPr>
              <w:jc w:val="right"/>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 xml:space="preserve"> 780,714</w:t>
            </w:r>
          </w:p>
        </w:tc>
        <w:tc>
          <w:tcPr>
            <w:tcW w:w="1149" w:type="dxa"/>
            <w:tcBorders>
              <w:top w:val="single" w:sz="8" w:space="0" w:color="auto"/>
              <w:left w:val="nil"/>
              <w:bottom w:val="single" w:sz="8" w:space="0" w:color="auto"/>
              <w:right w:val="single" w:sz="8" w:space="0" w:color="auto"/>
            </w:tcBorders>
            <w:shd w:val="clear" w:color="000000" w:fill="D9E1F2"/>
            <w:vAlign w:val="bottom"/>
            <w:hideMark/>
          </w:tcPr>
          <w:p w:rsidR="00A12A17" w:rsidRPr="004A099C" w:rsidRDefault="00A12A17" w:rsidP="00A91C39">
            <w:pPr>
              <w:jc w:val="right"/>
              <w:rPr>
                <w:rFonts w:ascii="Garamond" w:eastAsia="Times New Roman" w:hAnsi="Garamond" w:cs="Calibri"/>
                <w:b/>
                <w:bCs/>
                <w:color w:val="000000"/>
                <w:sz w:val="20"/>
                <w:szCs w:val="20"/>
                <w:lang w:val="en-US" w:bidi="hi-IN"/>
              </w:rPr>
            </w:pPr>
            <w:r w:rsidRPr="004A099C">
              <w:rPr>
                <w:rFonts w:ascii="Garamond" w:eastAsia="Times New Roman" w:hAnsi="Garamond" w:cs="Calibri"/>
                <w:b/>
                <w:bCs/>
                <w:color w:val="000000"/>
                <w:sz w:val="20"/>
                <w:szCs w:val="20"/>
                <w:lang w:val="en-US" w:bidi="hi-IN"/>
              </w:rPr>
              <w:t xml:space="preserve"> 15,093,059</w:t>
            </w:r>
          </w:p>
        </w:tc>
      </w:tr>
    </w:tbl>
    <w:p w:rsidR="00A12A17" w:rsidRPr="001D2656" w:rsidRDefault="00A12A17" w:rsidP="00A12A17">
      <w:pPr>
        <w:spacing w:line="23" w:lineRule="atLeast"/>
        <w:rPr>
          <w:rFonts w:ascii="Garamond" w:hAnsi="Garamond"/>
          <w:bCs/>
          <w:sz w:val="18"/>
          <w:szCs w:val="18"/>
        </w:rPr>
      </w:pPr>
      <w:r w:rsidRPr="001D2656">
        <w:rPr>
          <w:rFonts w:ascii="Garamond" w:hAnsi="Garamond"/>
          <w:bCs/>
          <w:sz w:val="18"/>
          <w:szCs w:val="18"/>
        </w:rPr>
        <w:t xml:space="preserve"> NA: Not Available</w:t>
      </w:r>
    </w:p>
    <w:p w:rsidR="00A12A17" w:rsidRPr="001D2656" w:rsidRDefault="00A12A17" w:rsidP="00A12A17">
      <w:pPr>
        <w:spacing w:line="23" w:lineRule="atLeast"/>
        <w:jc w:val="both"/>
        <w:outlineLvl w:val="0"/>
        <w:rPr>
          <w:rFonts w:ascii="Garamond" w:hAnsi="Garamond"/>
          <w:bCs/>
          <w:sz w:val="18"/>
          <w:szCs w:val="18"/>
        </w:rPr>
      </w:pPr>
      <w:r w:rsidRPr="001D2656">
        <w:rPr>
          <w:rFonts w:ascii="Garamond" w:hAnsi="Garamond"/>
          <w:bCs/>
          <w:sz w:val="18"/>
          <w:szCs w:val="18"/>
        </w:rPr>
        <w:t>Source: World Federation of Exchanges</w:t>
      </w:r>
    </w:p>
    <w:p w:rsidR="00A12A17" w:rsidRPr="001D2656" w:rsidRDefault="00A12A17" w:rsidP="00A12A17">
      <w:pPr>
        <w:rPr>
          <w:rFonts w:ascii="Times New Roman" w:hAnsi="Times New Roman"/>
          <w:bCs/>
          <w:sz w:val="18"/>
          <w:szCs w:val="18"/>
        </w:rPr>
      </w:pPr>
      <w:r w:rsidRPr="001D2656">
        <w:rPr>
          <w:rFonts w:ascii="Times New Roman" w:hAnsi="Times New Roman"/>
          <w:bCs/>
          <w:sz w:val="18"/>
          <w:szCs w:val="18"/>
        </w:rPr>
        <w:br w:type="page"/>
      </w:r>
    </w:p>
    <w:p w:rsidR="00A12A17" w:rsidRPr="001D2656" w:rsidRDefault="00A12A17" w:rsidP="00A12A17">
      <w:pPr>
        <w:spacing w:line="23" w:lineRule="atLeast"/>
        <w:jc w:val="both"/>
        <w:rPr>
          <w:rFonts w:ascii="Garamond" w:hAnsi="Garamond"/>
          <w:b/>
          <w:bCs/>
          <w:szCs w:val="22"/>
        </w:rPr>
      </w:pPr>
      <w:r w:rsidRPr="001D2656">
        <w:rPr>
          <w:rFonts w:ascii="Garamond" w:hAnsi="Garamond"/>
          <w:b/>
          <w:bCs/>
          <w:szCs w:val="22"/>
        </w:rPr>
        <w:t>Table A9: Major Foreign Holders of US Treasury Securities (USD billion)</w:t>
      </w:r>
    </w:p>
    <w:tbl>
      <w:tblPr>
        <w:tblW w:w="10539" w:type="dxa"/>
        <w:tblLook w:val="04A0" w:firstRow="1" w:lastRow="0" w:firstColumn="1" w:lastColumn="0" w:noHBand="0" w:noVBand="1"/>
      </w:tblPr>
      <w:tblGrid>
        <w:gridCol w:w="1407"/>
        <w:gridCol w:w="1025"/>
        <w:gridCol w:w="737"/>
        <w:gridCol w:w="737"/>
        <w:gridCol w:w="737"/>
        <w:gridCol w:w="737"/>
        <w:gridCol w:w="737"/>
        <w:gridCol w:w="737"/>
        <w:gridCol w:w="737"/>
        <w:gridCol w:w="737"/>
        <w:gridCol w:w="737"/>
        <w:gridCol w:w="737"/>
        <w:gridCol w:w="737"/>
      </w:tblGrid>
      <w:tr w:rsidR="00A12A17" w:rsidRPr="00797A8B" w:rsidTr="00A91C39">
        <w:trPr>
          <w:trHeight w:val="284"/>
        </w:trPr>
        <w:tc>
          <w:tcPr>
            <w:tcW w:w="1407" w:type="dxa"/>
            <w:vMerge w:val="restart"/>
            <w:tcBorders>
              <w:top w:val="single" w:sz="8" w:space="0" w:color="auto"/>
              <w:left w:val="single" w:sz="8" w:space="0" w:color="auto"/>
              <w:bottom w:val="nil"/>
              <w:right w:val="single" w:sz="4" w:space="0" w:color="000000"/>
            </w:tcBorders>
            <w:shd w:val="clear" w:color="auto" w:fill="auto"/>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Country/ Month</w:t>
            </w:r>
          </w:p>
        </w:tc>
        <w:tc>
          <w:tcPr>
            <w:tcW w:w="1025" w:type="dxa"/>
            <w:tcBorders>
              <w:top w:val="single" w:sz="8" w:space="0" w:color="auto"/>
              <w:left w:val="single" w:sz="8" w:space="0" w:color="auto"/>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2020</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single" w:sz="8" w:space="0" w:color="auto"/>
              <w:bottom w:val="single" w:sz="8" w:space="0" w:color="auto"/>
              <w:right w:val="nil"/>
            </w:tcBorders>
            <w:shd w:val="clear" w:color="000000" w:fill="FFFFFF"/>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single" w:sz="8" w:space="0" w:color="auto"/>
              <w:left w:val="nil"/>
              <w:bottom w:val="single" w:sz="8" w:space="0" w:color="auto"/>
              <w:right w:val="single" w:sz="8" w:space="0" w:color="auto"/>
            </w:tcBorders>
            <w:shd w:val="clear" w:color="000000" w:fill="FFFFFF"/>
            <w:noWrap/>
            <w:vAlign w:val="center"/>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2021</w:t>
            </w:r>
          </w:p>
        </w:tc>
      </w:tr>
      <w:tr w:rsidR="00A12A17" w:rsidRPr="00797A8B" w:rsidTr="00A91C39">
        <w:trPr>
          <w:trHeight w:val="284"/>
        </w:trPr>
        <w:tc>
          <w:tcPr>
            <w:tcW w:w="1407" w:type="dxa"/>
            <w:vMerge/>
            <w:tcBorders>
              <w:top w:val="single" w:sz="8" w:space="0" w:color="auto"/>
              <w:left w:val="single" w:sz="8" w:space="0" w:color="auto"/>
              <w:bottom w:val="nil"/>
              <w:right w:val="single" w:sz="4" w:space="0" w:color="000000"/>
            </w:tcBorders>
            <w:vAlign w:val="center"/>
            <w:hideMark/>
          </w:tcPr>
          <w:p w:rsidR="00A12A17" w:rsidRPr="0019325D" w:rsidRDefault="00A12A17" w:rsidP="00A91C39">
            <w:pPr>
              <w:rPr>
                <w:rFonts w:ascii="Garamond" w:eastAsia="Times New Roman" w:hAnsi="Garamond" w:cs="Calibri"/>
                <w:b/>
                <w:bCs/>
                <w:color w:val="000000"/>
                <w:sz w:val="20"/>
                <w:szCs w:val="20"/>
                <w:lang w:val="en-US" w:bidi="hi-IN"/>
              </w:rPr>
            </w:pP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Mar</w:t>
            </w:r>
          </w:p>
        </w:tc>
        <w:tc>
          <w:tcPr>
            <w:tcW w:w="0" w:type="auto"/>
            <w:tcBorders>
              <w:top w:val="nil"/>
              <w:left w:val="single" w:sz="8" w:space="0" w:color="auto"/>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Apr</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May</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Jun</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Jul</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Aug</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Sep</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Oct</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Nov</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Dec</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Jan</w:t>
            </w:r>
          </w:p>
        </w:tc>
        <w:tc>
          <w:tcPr>
            <w:tcW w:w="0" w:type="auto"/>
            <w:tcBorders>
              <w:top w:val="nil"/>
              <w:left w:val="nil"/>
              <w:bottom w:val="nil"/>
              <w:right w:val="single" w:sz="8" w:space="0" w:color="auto"/>
            </w:tcBorders>
            <w:shd w:val="clear" w:color="auto" w:fill="auto"/>
            <w:hideMark/>
          </w:tcPr>
          <w:p w:rsidR="00A12A17" w:rsidRPr="0019325D" w:rsidRDefault="00A12A17" w:rsidP="00A91C39">
            <w:pPr>
              <w:jc w:val="cente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Feb</w:t>
            </w:r>
          </w:p>
        </w:tc>
      </w:tr>
      <w:tr w:rsidR="00A12A17" w:rsidRPr="00797A8B" w:rsidTr="00A91C39">
        <w:trPr>
          <w:trHeight w:val="272"/>
        </w:trPr>
        <w:tc>
          <w:tcPr>
            <w:tcW w:w="1407" w:type="dxa"/>
            <w:tcBorders>
              <w:top w:val="single" w:sz="8" w:space="0" w:color="auto"/>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Japan</w:t>
            </w:r>
          </w:p>
        </w:tc>
        <w:tc>
          <w:tcPr>
            <w:tcW w:w="1025" w:type="dxa"/>
            <w:tcBorders>
              <w:top w:val="single" w:sz="8" w:space="0" w:color="auto"/>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1272.6</w:t>
            </w:r>
          </w:p>
        </w:tc>
        <w:tc>
          <w:tcPr>
            <w:tcW w:w="0" w:type="auto"/>
            <w:tcBorders>
              <w:top w:val="single" w:sz="8" w:space="0" w:color="auto"/>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1266.5</w:t>
            </w:r>
          </w:p>
        </w:tc>
        <w:tc>
          <w:tcPr>
            <w:tcW w:w="0" w:type="auto"/>
            <w:tcBorders>
              <w:top w:val="single" w:sz="8" w:space="0" w:color="auto"/>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1260.4</w:t>
            </w:r>
          </w:p>
        </w:tc>
        <w:tc>
          <w:tcPr>
            <w:tcW w:w="0" w:type="auto"/>
            <w:tcBorders>
              <w:top w:val="single" w:sz="8" w:space="0" w:color="auto"/>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1261.6</w:t>
            </w:r>
          </w:p>
        </w:tc>
        <w:tc>
          <w:tcPr>
            <w:tcW w:w="0" w:type="auto"/>
            <w:tcBorders>
              <w:top w:val="single" w:sz="8" w:space="0" w:color="auto"/>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1293</w:t>
            </w:r>
          </w:p>
        </w:tc>
        <w:tc>
          <w:tcPr>
            <w:tcW w:w="0" w:type="auto"/>
            <w:tcBorders>
              <w:top w:val="single" w:sz="8" w:space="0" w:color="auto"/>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1278.4</w:t>
            </w:r>
          </w:p>
        </w:tc>
        <w:tc>
          <w:tcPr>
            <w:tcW w:w="0" w:type="auto"/>
            <w:tcBorders>
              <w:top w:val="single" w:sz="8" w:space="0" w:color="auto"/>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1276.2</w:t>
            </w:r>
          </w:p>
        </w:tc>
        <w:tc>
          <w:tcPr>
            <w:tcW w:w="0" w:type="auto"/>
            <w:tcBorders>
              <w:top w:val="single" w:sz="8" w:space="0" w:color="auto"/>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1273.1</w:t>
            </w:r>
          </w:p>
        </w:tc>
        <w:tc>
          <w:tcPr>
            <w:tcW w:w="0" w:type="auto"/>
            <w:tcBorders>
              <w:top w:val="single" w:sz="8" w:space="0" w:color="auto"/>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1260.8</w:t>
            </w:r>
          </w:p>
        </w:tc>
        <w:tc>
          <w:tcPr>
            <w:tcW w:w="0" w:type="auto"/>
            <w:tcBorders>
              <w:top w:val="single" w:sz="8" w:space="0" w:color="auto"/>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1251.3</w:t>
            </w:r>
          </w:p>
        </w:tc>
        <w:tc>
          <w:tcPr>
            <w:tcW w:w="0" w:type="auto"/>
            <w:tcBorders>
              <w:top w:val="single" w:sz="8" w:space="0" w:color="auto"/>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1276.7</w:t>
            </w:r>
          </w:p>
        </w:tc>
        <w:tc>
          <w:tcPr>
            <w:tcW w:w="0" w:type="auto"/>
            <w:tcBorders>
              <w:top w:val="single" w:sz="8" w:space="0" w:color="auto"/>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1258.2</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China, Mainland</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1081.6</w:t>
            </w:r>
          </w:p>
        </w:tc>
        <w:tc>
          <w:tcPr>
            <w:tcW w:w="0" w:type="auto"/>
            <w:tcBorders>
              <w:top w:val="nil"/>
              <w:left w:val="single" w:sz="8" w:space="0" w:color="auto"/>
              <w:bottom w:val="nil"/>
              <w:right w:val="single" w:sz="8" w:space="0" w:color="auto"/>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1072.8</w:t>
            </w:r>
          </w:p>
        </w:tc>
        <w:tc>
          <w:tcPr>
            <w:tcW w:w="0" w:type="auto"/>
            <w:tcBorders>
              <w:top w:val="nil"/>
              <w:left w:val="nil"/>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1083.7</w:t>
            </w:r>
          </w:p>
        </w:tc>
        <w:tc>
          <w:tcPr>
            <w:tcW w:w="0" w:type="auto"/>
            <w:tcBorders>
              <w:top w:val="nil"/>
              <w:left w:val="single" w:sz="8" w:space="0" w:color="auto"/>
              <w:bottom w:val="nil"/>
              <w:right w:val="single" w:sz="8" w:space="0" w:color="auto"/>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1074.4</w:t>
            </w:r>
          </w:p>
        </w:tc>
        <w:tc>
          <w:tcPr>
            <w:tcW w:w="0" w:type="auto"/>
            <w:tcBorders>
              <w:top w:val="nil"/>
              <w:left w:val="nil"/>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1073.4</w:t>
            </w:r>
          </w:p>
        </w:tc>
        <w:tc>
          <w:tcPr>
            <w:tcW w:w="0" w:type="auto"/>
            <w:tcBorders>
              <w:top w:val="nil"/>
              <w:left w:val="single" w:sz="8" w:space="0" w:color="auto"/>
              <w:bottom w:val="nil"/>
              <w:right w:val="single" w:sz="8" w:space="0" w:color="auto"/>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1068</w:t>
            </w:r>
          </w:p>
        </w:tc>
        <w:tc>
          <w:tcPr>
            <w:tcW w:w="0" w:type="auto"/>
            <w:tcBorders>
              <w:top w:val="nil"/>
              <w:left w:val="nil"/>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1061.7</w:t>
            </w:r>
          </w:p>
        </w:tc>
        <w:tc>
          <w:tcPr>
            <w:tcW w:w="0" w:type="auto"/>
            <w:tcBorders>
              <w:top w:val="nil"/>
              <w:left w:val="single" w:sz="8" w:space="0" w:color="auto"/>
              <w:bottom w:val="nil"/>
              <w:right w:val="single" w:sz="8" w:space="0" w:color="auto"/>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1054</w:t>
            </w:r>
          </w:p>
        </w:tc>
        <w:tc>
          <w:tcPr>
            <w:tcW w:w="0" w:type="auto"/>
            <w:tcBorders>
              <w:top w:val="nil"/>
              <w:left w:val="nil"/>
              <w:bottom w:val="nil"/>
              <w:right w:val="single" w:sz="8" w:space="0" w:color="auto"/>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1063</w:t>
            </w:r>
          </w:p>
        </w:tc>
        <w:tc>
          <w:tcPr>
            <w:tcW w:w="0" w:type="auto"/>
            <w:tcBorders>
              <w:top w:val="nil"/>
              <w:left w:val="nil"/>
              <w:bottom w:val="nil"/>
              <w:right w:val="single" w:sz="8" w:space="0" w:color="auto"/>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1072.3</w:t>
            </w:r>
          </w:p>
        </w:tc>
        <w:tc>
          <w:tcPr>
            <w:tcW w:w="0" w:type="auto"/>
            <w:tcBorders>
              <w:top w:val="nil"/>
              <w:left w:val="nil"/>
              <w:bottom w:val="nil"/>
              <w:right w:val="single" w:sz="8" w:space="0" w:color="auto"/>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1095.2</w:t>
            </w:r>
          </w:p>
        </w:tc>
        <w:tc>
          <w:tcPr>
            <w:tcW w:w="0" w:type="auto"/>
            <w:tcBorders>
              <w:top w:val="nil"/>
              <w:left w:val="nil"/>
              <w:bottom w:val="nil"/>
              <w:right w:val="single" w:sz="8" w:space="0" w:color="auto"/>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1104.2</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United Kingdom</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469.7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429.2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445.8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445.3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424.6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419.4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428.5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442.8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420.5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440.6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438.7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459.5</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Ireland</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271.6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301.3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324.2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330.2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330.7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335.2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315.7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316.3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314.2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318.1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313.6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316</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Luxembourg</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246.1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265.5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262.7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267.3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264.7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268.8</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262.5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266.2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267.8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287.7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281.4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282.1</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Brazil</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264.4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259.5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264.4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264.1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265.7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265.1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262.9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262.2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258.3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260.4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259</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Switzerland</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244.6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241.3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243.1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247.3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250.4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253.4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255.4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255.5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253.3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255.5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257.8</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Belgium</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206.1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210.2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212.1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219.8</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211.8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214.9</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218.1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239.5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240.5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253.5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248.2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236.7</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Taiwan</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205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201.7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199.2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204.6</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209.7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213.5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218.2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222.3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235.4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239.6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234.5</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Hong Kong</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259.4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262.2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262.7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246.7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241.7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226.6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223.8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224.1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223.9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225</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Cayman Islands</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209.4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213.1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216.7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222.3</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229</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231.6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221.5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222.9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222.9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217.6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216</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India</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156.5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157.4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169.9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182.7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194.6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196.5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213.5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222.4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220.2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216.2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211.6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204.4</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Singapore</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151.5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146.1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142.1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150.5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158.6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160.3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159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162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163.8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168.1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164.3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161.4</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Saudi Arabia</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159.1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125.3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123.5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124.9</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124.6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130</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131.2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134.2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137.6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136.4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135.1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132.9</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Korea</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110.8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120</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117.3</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122.7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123.1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122.7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123.2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119.1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122.8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130.9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125.2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125.7</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Canada</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131.5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136.3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129.9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127.6</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133.9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131.1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131.3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127.4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119.9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126.7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112.7</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France</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156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137.7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130.5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144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130</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133.3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135.1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136.9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132.4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111.3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122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108.7</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Norway</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98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93.2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87.6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88.7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89.9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90.6</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90.5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82.9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87.5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91.5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97.6</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Thailand</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81.8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80.5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85.8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85.5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87.9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85.7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83.2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80</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82.2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80.6</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Germany</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77.3</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77.7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80.6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79.3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78.2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78.7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74.7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74.2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75.4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74.8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73.5</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Bermuda</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64.2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65.5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63.9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70.9</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71.1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74.2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76.1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73.9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72.6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68.2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67.1</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Netherlands</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66.2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67.9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71.2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68.5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71.7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66.1</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Israel</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47.6</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48.4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51.5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53.3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48.7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53.7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58.2</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Poland</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35.6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34.4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39.7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43.8</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50.5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53.3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53.2</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Philippines</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47.6</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48.6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50.8</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United Arab Emirates</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27.9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36.6</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33.1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36.8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32.2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33.8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50.6</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Mexico</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45.4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49.5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49.2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48.8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52.7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49.4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49.8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49.4</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Kuwait</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47.1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45.3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44.8</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Sweden</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39.5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36.5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39.1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40.8</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Australia</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46.3</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44.8</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42.9</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39.3</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39.5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39.8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40.5</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Chile</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29.8</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29.8</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30.1</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27.7</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27.3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38.2</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Vietnam</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29.6</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30.3</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32.6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33.2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37.3</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Italy</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43.5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44.2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39.1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38.3</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36.8</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Colombia</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29.3</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26.5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28.2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30.6</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29.8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31.9</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32.4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30.6</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All Other</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516.7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531.8</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540.8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536.7</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548.3</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533.3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533.4</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518.5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507.2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501.8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493.4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487.9</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Grand Total</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6949.5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6903.4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6978</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7046.9</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7096.2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7082</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7069.2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7070.4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7051.2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7070.8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7119.6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7098.9</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0" w:type="auto"/>
            <w:tcBorders>
              <w:top w:val="nil"/>
              <w:left w:val="nil"/>
              <w:bottom w:val="nil"/>
              <w:right w:val="nil"/>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0" w:type="auto"/>
            <w:tcBorders>
              <w:top w:val="nil"/>
              <w:left w:val="nil"/>
              <w:bottom w:val="nil"/>
              <w:right w:val="nil"/>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0" w:type="auto"/>
            <w:tcBorders>
              <w:top w:val="nil"/>
              <w:left w:val="nil"/>
              <w:bottom w:val="nil"/>
              <w:right w:val="nil"/>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 </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Of which:</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nil"/>
              <w:left w:val="nil"/>
              <w:bottom w:val="nil"/>
              <w:right w:val="nil"/>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nil"/>
              <w:left w:val="nil"/>
              <w:bottom w:val="nil"/>
              <w:right w:val="nil"/>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nil"/>
              <w:left w:val="nil"/>
              <w:bottom w:val="nil"/>
              <w:right w:val="nil"/>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rPr>
                <w:rFonts w:ascii="Garamond" w:eastAsia="Times New Roman" w:hAnsi="Garamond" w:cs="Calibri"/>
                <w:b/>
                <w:bCs/>
                <w:color w:val="000000"/>
                <w:sz w:val="20"/>
                <w:szCs w:val="20"/>
                <w:lang w:val="en-US" w:bidi="hi-IN"/>
              </w:rPr>
            </w:pPr>
            <w:r w:rsidRPr="0019325D">
              <w:rPr>
                <w:rFonts w:ascii="Garamond" w:eastAsia="Times New Roman" w:hAnsi="Garamond" w:cs="Calibri"/>
                <w:b/>
                <w:bCs/>
                <w:color w:val="000000"/>
                <w:sz w:val="20"/>
                <w:szCs w:val="20"/>
                <w:lang w:val="en-US" w:bidi="hi-IN"/>
              </w:rPr>
              <w:t> </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For. Official</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4117.9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4047.4</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4105.9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4147.1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4191.2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4199.3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4198.9</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4166.8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4176.2</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4186.5</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4224.6</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4235.4</w:t>
            </w:r>
          </w:p>
        </w:tc>
      </w:tr>
      <w:tr w:rsidR="00A12A17" w:rsidRPr="00797A8B" w:rsidTr="00A91C39">
        <w:trPr>
          <w:trHeight w:val="272"/>
        </w:trPr>
        <w:tc>
          <w:tcPr>
            <w:tcW w:w="1407" w:type="dxa"/>
            <w:tcBorders>
              <w:top w:val="nil"/>
              <w:left w:val="single" w:sz="8" w:space="0" w:color="auto"/>
              <w:bottom w:val="nil"/>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Treasury Bills</w:t>
            </w:r>
          </w:p>
        </w:tc>
        <w:tc>
          <w:tcPr>
            <w:tcW w:w="1025" w:type="dxa"/>
            <w:tcBorders>
              <w:top w:val="nil"/>
              <w:left w:val="single" w:sz="8" w:space="0" w:color="auto"/>
              <w:bottom w:val="nil"/>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283.2</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331</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355.7</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382.3</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393.6</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385</w:t>
            </w:r>
          </w:p>
        </w:tc>
        <w:tc>
          <w:tcPr>
            <w:tcW w:w="0" w:type="auto"/>
            <w:tcBorders>
              <w:top w:val="nil"/>
              <w:left w:val="nil"/>
              <w:bottom w:val="nil"/>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371.5</w:t>
            </w:r>
          </w:p>
        </w:tc>
        <w:tc>
          <w:tcPr>
            <w:tcW w:w="0" w:type="auto"/>
            <w:tcBorders>
              <w:top w:val="nil"/>
              <w:left w:val="single" w:sz="8" w:space="0" w:color="auto"/>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375.4</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370.8</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361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378.1</w:t>
            </w:r>
          </w:p>
        </w:tc>
        <w:tc>
          <w:tcPr>
            <w:tcW w:w="0" w:type="auto"/>
            <w:tcBorders>
              <w:top w:val="nil"/>
              <w:left w:val="nil"/>
              <w:bottom w:val="nil"/>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406.2</w:t>
            </w:r>
          </w:p>
        </w:tc>
      </w:tr>
      <w:tr w:rsidR="00A12A17" w:rsidRPr="00797A8B" w:rsidTr="00A91C39">
        <w:trPr>
          <w:trHeight w:val="284"/>
        </w:trPr>
        <w:tc>
          <w:tcPr>
            <w:tcW w:w="1407" w:type="dxa"/>
            <w:tcBorders>
              <w:top w:val="nil"/>
              <w:left w:val="single" w:sz="8" w:space="0" w:color="auto"/>
              <w:bottom w:val="single" w:sz="8" w:space="0" w:color="auto"/>
              <w:right w:val="nil"/>
            </w:tcBorders>
            <w:shd w:val="clear" w:color="auto" w:fill="auto"/>
            <w:noWrap/>
            <w:vAlign w:val="center"/>
            <w:hideMark/>
          </w:tcPr>
          <w:p w:rsidR="00A12A17" w:rsidRPr="0019325D" w:rsidRDefault="00A12A17" w:rsidP="00A91C39">
            <w:pPr>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T-Bonds &amp; Notes</w:t>
            </w:r>
          </w:p>
        </w:tc>
        <w:tc>
          <w:tcPr>
            <w:tcW w:w="1025" w:type="dxa"/>
            <w:tcBorders>
              <w:top w:val="nil"/>
              <w:left w:val="single" w:sz="8" w:space="0" w:color="auto"/>
              <w:bottom w:val="single" w:sz="8" w:space="0" w:color="auto"/>
              <w:right w:val="nil"/>
            </w:tcBorders>
            <w:shd w:val="clear" w:color="auto" w:fill="auto"/>
            <w:noWrap/>
            <w:vAlign w:val="center"/>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3834.6</w:t>
            </w:r>
          </w:p>
        </w:tc>
        <w:tc>
          <w:tcPr>
            <w:tcW w:w="0" w:type="auto"/>
            <w:tcBorders>
              <w:top w:val="nil"/>
              <w:left w:val="single" w:sz="8" w:space="0" w:color="auto"/>
              <w:bottom w:val="single" w:sz="8" w:space="0" w:color="auto"/>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3716.4</w:t>
            </w:r>
          </w:p>
        </w:tc>
        <w:tc>
          <w:tcPr>
            <w:tcW w:w="0" w:type="auto"/>
            <w:tcBorders>
              <w:top w:val="nil"/>
              <w:left w:val="nil"/>
              <w:bottom w:val="single" w:sz="8" w:space="0" w:color="auto"/>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3750.2</w:t>
            </w:r>
          </w:p>
        </w:tc>
        <w:tc>
          <w:tcPr>
            <w:tcW w:w="0" w:type="auto"/>
            <w:tcBorders>
              <w:top w:val="nil"/>
              <w:left w:val="single" w:sz="8" w:space="0" w:color="auto"/>
              <w:bottom w:val="single" w:sz="8" w:space="0" w:color="auto"/>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3764.9</w:t>
            </w:r>
          </w:p>
        </w:tc>
        <w:tc>
          <w:tcPr>
            <w:tcW w:w="0" w:type="auto"/>
            <w:tcBorders>
              <w:top w:val="nil"/>
              <w:left w:val="nil"/>
              <w:bottom w:val="single" w:sz="8" w:space="0" w:color="auto"/>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3797.6</w:t>
            </w:r>
          </w:p>
        </w:tc>
        <w:tc>
          <w:tcPr>
            <w:tcW w:w="0" w:type="auto"/>
            <w:tcBorders>
              <w:top w:val="nil"/>
              <w:left w:val="single" w:sz="8" w:space="0" w:color="auto"/>
              <w:bottom w:val="single" w:sz="8" w:space="0" w:color="auto"/>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3814.3</w:t>
            </w:r>
          </w:p>
        </w:tc>
        <w:tc>
          <w:tcPr>
            <w:tcW w:w="0" w:type="auto"/>
            <w:tcBorders>
              <w:top w:val="nil"/>
              <w:left w:val="nil"/>
              <w:bottom w:val="single" w:sz="8" w:space="0" w:color="auto"/>
              <w:right w:val="nil"/>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3827.4</w:t>
            </w:r>
          </w:p>
        </w:tc>
        <w:tc>
          <w:tcPr>
            <w:tcW w:w="0" w:type="auto"/>
            <w:tcBorders>
              <w:top w:val="nil"/>
              <w:left w:val="single" w:sz="8" w:space="0" w:color="auto"/>
              <w:bottom w:val="single" w:sz="8" w:space="0" w:color="auto"/>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3791.3</w:t>
            </w:r>
          </w:p>
        </w:tc>
        <w:tc>
          <w:tcPr>
            <w:tcW w:w="0" w:type="auto"/>
            <w:tcBorders>
              <w:top w:val="nil"/>
              <w:left w:val="nil"/>
              <w:bottom w:val="single" w:sz="8" w:space="0" w:color="auto"/>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3805.4</w:t>
            </w:r>
          </w:p>
        </w:tc>
        <w:tc>
          <w:tcPr>
            <w:tcW w:w="0" w:type="auto"/>
            <w:tcBorders>
              <w:top w:val="nil"/>
              <w:left w:val="nil"/>
              <w:bottom w:val="single" w:sz="8" w:space="0" w:color="auto"/>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3825.6</w:t>
            </w:r>
          </w:p>
        </w:tc>
        <w:tc>
          <w:tcPr>
            <w:tcW w:w="0" w:type="auto"/>
            <w:tcBorders>
              <w:top w:val="nil"/>
              <w:left w:val="nil"/>
              <w:bottom w:val="single" w:sz="8" w:space="0" w:color="auto"/>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3846.6</w:t>
            </w:r>
          </w:p>
        </w:tc>
        <w:tc>
          <w:tcPr>
            <w:tcW w:w="0" w:type="auto"/>
            <w:tcBorders>
              <w:top w:val="nil"/>
              <w:left w:val="nil"/>
              <w:bottom w:val="single" w:sz="8" w:space="0" w:color="auto"/>
              <w:right w:val="single" w:sz="8" w:space="0" w:color="auto"/>
            </w:tcBorders>
            <w:shd w:val="clear" w:color="auto" w:fill="auto"/>
            <w:noWrap/>
            <w:vAlign w:val="bottom"/>
            <w:hideMark/>
          </w:tcPr>
          <w:p w:rsidR="00A12A17" w:rsidRPr="0019325D" w:rsidRDefault="00A12A17" w:rsidP="00A91C39">
            <w:pPr>
              <w:jc w:val="right"/>
              <w:rPr>
                <w:rFonts w:ascii="Garamond" w:eastAsia="Times New Roman" w:hAnsi="Garamond" w:cs="Calibri"/>
                <w:color w:val="000000"/>
                <w:sz w:val="20"/>
                <w:szCs w:val="20"/>
                <w:lang w:val="en-US" w:bidi="hi-IN"/>
              </w:rPr>
            </w:pPr>
            <w:r w:rsidRPr="0019325D">
              <w:rPr>
                <w:rFonts w:ascii="Garamond" w:eastAsia="Times New Roman" w:hAnsi="Garamond" w:cs="Calibri"/>
                <w:color w:val="000000"/>
                <w:sz w:val="20"/>
                <w:szCs w:val="20"/>
                <w:lang w:val="en-US" w:bidi="hi-IN"/>
              </w:rPr>
              <w:t>3829.2</w:t>
            </w:r>
          </w:p>
        </w:tc>
      </w:tr>
    </w:tbl>
    <w:p w:rsidR="00A12A17" w:rsidRPr="001D2656" w:rsidRDefault="00A12A17" w:rsidP="00A12A17">
      <w:pPr>
        <w:spacing w:line="23" w:lineRule="atLeast"/>
        <w:rPr>
          <w:rFonts w:ascii="Garamond" w:hAnsi="Garamond"/>
          <w:bCs/>
          <w:sz w:val="18"/>
          <w:szCs w:val="18"/>
        </w:rPr>
      </w:pPr>
      <w:r w:rsidRPr="001D2656">
        <w:rPr>
          <w:rFonts w:ascii="Garamond" w:hAnsi="Garamond"/>
          <w:bCs/>
          <w:sz w:val="18"/>
          <w:szCs w:val="18"/>
        </w:rPr>
        <w:t xml:space="preserve"> Note: </w:t>
      </w:r>
    </w:p>
    <w:p w:rsidR="00A12A17" w:rsidRPr="001D2656" w:rsidRDefault="00A12A17" w:rsidP="00A12A17">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 xml:space="preserve">Data available as on </w:t>
      </w:r>
      <w:r>
        <w:rPr>
          <w:rFonts w:ascii="Garamond" w:hAnsi="Garamond"/>
          <w:bCs/>
          <w:sz w:val="18"/>
          <w:szCs w:val="18"/>
          <w:lang w:val="en-US"/>
        </w:rPr>
        <w:t>15 April</w:t>
      </w:r>
      <w:r w:rsidRPr="001D2656">
        <w:rPr>
          <w:rFonts w:ascii="Garamond" w:hAnsi="Garamond"/>
          <w:bCs/>
          <w:sz w:val="18"/>
          <w:szCs w:val="18"/>
          <w:lang w:val="en-US"/>
        </w:rPr>
        <w:t xml:space="preserve"> 2021</w:t>
      </w:r>
    </w:p>
    <w:p w:rsidR="00A12A17" w:rsidRPr="001D2656" w:rsidRDefault="00A12A17" w:rsidP="00A12A17">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A12A17" w:rsidRPr="001D2656" w:rsidRDefault="00A12A17" w:rsidP="00A12A17">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0F236F" w:rsidRDefault="00A12A17" w:rsidP="00A12A17">
      <w:pPr>
        <w:spacing w:line="23" w:lineRule="atLeast"/>
        <w:rPr>
          <w:rFonts w:ascii="Garamond" w:hAnsi="Garamond"/>
          <w:bCs/>
          <w:sz w:val="18"/>
          <w:szCs w:val="18"/>
        </w:rPr>
      </w:pPr>
      <w:r w:rsidRPr="001D2656">
        <w:rPr>
          <w:rFonts w:ascii="Garamond" w:hAnsi="Garamond"/>
          <w:bCs/>
          <w:sz w:val="18"/>
          <w:szCs w:val="18"/>
        </w:rPr>
        <w:t>Source: Department of the Treasury/Federal Reserve Board</w:t>
      </w:r>
    </w:p>
    <w:p w:rsidR="00C909C0" w:rsidRDefault="00C909C0">
      <w:pPr>
        <w:rPr>
          <w:rFonts w:ascii="Garamond" w:hAnsi="Garamond"/>
          <w:bCs/>
          <w:sz w:val="18"/>
          <w:szCs w:val="18"/>
        </w:rPr>
      </w:pPr>
      <w:r>
        <w:rPr>
          <w:rFonts w:ascii="Garamond" w:hAnsi="Garamond"/>
          <w:bCs/>
          <w:sz w:val="18"/>
          <w:szCs w:val="18"/>
        </w:rPr>
        <w:br w:type="page"/>
      </w: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013BA3" w:rsidRPr="0067031B" w:rsidRDefault="00013BA3" w:rsidP="00013BA3">
      <w:pPr>
        <w:shd w:val="clear" w:color="auto" w:fill="FFFFFF"/>
        <w:spacing w:line="276" w:lineRule="auto"/>
        <w:jc w:val="both"/>
        <w:textAlignment w:val="baseline"/>
        <w:rPr>
          <w:rFonts w:ascii="Palatino Linotype" w:hAnsi="Palatino Linotype"/>
          <w:b/>
          <w:bCs/>
          <w:lang w:val="en-US" w:bidi="hi-IN"/>
        </w:rPr>
      </w:pPr>
      <w:r w:rsidRPr="0067031B">
        <w:rPr>
          <w:rFonts w:ascii="Palatino Linotype" w:hAnsi="Palatino Linotype"/>
          <w:b/>
          <w:bCs/>
          <w:lang w:val="en-US" w:bidi="hi-IN"/>
        </w:rPr>
        <w:t>1) SEC Responds to Investor Demand by bringing together Agency Information about Climate and ESG Issues</w:t>
      </w:r>
    </w:p>
    <w:p w:rsidR="00013BA3" w:rsidRPr="0067031B" w:rsidRDefault="00013BA3" w:rsidP="00013BA3">
      <w:pPr>
        <w:shd w:val="clear" w:color="auto" w:fill="FFFFFF"/>
        <w:spacing w:line="276" w:lineRule="auto"/>
        <w:jc w:val="both"/>
        <w:textAlignment w:val="baseline"/>
        <w:rPr>
          <w:rFonts w:ascii="Palatino Linotype" w:hAnsi="Palatino Linotype"/>
          <w:b/>
          <w:bCs/>
          <w:lang w:val="en-US" w:bidi="hi-IN"/>
        </w:rPr>
      </w:pPr>
    </w:p>
    <w:p w:rsidR="00013BA3" w:rsidRPr="0067031B" w:rsidRDefault="00013BA3" w:rsidP="00013BA3">
      <w:pPr>
        <w:jc w:val="both"/>
        <w:rPr>
          <w:rFonts w:ascii="Palatino Linotype" w:hAnsi="Palatino Linotype"/>
          <w:lang w:val="en-IN" w:eastAsia="en-IN" w:bidi="hi-IN"/>
        </w:rPr>
      </w:pPr>
      <w:r w:rsidRPr="0067031B">
        <w:rPr>
          <w:rFonts w:ascii="Palatino Linotype" w:hAnsi="Palatino Linotype"/>
          <w:lang w:val="en-US" w:bidi="hi-IN"/>
        </w:rPr>
        <w:t>The Securities and Exchange Commission (SEC) has launched a new page on its website to bring together agency actions and the latest information about climate and environmental, social and governance (ESG) investing. In response to increased investor demand for this information, the page will appear on the front page of SEC.gov and will be updated as the agency continues to respond to investors.</w:t>
      </w:r>
    </w:p>
    <w:p w:rsidR="00013BA3" w:rsidRPr="0067031B" w:rsidRDefault="00013BA3" w:rsidP="00013BA3">
      <w:pPr>
        <w:jc w:val="both"/>
        <w:rPr>
          <w:rFonts w:ascii="Palatino Linotype" w:hAnsi="Palatino Linotype" w:cs="Calibri"/>
          <w:bCs/>
        </w:rPr>
      </w:pPr>
    </w:p>
    <w:p w:rsidR="00013BA3" w:rsidRPr="0067031B" w:rsidRDefault="00013BA3" w:rsidP="00013BA3">
      <w:pPr>
        <w:jc w:val="both"/>
        <w:rPr>
          <w:rFonts w:ascii="Palatino Linotype" w:hAnsi="Palatino Linotype" w:cs="Calibri"/>
          <w:b/>
        </w:rPr>
      </w:pPr>
      <w:r w:rsidRPr="0067031B">
        <w:rPr>
          <w:rFonts w:ascii="Palatino Linotype" w:hAnsi="Palatino Linotype" w:cs="Calibri"/>
          <w:b/>
        </w:rPr>
        <w:t xml:space="preserve">Source:  </w:t>
      </w:r>
      <w:r w:rsidRPr="0067031B">
        <w:rPr>
          <w:rFonts w:ascii="Palatino Linotype" w:hAnsi="Palatino Linotype"/>
          <w:b/>
        </w:rPr>
        <w:t>https://www.sec.gov/news/press-release/2021-52</w:t>
      </w:r>
    </w:p>
    <w:p w:rsidR="00013BA3" w:rsidRPr="0067031B" w:rsidRDefault="00013BA3" w:rsidP="00013BA3">
      <w:pPr>
        <w:jc w:val="both"/>
        <w:rPr>
          <w:rFonts w:ascii="Palatino Linotype" w:hAnsi="Palatino Linotype"/>
          <w:i/>
          <w:iCs/>
          <w:lang w:val="en-US" w:bidi="hi-IN"/>
        </w:rPr>
      </w:pPr>
    </w:p>
    <w:p w:rsidR="00013BA3" w:rsidRPr="0067031B" w:rsidRDefault="00013BA3" w:rsidP="00013BA3">
      <w:pPr>
        <w:jc w:val="both"/>
        <w:rPr>
          <w:rFonts w:ascii="Palatino Linotype" w:hAnsi="Palatino Linotype"/>
          <w:b/>
          <w:bCs/>
          <w:lang w:val="en-US" w:bidi="hi-IN"/>
        </w:rPr>
      </w:pPr>
      <w:r w:rsidRPr="0067031B">
        <w:rPr>
          <w:rFonts w:ascii="Palatino Linotype" w:hAnsi="Palatino Linotype"/>
          <w:b/>
          <w:bCs/>
        </w:rPr>
        <w:t>2</w:t>
      </w:r>
      <w:r w:rsidRPr="0067031B">
        <w:rPr>
          <w:rFonts w:ascii="Palatino Linotype" w:hAnsi="Palatino Linotype"/>
          <w:b/>
          <w:bCs/>
          <w:lang w:val="en-US" w:bidi="hi-IN"/>
        </w:rPr>
        <w:t xml:space="preserve">)  </w:t>
      </w:r>
      <w:r w:rsidRPr="0067031B">
        <w:rPr>
          <w:rFonts w:ascii="Palatino Linotype" w:eastAsia="Calibri" w:hAnsi="Palatino Linotype"/>
          <w:b/>
          <w:bCs/>
          <w:lang w:val="en-US" w:bidi="hi-IN"/>
        </w:rPr>
        <w:t>SEC Issues Amendments, Seeks Public Comment on Holding Foreign Companies Accountable Act</w:t>
      </w:r>
    </w:p>
    <w:p w:rsidR="00013BA3" w:rsidRPr="0067031B" w:rsidRDefault="00013BA3" w:rsidP="00013BA3">
      <w:pPr>
        <w:jc w:val="both"/>
        <w:rPr>
          <w:rFonts w:ascii="Palatino Linotype" w:eastAsia="Calibri" w:hAnsi="Palatino Linotype"/>
          <w:lang w:val="en-US" w:bidi="hi-IN"/>
        </w:rPr>
      </w:pPr>
    </w:p>
    <w:p w:rsidR="00013BA3" w:rsidRDefault="00013BA3" w:rsidP="00013BA3">
      <w:pPr>
        <w:jc w:val="both"/>
        <w:rPr>
          <w:rFonts w:ascii="Palatino Linotype" w:hAnsi="Palatino Linotype"/>
          <w:lang w:val="en-US" w:bidi="hi-IN"/>
        </w:rPr>
      </w:pPr>
      <w:r w:rsidRPr="0067031B">
        <w:rPr>
          <w:rFonts w:ascii="Palatino Linotype" w:eastAsia="Calibri" w:hAnsi="Palatino Linotype"/>
          <w:lang w:val="en-US" w:bidi="hi-IN"/>
        </w:rPr>
        <w:t>SEC has adopted interim final amendments to implement congressionally mandated submission and disclosure requirements of the Holding Foreign Companies Accountable Act (HFCA Act). </w:t>
      </w:r>
    </w:p>
    <w:p w:rsidR="00013BA3" w:rsidRPr="0067031B" w:rsidRDefault="00013BA3" w:rsidP="00013BA3">
      <w:pPr>
        <w:jc w:val="both"/>
        <w:rPr>
          <w:rFonts w:ascii="Palatino Linotype" w:eastAsia="Calibri" w:hAnsi="Palatino Linotype"/>
          <w:lang w:val="en-US" w:bidi="hi-IN"/>
        </w:rPr>
      </w:pPr>
    </w:p>
    <w:p w:rsidR="00013BA3" w:rsidRDefault="00013BA3" w:rsidP="00013BA3">
      <w:pPr>
        <w:jc w:val="both"/>
        <w:rPr>
          <w:rFonts w:ascii="Palatino Linotype" w:hAnsi="Palatino Linotype"/>
          <w:lang w:val="en-US" w:bidi="hi-IN"/>
        </w:rPr>
      </w:pPr>
      <w:r w:rsidRPr="0067031B">
        <w:rPr>
          <w:rFonts w:ascii="Palatino Linotype" w:eastAsia="Calibri" w:hAnsi="Palatino Linotype"/>
          <w:lang w:val="en-US" w:bidi="hi-IN"/>
        </w:rPr>
        <w:t xml:space="preserve">The interim final amendments will apply to registrants that the Commission identifies as having filed an annual report on Forms 10-K, 20-F, 40-F or N-CSR with an audit report issued by a registered public accounting firm that is located in a foreign jurisdiction and that the Public Company Accounting Oversight Board (PCAOB) has determined it is unable to inspect or investigate completely because of a position taken by an authority in that jurisdiction. </w:t>
      </w:r>
    </w:p>
    <w:p w:rsidR="00013BA3" w:rsidRPr="0067031B" w:rsidRDefault="00013BA3" w:rsidP="00013BA3">
      <w:pPr>
        <w:jc w:val="both"/>
        <w:rPr>
          <w:rFonts w:ascii="Palatino Linotype" w:eastAsia="Calibri" w:hAnsi="Palatino Linotype"/>
          <w:lang w:val="en-US" w:bidi="hi-IN"/>
        </w:rPr>
      </w:pPr>
    </w:p>
    <w:p w:rsidR="00013BA3" w:rsidRPr="0067031B" w:rsidRDefault="00013BA3" w:rsidP="00013BA3">
      <w:pPr>
        <w:jc w:val="both"/>
        <w:rPr>
          <w:rFonts w:ascii="Palatino Linotype" w:hAnsi="Palatino Linotype"/>
          <w:b/>
          <w:bCs/>
          <w:lang w:val="en-US" w:bidi="hi-IN"/>
        </w:rPr>
      </w:pPr>
      <w:r w:rsidRPr="0067031B">
        <w:rPr>
          <w:rFonts w:ascii="Palatino Linotype" w:hAnsi="Palatino Linotype"/>
          <w:b/>
          <w:bCs/>
          <w:lang w:val="en-US" w:bidi="hi-IN"/>
        </w:rPr>
        <w:t xml:space="preserve">3) </w:t>
      </w:r>
      <w:r w:rsidRPr="0067031B">
        <w:rPr>
          <w:rFonts w:ascii="Palatino Linotype" w:eastAsia="Calibri" w:hAnsi="Palatino Linotype"/>
          <w:b/>
          <w:bCs/>
          <w:lang w:val="en-US" w:bidi="hi-IN"/>
        </w:rPr>
        <w:t>Announcements on the end of LIBOR</w:t>
      </w:r>
    </w:p>
    <w:p w:rsidR="00013BA3" w:rsidRPr="0067031B" w:rsidRDefault="00013BA3" w:rsidP="00013BA3">
      <w:pPr>
        <w:jc w:val="both"/>
        <w:rPr>
          <w:rFonts w:ascii="Palatino Linotype" w:hAnsi="Palatino Linotype"/>
          <w:lang w:val="en-US" w:bidi="hi-IN"/>
        </w:rPr>
      </w:pPr>
    </w:p>
    <w:p w:rsidR="00013BA3" w:rsidRDefault="00013BA3" w:rsidP="00013BA3">
      <w:pPr>
        <w:jc w:val="both"/>
        <w:rPr>
          <w:rFonts w:ascii="Palatino Linotype" w:hAnsi="Palatino Linotype"/>
          <w:lang w:val="en-US" w:bidi="hi-IN"/>
        </w:rPr>
      </w:pPr>
      <w:r w:rsidRPr="0067031B">
        <w:rPr>
          <w:rFonts w:ascii="Palatino Linotype" w:eastAsia="Calibri" w:hAnsi="Palatino Linotype"/>
          <w:lang w:val="en-US" w:bidi="hi-IN"/>
        </w:rPr>
        <w:t xml:space="preserve">The FCA has </w:t>
      </w:r>
      <w:hyperlink r:id="rId46" w:history="1">
        <w:r w:rsidRPr="0067031B">
          <w:rPr>
            <w:rFonts w:ascii="Palatino Linotype" w:eastAsia="Calibri" w:hAnsi="Palatino Linotype"/>
            <w:lang w:val="en-US" w:bidi="hi-IN"/>
          </w:rPr>
          <w:t>confirmed</w:t>
        </w:r>
      </w:hyperlink>
      <w:r w:rsidRPr="0067031B">
        <w:rPr>
          <w:rFonts w:ascii="Palatino Linotype" w:eastAsia="Calibri" w:hAnsi="Palatino Linotype"/>
          <w:lang w:val="en-US" w:bidi="hi-IN"/>
        </w:rPr>
        <w:t xml:space="preserve"> that all LIBOR settings will either cease to be provided by any administrator or no longer be representative:</w:t>
      </w:r>
    </w:p>
    <w:p w:rsidR="00013BA3" w:rsidRPr="0067031B" w:rsidRDefault="00013BA3" w:rsidP="00013BA3">
      <w:pPr>
        <w:jc w:val="both"/>
        <w:rPr>
          <w:rFonts w:ascii="Palatino Linotype" w:eastAsia="Calibri" w:hAnsi="Palatino Linotype"/>
          <w:lang w:val="en-US" w:bidi="hi-IN"/>
        </w:rPr>
      </w:pPr>
    </w:p>
    <w:p w:rsidR="00013BA3" w:rsidRPr="0067031B" w:rsidRDefault="00013BA3" w:rsidP="00013BA3">
      <w:pPr>
        <w:jc w:val="both"/>
        <w:rPr>
          <w:rFonts w:ascii="Palatino Linotype" w:eastAsia="Calibri" w:hAnsi="Palatino Linotype"/>
          <w:lang w:val="en-US" w:bidi="hi-IN"/>
        </w:rPr>
      </w:pPr>
      <w:r w:rsidRPr="0067031B">
        <w:rPr>
          <w:rFonts w:ascii="Palatino Linotype" w:eastAsia="Calibri" w:hAnsi="Palatino Linotype"/>
          <w:lang w:val="en-US" w:bidi="hi-IN"/>
        </w:rPr>
        <w:t>immediately after 31 December 2021, in the case of all sterling, euro, Swiss franc and Japanese yen settings, and the 1-week and 2-month US dollar settings; and</w:t>
      </w:r>
    </w:p>
    <w:p w:rsidR="00013BA3" w:rsidRPr="0067031B" w:rsidRDefault="00013BA3" w:rsidP="00013BA3">
      <w:pPr>
        <w:jc w:val="both"/>
        <w:rPr>
          <w:rFonts w:ascii="Palatino Linotype" w:eastAsia="Calibri" w:hAnsi="Palatino Linotype"/>
          <w:lang w:val="en-US" w:bidi="hi-IN"/>
        </w:rPr>
      </w:pPr>
      <w:r w:rsidRPr="0067031B">
        <w:rPr>
          <w:rFonts w:ascii="Palatino Linotype" w:eastAsia="Calibri" w:hAnsi="Palatino Linotype"/>
          <w:lang w:val="en-US" w:bidi="hi-IN"/>
        </w:rPr>
        <w:t>immediately after 30 June 2023, in the case of the remaining US dollar settings</w:t>
      </w:r>
    </w:p>
    <w:p w:rsidR="00013BA3" w:rsidRPr="0067031B" w:rsidRDefault="00013BA3" w:rsidP="00013BA3">
      <w:pPr>
        <w:jc w:val="both"/>
        <w:rPr>
          <w:rFonts w:ascii="Palatino Linotype" w:hAnsi="Palatino Linotype"/>
          <w:lang w:val="en-US" w:bidi="hi-IN"/>
        </w:rPr>
      </w:pPr>
      <w:r w:rsidRPr="0067031B">
        <w:rPr>
          <w:rFonts w:ascii="Palatino Linotype" w:hAnsi="Palatino Linotype"/>
          <w:lang w:val="en-US" w:bidi="hi-IN"/>
        </w:rPr>
        <w:t>Publication of most of the LIBOR settings will cease immediately after these dates.</w:t>
      </w:r>
    </w:p>
    <w:p w:rsidR="00013BA3" w:rsidRPr="0067031B" w:rsidRDefault="00013BA3" w:rsidP="00013BA3">
      <w:pPr>
        <w:jc w:val="both"/>
        <w:rPr>
          <w:rFonts w:ascii="Palatino Linotype" w:hAnsi="Palatino Linotype"/>
          <w:lang w:val="en-US" w:bidi="hi-IN"/>
        </w:rPr>
      </w:pPr>
    </w:p>
    <w:p w:rsidR="00013BA3" w:rsidRPr="0067031B" w:rsidRDefault="00013BA3" w:rsidP="00013BA3">
      <w:pPr>
        <w:jc w:val="both"/>
        <w:rPr>
          <w:rFonts w:ascii="Palatino Linotype" w:hAnsi="Palatino Linotype"/>
          <w:b/>
          <w:bCs/>
          <w:lang w:val="en-US" w:bidi="hi-IN"/>
        </w:rPr>
      </w:pPr>
      <w:r w:rsidRPr="0067031B">
        <w:rPr>
          <w:rFonts w:ascii="Palatino Linotype" w:hAnsi="Palatino Linotype"/>
          <w:b/>
          <w:bCs/>
          <w:lang w:val="en-US" w:bidi="hi-IN"/>
        </w:rPr>
        <w:t>Source: https://www.fca.org.uk/news/press-releases/announcements-end-libor</w:t>
      </w:r>
    </w:p>
    <w:p w:rsidR="00013BA3" w:rsidRPr="0067031B" w:rsidRDefault="00013BA3" w:rsidP="00013BA3">
      <w:pPr>
        <w:jc w:val="both"/>
        <w:rPr>
          <w:rFonts w:ascii="Palatino Linotype" w:hAnsi="Palatino Linotype"/>
          <w:lang w:val="en-US" w:bidi="hi-IN"/>
        </w:rPr>
      </w:pPr>
    </w:p>
    <w:p w:rsidR="00013BA3" w:rsidRPr="0067031B" w:rsidRDefault="00013BA3" w:rsidP="00013BA3">
      <w:pPr>
        <w:jc w:val="both"/>
        <w:rPr>
          <w:rFonts w:ascii="Palatino Linotype" w:hAnsi="Palatino Linotype"/>
          <w:b/>
          <w:bCs/>
          <w:lang w:val="en-US" w:bidi="hi-IN"/>
        </w:rPr>
      </w:pPr>
      <w:r>
        <w:rPr>
          <w:rFonts w:ascii="Palatino Linotype" w:hAnsi="Palatino Linotype"/>
          <w:b/>
          <w:bCs/>
          <w:lang w:val="en-US" w:bidi="hi-IN"/>
        </w:rPr>
        <w:t>4</w:t>
      </w:r>
      <w:r w:rsidRPr="0067031B">
        <w:rPr>
          <w:rFonts w:ascii="Palatino Linotype" w:hAnsi="Palatino Linotype"/>
          <w:b/>
          <w:bCs/>
          <w:lang w:val="en-US" w:bidi="hi-IN"/>
        </w:rPr>
        <w:t>) IOSCO Reviews Implementation of Liquidity Risk Management Recommendations and Market Participants´ Responses to COVID-19 Induced Market Stresses</w:t>
      </w:r>
      <w:r w:rsidRPr="0067031B">
        <w:rPr>
          <w:rFonts w:ascii="Palatino Linotype" w:hAnsi="Palatino Linotype"/>
          <w:b/>
          <w:bCs/>
          <w:lang w:val="en-US" w:bidi="hi-IN"/>
        </w:rPr>
        <w:cr/>
      </w:r>
    </w:p>
    <w:p w:rsidR="00013BA3" w:rsidRPr="0067031B" w:rsidRDefault="00013BA3" w:rsidP="00013BA3">
      <w:pPr>
        <w:jc w:val="both"/>
        <w:rPr>
          <w:rFonts w:ascii="Palatino Linotype" w:hAnsi="Palatino Linotype"/>
          <w:lang w:val="en-US" w:bidi="hi-IN"/>
        </w:rPr>
      </w:pPr>
      <w:r w:rsidRPr="0067031B">
        <w:rPr>
          <w:rFonts w:ascii="Palatino Linotype" w:hAnsi="Palatino Linotype"/>
          <w:lang w:val="en-US" w:bidi="hi-IN"/>
        </w:rPr>
        <w:t>The International Organization of Securities Commissions (IOSCO) has launched its Thematic Review of the Recommendations for Liquidity Risk Management for Collective Investment Schemes issued by IOSCO in 2018.</w:t>
      </w:r>
    </w:p>
    <w:p w:rsidR="00013BA3" w:rsidRPr="0067031B" w:rsidRDefault="00013BA3" w:rsidP="00013BA3">
      <w:pPr>
        <w:jc w:val="both"/>
        <w:rPr>
          <w:rFonts w:ascii="Palatino Linotype" w:hAnsi="Palatino Linotype"/>
          <w:lang w:val="en-US" w:bidi="hi-IN"/>
        </w:rPr>
      </w:pPr>
    </w:p>
    <w:p w:rsidR="00013BA3" w:rsidRPr="0067031B" w:rsidRDefault="00013BA3" w:rsidP="00013BA3">
      <w:pPr>
        <w:jc w:val="both"/>
        <w:rPr>
          <w:rFonts w:ascii="Palatino Linotype" w:hAnsi="Palatino Linotype"/>
          <w:lang w:val="en-US" w:bidi="hi-IN"/>
        </w:rPr>
      </w:pPr>
      <w:r w:rsidRPr="0067031B">
        <w:rPr>
          <w:rFonts w:ascii="Palatino Linotype" w:hAnsi="Palatino Linotype"/>
          <w:lang w:val="en-US" w:bidi="hi-IN"/>
        </w:rPr>
        <w:t>The Recommendations are meant to ensure that liquidity risk is managed to safeguard and protect the interests of investors, including in stressed market conditions. They are also designed to address potential structural vulnerabilities in the asset management sector that could impact financial stability.</w:t>
      </w:r>
    </w:p>
    <w:p w:rsidR="00013BA3" w:rsidRPr="0067031B" w:rsidRDefault="00013BA3" w:rsidP="00013BA3">
      <w:pPr>
        <w:jc w:val="both"/>
        <w:rPr>
          <w:rFonts w:ascii="Palatino Linotype" w:hAnsi="Palatino Linotype"/>
          <w:lang w:val="en-US" w:bidi="hi-IN"/>
        </w:rPr>
      </w:pPr>
    </w:p>
    <w:p w:rsidR="00013BA3" w:rsidRPr="0067031B" w:rsidRDefault="00013BA3" w:rsidP="00013BA3">
      <w:pPr>
        <w:jc w:val="both"/>
        <w:rPr>
          <w:rFonts w:ascii="Palatino Linotype" w:hAnsi="Palatino Linotype"/>
          <w:lang w:val="en-US" w:bidi="hi-IN"/>
        </w:rPr>
      </w:pPr>
      <w:r w:rsidRPr="0067031B">
        <w:rPr>
          <w:rFonts w:ascii="Palatino Linotype" w:hAnsi="Palatino Linotype"/>
          <w:lang w:val="en-US" w:bidi="hi-IN"/>
        </w:rPr>
        <w:t xml:space="preserve"> </w:t>
      </w:r>
      <w:r w:rsidRPr="0067031B">
        <w:rPr>
          <w:rFonts w:ascii="Palatino Linotype" w:hAnsi="Palatino Linotype"/>
          <w:lang w:val="en-US" w:bidi="hi-IN"/>
        </w:rPr>
        <w:tab/>
      </w:r>
      <w:r w:rsidRPr="0067031B">
        <w:rPr>
          <w:rFonts w:ascii="Palatino Linotype" w:hAnsi="Palatino Linotype"/>
          <w:lang w:val="en-US" w:bidi="hi-IN"/>
        </w:rPr>
        <w:tab/>
      </w:r>
    </w:p>
    <w:p w:rsidR="00013BA3" w:rsidRPr="0067031B" w:rsidRDefault="00013BA3" w:rsidP="00013BA3">
      <w:pPr>
        <w:jc w:val="both"/>
        <w:rPr>
          <w:rFonts w:ascii="Palatino Linotype" w:hAnsi="Palatino Linotype"/>
          <w:b/>
          <w:bCs/>
          <w:lang w:val="en-US" w:bidi="hi-IN"/>
        </w:rPr>
      </w:pPr>
      <w:r w:rsidRPr="0067031B">
        <w:rPr>
          <w:rFonts w:ascii="Palatino Linotype" w:hAnsi="Palatino Linotype"/>
          <w:b/>
          <w:bCs/>
          <w:lang w:val="en-US" w:bidi="hi-IN"/>
        </w:rPr>
        <w:t>Source: https://www.iosco.org/news/pdf/IOSCONEWS597.pdf</w:t>
      </w:r>
    </w:p>
    <w:p w:rsidR="00932FDF" w:rsidRDefault="00932FDF" w:rsidP="00272724">
      <w:pPr>
        <w:rPr>
          <w:rFonts w:ascii="Palatino Linotype" w:hAnsi="Palatino Linotype"/>
          <w:b/>
          <w:sz w:val="22"/>
          <w:szCs w:val="22"/>
        </w:rPr>
      </w:pPr>
    </w:p>
    <w:p w:rsidR="006F730C" w:rsidRDefault="006F730C" w:rsidP="00272724">
      <w:pPr>
        <w:rPr>
          <w:rFonts w:ascii="Palatino Linotype" w:hAnsi="Palatino Linotype"/>
          <w:b/>
          <w:sz w:val="22"/>
          <w:szCs w:val="22"/>
        </w:rPr>
      </w:pPr>
    </w:p>
    <w:p w:rsidR="006F730C" w:rsidRDefault="006F730C" w:rsidP="00272724">
      <w:pPr>
        <w:rPr>
          <w:rFonts w:ascii="Palatino Linotype" w:hAnsi="Palatino Linotype"/>
          <w:b/>
          <w:sz w:val="22"/>
          <w:szCs w:val="22"/>
        </w:rPr>
      </w:pPr>
    </w:p>
    <w:p w:rsidR="006F730C" w:rsidRDefault="006F730C" w:rsidP="00272724">
      <w:pPr>
        <w:rPr>
          <w:rFonts w:ascii="Palatino Linotype" w:hAnsi="Palatino Linotype"/>
          <w:b/>
          <w:sz w:val="22"/>
          <w:szCs w:val="22"/>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Default="00272724" w:rsidP="00272724">
      <w:pPr>
        <w:shd w:val="clear" w:color="auto" w:fill="FFFFFF"/>
        <w:spacing w:line="276" w:lineRule="auto"/>
        <w:jc w:val="both"/>
        <w:rPr>
          <w:rFonts w:ascii="Palatino Linotype" w:hAnsi="Palatino Linotype"/>
          <w:color w:val="000000"/>
        </w:rPr>
      </w:pPr>
    </w:p>
    <w:p w:rsidR="00284E34" w:rsidRPr="00D20404" w:rsidRDefault="00284E34" w:rsidP="00284E34">
      <w:pPr>
        <w:pStyle w:val="Default"/>
        <w:jc w:val="both"/>
        <w:rPr>
          <w:rFonts w:ascii="Palatino Linotype" w:hAnsi="Palatino Linotype" w:cs="Times New Roman"/>
          <w:b/>
        </w:rPr>
      </w:pPr>
      <w:r>
        <w:rPr>
          <w:rFonts w:ascii="Palatino Linotype" w:hAnsi="Palatino Linotype" w:cs="Times New Roman"/>
          <w:b/>
        </w:rPr>
        <w:t xml:space="preserve">1. </w:t>
      </w:r>
      <w:r w:rsidRPr="00D20404">
        <w:rPr>
          <w:rFonts w:ascii="Palatino Linotype" w:hAnsi="Palatino Linotype" w:cs="Times New Roman"/>
          <w:b/>
        </w:rPr>
        <w:t xml:space="preserve">Code of Conduct &amp; Institutional </w:t>
      </w:r>
      <w:r>
        <w:rPr>
          <w:rFonts w:ascii="Palatino Linotype" w:hAnsi="Palatino Linotype" w:cs="Times New Roman"/>
          <w:b/>
        </w:rPr>
        <w:t>M</w:t>
      </w:r>
      <w:r w:rsidRPr="00D20404">
        <w:rPr>
          <w:rFonts w:ascii="Palatino Linotype" w:hAnsi="Palatino Linotype" w:cs="Times New Roman"/>
          <w:b/>
        </w:rPr>
        <w:t xml:space="preserve">echanism for </w:t>
      </w:r>
      <w:r>
        <w:rPr>
          <w:rFonts w:ascii="Palatino Linotype" w:hAnsi="Palatino Linotype" w:cs="Times New Roman"/>
          <w:b/>
        </w:rPr>
        <w:t>P</w:t>
      </w:r>
      <w:r w:rsidRPr="00D20404">
        <w:rPr>
          <w:rFonts w:ascii="Palatino Linotype" w:hAnsi="Palatino Linotype" w:cs="Times New Roman"/>
          <w:b/>
        </w:rPr>
        <w:t>revention of Fraud or Market Abuse</w:t>
      </w:r>
    </w:p>
    <w:p w:rsidR="00284E34" w:rsidRPr="00D20404" w:rsidRDefault="00284E34" w:rsidP="00284E34">
      <w:pPr>
        <w:pStyle w:val="Default"/>
        <w:jc w:val="both"/>
        <w:rPr>
          <w:rFonts w:ascii="Palatino Linotype" w:hAnsi="Palatino Linotype" w:cs="Times New Roman"/>
          <w:bCs/>
        </w:rPr>
      </w:pPr>
    </w:p>
    <w:p w:rsidR="00284E34" w:rsidRPr="00EC74E9" w:rsidRDefault="00284E34" w:rsidP="00284E34">
      <w:pPr>
        <w:shd w:val="clear" w:color="auto" w:fill="FFFFFF"/>
        <w:jc w:val="both"/>
        <w:rPr>
          <w:rFonts w:ascii="Arial" w:eastAsia="Times New Roman" w:hAnsi="Arial" w:cs="Arial"/>
          <w:sz w:val="23"/>
          <w:szCs w:val="23"/>
          <w:lang w:val="en-IN" w:eastAsia="en-IN"/>
        </w:rPr>
      </w:pPr>
      <w:r w:rsidRPr="00D20404">
        <w:rPr>
          <w:rFonts w:ascii="Palatino Linotype" w:hAnsi="Palatino Linotype"/>
          <w:bCs/>
        </w:rPr>
        <w:t>Pursuant to the report of Fair Market Conduct Committee set up inter-alia to recommend appropriate institutional mechanism to ensure accountability of the management / designated persons in case of negligence / failure, necessary changes have been notified in SEBI (Prohibition of Insider trading) Regulations, 2015.  In line with these changes, it has been decided that the code of conduct and institutional mechanism for prevention of fraud or market abuse shall be applicable to stock exchanges, clearing corporations, and depositories (MIIs)</w:t>
      </w:r>
      <w:r>
        <w:rPr>
          <w:rFonts w:ascii="Palatino Linotype" w:hAnsi="Palatino Linotype"/>
          <w:bCs/>
        </w:rPr>
        <w:t xml:space="preserve"> </w:t>
      </w:r>
      <w:r w:rsidRPr="00EC74E9">
        <w:rPr>
          <w:rFonts w:ascii="Arial" w:eastAsia="Times New Roman" w:hAnsi="Arial" w:cs="Arial"/>
          <w:sz w:val="23"/>
          <w:szCs w:val="23"/>
          <w:lang w:val="en-IN" w:eastAsia="en-IN"/>
        </w:rPr>
        <w:t>on the lines of Regulation 9(1) to 9(4) of PIT Regulation</w:t>
      </w:r>
      <w:r>
        <w:rPr>
          <w:rFonts w:ascii="Arial" w:eastAsia="Times New Roman" w:hAnsi="Arial" w:cs="Arial"/>
          <w:sz w:val="23"/>
          <w:szCs w:val="23"/>
          <w:lang w:val="en-IN" w:eastAsia="en-IN"/>
        </w:rPr>
        <w:t>s.</w:t>
      </w:r>
    </w:p>
    <w:p w:rsidR="00284E34" w:rsidRPr="00D20404" w:rsidRDefault="00013BA3" w:rsidP="00284E34">
      <w:pPr>
        <w:pStyle w:val="Default"/>
        <w:jc w:val="both"/>
        <w:rPr>
          <w:rFonts w:ascii="Palatino Linotype" w:hAnsi="Palatino Linotype" w:cs="Times New Roman"/>
          <w:bCs/>
        </w:rPr>
      </w:pPr>
      <w:r>
        <w:rPr>
          <w:rFonts w:ascii="Palatino Linotype" w:hAnsi="Palatino Linotype" w:cs="Times New Roman"/>
          <w:bCs/>
        </w:rPr>
        <w:t>.</w:t>
      </w:r>
    </w:p>
    <w:p w:rsidR="00284E34" w:rsidRPr="00D20404" w:rsidRDefault="00284E34" w:rsidP="00284E34">
      <w:pPr>
        <w:pStyle w:val="Default"/>
        <w:jc w:val="both"/>
        <w:rPr>
          <w:rFonts w:ascii="Palatino Linotype" w:hAnsi="Palatino Linotype" w:cs="Times New Roman"/>
          <w:bCs/>
          <w:i/>
          <w:iCs/>
        </w:rPr>
      </w:pPr>
      <w:r w:rsidRPr="00D20404">
        <w:rPr>
          <w:rFonts w:ascii="Palatino Linotype" w:hAnsi="Palatino Linotype" w:cs="Times New Roman"/>
          <w:bCs/>
          <w:i/>
          <w:iCs/>
        </w:rPr>
        <w:t>Source - SEBI/HO/MRD/DCAP/CIR/P/2021/23 dated March 03, 2021</w:t>
      </w:r>
    </w:p>
    <w:p w:rsidR="00284E34" w:rsidRPr="00D20404" w:rsidRDefault="00284E34" w:rsidP="00284E34">
      <w:pPr>
        <w:pStyle w:val="Default"/>
        <w:jc w:val="both"/>
        <w:rPr>
          <w:rFonts w:ascii="Palatino Linotype" w:hAnsi="Palatino Linotype" w:cs="Times New Roman"/>
          <w:bCs/>
          <w:i/>
          <w:iCs/>
        </w:rPr>
      </w:pPr>
    </w:p>
    <w:p w:rsidR="00284E34" w:rsidRPr="00D20404" w:rsidRDefault="00284E34" w:rsidP="00284E34">
      <w:pPr>
        <w:pStyle w:val="Default"/>
        <w:jc w:val="both"/>
        <w:rPr>
          <w:rFonts w:ascii="Palatino Linotype" w:hAnsi="Palatino Linotype" w:cs="Times New Roman"/>
          <w:b/>
        </w:rPr>
      </w:pPr>
      <w:r>
        <w:rPr>
          <w:rFonts w:ascii="Palatino Linotype" w:hAnsi="Palatino Linotype" w:cs="Times New Roman"/>
          <w:b/>
        </w:rPr>
        <w:t xml:space="preserve">2. </w:t>
      </w:r>
      <w:r w:rsidRPr="00D20404">
        <w:rPr>
          <w:rFonts w:ascii="Palatino Linotype" w:hAnsi="Palatino Linotype" w:cs="Times New Roman"/>
          <w:b/>
        </w:rPr>
        <w:t>Circular on Mutual Funds</w:t>
      </w:r>
    </w:p>
    <w:p w:rsidR="00284E34" w:rsidRPr="00D20404" w:rsidRDefault="00284E34" w:rsidP="00284E34">
      <w:pPr>
        <w:pStyle w:val="Default"/>
        <w:jc w:val="both"/>
        <w:rPr>
          <w:rFonts w:ascii="Palatino Linotype" w:hAnsi="Palatino Linotype" w:cs="Times New Roman"/>
          <w:bCs/>
        </w:rPr>
      </w:pPr>
    </w:p>
    <w:p w:rsidR="00284E34" w:rsidRPr="0045686E" w:rsidRDefault="00284E34" w:rsidP="00284E34">
      <w:pPr>
        <w:shd w:val="clear" w:color="auto" w:fill="FFFFFF"/>
        <w:jc w:val="both"/>
        <w:rPr>
          <w:rFonts w:ascii="Arial" w:eastAsia="Times New Roman" w:hAnsi="Arial" w:cs="Arial"/>
          <w:sz w:val="23"/>
          <w:szCs w:val="23"/>
          <w:lang w:val="en-IN" w:eastAsia="en-IN"/>
        </w:rPr>
      </w:pPr>
      <w:r>
        <w:rPr>
          <w:rFonts w:ascii="Palatino Linotype" w:hAnsi="Palatino Linotype"/>
          <w:bCs/>
        </w:rPr>
        <w:t xml:space="preserve">Amendments to SEBI Mutual Fund Regulations were notified vide </w:t>
      </w:r>
      <w:r w:rsidRPr="00FE595D">
        <w:rPr>
          <w:rFonts w:ascii="Palatino Linotype" w:hAnsi="Palatino Linotype"/>
          <w:bCs/>
        </w:rPr>
        <w:t>Gazette  notification  no.  SEBI/LAD-NRO/GN/2021/08  dated  February  04,  2021</w:t>
      </w:r>
      <w:r>
        <w:rPr>
          <w:rFonts w:ascii="Palatino Linotype" w:hAnsi="Palatino Linotype"/>
          <w:bCs/>
        </w:rPr>
        <w:t xml:space="preserve">. </w:t>
      </w:r>
      <w:r w:rsidRPr="00EC74E9">
        <w:rPr>
          <w:rFonts w:ascii="Arial" w:eastAsia="Times New Roman" w:hAnsi="Arial" w:cs="Arial"/>
          <w:sz w:val="23"/>
          <w:szCs w:val="23"/>
          <w:lang w:val="en-IN" w:eastAsia="en-IN"/>
        </w:rPr>
        <w:t>With</w:t>
      </w:r>
      <w:r>
        <w:rPr>
          <w:rFonts w:ascii="Arial" w:eastAsia="Times New Roman" w:hAnsi="Arial" w:cs="Arial"/>
          <w:sz w:val="23"/>
          <w:szCs w:val="23"/>
          <w:lang w:val="en-IN" w:eastAsia="en-IN"/>
        </w:rPr>
        <w:t xml:space="preserve"> </w:t>
      </w:r>
      <w:r w:rsidRPr="00EC74E9">
        <w:rPr>
          <w:rFonts w:ascii="Arial" w:eastAsia="Times New Roman" w:hAnsi="Arial" w:cs="Arial"/>
          <w:sz w:val="23"/>
          <w:szCs w:val="23"/>
          <w:lang w:val="en-IN" w:eastAsia="en-IN"/>
        </w:rPr>
        <w:t>respect to proposals relating to modifications</w:t>
      </w:r>
      <w:r>
        <w:rPr>
          <w:rFonts w:ascii="Arial" w:eastAsia="Times New Roman" w:hAnsi="Arial" w:cs="Arial"/>
          <w:sz w:val="23"/>
          <w:szCs w:val="23"/>
          <w:lang w:val="en-IN" w:eastAsia="en-IN"/>
        </w:rPr>
        <w:t xml:space="preserve"> </w:t>
      </w:r>
      <w:r w:rsidRPr="00EC74E9">
        <w:rPr>
          <w:rFonts w:ascii="Arial" w:eastAsia="Times New Roman" w:hAnsi="Arial" w:cs="Arial"/>
          <w:sz w:val="23"/>
          <w:szCs w:val="23"/>
          <w:lang w:val="en-IN" w:eastAsia="en-IN"/>
        </w:rPr>
        <w:t>in</w:t>
      </w:r>
      <w:r>
        <w:rPr>
          <w:rFonts w:ascii="Arial" w:eastAsia="Times New Roman" w:hAnsi="Arial" w:cs="Arial"/>
          <w:sz w:val="23"/>
          <w:szCs w:val="23"/>
          <w:lang w:val="en-IN" w:eastAsia="en-IN"/>
        </w:rPr>
        <w:t xml:space="preserve"> </w:t>
      </w:r>
      <w:r w:rsidRPr="00EC74E9">
        <w:rPr>
          <w:rFonts w:ascii="Arial" w:eastAsia="Times New Roman" w:hAnsi="Arial" w:cs="Arial"/>
          <w:sz w:val="23"/>
          <w:szCs w:val="23"/>
          <w:lang w:val="en-IN" w:eastAsia="en-IN"/>
        </w:rPr>
        <w:t>various circulars issued under</w:t>
      </w:r>
      <w:r>
        <w:rPr>
          <w:rFonts w:ascii="Arial" w:eastAsia="Times New Roman" w:hAnsi="Arial" w:cs="Arial"/>
          <w:sz w:val="23"/>
          <w:szCs w:val="23"/>
          <w:lang w:val="en-IN" w:eastAsia="en-IN"/>
        </w:rPr>
        <w:t xml:space="preserve"> Mutual Fund</w:t>
      </w:r>
      <w:r w:rsidRPr="00EC74E9">
        <w:rPr>
          <w:rFonts w:ascii="Arial" w:eastAsia="Times New Roman" w:hAnsi="Arial" w:cs="Arial"/>
          <w:sz w:val="23"/>
          <w:szCs w:val="23"/>
          <w:lang w:val="en-IN" w:eastAsia="en-IN"/>
        </w:rPr>
        <w:t xml:space="preserve"> Regulations</w:t>
      </w:r>
      <w:r>
        <w:rPr>
          <w:rFonts w:ascii="Palatino Linotype" w:hAnsi="Palatino Linotype"/>
          <w:bCs/>
        </w:rPr>
        <w:t>, modifications were made in gross ex</w:t>
      </w:r>
      <w:r w:rsidR="00013BA3">
        <w:rPr>
          <w:rFonts w:ascii="Palatino Linotype" w:hAnsi="Palatino Linotype"/>
          <w:bCs/>
        </w:rPr>
        <w:t>p</w:t>
      </w:r>
      <w:r>
        <w:rPr>
          <w:rFonts w:ascii="Palatino Linotype" w:hAnsi="Palatino Linotype"/>
          <w:bCs/>
        </w:rPr>
        <w:t>osure Limits for mutual fund schemes, investment patterns of the schemes, p</w:t>
      </w:r>
      <w:r w:rsidRPr="00FE595D">
        <w:rPr>
          <w:rFonts w:ascii="Palatino Linotype" w:hAnsi="Palatino Linotype"/>
          <w:bCs/>
        </w:rPr>
        <w:t xml:space="preserve">rocedure for </w:t>
      </w:r>
      <w:r>
        <w:rPr>
          <w:rFonts w:ascii="Palatino Linotype" w:hAnsi="Palatino Linotype"/>
          <w:bCs/>
        </w:rPr>
        <w:t>c</w:t>
      </w:r>
      <w:r w:rsidRPr="00FE595D">
        <w:rPr>
          <w:rFonts w:ascii="Palatino Linotype" w:hAnsi="Palatino Linotype"/>
          <w:bCs/>
        </w:rPr>
        <w:t xml:space="preserve">hange in </w:t>
      </w:r>
      <w:r>
        <w:rPr>
          <w:rFonts w:ascii="Palatino Linotype" w:hAnsi="Palatino Linotype"/>
          <w:bCs/>
        </w:rPr>
        <w:t>c</w:t>
      </w:r>
      <w:r w:rsidRPr="00FE595D">
        <w:rPr>
          <w:rFonts w:ascii="Palatino Linotype" w:hAnsi="Palatino Linotype"/>
          <w:bCs/>
        </w:rPr>
        <w:t>ontrol of AMC</w:t>
      </w:r>
      <w:r>
        <w:rPr>
          <w:rFonts w:ascii="Palatino Linotype" w:hAnsi="Palatino Linotype"/>
          <w:bCs/>
        </w:rPr>
        <w:t xml:space="preserve">, </w:t>
      </w:r>
      <w:r w:rsidRPr="00FE595D">
        <w:rPr>
          <w:rFonts w:ascii="Palatino Linotype" w:hAnsi="Palatino Linotype"/>
          <w:bCs/>
        </w:rPr>
        <w:t>Go Green Initiatives</w:t>
      </w:r>
      <w:r>
        <w:rPr>
          <w:rFonts w:ascii="Palatino Linotype" w:hAnsi="Palatino Linotype"/>
          <w:bCs/>
        </w:rPr>
        <w:t>, f</w:t>
      </w:r>
      <w:r w:rsidRPr="00FE595D">
        <w:rPr>
          <w:rFonts w:ascii="Palatino Linotype" w:hAnsi="Palatino Linotype"/>
          <w:bCs/>
        </w:rPr>
        <w:t>iling of</w:t>
      </w:r>
      <w:r w:rsidR="00013BA3">
        <w:rPr>
          <w:rFonts w:ascii="Palatino Linotype" w:hAnsi="Palatino Linotype"/>
          <w:bCs/>
        </w:rPr>
        <w:t xml:space="preserve"> </w:t>
      </w:r>
      <w:r w:rsidRPr="00FE595D">
        <w:rPr>
          <w:rFonts w:ascii="Palatino Linotype" w:hAnsi="Palatino Linotype"/>
          <w:bCs/>
        </w:rPr>
        <w:t xml:space="preserve">Annual Information Return (AIR) by </w:t>
      </w:r>
      <w:r>
        <w:rPr>
          <w:rFonts w:ascii="Palatino Linotype" w:hAnsi="Palatino Linotype"/>
          <w:bCs/>
        </w:rPr>
        <w:t>m</w:t>
      </w:r>
      <w:r w:rsidRPr="00FE595D">
        <w:rPr>
          <w:rFonts w:ascii="Palatino Linotype" w:hAnsi="Palatino Linotype"/>
          <w:bCs/>
        </w:rPr>
        <w:t xml:space="preserve">utual </w:t>
      </w:r>
      <w:r>
        <w:rPr>
          <w:rFonts w:ascii="Palatino Linotype" w:hAnsi="Palatino Linotype"/>
          <w:bCs/>
        </w:rPr>
        <w:t>f</w:t>
      </w:r>
      <w:r w:rsidRPr="00FE595D">
        <w:rPr>
          <w:rFonts w:ascii="Palatino Linotype" w:hAnsi="Palatino Linotype"/>
          <w:bCs/>
        </w:rPr>
        <w:t>unds</w:t>
      </w:r>
      <w:r>
        <w:rPr>
          <w:rFonts w:ascii="Palatino Linotype" w:hAnsi="Palatino Linotype"/>
          <w:bCs/>
        </w:rPr>
        <w:t>, i</w:t>
      </w:r>
      <w:r w:rsidRPr="00FE595D">
        <w:rPr>
          <w:rFonts w:ascii="Palatino Linotype" w:hAnsi="Palatino Linotype"/>
          <w:bCs/>
        </w:rPr>
        <w:t xml:space="preserve">nvestment  in  securities  by  employees  of  AMC(s)  and  </w:t>
      </w:r>
      <w:r>
        <w:rPr>
          <w:rFonts w:ascii="Palatino Linotype" w:hAnsi="Palatino Linotype"/>
          <w:bCs/>
        </w:rPr>
        <w:t>t</w:t>
      </w:r>
      <w:r w:rsidRPr="00FE595D">
        <w:rPr>
          <w:rFonts w:ascii="Palatino Linotype" w:hAnsi="Palatino Linotype"/>
          <w:bCs/>
        </w:rPr>
        <w:t xml:space="preserve">rustees  of  </w:t>
      </w:r>
      <w:r>
        <w:rPr>
          <w:rFonts w:ascii="Palatino Linotype" w:hAnsi="Palatino Linotype"/>
          <w:bCs/>
        </w:rPr>
        <w:t>m</w:t>
      </w:r>
      <w:r w:rsidRPr="00FE595D">
        <w:rPr>
          <w:rFonts w:ascii="Palatino Linotype" w:hAnsi="Palatino Linotype"/>
          <w:bCs/>
        </w:rPr>
        <w:t xml:space="preserve">utual </w:t>
      </w:r>
      <w:r>
        <w:rPr>
          <w:rFonts w:ascii="Palatino Linotype" w:hAnsi="Palatino Linotype"/>
          <w:bCs/>
        </w:rPr>
        <w:t>f</w:t>
      </w:r>
      <w:r w:rsidRPr="00FE595D">
        <w:rPr>
          <w:rFonts w:ascii="Palatino Linotype" w:hAnsi="Palatino Linotype"/>
          <w:bCs/>
        </w:rPr>
        <w:t>unds</w:t>
      </w:r>
      <w:r>
        <w:rPr>
          <w:rFonts w:ascii="Palatino Linotype" w:hAnsi="Palatino Linotype"/>
          <w:bCs/>
        </w:rPr>
        <w:t>, a</w:t>
      </w:r>
      <w:r w:rsidRPr="00FE595D">
        <w:rPr>
          <w:rFonts w:ascii="Palatino Linotype" w:hAnsi="Palatino Linotype"/>
          <w:bCs/>
        </w:rPr>
        <w:t>dvertisement</w:t>
      </w:r>
      <w:r>
        <w:rPr>
          <w:rFonts w:ascii="Palatino Linotype" w:hAnsi="Palatino Linotype"/>
          <w:bCs/>
        </w:rPr>
        <w:t>, d</w:t>
      </w:r>
      <w:r w:rsidRPr="00FE595D">
        <w:rPr>
          <w:rFonts w:ascii="Palatino Linotype" w:hAnsi="Palatino Linotype"/>
          <w:bCs/>
        </w:rPr>
        <w:t>isclosure of performance of mutual fund schemes</w:t>
      </w:r>
      <w:r>
        <w:rPr>
          <w:rFonts w:ascii="Palatino Linotype" w:hAnsi="Palatino Linotype"/>
          <w:bCs/>
        </w:rPr>
        <w:t>, u</w:t>
      </w:r>
      <w:r w:rsidRPr="00FE595D">
        <w:rPr>
          <w:rFonts w:ascii="Palatino Linotype" w:hAnsi="Palatino Linotype"/>
          <w:bCs/>
        </w:rPr>
        <w:t xml:space="preserve">ndertaking from </w:t>
      </w:r>
      <w:r>
        <w:rPr>
          <w:rFonts w:ascii="Palatino Linotype" w:hAnsi="Palatino Linotype"/>
          <w:bCs/>
        </w:rPr>
        <w:t>t</w:t>
      </w:r>
      <w:r w:rsidRPr="00FE595D">
        <w:rPr>
          <w:rFonts w:ascii="Palatino Linotype" w:hAnsi="Palatino Linotype"/>
          <w:bCs/>
        </w:rPr>
        <w:t xml:space="preserve">rustees for new </w:t>
      </w:r>
      <w:r>
        <w:rPr>
          <w:rFonts w:ascii="Palatino Linotype" w:hAnsi="Palatino Linotype"/>
          <w:bCs/>
        </w:rPr>
        <w:t>s</w:t>
      </w:r>
      <w:r w:rsidRPr="00FE595D">
        <w:rPr>
          <w:rFonts w:ascii="Palatino Linotype" w:hAnsi="Palatino Linotype"/>
          <w:bCs/>
        </w:rPr>
        <w:t xml:space="preserve">cheme </w:t>
      </w:r>
      <w:r>
        <w:rPr>
          <w:rFonts w:ascii="Palatino Linotype" w:hAnsi="Palatino Linotype"/>
          <w:bCs/>
        </w:rPr>
        <w:t>o</w:t>
      </w:r>
      <w:r w:rsidRPr="00FE595D">
        <w:rPr>
          <w:rFonts w:ascii="Palatino Linotype" w:hAnsi="Palatino Linotype"/>
          <w:bCs/>
        </w:rPr>
        <w:t xml:space="preserve">ffer </w:t>
      </w:r>
      <w:r>
        <w:rPr>
          <w:rFonts w:ascii="Palatino Linotype" w:hAnsi="Palatino Linotype"/>
          <w:bCs/>
        </w:rPr>
        <w:t>d</w:t>
      </w:r>
      <w:r w:rsidRPr="00FE595D">
        <w:rPr>
          <w:rFonts w:ascii="Palatino Linotype" w:hAnsi="Palatino Linotype"/>
          <w:bCs/>
        </w:rPr>
        <w:t>ocument</w:t>
      </w:r>
      <w:r>
        <w:rPr>
          <w:rFonts w:ascii="Palatino Linotype" w:hAnsi="Palatino Linotype"/>
          <w:bCs/>
        </w:rPr>
        <w:t>, k</w:t>
      </w:r>
      <w:r w:rsidRPr="00FE595D">
        <w:rPr>
          <w:rFonts w:ascii="Palatino Linotype" w:hAnsi="Palatino Linotype"/>
          <w:bCs/>
        </w:rPr>
        <w:t xml:space="preserve">ey </w:t>
      </w:r>
      <w:r>
        <w:rPr>
          <w:rFonts w:ascii="Palatino Linotype" w:hAnsi="Palatino Linotype"/>
          <w:bCs/>
        </w:rPr>
        <w:t>p</w:t>
      </w:r>
      <w:r w:rsidRPr="00FE595D">
        <w:rPr>
          <w:rFonts w:ascii="Palatino Linotype" w:hAnsi="Palatino Linotype"/>
          <w:bCs/>
        </w:rPr>
        <w:t>ersonnel of the AMC</w:t>
      </w:r>
      <w:r>
        <w:rPr>
          <w:rFonts w:ascii="Palatino Linotype" w:hAnsi="Palatino Linotype"/>
          <w:bCs/>
        </w:rPr>
        <w:t xml:space="preserve"> etc.</w:t>
      </w:r>
    </w:p>
    <w:p w:rsidR="00284E34" w:rsidRPr="00D20404" w:rsidRDefault="00284E34" w:rsidP="00284E34">
      <w:pPr>
        <w:pStyle w:val="Default"/>
        <w:jc w:val="both"/>
        <w:rPr>
          <w:rFonts w:ascii="Palatino Linotype" w:hAnsi="Palatino Linotype" w:cs="Times New Roman"/>
          <w:bCs/>
        </w:rPr>
      </w:pPr>
    </w:p>
    <w:p w:rsidR="00284E34" w:rsidRPr="00D20404" w:rsidRDefault="00284E34" w:rsidP="00284E34">
      <w:pPr>
        <w:pStyle w:val="Default"/>
        <w:jc w:val="both"/>
        <w:rPr>
          <w:rFonts w:ascii="Palatino Linotype" w:hAnsi="Palatino Linotype" w:cs="Times New Roman"/>
          <w:bCs/>
          <w:i/>
          <w:iCs/>
        </w:rPr>
      </w:pPr>
      <w:r w:rsidRPr="00D20404">
        <w:rPr>
          <w:rFonts w:ascii="Palatino Linotype" w:hAnsi="Palatino Linotype" w:cs="Times New Roman"/>
          <w:bCs/>
          <w:i/>
          <w:iCs/>
        </w:rPr>
        <w:t>Source - SEBI/HO/IMD/DF2/CIR/P/2021/024 dated March 04, 2021</w:t>
      </w:r>
    </w:p>
    <w:p w:rsidR="00284E34" w:rsidRPr="00D20404" w:rsidRDefault="00284E34" w:rsidP="00284E34">
      <w:pPr>
        <w:pStyle w:val="Default"/>
        <w:ind w:left="360"/>
        <w:jc w:val="both"/>
        <w:rPr>
          <w:rFonts w:ascii="Palatino Linotype" w:hAnsi="Palatino Linotype" w:cs="Times New Roman"/>
          <w:bCs/>
          <w:i/>
          <w:iCs/>
        </w:rPr>
      </w:pPr>
    </w:p>
    <w:p w:rsidR="00284E34" w:rsidRDefault="00284E34" w:rsidP="00284E34">
      <w:pPr>
        <w:pStyle w:val="Default"/>
        <w:tabs>
          <w:tab w:val="left" w:pos="1170"/>
        </w:tabs>
        <w:jc w:val="both"/>
        <w:rPr>
          <w:rFonts w:ascii="Palatino Linotype" w:hAnsi="Palatino Linotype" w:cs="Times New Roman"/>
          <w:b/>
          <w:iCs/>
        </w:rPr>
      </w:pPr>
      <w:r>
        <w:rPr>
          <w:rFonts w:ascii="Palatino Linotype" w:hAnsi="Palatino Linotype" w:cs="Times New Roman"/>
          <w:b/>
          <w:iCs/>
        </w:rPr>
        <w:t xml:space="preserve">3.  </w:t>
      </w:r>
      <w:r w:rsidRPr="00D20404">
        <w:rPr>
          <w:rFonts w:ascii="Palatino Linotype" w:hAnsi="Palatino Linotype" w:cs="Times New Roman"/>
          <w:b/>
          <w:iCs/>
        </w:rPr>
        <w:t xml:space="preserve">Guidelines for </w:t>
      </w:r>
      <w:r>
        <w:rPr>
          <w:rFonts w:ascii="Palatino Linotype" w:hAnsi="Palatino Linotype" w:cs="Times New Roman"/>
          <w:b/>
          <w:iCs/>
        </w:rPr>
        <w:t>V</w:t>
      </w:r>
      <w:r w:rsidRPr="00D20404">
        <w:rPr>
          <w:rFonts w:ascii="Palatino Linotype" w:hAnsi="Palatino Linotype" w:cs="Times New Roman"/>
          <w:b/>
          <w:iCs/>
        </w:rPr>
        <w:t xml:space="preserve">otes </w:t>
      </w:r>
      <w:r>
        <w:rPr>
          <w:rFonts w:ascii="Palatino Linotype" w:hAnsi="Palatino Linotype" w:cs="Times New Roman"/>
          <w:b/>
          <w:iCs/>
        </w:rPr>
        <w:t>C</w:t>
      </w:r>
      <w:r w:rsidRPr="00D20404">
        <w:rPr>
          <w:rFonts w:ascii="Palatino Linotype" w:hAnsi="Palatino Linotype" w:cs="Times New Roman"/>
          <w:b/>
          <w:iCs/>
        </w:rPr>
        <w:t>ast by Mutual Funds</w:t>
      </w:r>
    </w:p>
    <w:p w:rsidR="00284E34" w:rsidRPr="00D20404" w:rsidRDefault="00284E34" w:rsidP="00284E34">
      <w:pPr>
        <w:pStyle w:val="Default"/>
        <w:tabs>
          <w:tab w:val="left" w:pos="1170"/>
        </w:tabs>
        <w:jc w:val="both"/>
        <w:rPr>
          <w:rFonts w:ascii="Palatino Linotype" w:hAnsi="Palatino Linotype" w:cs="Times New Roman"/>
          <w:b/>
          <w:iCs/>
        </w:rPr>
      </w:pPr>
    </w:p>
    <w:p w:rsidR="00284E34" w:rsidRPr="00D20404" w:rsidRDefault="00284E34" w:rsidP="00284E34">
      <w:pPr>
        <w:pStyle w:val="Default"/>
        <w:tabs>
          <w:tab w:val="left" w:pos="1170"/>
        </w:tabs>
        <w:jc w:val="both"/>
        <w:rPr>
          <w:rFonts w:ascii="Palatino Linotype" w:hAnsi="Palatino Linotype" w:cs="Times New Roman"/>
          <w:bCs/>
          <w:iCs/>
        </w:rPr>
      </w:pPr>
      <w:r w:rsidRPr="00D20404">
        <w:rPr>
          <w:rFonts w:ascii="Palatino Linotype" w:hAnsi="Palatino Linotype" w:cs="Times New Roman"/>
          <w:bCs/>
          <w:iCs/>
        </w:rPr>
        <w:t xml:space="preserve">In order to further improve transparency, and encourage the mutual funds/AMCs to </w:t>
      </w:r>
      <w:r>
        <w:rPr>
          <w:rFonts w:ascii="Palatino Linotype" w:hAnsi="Palatino Linotype" w:cs="Times New Roman"/>
          <w:bCs/>
          <w:iCs/>
        </w:rPr>
        <w:t xml:space="preserve">diligently </w:t>
      </w:r>
      <w:r w:rsidRPr="00D20404">
        <w:rPr>
          <w:rFonts w:ascii="Palatino Linotype" w:hAnsi="Palatino Linotype" w:cs="Times New Roman"/>
          <w:bCs/>
          <w:iCs/>
        </w:rPr>
        <w:t>exercise their voting rights</w:t>
      </w:r>
      <w:r>
        <w:rPr>
          <w:rFonts w:ascii="Palatino Linotype" w:hAnsi="Palatino Linotype" w:cs="Times New Roman"/>
          <w:bCs/>
          <w:iCs/>
        </w:rPr>
        <w:t xml:space="preserve"> in the best interest of the unitholders</w:t>
      </w:r>
      <w:r w:rsidRPr="00D20404">
        <w:rPr>
          <w:rFonts w:ascii="Palatino Linotype" w:hAnsi="Palatino Linotype" w:cs="Times New Roman"/>
          <w:bCs/>
          <w:iCs/>
        </w:rPr>
        <w:t xml:space="preserve">, additional guidelines </w:t>
      </w:r>
      <w:r>
        <w:rPr>
          <w:rFonts w:ascii="Palatino Linotype" w:hAnsi="Palatino Linotype" w:cs="Times New Roman"/>
          <w:bCs/>
          <w:iCs/>
        </w:rPr>
        <w:t xml:space="preserve">are </w:t>
      </w:r>
      <w:r w:rsidRPr="00D20404">
        <w:rPr>
          <w:rFonts w:ascii="Palatino Linotype" w:hAnsi="Palatino Linotype" w:cs="Times New Roman"/>
          <w:bCs/>
          <w:iCs/>
        </w:rPr>
        <w:t>prescribed</w:t>
      </w:r>
      <w:r>
        <w:rPr>
          <w:rFonts w:ascii="Palatino Linotype" w:hAnsi="Palatino Linotype" w:cs="Times New Roman"/>
          <w:bCs/>
          <w:iCs/>
        </w:rPr>
        <w:t>.</w:t>
      </w:r>
      <w:r w:rsidRPr="00D20404">
        <w:rPr>
          <w:rFonts w:ascii="Palatino Linotype" w:hAnsi="Palatino Linotype" w:cs="Times New Roman"/>
          <w:bCs/>
          <w:iCs/>
        </w:rPr>
        <w:t xml:space="preserve"> </w:t>
      </w:r>
    </w:p>
    <w:p w:rsidR="00284E34" w:rsidRPr="00D20404" w:rsidRDefault="00284E34" w:rsidP="00284E34">
      <w:pPr>
        <w:pStyle w:val="Default"/>
        <w:tabs>
          <w:tab w:val="left" w:pos="1170"/>
        </w:tabs>
        <w:ind w:left="840"/>
        <w:jc w:val="both"/>
        <w:rPr>
          <w:rFonts w:ascii="Palatino Linotype" w:hAnsi="Palatino Linotype" w:cs="Times New Roman"/>
          <w:bCs/>
          <w:iCs/>
        </w:rPr>
      </w:pPr>
    </w:p>
    <w:p w:rsidR="00284E34" w:rsidRPr="00D20404" w:rsidRDefault="00284E34" w:rsidP="00284E34">
      <w:pPr>
        <w:pStyle w:val="Default"/>
        <w:tabs>
          <w:tab w:val="left" w:pos="1170"/>
        </w:tabs>
        <w:jc w:val="both"/>
        <w:rPr>
          <w:rFonts w:ascii="Palatino Linotype" w:hAnsi="Palatino Linotype" w:cs="Times New Roman"/>
          <w:bCs/>
          <w:i/>
        </w:rPr>
      </w:pPr>
      <w:r w:rsidRPr="00D20404">
        <w:rPr>
          <w:rFonts w:ascii="Palatino Linotype" w:hAnsi="Palatino Linotype" w:cs="Times New Roman"/>
          <w:bCs/>
          <w:i/>
        </w:rPr>
        <w:t>Source: SEBI/HO/IMD/DF4/CIR/P/2021/29 dated March 05, 2021</w:t>
      </w:r>
    </w:p>
    <w:p w:rsidR="00284E34" w:rsidRDefault="00284E34" w:rsidP="00284E34">
      <w:pPr>
        <w:jc w:val="center"/>
        <w:rPr>
          <w:rFonts w:ascii="Palatino Linotype" w:hAnsi="Palatino Linotype" w:cs="Arial"/>
          <w:b/>
          <w:bCs/>
          <w:color w:val="000000"/>
        </w:rPr>
      </w:pPr>
    </w:p>
    <w:p w:rsidR="00284E34" w:rsidRPr="001D431F" w:rsidRDefault="00284E34" w:rsidP="00284E34">
      <w:pPr>
        <w:contextualSpacing/>
        <w:jc w:val="both"/>
        <w:rPr>
          <w:rFonts w:ascii="Palatino Linotype" w:eastAsia="Calibri" w:hAnsi="Palatino Linotype"/>
          <w:b/>
        </w:rPr>
      </w:pPr>
      <w:r>
        <w:rPr>
          <w:rFonts w:ascii="Palatino Linotype" w:eastAsia="Calibri" w:hAnsi="Palatino Linotype"/>
          <w:b/>
          <w:bCs/>
        </w:rPr>
        <w:t xml:space="preserve">4. </w:t>
      </w:r>
      <w:r w:rsidRPr="001D431F">
        <w:rPr>
          <w:rFonts w:ascii="Palatino Linotype" w:eastAsia="Calibri" w:hAnsi="Palatino Linotype"/>
          <w:b/>
          <w:bCs/>
        </w:rPr>
        <w:t>Amendments to provisions in SEBI Circular dated September 16, 2016 on Unique Client Code  and mandatory requirement of Permanent Account Number.</w:t>
      </w:r>
    </w:p>
    <w:p w:rsidR="00284E34" w:rsidRPr="001D431F" w:rsidRDefault="00284E34" w:rsidP="00284E34">
      <w:pPr>
        <w:contextualSpacing/>
        <w:jc w:val="both"/>
        <w:rPr>
          <w:rFonts w:ascii="Palatino Linotype" w:eastAsia="Calibri" w:hAnsi="Palatino Linotype"/>
          <w:b/>
        </w:rPr>
      </w:pPr>
    </w:p>
    <w:p w:rsidR="00284E34" w:rsidRDefault="00284E34" w:rsidP="00284E34">
      <w:pPr>
        <w:contextualSpacing/>
        <w:jc w:val="both"/>
        <w:rPr>
          <w:rFonts w:ascii="Palatino Linotype" w:eastAsia="Calibri" w:hAnsi="Palatino Linotype"/>
          <w:bCs/>
        </w:rPr>
      </w:pPr>
      <w:r w:rsidRPr="001D431F">
        <w:rPr>
          <w:rFonts w:ascii="Palatino Linotype" w:eastAsia="Calibri" w:hAnsi="Palatino Linotype"/>
          <w:bCs/>
        </w:rPr>
        <w:t xml:space="preserve">In order to rationalize the compliance requirement of collecting and maintaining copies of PAN of clients by their respective members and enhance the use of e-PAN which is announced in Union budget 2020, </w:t>
      </w:r>
      <w:r>
        <w:rPr>
          <w:rFonts w:ascii="Palatino Linotype" w:eastAsia="Calibri" w:hAnsi="Palatino Linotype"/>
          <w:bCs/>
        </w:rPr>
        <w:t>it was</w:t>
      </w:r>
      <w:r w:rsidRPr="001D431F">
        <w:rPr>
          <w:rFonts w:ascii="Palatino Linotype" w:eastAsia="Calibri" w:hAnsi="Palatino Linotype"/>
          <w:bCs/>
        </w:rPr>
        <w:t xml:space="preserve"> decided to modify certain provisions of circular dated September 16, 2016, specifically to the clause 3 and clause 5, which are as follows.</w:t>
      </w:r>
    </w:p>
    <w:p w:rsidR="00284E34" w:rsidRPr="001D431F" w:rsidRDefault="00284E34" w:rsidP="00284E34">
      <w:pPr>
        <w:contextualSpacing/>
        <w:jc w:val="both"/>
        <w:rPr>
          <w:rFonts w:ascii="Palatino Linotype" w:eastAsia="Calibri" w:hAnsi="Palatino Linotype" w:cs="Calibri"/>
          <w:color w:val="000000"/>
          <w:lang w:bidi="hi-IN"/>
        </w:rPr>
      </w:pPr>
    </w:p>
    <w:p w:rsidR="00284E34" w:rsidRPr="001D431F" w:rsidRDefault="00284E34" w:rsidP="00284E34">
      <w:pPr>
        <w:numPr>
          <w:ilvl w:val="0"/>
          <w:numId w:val="16"/>
        </w:numPr>
        <w:autoSpaceDE w:val="0"/>
        <w:autoSpaceDN w:val="0"/>
        <w:adjustRightInd w:val="0"/>
        <w:contextualSpacing/>
        <w:jc w:val="both"/>
        <w:rPr>
          <w:rFonts w:ascii="Palatino Linotype" w:eastAsia="Calibri" w:hAnsi="Palatino Linotype"/>
          <w:color w:val="000000"/>
          <w:lang w:bidi="hi-IN"/>
        </w:rPr>
      </w:pPr>
      <w:r w:rsidRPr="001D431F">
        <w:rPr>
          <w:rFonts w:ascii="Palatino Linotype" w:eastAsia="Calibri" w:hAnsi="Palatino Linotype"/>
          <w:color w:val="000000"/>
          <w:lang w:bidi="hi-IN"/>
        </w:rPr>
        <w:t>It shall be mandatory for the members of the exchanges having commodity derivatives segment to use Unique Client Code (UCC) for all clients transacting on the commodity derivative segment.</w:t>
      </w:r>
    </w:p>
    <w:p w:rsidR="00284E34" w:rsidRPr="001D431F" w:rsidRDefault="00284E34" w:rsidP="00284E34">
      <w:pPr>
        <w:numPr>
          <w:ilvl w:val="0"/>
          <w:numId w:val="16"/>
        </w:numPr>
        <w:contextualSpacing/>
        <w:jc w:val="both"/>
        <w:rPr>
          <w:rFonts w:ascii="Palatino Linotype" w:eastAsia="Calibri" w:hAnsi="Palatino Linotype"/>
          <w:bCs/>
        </w:rPr>
      </w:pPr>
      <w:r w:rsidRPr="001D431F">
        <w:rPr>
          <w:rFonts w:ascii="Palatino Linotype" w:eastAsia="Calibri" w:hAnsi="Palatino Linotype"/>
          <w:color w:val="000000"/>
          <w:lang w:bidi="hi-IN"/>
        </w:rPr>
        <w:t>Members shall collect the copies of PAN and maintain it in their back office after verifying the authenticity. However, In the case of e-PAN, members shall verify the authenticity with the details on the website of the IT department.</w:t>
      </w:r>
    </w:p>
    <w:p w:rsidR="00284E34" w:rsidRPr="001D431F" w:rsidRDefault="00284E34" w:rsidP="00284E34">
      <w:pPr>
        <w:numPr>
          <w:ilvl w:val="0"/>
          <w:numId w:val="16"/>
        </w:numPr>
        <w:contextualSpacing/>
        <w:jc w:val="both"/>
        <w:rPr>
          <w:rFonts w:ascii="Palatino Linotype" w:eastAsia="Calibri" w:hAnsi="Palatino Linotype"/>
          <w:bCs/>
        </w:rPr>
      </w:pPr>
      <w:r w:rsidRPr="001D431F">
        <w:rPr>
          <w:rFonts w:ascii="Palatino Linotype" w:eastAsia="Calibri" w:hAnsi="Palatino Linotype"/>
          <w:color w:val="000000"/>
          <w:lang w:bidi="hi-IN"/>
        </w:rPr>
        <w:t>The exchange having commodity derivative segment shall collect the copies of PAN card from their clients, cross-check the authenticity with the web-site of IT department, and upload details to the exchanges as part of UCC.</w:t>
      </w:r>
    </w:p>
    <w:p w:rsidR="00284E34" w:rsidRPr="001D431F" w:rsidRDefault="00284E34" w:rsidP="00284E34">
      <w:pPr>
        <w:ind w:left="720"/>
        <w:contextualSpacing/>
        <w:jc w:val="both"/>
        <w:rPr>
          <w:rFonts w:ascii="Palatino Linotype" w:eastAsia="Calibri" w:hAnsi="Palatino Linotype"/>
          <w:bCs/>
        </w:rPr>
      </w:pPr>
    </w:p>
    <w:p w:rsidR="00284E34" w:rsidRPr="00013BA3" w:rsidRDefault="00284E34" w:rsidP="00284E34">
      <w:pPr>
        <w:jc w:val="both"/>
        <w:rPr>
          <w:rFonts w:ascii="Palatino Linotype" w:eastAsia="Calibri" w:hAnsi="Palatino Linotype"/>
          <w:bCs/>
          <w:i/>
          <w:iCs/>
        </w:rPr>
      </w:pPr>
      <w:r w:rsidRPr="00013BA3">
        <w:rPr>
          <w:rFonts w:ascii="Palatino Linotype" w:eastAsia="Calibri" w:hAnsi="Palatino Linotype"/>
          <w:bCs/>
          <w:i/>
          <w:iCs/>
        </w:rPr>
        <w:t>Source - SEBI/HO/CDMRD/DNP/CIR/P/2021/30 Dated March 08, 2021</w:t>
      </w:r>
    </w:p>
    <w:p w:rsidR="00284E34" w:rsidRPr="00013BA3" w:rsidRDefault="00284E34" w:rsidP="00284E34">
      <w:pPr>
        <w:jc w:val="both"/>
        <w:rPr>
          <w:rFonts w:ascii="Palatino Linotype" w:eastAsia="Calibri" w:hAnsi="Palatino Linotype"/>
          <w:bCs/>
          <w:i/>
          <w:iCs/>
        </w:rPr>
      </w:pPr>
    </w:p>
    <w:p w:rsidR="00284E34" w:rsidRPr="00013BA3" w:rsidRDefault="00284E34" w:rsidP="00284E34">
      <w:pPr>
        <w:contextualSpacing/>
        <w:jc w:val="both"/>
        <w:rPr>
          <w:rFonts w:ascii="Palatino Linotype" w:eastAsia="Calibri" w:hAnsi="Palatino Linotype"/>
          <w:bCs/>
        </w:rPr>
      </w:pPr>
      <w:r w:rsidRPr="00013BA3">
        <w:rPr>
          <w:rFonts w:ascii="Palatino Linotype" w:eastAsia="Calibri" w:hAnsi="Palatino Linotype" w:cs="Mangal"/>
          <w:b/>
          <w:bCs/>
          <w:sz w:val="22"/>
          <w:szCs w:val="22"/>
        </w:rPr>
        <w:t>5.</w:t>
      </w:r>
      <w:r w:rsidRPr="00013BA3">
        <w:rPr>
          <w:rFonts w:ascii="Palatino Linotype" w:eastAsia="Calibri" w:hAnsi="Palatino Linotype" w:cs="Mangal"/>
          <w:sz w:val="22"/>
          <w:szCs w:val="22"/>
        </w:rPr>
        <w:t xml:space="preserve"> </w:t>
      </w:r>
      <w:r w:rsidRPr="00013BA3">
        <w:rPr>
          <w:rFonts w:ascii="Palatino Linotype" w:eastAsia="Calibri" w:hAnsi="Palatino Linotype"/>
          <w:b/>
          <w:bCs/>
        </w:rPr>
        <w:t>Rollout of Legal Entity Template</w:t>
      </w:r>
    </w:p>
    <w:p w:rsidR="00284E34" w:rsidRPr="00013BA3" w:rsidRDefault="00284E34" w:rsidP="00284E34">
      <w:pPr>
        <w:contextualSpacing/>
        <w:jc w:val="both"/>
        <w:rPr>
          <w:rFonts w:ascii="Palatino Linotype" w:eastAsia="Calibri" w:hAnsi="Palatino Linotype"/>
          <w:bCs/>
        </w:rPr>
      </w:pPr>
    </w:p>
    <w:p w:rsidR="00284E34" w:rsidRDefault="00284E34" w:rsidP="00284E34">
      <w:pPr>
        <w:autoSpaceDE w:val="0"/>
        <w:autoSpaceDN w:val="0"/>
        <w:adjustRightInd w:val="0"/>
        <w:jc w:val="both"/>
        <w:rPr>
          <w:rFonts w:ascii="Palatino Linotype" w:hAnsi="Palatino Linotype"/>
        </w:rPr>
      </w:pPr>
      <w:r w:rsidRPr="00013BA3">
        <w:rPr>
          <w:rFonts w:ascii="Palatino Linotype" w:hAnsi="Palatino Linotype"/>
        </w:rPr>
        <w:t>Central KYC Records Registry (CKYCR), in its communication no. CKYC/2020/11 dated January 04, 2021 has specified that since CKYCR is fully operational for individual clients, it has been decided to extend CKYCR to Legal Entities (LE) as well. Accordingly, registered intermediaries are required to upload the KYC records of LE accounts opened on or after April 01, 2021 on to CKYCR in terms of Rule 9 (1A) of the Prevention of Money Laundering (Maintenance of Records) Rules, 2005.</w:t>
      </w:r>
    </w:p>
    <w:p w:rsidR="00013BA3" w:rsidRPr="00013BA3" w:rsidRDefault="00013BA3" w:rsidP="00284E34">
      <w:pPr>
        <w:autoSpaceDE w:val="0"/>
        <w:autoSpaceDN w:val="0"/>
        <w:adjustRightInd w:val="0"/>
        <w:jc w:val="both"/>
        <w:rPr>
          <w:rFonts w:ascii="Palatino Linotype" w:eastAsia="Calibri" w:hAnsi="Palatino Linotype"/>
          <w:color w:val="000000"/>
          <w:lang w:val="en-IN"/>
        </w:rPr>
      </w:pPr>
    </w:p>
    <w:p w:rsidR="00284E34" w:rsidRPr="00013BA3" w:rsidRDefault="00284E34" w:rsidP="00284E34">
      <w:pPr>
        <w:autoSpaceDE w:val="0"/>
        <w:autoSpaceDN w:val="0"/>
        <w:adjustRightInd w:val="0"/>
        <w:rPr>
          <w:rFonts w:ascii="Palatino Linotype" w:eastAsia="Calibri" w:hAnsi="Palatino Linotype"/>
          <w:color w:val="000000"/>
          <w:lang w:val="en-IN"/>
        </w:rPr>
      </w:pPr>
      <w:r w:rsidRPr="00013BA3">
        <w:rPr>
          <w:rFonts w:ascii="Palatino Linotype" w:eastAsia="Calibri" w:hAnsi="Palatino Linotype"/>
          <w:color w:val="000000"/>
          <w:lang w:val="en-IN"/>
        </w:rPr>
        <w:t>The provision of this circular is not applicable to the Foreign Portfolio Investors (FPIs).</w:t>
      </w:r>
    </w:p>
    <w:p w:rsidR="00284E34" w:rsidRPr="00013BA3" w:rsidRDefault="00284E34" w:rsidP="00284E34">
      <w:pPr>
        <w:autoSpaceDE w:val="0"/>
        <w:autoSpaceDN w:val="0"/>
        <w:adjustRightInd w:val="0"/>
        <w:ind w:left="1080"/>
        <w:rPr>
          <w:rFonts w:ascii="Palatino Linotype" w:eastAsia="Calibri" w:hAnsi="Palatino Linotype"/>
          <w:color w:val="000000"/>
          <w:lang w:val="en-IN"/>
        </w:rPr>
      </w:pPr>
    </w:p>
    <w:p w:rsidR="00284E34" w:rsidRPr="00013BA3" w:rsidRDefault="00284E34" w:rsidP="00284E34">
      <w:pPr>
        <w:autoSpaceDE w:val="0"/>
        <w:autoSpaceDN w:val="0"/>
        <w:adjustRightInd w:val="0"/>
        <w:contextualSpacing/>
        <w:rPr>
          <w:rFonts w:ascii="Palatino Linotype" w:eastAsia="Calibri" w:hAnsi="Palatino Linotype"/>
          <w:i/>
          <w:iCs/>
          <w:color w:val="000000"/>
        </w:rPr>
      </w:pPr>
      <w:r w:rsidRPr="00013BA3">
        <w:rPr>
          <w:rFonts w:ascii="Palatino Linotype" w:eastAsia="Calibri" w:hAnsi="Palatino Linotype"/>
          <w:i/>
          <w:iCs/>
          <w:color w:val="000000"/>
          <w:lang w:val="en-IN"/>
        </w:rPr>
        <w:t xml:space="preserve">Source - </w:t>
      </w:r>
      <w:r w:rsidRPr="00013BA3">
        <w:rPr>
          <w:rFonts w:ascii="Palatino Linotype" w:eastAsia="Calibri" w:hAnsi="Palatino Linotype"/>
          <w:i/>
          <w:iCs/>
          <w:color w:val="000000"/>
        </w:rPr>
        <w:t>SEBI/HO/MIRSD/DOP/CIR/P/2021/31 dated March 10, 2021</w:t>
      </w:r>
    </w:p>
    <w:p w:rsidR="00284E34" w:rsidRPr="00013BA3" w:rsidRDefault="00284E34" w:rsidP="00284E34">
      <w:pPr>
        <w:autoSpaceDE w:val="0"/>
        <w:autoSpaceDN w:val="0"/>
        <w:adjustRightInd w:val="0"/>
        <w:contextualSpacing/>
        <w:rPr>
          <w:rFonts w:ascii="Palatino Linotype" w:eastAsia="Calibri" w:hAnsi="Palatino Linotype"/>
          <w:i/>
          <w:iCs/>
          <w:color w:val="000000"/>
        </w:rPr>
      </w:pPr>
    </w:p>
    <w:p w:rsidR="00284E34" w:rsidRPr="00013BA3" w:rsidRDefault="00284E34" w:rsidP="00284E34">
      <w:pPr>
        <w:contextualSpacing/>
        <w:jc w:val="both"/>
        <w:rPr>
          <w:rFonts w:ascii="Palatino Linotype" w:eastAsia="Calibri" w:hAnsi="Palatino Linotype"/>
          <w:b/>
        </w:rPr>
      </w:pPr>
      <w:r w:rsidRPr="00013BA3">
        <w:rPr>
          <w:rFonts w:ascii="Palatino Linotype" w:eastAsia="Calibri" w:hAnsi="Palatino Linotype"/>
          <w:b/>
        </w:rPr>
        <w:t>6. Review of Norms Regarding Investment in Debt Instruments with Special Features, and the Valuation of Perpetual Bonds.</w:t>
      </w:r>
    </w:p>
    <w:p w:rsidR="00284E34" w:rsidRPr="00013BA3" w:rsidRDefault="00284E34" w:rsidP="00284E34">
      <w:pPr>
        <w:ind w:left="360"/>
        <w:contextualSpacing/>
        <w:jc w:val="both"/>
        <w:rPr>
          <w:rFonts w:ascii="Palatino Linotype" w:eastAsia="Calibri" w:hAnsi="Palatino Linotype"/>
          <w:b/>
        </w:rPr>
      </w:pPr>
    </w:p>
    <w:p w:rsidR="00284E34" w:rsidRPr="00013BA3" w:rsidRDefault="00284E34" w:rsidP="00284E34">
      <w:pPr>
        <w:numPr>
          <w:ilvl w:val="0"/>
          <w:numId w:val="18"/>
        </w:numPr>
        <w:contextualSpacing/>
        <w:jc w:val="both"/>
        <w:rPr>
          <w:rFonts w:ascii="Palatino Linotype" w:eastAsia="Calibri" w:hAnsi="Palatino Linotype"/>
          <w:bCs/>
        </w:rPr>
      </w:pPr>
      <w:r w:rsidRPr="00013BA3">
        <w:rPr>
          <w:rFonts w:ascii="Palatino Linotype" w:eastAsia="Calibri" w:hAnsi="Palatino Linotype"/>
          <w:b/>
        </w:rPr>
        <w:t>Review of norms of Investments having Special Features.</w:t>
      </w:r>
    </w:p>
    <w:p w:rsidR="00013BA3" w:rsidRPr="00013BA3" w:rsidRDefault="00013BA3" w:rsidP="00013BA3">
      <w:pPr>
        <w:ind w:left="720"/>
        <w:contextualSpacing/>
        <w:jc w:val="both"/>
        <w:rPr>
          <w:rFonts w:ascii="Palatino Linotype" w:eastAsia="Calibri" w:hAnsi="Palatino Linotype"/>
          <w:bCs/>
        </w:rPr>
      </w:pPr>
    </w:p>
    <w:p w:rsidR="00284E34" w:rsidRDefault="00284E34" w:rsidP="00013BA3">
      <w:pPr>
        <w:ind w:left="709"/>
        <w:contextualSpacing/>
        <w:jc w:val="both"/>
        <w:rPr>
          <w:rFonts w:ascii="Palatino Linotype" w:eastAsia="Calibri" w:hAnsi="Palatino Linotype"/>
          <w:bCs/>
        </w:rPr>
      </w:pPr>
      <w:r w:rsidRPr="00013BA3">
        <w:rPr>
          <w:rFonts w:ascii="Palatino Linotype" w:eastAsia="Calibri" w:hAnsi="Palatino Linotype"/>
          <w:bCs/>
        </w:rPr>
        <w:t>The debt instruments with special features (subordination to equity and convertible to equity upon trigger of a pre-specified event for loss absorption, Tire I and Tire II bonds issued under Basel III) in which the mutual funds invest may be treated as debt instruments until converted to equity.</w:t>
      </w:r>
    </w:p>
    <w:p w:rsidR="00013BA3" w:rsidRPr="00013BA3" w:rsidRDefault="00013BA3" w:rsidP="00013BA3">
      <w:pPr>
        <w:ind w:left="1080"/>
        <w:contextualSpacing/>
        <w:jc w:val="both"/>
        <w:rPr>
          <w:rFonts w:ascii="Palatino Linotype" w:eastAsia="Calibri" w:hAnsi="Palatino Linotype"/>
          <w:bCs/>
        </w:rPr>
      </w:pPr>
    </w:p>
    <w:p w:rsidR="00284E34" w:rsidRPr="00013BA3" w:rsidRDefault="00284E34" w:rsidP="00284E34">
      <w:pPr>
        <w:numPr>
          <w:ilvl w:val="0"/>
          <w:numId w:val="18"/>
        </w:numPr>
        <w:contextualSpacing/>
        <w:jc w:val="both"/>
        <w:rPr>
          <w:rFonts w:ascii="Palatino Linotype" w:eastAsia="Calibri" w:hAnsi="Palatino Linotype"/>
          <w:bCs/>
        </w:rPr>
      </w:pPr>
      <w:r w:rsidRPr="00013BA3">
        <w:rPr>
          <w:rFonts w:ascii="Palatino Linotype" w:eastAsia="Calibri" w:hAnsi="Palatino Linotype"/>
          <w:bCs/>
        </w:rPr>
        <w:t>Prudential</w:t>
      </w:r>
      <w:r w:rsidR="00013BA3">
        <w:rPr>
          <w:rFonts w:ascii="Palatino Linotype" w:eastAsia="Calibri" w:hAnsi="Palatino Linotype"/>
          <w:bCs/>
        </w:rPr>
        <w:t xml:space="preserve"> </w:t>
      </w:r>
      <w:r w:rsidRPr="00013BA3">
        <w:rPr>
          <w:rFonts w:ascii="Palatino Linotype" w:eastAsia="Calibri" w:hAnsi="Palatino Linotype"/>
          <w:bCs/>
        </w:rPr>
        <w:t xml:space="preserve">investment limits have been specified for such instruments. </w:t>
      </w:r>
      <w:r w:rsidRPr="00013BA3">
        <w:rPr>
          <w:rFonts w:ascii="Palatino Linotype" w:eastAsia="Calibri" w:hAnsi="Palatino Linotype"/>
          <w:b/>
        </w:rPr>
        <w:t>Provisions for segregated portfolio in the scheme information document.</w:t>
      </w:r>
    </w:p>
    <w:p w:rsidR="00013BA3" w:rsidRPr="00013BA3" w:rsidRDefault="00013BA3" w:rsidP="00013BA3">
      <w:pPr>
        <w:ind w:left="720"/>
        <w:contextualSpacing/>
        <w:jc w:val="both"/>
        <w:rPr>
          <w:rFonts w:ascii="Palatino Linotype" w:eastAsia="Calibri" w:hAnsi="Palatino Linotype"/>
          <w:bCs/>
        </w:rPr>
      </w:pPr>
    </w:p>
    <w:p w:rsidR="00284E34" w:rsidRPr="00013BA3" w:rsidRDefault="00284E34" w:rsidP="00013BA3">
      <w:pPr>
        <w:pStyle w:val="ListParagraph"/>
        <w:shd w:val="clear" w:color="auto" w:fill="FFFFFF"/>
        <w:spacing w:after="0" w:line="240" w:lineRule="auto"/>
        <w:jc w:val="both"/>
        <w:rPr>
          <w:rFonts w:ascii="Palatino Linotype" w:eastAsia="Times New Roman" w:hAnsi="Palatino Linotype" w:cs="Arial"/>
          <w:sz w:val="24"/>
          <w:szCs w:val="24"/>
          <w:lang w:val="en-IN" w:eastAsia="en-IN"/>
        </w:rPr>
      </w:pPr>
      <w:r w:rsidRPr="00013BA3">
        <w:rPr>
          <w:rFonts w:ascii="Palatino Linotype" w:hAnsi="Palatino Linotype"/>
          <w:bCs/>
          <w:sz w:val="24"/>
          <w:szCs w:val="24"/>
        </w:rPr>
        <w:t>Further, the debt instruments with special features shall ensure that the Scheme Information Document  of the scheme has provisions for segregated portfolio s</w:t>
      </w:r>
      <w:r w:rsidRPr="00013BA3">
        <w:rPr>
          <w:rFonts w:ascii="Palatino Linotype" w:eastAsia="Times New Roman" w:hAnsi="Palatino Linotype" w:cs="Arial"/>
          <w:sz w:val="24"/>
          <w:szCs w:val="24"/>
          <w:lang w:val="en-IN" w:eastAsia="en-IN"/>
        </w:rPr>
        <w:t>ubject   to   compliance   with   Regulation   18(15A)   of   SEBI   (Mutual   Funds) Regulations,  1996</w:t>
      </w:r>
      <w:r w:rsidR="00013BA3">
        <w:rPr>
          <w:rFonts w:ascii="Palatino Linotype" w:eastAsia="Times New Roman" w:hAnsi="Palatino Linotype" w:cs="Arial"/>
          <w:sz w:val="24"/>
          <w:szCs w:val="24"/>
          <w:lang w:val="en-IN" w:eastAsia="en-IN"/>
        </w:rPr>
        <w:t>.</w:t>
      </w:r>
    </w:p>
    <w:p w:rsidR="00284E34" w:rsidRPr="00013BA3" w:rsidRDefault="00284E34" w:rsidP="00284E34">
      <w:pPr>
        <w:contextualSpacing/>
        <w:jc w:val="both"/>
        <w:rPr>
          <w:rFonts w:ascii="Palatino Linotype" w:eastAsia="Calibri" w:hAnsi="Palatino Linotype"/>
          <w:bCs/>
        </w:rPr>
      </w:pPr>
    </w:p>
    <w:p w:rsidR="00284E34" w:rsidRPr="00013BA3" w:rsidRDefault="00284E34" w:rsidP="00284E34">
      <w:pPr>
        <w:numPr>
          <w:ilvl w:val="0"/>
          <w:numId w:val="18"/>
        </w:numPr>
        <w:contextualSpacing/>
        <w:jc w:val="both"/>
        <w:rPr>
          <w:rFonts w:ascii="Palatino Linotype" w:eastAsia="Calibri" w:hAnsi="Palatino Linotype"/>
          <w:b/>
        </w:rPr>
      </w:pPr>
      <w:r w:rsidRPr="00013BA3">
        <w:rPr>
          <w:rFonts w:ascii="Palatino Linotype" w:eastAsia="Calibri" w:hAnsi="Palatino Linotype"/>
          <w:color w:val="000000"/>
          <w:lang w:val="en-IN"/>
        </w:rPr>
        <w:t xml:space="preserve">Conditions with respect to instrument is to be written off or converted to equity pursuant to any proposal are specified. </w:t>
      </w:r>
      <w:r w:rsidRPr="00013BA3">
        <w:rPr>
          <w:rFonts w:ascii="Palatino Linotype" w:eastAsia="Calibri" w:hAnsi="Palatino Linotype"/>
          <w:b/>
        </w:rPr>
        <w:t>Valuation of perpetual bonds.</w:t>
      </w:r>
    </w:p>
    <w:p w:rsidR="00284E34" w:rsidRPr="00013BA3" w:rsidRDefault="00284E34" w:rsidP="00013BA3">
      <w:pPr>
        <w:ind w:left="709"/>
        <w:contextualSpacing/>
        <w:jc w:val="both"/>
        <w:rPr>
          <w:rFonts w:ascii="Palatino Linotype" w:eastAsia="Calibri" w:hAnsi="Palatino Linotype"/>
          <w:bCs/>
        </w:rPr>
      </w:pPr>
      <w:r w:rsidRPr="00013BA3">
        <w:rPr>
          <w:rFonts w:ascii="Palatino Linotype" w:eastAsia="Calibri" w:hAnsi="Palatino Linotype"/>
          <w:bCs/>
        </w:rPr>
        <w:t>With regards to the valuation of bonds with call or put option, it is clarified that the bonds should be valued in line with SEBI circular dated September 18, 2000 irrespective of the nature of the issuer. Further the maturity of all perpetual bonds shall be treated as 100 years from the date of issuance.</w:t>
      </w:r>
    </w:p>
    <w:p w:rsidR="00284E34" w:rsidRPr="00013BA3" w:rsidRDefault="00284E34" w:rsidP="00284E34">
      <w:pPr>
        <w:ind w:left="1080"/>
        <w:contextualSpacing/>
        <w:jc w:val="both"/>
        <w:rPr>
          <w:rFonts w:ascii="Palatino Linotype" w:eastAsia="Calibri" w:hAnsi="Palatino Linotype"/>
          <w:bCs/>
        </w:rPr>
      </w:pPr>
    </w:p>
    <w:p w:rsidR="00284E34" w:rsidRPr="00013BA3" w:rsidRDefault="00284E34" w:rsidP="00284E34">
      <w:pPr>
        <w:rPr>
          <w:rFonts w:ascii="Palatino Linotype" w:eastAsia="Calibri" w:hAnsi="Palatino Linotype"/>
          <w:bCs/>
          <w:i/>
          <w:iCs/>
        </w:rPr>
      </w:pPr>
      <w:r w:rsidRPr="00013BA3">
        <w:rPr>
          <w:rFonts w:ascii="Palatino Linotype" w:eastAsia="Calibri" w:hAnsi="Palatino Linotype"/>
          <w:bCs/>
          <w:i/>
          <w:iCs/>
          <w:lang w:val="en-IN"/>
        </w:rPr>
        <w:t>Source - SEBI/HO/IMD/DF4/CIR/P/2021/032 dated March 10, 2021</w:t>
      </w:r>
    </w:p>
    <w:p w:rsidR="00284E34" w:rsidRDefault="00284E34" w:rsidP="00284E34">
      <w:pPr>
        <w:jc w:val="both"/>
        <w:rPr>
          <w:rFonts w:ascii="Palatino Linotype" w:hAnsi="Palatino Linotype" w:cs="Arial"/>
          <w:b/>
          <w:bCs/>
          <w:color w:val="000000"/>
        </w:rPr>
      </w:pPr>
    </w:p>
    <w:p w:rsidR="00284E34" w:rsidRDefault="00284E34" w:rsidP="00284E34">
      <w:pPr>
        <w:jc w:val="center"/>
        <w:rPr>
          <w:rFonts w:ascii="Palatino Linotype" w:hAnsi="Palatino Linotype" w:cs="Arial"/>
          <w:b/>
          <w:bCs/>
          <w:color w:val="000000"/>
        </w:rPr>
      </w:pPr>
    </w:p>
    <w:p w:rsidR="00284E34" w:rsidRDefault="00284E34" w:rsidP="00284E34">
      <w:pPr>
        <w:contextualSpacing/>
        <w:jc w:val="both"/>
        <w:rPr>
          <w:rFonts w:ascii="Palatino Linotype" w:eastAsia="Calibri" w:hAnsi="Palatino Linotype"/>
          <w:b/>
          <w:bCs/>
        </w:rPr>
      </w:pPr>
      <w:r>
        <w:rPr>
          <w:rFonts w:ascii="Palatino Linotype" w:eastAsia="Calibri" w:hAnsi="Palatino Linotype"/>
          <w:b/>
          <w:bCs/>
        </w:rPr>
        <w:t xml:space="preserve">7. </w:t>
      </w:r>
      <w:r w:rsidRPr="00C52D68">
        <w:rPr>
          <w:rFonts w:ascii="Palatino Linotype" w:eastAsia="Calibri" w:hAnsi="Palatino Linotype"/>
          <w:b/>
          <w:bCs/>
        </w:rPr>
        <w:t xml:space="preserve">Streamlining the process of IPOs with UPI in ASBA and </w:t>
      </w:r>
      <w:r>
        <w:rPr>
          <w:rFonts w:ascii="Palatino Linotype" w:eastAsia="Calibri" w:hAnsi="Palatino Linotype"/>
          <w:b/>
          <w:bCs/>
        </w:rPr>
        <w:t>R</w:t>
      </w:r>
      <w:r w:rsidRPr="00C52D68">
        <w:rPr>
          <w:rFonts w:ascii="Palatino Linotype" w:eastAsia="Calibri" w:hAnsi="Palatino Linotype"/>
          <w:b/>
          <w:bCs/>
        </w:rPr>
        <w:t xml:space="preserve">edressal of </w:t>
      </w:r>
      <w:r>
        <w:rPr>
          <w:rFonts w:ascii="Palatino Linotype" w:eastAsia="Calibri" w:hAnsi="Palatino Linotype"/>
          <w:b/>
          <w:bCs/>
        </w:rPr>
        <w:t>I</w:t>
      </w:r>
      <w:r w:rsidRPr="00C52D68">
        <w:rPr>
          <w:rFonts w:ascii="Palatino Linotype" w:eastAsia="Calibri" w:hAnsi="Palatino Linotype"/>
          <w:b/>
          <w:bCs/>
        </w:rPr>
        <w:t xml:space="preserve">nvestors </w:t>
      </w:r>
      <w:r>
        <w:rPr>
          <w:rFonts w:ascii="Palatino Linotype" w:eastAsia="Calibri" w:hAnsi="Palatino Linotype"/>
          <w:b/>
          <w:bCs/>
        </w:rPr>
        <w:t>G</w:t>
      </w:r>
      <w:r w:rsidRPr="00C52D68">
        <w:rPr>
          <w:rFonts w:ascii="Palatino Linotype" w:eastAsia="Calibri" w:hAnsi="Palatino Linotype"/>
          <w:b/>
          <w:bCs/>
        </w:rPr>
        <w:t>rievances</w:t>
      </w:r>
    </w:p>
    <w:p w:rsidR="00284E34" w:rsidRPr="001D431F" w:rsidRDefault="00284E34" w:rsidP="00284E34">
      <w:pPr>
        <w:contextualSpacing/>
        <w:jc w:val="center"/>
        <w:rPr>
          <w:rFonts w:ascii="Palatino Linotype" w:eastAsia="Calibri" w:hAnsi="Palatino Linotype"/>
          <w:b/>
        </w:rPr>
      </w:pPr>
    </w:p>
    <w:p w:rsidR="00284E34" w:rsidRDefault="00284E34" w:rsidP="00284E34">
      <w:pPr>
        <w:contextualSpacing/>
        <w:jc w:val="both"/>
        <w:rPr>
          <w:rFonts w:ascii="Palatino Linotype" w:eastAsia="Calibri" w:hAnsi="Palatino Linotype"/>
          <w:bCs/>
        </w:rPr>
      </w:pPr>
      <w:r>
        <w:rPr>
          <w:rFonts w:ascii="Palatino Linotype" w:eastAsia="Calibri" w:hAnsi="Palatino Linotype"/>
          <w:bCs/>
        </w:rPr>
        <w:t>A uniform policy was put in place to streamline the reconciliation process among intermediaries with regard to initial public offerings (IPOs) as well as a new mechanism to compensate investors and issued new guidelines in this regard.  The guidelines aimed at addressing grievances of IPO investors, particularly those using the unified payment interface (UPI) for payments.  T</w:t>
      </w:r>
      <w:r w:rsidRPr="00055B4E">
        <w:rPr>
          <w:rFonts w:ascii="Palatino Linotype" w:eastAsia="Calibri" w:hAnsi="Palatino Linotype"/>
          <w:bCs/>
        </w:rPr>
        <w:t>h</w:t>
      </w:r>
      <w:r>
        <w:rPr>
          <w:rFonts w:ascii="Palatino Linotype" w:eastAsia="Calibri" w:hAnsi="Palatino Linotype"/>
          <w:bCs/>
        </w:rPr>
        <w:t>e c</w:t>
      </w:r>
      <w:r w:rsidRPr="00055B4E">
        <w:rPr>
          <w:rFonts w:ascii="Palatino Linotype" w:eastAsia="Calibri" w:hAnsi="Palatino Linotype"/>
          <w:bCs/>
        </w:rPr>
        <w:t>ircular shall come into force for IPOs opening on/after May</w:t>
      </w:r>
      <w:r>
        <w:rPr>
          <w:rFonts w:ascii="Palatino Linotype" w:eastAsia="Calibri" w:hAnsi="Palatino Linotype"/>
          <w:bCs/>
        </w:rPr>
        <w:t xml:space="preserve"> </w:t>
      </w:r>
      <w:r w:rsidRPr="00055B4E">
        <w:rPr>
          <w:rFonts w:ascii="Palatino Linotype" w:eastAsia="Calibri" w:hAnsi="Palatino Linotype"/>
          <w:bCs/>
        </w:rPr>
        <w:t>01,</w:t>
      </w:r>
      <w:r>
        <w:rPr>
          <w:rFonts w:ascii="Palatino Linotype" w:eastAsia="Calibri" w:hAnsi="Palatino Linotype"/>
          <w:bCs/>
        </w:rPr>
        <w:t xml:space="preserve"> </w:t>
      </w:r>
      <w:r w:rsidRPr="00055B4E">
        <w:rPr>
          <w:rFonts w:ascii="Palatino Linotype" w:eastAsia="Calibri" w:hAnsi="Palatino Linotype"/>
          <w:bCs/>
        </w:rPr>
        <w:t>2021.</w:t>
      </w:r>
    </w:p>
    <w:p w:rsidR="00284E34" w:rsidRDefault="00284E34" w:rsidP="00284E34">
      <w:pPr>
        <w:contextualSpacing/>
        <w:jc w:val="both"/>
        <w:rPr>
          <w:rFonts w:ascii="Palatino Linotype" w:eastAsia="Calibri" w:hAnsi="Palatino Linotype"/>
          <w:bCs/>
        </w:rPr>
      </w:pPr>
    </w:p>
    <w:p w:rsidR="00284E34" w:rsidRPr="001D431F" w:rsidRDefault="00284E34" w:rsidP="00284E34">
      <w:pPr>
        <w:contextualSpacing/>
        <w:jc w:val="both"/>
        <w:rPr>
          <w:rFonts w:ascii="Palatino Linotype" w:eastAsia="Calibri" w:hAnsi="Palatino Linotype"/>
          <w:bCs/>
        </w:rPr>
      </w:pP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055B4E">
        <w:rPr>
          <w:rFonts w:ascii="Palatino Linotype" w:eastAsia="Calibri" w:hAnsi="Palatino Linotype"/>
          <w:bCs/>
          <w:i/>
          <w:iCs/>
        </w:rPr>
        <w:t>SEBI/HO/CFD/DIL2/CIR/P/2021/2480/1/M</w:t>
      </w:r>
      <w:r w:rsidRPr="001D431F">
        <w:rPr>
          <w:rFonts w:ascii="Palatino Linotype" w:eastAsia="Calibri" w:hAnsi="Palatino Linotype"/>
          <w:bCs/>
          <w:i/>
          <w:iCs/>
        </w:rPr>
        <w:t xml:space="preserve"> Dated March</w:t>
      </w:r>
      <w:r>
        <w:rPr>
          <w:rFonts w:ascii="Palatino Linotype" w:eastAsia="Calibri" w:hAnsi="Palatino Linotype"/>
          <w:bCs/>
          <w:i/>
          <w:iCs/>
        </w:rPr>
        <w:t xml:space="preserve"> 16</w:t>
      </w:r>
      <w:r w:rsidRPr="001D431F">
        <w:rPr>
          <w:rFonts w:ascii="Palatino Linotype" w:eastAsia="Calibri" w:hAnsi="Palatino Linotype"/>
          <w:bCs/>
          <w:i/>
          <w:iCs/>
        </w:rPr>
        <w:t>, 2021</w:t>
      </w:r>
    </w:p>
    <w:p w:rsidR="00284E34" w:rsidRDefault="00284E34" w:rsidP="00284E34">
      <w:pPr>
        <w:jc w:val="both"/>
        <w:rPr>
          <w:rFonts w:ascii="Palatino Linotype" w:eastAsia="Calibri" w:hAnsi="Palatino Linotype"/>
          <w:bCs/>
          <w:i/>
          <w:iCs/>
        </w:rPr>
      </w:pPr>
    </w:p>
    <w:p w:rsidR="00284E34" w:rsidRDefault="00284E34" w:rsidP="00284E34">
      <w:pPr>
        <w:contextualSpacing/>
        <w:jc w:val="both"/>
        <w:rPr>
          <w:rFonts w:ascii="Palatino Linotype" w:eastAsia="Calibri" w:hAnsi="Palatino Linotype"/>
          <w:b/>
          <w:bCs/>
        </w:rPr>
      </w:pPr>
      <w:r>
        <w:rPr>
          <w:rFonts w:ascii="Palatino Linotype" w:eastAsia="Calibri" w:hAnsi="Palatino Linotype"/>
          <w:b/>
          <w:bCs/>
        </w:rPr>
        <w:t xml:space="preserve">8. </w:t>
      </w:r>
      <w:r w:rsidRPr="00596A25">
        <w:rPr>
          <w:rFonts w:ascii="Palatino Linotype" w:eastAsia="Calibri" w:hAnsi="Palatino Linotype"/>
          <w:b/>
          <w:bCs/>
        </w:rPr>
        <w:t xml:space="preserve">Guidelines for Business Continuity Plan and Disaster Recovery of Market Infrastructure Institutions </w:t>
      </w:r>
    </w:p>
    <w:p w:rsidR="00284E34" w:rsidRPr="001D431F" w:rsidRDefault="00284E34" w:rsidP="00284E34">
      <w:pPr>
        <w:contextualSpacing/>
        <w:jc w:val="both"/>
        <w:rPr>
          <w:rFonts w:ascii="Palatino Linotype" w:eastAsia="Calibri" w:hAnsi="Palatino Linotype"/>
          <w:b/>
        </w:rPr>
      </w:pPr>
    </w:p>
    <w:p w:rsidR="00284E34" w:rsidRDefault="00284E34" w:rsidP="00284E34">
      <w:pPr>
        <w:contextualSpacing/>
        <w:jc w:val="both"/>
        <w:rPr>
          <w:rFonts w:ascii="Palatino Linotype" w:eastAsia="Calibri" w:hAnsi="Palatino Linotype"/>
          <w:bCs/>
        </w:rPr>
      </w:pPr>
      <w:r>
        <w:rPr>
          <w:rFonts w:ascii="Palatino Linotype" w:eastAsia="Calibri" w:hAnsi="Palatino Linotype"/>
          <w:bCs/>
        </w:rPr>
        <w:t>Prescribed framework</w:t>
      </w:r>
      <w:r w:rsidRPr="007F401C">
        <w:rPr>
          <w:rFonts w:ascii="Palatino Linotype" w:eastAsia="Calibri" w:hAnsi="Palatino Linotype"/>
          <w:bCs/>
        </w:rPr>
        <w:t xml:space="preserve"> </w:t>
      </w:r>
      <w:r>
        <w:rPr>
          <w:rFonts w:ascii="Palatino Linotype" w:eastAsia="Calibri" w:hAnsi="Palatino Linotype"/>
          <w:bCs/>
        </w:rPr>
        <w:t xml:space="preserve">issued </w:t>
      </w:r>
      <w:r w:rsidRPr="007F401C">
        <w:rPr>
          <w:rFonts w:ascii="Palatino Linotype" w:eastAsia="Calibri" w:hAnsi="Palatino Linotype"/>
          <w:bCs/>
        </w:rPr>
        <w:t xml:space="preserve">for Business Continuity Plan </w:t>
      </w:r>
      <w:r>
        <w:rPr>
          <w:rFonts w:ascii="Palatino Linotype" w:eastAsia="Calibri" w:hAnsi="Palatino Linotype"/>
          <w:bCs/>
        </w:rPr>
        <w:t xml:space="preserve">(BCP) </w:t>
      </w:r>
      <w:r w:rsidRPr="007F401C">
        <w:rPr>
          <w:rFonts w:ascii="Palatino Linotype" w:eastAsia="Calibri" w:hAnsi="Palatino Linotype"/>
          <w:bCs/>
        </w:rPr>
        <w:t>and Disaster Recovery</w:t>
      </w:r>
      <w:r>
        <w:rPr>
          <w:rFonts w:ascii="Palatino Linotype" w:eastAsia="Calibri" w:hAnsi="Palatino Linotype"/>
          <w:bCs/>
        </w:rPr>
        <w:t xml:space="preserve"> Site</w:t>
      </w:r>
      <w:r w:rsidRPr="007F401C">
        <w:rPr>
          <w:rFonts w:ascii="Palatino Linotype" w:eastAsia="Calibri" w:hAnsi="Palatino Linotype"/>
          <w:bCs/>
        </w:rPr>
        <w:t xml:space="preserve"> </w:t>
      </w:r>
      <w:r>
        <w:rPr>
          <w:rFonts w:ascii="Palatino Linotype" w:eastAsia="Calibri" w:hAnsi="Palatino Linotype"/>
          <w:bCs/>
        </w:rPr>
        <w:t xml:space="preserve">(DRS) </w:t>
      </w:r>
      <w:r w:rsidRPr="007F401C">
        <w:rPr>
          <w:rFonts w:ascii="Palatino Linotype" w:eastAsia="Calibri" w:hAnsi="Palatino Linotype"/>
          <w:bCs/>
        </w:rPr>
        <w:t xml:space="preserve">of </w:t>
      </w:r>
      <w:r>
        <w:rPr>
          <w:rFonts w:ascii="Palatino Linotype" w:eastAsia="Calibri" w:hAnsi="Palatino Linotype"/>
          <w:bCs/>
        </w:rPr>
        <w:t>m</w:t>
      </w:r>
      <w:r w:rsidRPr="007F401C">
        <w:rPr>
          <w:rFonts w:ascii="Palatino Linotype" w:eastAsia="Calibri" w:hAnsi="Palatino Linotype"/>
          <w:bCs/>
        </w:rPr>
        <w:t xml:space="preserve">arket </w:t>
      </w:r>
      <w:r>
        <w:rPr>
          <w:rFonts w:ascii="Palatino Linotype" w:eastAsia="Calibri" w:hAnsi="Palatino Linotype"/>
          <w:bCs/>
        </w:rPr>
        <w:t>i</w:t>
      </w:r>
      <w:r w:rsidRPr="007F401C">
        <w:rPr>
          <w:rFonts w:ascii="Palatino Linotype" w:eastAsia="Calibri" w:hAnsi="Palatino Linotype"/>
          <w:bCs/>
        </w:rPr>
        <w:t>nfrastructure</w:t>
      </w:r>
      <w:r>
        <w:rPr>
          <w:rFonts w:ascii="Palatino Linotype" w:eastAsia="Calibri" w:hAnsi="Palatino Linotype"/>
          <w:bCs/>
        </w:rPr>
        <w:t xml:space="preserve"> institutions was modified. Under the modified framework, among other requirements MIIs are required to have in place BCP and DRS so as to maintain data and transaction integrity. MIIs also are required to have near-site recovery to ensure zero data loss. </w:t>
      </w:r>
    </w:p>
    <w:p w:rsidR="00284E34" w:rsidRPr="001D431F" w:rsidRDefault="00284E34" w:rsidP="00284E34">
      <w:pPr>
        <w:contextualSpacing/>
        <w:jc w:val="both"/>
        <w:rPr>
          <w:rFonts w:ascii="Palatino Linotype" w:eastAsia="Calibri" w:hAnsi="Palatino Linotype"/>
          <w:bCs/>
        </w:rPr>
      </w:pP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596A25">
        <w:rPr>
          <w:rFonts w:ascii="Palatino Linotype" w:eastAsia="Calibri" w:hAnsi="Palatino Linotype"/>
          <w:bCs/>
          <w:i/>
          <w:iCs/>
        </w:rPr>
        <w:t>SEBI/HO/MRD1/DTCS/CIR/P/2021/33</w:t>
      </w:r>
      <w:r w:rsidRPr="001D431F">
        <w:rPr>
          <w:rFonts w:ascii="Palatino Linotype" w:eastAsia="Calibri" w:hAnsi="Palatino Linotype"/>
          <w:bCs/>
          <w:i/>
          <w:iCs/>
        </w:rPr>
        <w:t xml:space="preserve"> Dated March</w:t>
      </w:r>
      <w:r>
        <w:rPr>
          <w:rFonts w:ascii="Palatino Linotype" w:eastAsia="Calibri" w:hAnsi="Palatino Linotype"/>
          <w:bCs/>
          <w:i/>
          <w:iCs/>
        </w:rPr>
        <w:t xml:space="preserve"> 22</w:t>
      </w:r>
      <w:r w:rsidRPr="001D431F">
        <w:rPr>
          <w:rFonts w:ascii="Palatino Linotype" w:eastAsia="Calibri" w:hAnsi="Palatino Linotype"/>
          <w:bCs/>
          <w:i/>
          <w:iCs/>
        </w:rPr>
        <w:t>, 2021</w:t>
      </w:r>
    </w:p>
    <w:p w:rsidR="00284E34" w:rsidRDefault="00284E34" w:rsidP="00284E34">
      <w:pPr>
        <w:jc w:val="both"/>
        <w:rPr>
          <w:rFonts w:ascii="Palatino Linotype" w:eastAsia="Calibri" w:hAnsi="Palatino Linotype"/>
          <w:bCs/>
          <w:i/>
          <w:iCs/>
        </w:rPr>
      </w:pPr>
    </w:p>
    <w:p w:rsidR="00284E34" w:rsidRDefault="00284E34" w:rsidP="00284E34">
      <w:pPr>
        <w:contextualSpacing/>
        <w:jc w:val="both"/>
        <w:rPr>
          <w:rFonts w:ascii="Palatino Linotype" w:eastAsia="Calibri" w:hAnsi="Palatino Linotype"/>
          <w:b/>
          <w:bCs/>
        </w:rPr>
      </w:pPr>
      <w:r>
        <w:rPr>
          <w:rFonts w:ascii="Palatino Linotype" w:eastAsia="Calibri" w:hAnsi="Palatino Linotype"/>
          <w:b/>
          <w:bCs/>
        </w:rPr>
        <w:t xml:space="preserve">9. </w:t>
      </w:r>
      <w:r w:rsidRPr="00596A25">
        <w:rPr>
          <w:rFonts w:ascii="Palatino Linotype" w:eastAsia="Calibri" w:hAnsi="Palatino Linotype"/>
          <w:b/>
          <w:bCs/>
        </w:rPr>
        <w:t xml:space="preserve">Clarification on the </w:t>
      </w:r>
      <w:r>
        <w:rPr>
          <w:rFonts w:ascii="Palatino Linotype" w:eastAsia="Calibri" w:hAnsi="Palatino Linotype"/>
          <w:b/>
          <w:bCs/>
        </w:rPr>
        <w:t>V</w:t>
      </w:r>
      <w:r w:rsidRPr="00596A25">
        <w:rPr>
          <w:rFonts w:ascii="Palatino Linotype" w:eastAsia="Calibri" w:hAnsi="Palatino Linotype"/>
          <w:b/>
          <w:bCs/>
        </w:rPr>
        <w:t xml:space="preserve">aluation of </w:t>
      </w:r>
      <w:r>
        <w:rPr>
          <w:rFonts w:ascii="Palatino Linotype" w:eastAsia="Calibri" w:hAnsi="Palatino Linotype"/>
          <w:b/>
          <w:bCs/>
        </w:rPr>
        <w:t>B</w:t>
      </w:r>
      <w:r w:rsidRPr="00596A25">
        <w:rPr>
          <w:rFonts w:ascii="Palatino Linotype" w:eastAsia="Calibri" w:hAnsi="Palatino Linotype"/>
          <w:b/>
          <w:bCs/>
        </w:rPr>
        <w:t xml:space="preserve">onds issued under Basel III </w:t>
      </w:r>
      <w:r>
        <w:rPr>
          <w:rFonts w:ascii="Palatino Linotype" w:eastAsia="Calibri" w:hAnsi="Palatino Linotype"/>
          <w:b/>
          <w:bCs/>
        </w:rPr>
        <w:t>F</w:t>
      </w:r>
      <w:r w:rsidRPr="00596A25">
        <w:rPr>
          <w:rFonts w:ascii="Palatino Linotype" w:eastAsia="Calibri" w:hAnsi="Palatino Linotype"/>
          <w:b/>
          <w:bCs/>
        </w:rPr>
        <w:t>ramework</w:t>
      </w:r>
    </w:p>
    <w:p w:rsidR="00284E34" w:rsidRPr="001D431F" w:rsidRDefault="00284E34" w:rsidP="00284E34">
      <w:pPr>
        <w:contextualSpacing/>
        <w:jc w:val="both"/>
        <w:rPr>
          <w:rFonts w:ascii="Palatino Linotype" w:eastAsia="Calibri" w:hAnsi="Palatino Linotype"/>
          <w:b/>
        </w:rPr>
      </w:pPr>
    </w:p>
    <w:p w:rsidR="00284E34" w:rsidRDefault="00284E34" w:rsidP="00284E34">
      <w:pPr>
        <w:contextualSpacing/>
        <w:jc w:val="both"/>
        <w:rPr>
          <w:rFonts w:ascii="Palatino Linotype" w:eastAsia="Calibri" w:hAnsi="Palatino Linotype"/>
          <w:bCs/>
        </w:rPr>
      </w:pPr>
      <w:r>
        <w:rPr>
          <w:rFonts w:ascii="Palatino Linotype" w:eastAsia="Calibri" w:hAnsi="Palatino Linotype"/>
          <w:bCs/>
        </w:rPr>
        <w:t xml:space="preserve">As per SEBI circular dated March 10, 2021, maturity of all perpetual bonds shall be treated as 100 years from the date of their issuance for the purposes of valuation.  Based on the representation of the mutual fund industry to consider a glide path for the implementation of the policy, it has been decided that the deemed residual maturity for the purpose of valuation of existing and new bonds issued under Basel III framework will be as prescribed.  </w:t>
      </w:r>
    </w:p>
    <w:p w:rsidR="00284E34" w:rsidRDefault="00284E34" w:rsidP="00284E34">
      <w:pPr>
        <w:contextualSpacing/>
        <w:jc w:val="both"/>
        <w:rPr>
          <w:rFonts w:ascii="Palatino Linotype" w:eastAsia="Calibri" w:hAnsi="Palatino Linotype"/>
          <w:bCs/>
        </w:rPr>
      </w:pPr>
    </w:p>
    <w:p w:rsidR="00284E34" w:rsidRDefault="00284E34" w:rsidP="00284E34">
      <w:pPr>
        <w:contextualSpacing/>
        <w:jc w:val="both"/>
        <w:rPr>
          <w:rFonts w:ascii="Palatino Linotype" w:eastAsia="Calibri" w:hAnsi="Palatino Linotype"/>
          <w:bCs/>
        </w:rPr>
      </w:pPr>
      <w:r>
        <w:rPr>
          <w:rFonts w:ascii="Palatino Linotype" w:eastAsia="Calibri" w:hAnsi="Palatino Linotype"/>
          <w:bCs/>
        </w:rPr>
        <w:t xml:space="preserve">In the financial year ended March 2022, the AT-1 bonds deemed residual maturity will be 10 years and for Basel III Tier 2 bonds it will be 10 years or contractual maturity whichever is earlier.  From April to September 2022, it will be 20 years for AT-1 bonds and contractual maturity for Tier 2 bonds.  </w:t>
      </w:r>
    </w:p>
    <w:p w:rsidR="00284E34" w:rsidRDefault="00284E34" w:rsidP="00284E34">
      <w:pPr>
        <w:contextualSpacing/>
        <w:jc w:val="both"/>
        <w:rPr>
          <w:rFonts w:ascii="Palatino Linotype" w:eastAsia="Calibri" w:hAnsi="Palatino Linotype"/>
          <w:bCs/>
        </w:rPr>
      </w:pPr>
    </w:p>
    <w:p w:rsidR="00284E34" w:rsidRDefault="00284E34" w:rsidP="00284E34">
      <w:pPr>
        <w:contextualSpacing/>
        <w:jc w:val="both"/>
        <w:rPr>
          <w:rFonts w:ascii="Palatino Linotype" w:eastAsia="Calibri" w:hAnsi="Palatino Linotype"/>
          <w:bCs/>
        </w:rPr>
      </w:pPr>
      <w:r w:rsidRPr="00F6146A">
        <w:rPr>
          <w:rFonts w:ascii="Palatino Linotype" w:eastAsia="Calibri" w:hAnsi="Palatino Linotype"/>
          <w:bCs/>
        </w:rPr>
        <w:t xml:space="preserve">Further, AMFI </w:t>
      </w:r>
      <w:r>
        <w:rPr>
          <w:rFonts w:ascii="Palatino Linotype" w:eastAsia="Calibri" w:hAnsi="Palatino Linotype"/>
          <w:bCs/>
        </w:rPr>
        <w:t>wa</w:t>
      </w:r>
      <w:r w:rsidRPr="00F6146A">
        <w:rPr>
          <w:rFonts w:ascii="Palatino Linotype" w:eastAsia="Calibri" w:hAnsi="Palatino Linotype"/>
          <w:bCs/>
        </w:rPr>
        <w:t xml:space="preserve">s advised to issue </w:t>
      </w:r>
      <w:r>
        <w:rPr>
          <w:rFonts w:ascii="Palatino Linotype" w:eastAsia="Calibri" w:hAnsi="Palatino Linotype"/>
          <w:bCs/>
        </w:rPr>
        <w:t>d</w:t>
      </w:r>
      <w:r w:rsidRPr="00F6146A">
        <w:rPr>
          <w:rFonts w:ascii="Palatino Linotype" w:eastAsia="Calibri" w:hAnsi="Palatino Linotype"/>
          <w:bCs/>
        </w:rPr>
        <w:t>etailed guidelines  with  respect  to  valuation  of bonds issued under Basel III framework, which shall be implemented by April 01, 2021.</w:t>
      </w:r>
    </w:p>
    <w:p w:rsidR="00284E34" w:rsidRDefault="00284E34" w:rsidP="00284E34">
      <w:pPr>
        <w:contextualSpacing/>
        <w:jc w:val="both"/>
        <w:rPr>
          <w:rFonts w:ascii="Palatino Linotype" w:eastAsia="Calibri" w:hAnsi="Palatino Linotype"/>
          <w:bCs/>
        </w:rPr>
      </w:pP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596A25">
        <w:rPr>
          <w:rFonts w:ascii="Palatino Linotype" w:eastAsia="Calibri" w:hAnsi="Palatino Linotype"/>
          <w:bCs/>
          <w:i/>
          <w:iCs/>
        </w:rPr>
        <w:t>SEBI/HO/IMD/DF4/CIR/P/2021/034</w:t>
      </w:r>
      <w:r w:rsidRPr="001D431F">
        <w:rPr>
          <w:rFonts w:ascii="Palatino Linotype" w:eastAsia="Calibri" w:hAnsi="Palatino Linotype"/>
          <w:bCs/>
          <w:i/>
          <w:iCs/>
        </w:rPr>
        <w:t xml:space="preserve"> Dated March</w:t>
      </w:r>
      <w:r>
        <w:rPr>
          <w:rFonts w:ascii="Palatino Linotype" w:eastAsia="Calibri" w:hAnsi="Palatino Linotype"/>
          <w:bCs/>
          <w:i/>
          <w:iCs/>
        </w:rPr>
        <w:t xml:space="preserve"> 22</w:t>
      </w:r>
      <w:r w:rsidRPr="001D431F">
        <w:rPr>
          <w:rFonts w:ascii="Palatino Linotype" w:eastAsia="Calibri" w:hAnsi="Palatino Linotype"/>
          <w:bCs/>
          <w:i/>
          <w:iCs/>
        </w:rPr>
        <w:t>, 2021</w:t>
      </w:r>
    </w:p>
    <w:p w:rsidR="00284E34" w:rsidRDefault="00284E34" w:rsidP="00284E34">
      <w:pPr>
        <w:jc w:val="both"/>
        <w:rPr>
          <w:rFonts w:ascii="Palatino Linotype" w:eastAsia="Calibri" w:hAnsi="Palatino Linotype"/>
          <w:bCs/>
          <w:i/>
          <w:iCs/>
        </w:rPr>
      </w:pPr>
    </w:p>
    <w:p w:rsidR="00284E34" w:rsidRPr="00A658AE" w:rsidRDefault="00284E34" w:rsidP="00284E34">
      <w:pPr>
        <w:contextualSpacing/>
        <w:jc w:val="both"/>
        <w:rPr>
          <w:rFonts w:ascii="Palatino Linotype" w:eastAsia="Calibri" w:hAnsi="Palatino Linotype"/>
          <w:b/>
          <w:bCs/>
        </w:rPr>
      </w:pPr>
      <w:r>
        <w:rPr>
          <w:rFonts w:ascii="Palatino Linotype" w:eastAsia="Calibri" w:hAnsi="Palatino Linotype"/>
          <w:b/>
          <w:bCs/>
        </w:rPr>
        <w:t>10</w:t>
      </w:r>
      <w:r w:rsidRPr="00A658AE">
        <w:rPr>
          <w:rFonts w:ascii="Palatino Linotype" w:eastAsia="Calibri" w:hAnsi="Palatino Linotype"/>
          <w:b/>
          <w:bCs/>
        </w:rPr>
        <w:t>. Review of Delivery Default Norms</w:t>
      </w:r>
    </w:p>
    <w:p w:rsidR="00284E34" w:rsidRPr="00A658AE" w:rsidRDefault="00284E34" w:rsidP="00284E34">
      <w:pPr>
        <w:contextualSpacing/>
        <w:jc w:val="both"/>
        <w:rPr>
          <w:rFonts w:ascii="Palatino Linotype" w:eastAsia="Calibri" w:hAnsi="Palatino Linotype"/>
          <w:b/>
        </w:rPr>
      </w:pPr>
    </w:p>
    <w:p w:rsidR="00284E34" w:rsidRPr="00A658AE" w:rsidRDefault="00284E34" w:rsidP="00284E34">
      <w:pPr>
        <w:jc w:val="both"/>
        <w:rPr>
          <w:rFonts w:ascii="Palatino Linotype" w:hAnsi="Palatino Linotype" w:cs="Arial"/>
          <w:sz w:val="23"/>
          <w:szCs w:val="23"/>
          <w:lang w:val="en-IN" w:eastAsia="en-IN" w:bidi="hi-IN"/>
        </w:rPr>
      </w:pPr>
      <w:r w:rsidRPr="00A658AE">
        <w:rPr>
          <w:rFonts w:ascii="Palatino Linotype" w:hAnsi="Palatino Linotype" w:cs="Arial"/>
          <w:sz w:val="23"/>
          <w:szCs w:val="23"/>
        </w:rPr>
        <w:t>Extant delivery default norms in commodity derivative segment were examined in consultation with Clearing Corporation. These norms will be effective from the first trading day of May 2021.</w:t>
      </w:r>
    </w:p>
    <w:p w:rsidR="00284E34" w:rsidRPr="00A658AE" w:rsidRDefault="00284E34" w:rsidP="00284E34">
      <w:pPr>
        <w:contextualSpacing/>
        <w:jc w:val="both"/>
        <w:rPr>
          <w:rFonts w:ascii="Palatino Linotype" w:eastAsia="Calibri" w:hAnsi="Palatino Linotype"/>
          <w:bCs/>
        </w:rPr>
      </w:pP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596A25">
        <w:rPr>
          <w:rFonts w:ascii="Palatino Linotype" w:eastAsia="Calibri" w:hAnsi="Palatino Linotype"/>
          <w:bCs/>
          <w:i/>
          <w:iCs/>
        </w:rPr>
        <w:t>SEBI/HO/CDMRD/DRMP/CIR/P/2021/35</w:t>
      </w:r>
      <w:r>
        <w:rPr>
          <w:rFonts w:ascii="Palatino Linotype" w:eastAsia="Calibri" w:hAnsi="Palatino Linotype"/>
          <w:bCs/>
          <w:i/>
          <w:iCs/>
        </w:rPr>
        <w:t xml:space="preserve"> </w:t>
      </w:r>
      <w:r w:rsidRPr="001D431F">
        <w:rPr>
          <w:rFonts w:ascii="Palatino Linotype" w:eastAsia="Calibri" w:hAnsi="Palatino Linotype"/>
          <w:bCs/>
          <w:i/>
          <w:iCs/>
        </w:rPr>
        <w:t>Dated March</w:t>
      </w:r>
      <w:r>
        <w:rPr>
          <w:rFonts w:ascii="Palatino Linotype" w:eastAsia="Calibri" w:hAnsi="Palatino Linotype"/>
          <w:bCs/>
          <w:i/>
          <w:iCs/>
        </w:rPr>
        <w:t xml:space="preserve"> 23</w:t>
      </w:r>
      <w:r w:rsidRPr="001D431F">
        <w:rPr>
          <w:rFonts w:ascii="Palatino Linotype" w:eastAsia="Calibri" w:hAnsi="Palatino Linotype"/>
          <w:bCs/>
          <w:i/>
          <w:iCs/>
        </w:rPr>
        <w:t>, 2021</w:t>
      </w:r>
    </w:p>
    <w:p w:rsidR="00284E34" w:rsidRDefault="00284E34" w:rsidP="00284E34">
      <w:pPr>
        <w:jc w:val="both"/>
        <w:rPr>
          <w:rFonts w:ascii="Palatino Linotype" w:eastAsia="Calibri" w:hAnsi="Palatino Linotype"/>
          <w:bCs/>
          <w:i/>
          <w:iCs/>
        </w:rPr>
      </w:pPr>
    </w:p>
    <w:p w:rsidR="00284E34" w:rsidRPr="00A658AE" w:rsidRDefault="00284E34" w:rsidP="00284E34">
      <w:pPr>
        <w:contextualSpacing/>
        <w:jc w:val="both"/>
        <w:rPr>
          <w:rFonts w:ascii="Palatino Linotype" w:eastAsia="Calibri" w:hAnsi="Palatino Linotype"/>
          <w:b/>
          <w:bCs/>
        </w:rPr>
      </w:pPr>
      <w:r>
        <w:rPr>
          <w:rFonts w:ascii="Palatino Linotype" w:eastAsia="Calibri" w:hAnsi="Palatino Linotype"/>
          <w:b/>
          <w:bCs/>
        </w:rPr>
        <w:t>11</w:t>
      </w:r>
      <w:r w:rsidRPr="00A658AE">
        <w:rPr>
          <w:rFonts w:ascii="Palatino Linotype" w:eastAsia="Calibri" w:hAnsi="Palatino Linotype"/>
          <w:b/>
          <w:bCs/>
        </w:rPr>
        <w:t>. Combating Financing of Terrorism under Unlawful Activities (Prevention) Act, 1967 – Directions to Stock Exchanges, Depositories and all registered intermediaries</w:t>
      </w:r>
    </w:p>
    <w:p w:rsidR="00284E34" w:rsidRPr="00A658AE" w:rsidRDefault="00284E34" w:rsidP="00284E34">
      <w:pPr>
        <w:contextualSpacing/>
        <w:jc w:val="both"/>
        <w:rPr>
          <w:rFonts w:ascii="Palatino Linotype" w:eastAsia="Calibri" w:hAnsi="Palatino Linotype"/>
          <w:b/>
        </w:rPr>
      </w:pPr>
    </w:p>
    <w:p w:rsidR="00284E34" w:rsidRPr="00A658AE" w:rsidRDefault="00284E34" w:rsidP="00284E34">
      <w:pPr>
        <w:pStyle w:val="Default"/>
        <w:rPr>
          <w:rFonts w:ascii="Palatino Linotype" w:hAnsi="Palatino Linotype"/>
        </w:rPr>
      </w:pPr>
    </w:p>
    <w:p w:rsidR="00284E34" w:rsidRPr="00512839" w:rsidRDefault="00284E34" w:rsidP="00284E34">
      <w:pPr>
        <w:shd w:val="clear" w:color="auto" w:fill="FFFFFF"/>
        <w:jc w:val="both"/>
        <w:rPr>
          <w:rFonts w:ascii="Palatino Linotype" w:hAnsi="Palatino Linotype"/>
        </w:rPr>
      </w:pPr>
      <w:r w:rsidRPr="00A658AE">
        <w:rPr>
          <w:rFonts w:ascii="Palatino Linotype" w:hAnsi="Palatino Linotype"/>
        </w:rPr>
        <w:t>In order to ensure expeditious and effective implementation of the provisions of Section 51A</w:t>
      </w:r>
      <w:r>
        <w:rPr>
          <w:rFonts w:ascii="Palatino Linotype" w:hAnsi="Palatino Linotype"/>
        </w:rPr>
        <w:t xml:space="preserve"> of </w:t>
      </w:r>
      <w:r w:rsidRPr="00512839">
        <w:rPr>
          <w:rFonts w:ascii="Palatino Linotype" w:hAnsi="Palatino Linotype"/>
        </w:rPr>
        <w:t>Unlawful Activities (Prevention Act,1967,</w:t>
      </w:r>
      <w:r w:rsidRPr="00A658AE">
        <w:rPr>
          <w:rFonts w:ascii="Palatino Linotype" w:hAnsi="Palatino Linotype"/>
        </w:rPr>
        <w:t xml:space="preserve"> GOI has outlined a revised procedure through an order dated February 02, 2021 superseding the earlier orders and guidelines given on the subject. </w:t>
      </w:r>
    </w:p>
    <w:p w:rsidR="00284E34" w:rsidRPr="00A658AE" w:rsidRDefault="00284E34" w:rsidP="00284E34">
      <w:pPr>
        <w:pStyle w:val="Default"/>
        <w:jc w:val="both"/>
        <w:rPr>
          <w:rFonts w:ascii="Palatino Linotype" w:hAnsi="Palatino Linotype"/>
        </w:rPr>
      </w:pPr>
    </w:p>
    <w:p w:rsidR="00284E34" w:rsidRPr="00A658AE" w:rsidRDefault="00284E34" w:rsidP="00284E34">
      <w:pPr>
        <w:pStyle w:val="Default"/>
        <w:jc w:val="both"/>
        <w:rPr>
          <w:rFonts w:ascii="Palatino Linotype" w:hAnsi="Palatino Linotype"/>
        </w:rPr>
      </w:pPr>
      <w:r w:rsidRPr="00A658AE">
        <w:rPr>
          <w:rFonts w:ascii="Palatino Linotype" w:hAnsi="Palatino Linotype"/>
        </w:rPr>
        <w:t xml:space="preserve">Order dated February 02, 2021 issued by GOI in relation to implementation of Section 51A of the UAPA, 1967 was brought to notice of all intermediaries registered with SEBI for strict compliance. </w:t>
      </w:r>
    </w:p>
    <w:p w:rsidR="00284E34" w:rsidRPr="00A658AE" w:rsidRDefault="00284E34" w:rsidP="00284E34">
      <w:pPr>
        <w:pStyle w:val="Default"/>
        <w:rPr>
          <w:rFonts w:ascii="Palatino Linotype" w:hAnsi="Palatino Linotype"/>
          <w:bCs/>
        </w:rPr>
      </w:pPr>
      <w:r w:rsidRPr="00A658AE">
        <w:rPr>
          <w:rFonts w:ascii="Palatino Linotype" w:hAnsi="Palatino Linotype"/>
        </w:rPr>
        <w:t xml:space="preserve"> </w:t>
      </w: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596A25">
        <w:rPr>
          <w:rFonts w:ascii="Palatino Linotype" w:eastAsia="Calibri" w:hAnsi="Palatino Linotype"/>
          <w:bCs/>
          <w:i/>
          <w:iCs/>
        </w:rPr>
        <w:t>SEBI/HO/MIRSD/DOP/CIR/P/2021/36</w:t>
      </w:r>
      <w:r w:rsidRPr="001D431F">
        <w:rPr>
          <w:rFonts w:ascii="Palatino Linotype" w:eastAsia="Calibri" w:hAnsi="Palatino Linotype"/>
          <w:bCs/>
          <w:i/>
          <w:iCs/>
        </w:rPr>
        <w:t xml:space="preserve"> Dated March</w:t>
      </w:r>
      <w:r>
        <w:rPr>
          <w:rFonts w:ascii="Palatino Linotype" w:eastAsia="Calibri" w:hAnsi="Palatino Linotype"/>
          <w:bCs/>
          <w:i/>
          <w:iCs/>
        </w:rPr>
        <w:t xml:space="preserve"> 25</w:t>
      </w:r>
      <w:r w:rsidRPr="001D431F">
        <w:rPr>
          <w:rFonts w:ascii="Palatino Linotype" w:eastAsia="Calibri" w:hAnsi="Palatino Linotype"/>
          <w:bCs/>
          <w:i/>
          <w:iCs/>
        </w:rPr>
        <w:t>, 2021</w:t>
      </w:r>
    </w:p>
    <w:p w:rsidR="00284E34" w:rsidRDefault="00284E34" w:rsidP="00284E34">
      <w:pPr>
        <w:jc w:val="both"/>
        <w:rPr>
          <w:rFonts w:ascii="Palatino Linotype" w:eastAsia="Calibri" w:hAnsi="Palatino Linotype"/>
          <w:bCs/>
          <w:i/>
          <w:iCs/>
        </w:rPr>
      </w:pPr>
    </w:p>
    <w:p w:rsidR="00284E34" w:rsidRPr="00A658AE" w:rsidRDefault="00284E34" w:rsidP="00284E34">
      <w:pPr>
        <w:contextualSpacing/>
        <w:jc w:val="both"/>
        <w:rPr>
          <w:rFonts w:ascii="Palatino Linotype" w:eastAsia="Calibri" w:hAnsi="Palatino Linotype"/>
          <w:b/>
          <w:bCs/>
        </w:rPr>
      </w:pPr>
      <w:r>
        <w:rPr>
          <w:rFonts w:ascii="Palatino Linotype" w:eastAsia="Calibri" w:hAnsi="Palatino Linotype"/>
          <w:b/>
          <w:bCs/>
        </w:rPr>
        <w:t>12</w:t>
      </w:r>
      <w:r w:rsidRPr="00A658AE">
        <w:rPr>
          <w:rFonts w:ascii="Palatino Linotype" w:eastAsia="Calibri" w:hAnsi="Palatino Linotype"/>
          <w:b/>
          <w:bCs/>
        </w:rPr>
        <w:t>. Prior Approval for Change in control: Transfer of Shareholdings among Immediate Relatives and Transmission of Shareholdings and their effect on Change in Control</w:t>
      </w:r>
    </w:p>
    <w:p w:rsidR="00284E34" w:rsidRPr="00A658AE" w:rsidRDefault="00284E34" w:rsidP="00284E34">
      <w:pPr>
        <w:pStyle w:val="Default"/>
        <w:rPr>
          <w:rFonts w:ascii="Palatino Linotype" w:hAnsi="Palatino Linotype"/>
        </w:rPr>
      </w:pPr>
    </w:p>
    <w:p w:rsidR="00284E34" w:rsidRPr="00013BA3" w:rsidRDefault="00284E34" w:rsidP="00013BA3">
      <w:pPr>
        <w:shd w:val="clear" w:color="auto" w:fill="FFFFFF"/>
        <w:jc w:val="both"/>
        <w:rPr>
          <w:rFonts w:ascii="Palatino Linotype" w:hAnsi="Palatino Linotype" w:cs="Arial"/>
          <w:sz w:val="23"/>
          <w:szCs w:val="23"/>
        </w:rPr>
      </w:pPr>
      <w:r w:rsidRPr="00013BA3">
        <w:rPr>
          <w:rFonts w:ascii="Palatino Linotype" w:hAnsi="Palatino Linotype"/>
        </w:rPr>
        <w:t xml:space="preserve">The procedure for seeking prior approval for change in control from SEBI was specified vide circular dated August 02, 2011. Certain clarifications were issued regarding </w:t>
      </w:r>
      <w:r w:rsidRPr="00013BA3">
        <w:rPr>
          <w:rFonts w:ascii="Palatino Linotype" w:hAnsi="Palatino Linotype" w:cs="Arial"/>
          <w:sz w:val="23"/>
          <w:szCs w:val="23"/>
        </w:rPr>
        <w:t>with</w:t>
      </w:r>
      <w:r w:rsidR="00512839" w:rsidRPr="00013BA3">
        <w:rPr>
          <w:rFonts w:ascii="Palatino Linotype" w:hAnsi="Palatino Linotype" w:cs="Arial"/>
          <w:sz w:val="23"/>
          <w:szCs w:val="23"/>
        </w:rPr>
        <w:t xml:space="preserve"> </w:t>
      </w:r>
      <w:r w:rsidRPr="00013BA3">
        <w:rPr>
          <w:rFonts w:ascii="Palatino Linotype" w:hAnsi="Palatino Linotype" w:cs="Arial"/>
          <w:sz w:val="23"/>
          <w:szCs w:val="23"/>
        </w:rPr>
        <w:t>respect  to  transfer  of  shareholding among  immediate  relatives  and  transmission  of shareholding</w:t>
      </w:r>
      <w:r w:rsidRPr="00013BA3">
        <w:rPr>
          <w:rFonts w:ascii="Palatino Linotype" w:hAnsi="Palatino Linotype" w:cs="Arial"/>
          <w:sz w:val="23"/>
          <w:szCs w:val="23"/>
          <w:shd w:val="clear" w:color="auto" w:fill="FFFFFF"/>
        </w:rPr>
        <w:t xml:space="preserve"> for  change  in  control</w:t>
      </w:r>
      <w:r w:rsidRPr="00013BA3">
        <w:rPr>
          <w:rFonts w:ascii="Palatino Linotype" w:hAnsi="Palatino Linotype" w:cs="Arial"/>
          <w:sz w:val="23"/>
          <w:szCs w:val="23"/>
        </w:rPr>
        <w:t>.</w:t>
      </w:r>
    </w:p>
    <w:p w:rsidR="00284E34" w:rsidRPr="00A658AE" w:rsidRDefault="00284E34" w:rsidP="00284E34">
      <w:pPr>
        <w:contextualSpacing/>
        <w:jc w:val="both"/>
        <w:rPr>
          <w:rFonts w:ascii="Palatino Linotype" w:eastAsia="Calibri" w:hAnsi="Palatino Linotype"/>
          <w:bCs/>
        </w:rPr>
      </w:pP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596A25">
        <w:rPr>
          <w:rFonts w:ascii="Palatino Linotype" w:eastAsia="Calibri" w:hAnsi="Palatino Linotype"/>
          <w:bCs/>
          <w:i/>
          <w:iCs/>
        </w:rPr>
        <w:t>SEBI/HO/MIRSD/DOR/CIR/P/2021/42</w:t>
      </w:r>
      <w:r w:rsidRPr="001D431F">
        <w:rPr>
          <w:rFonts w:ascii="Palatino Linotype" w:eastAsia="Calibri" w:hAnsi="Palatino Linotype"/>
          <w:bCs/>
          <w:i/>
          <w:iCs/>
        </w:rPr>
        <w:t xml:space="preserve"> Dated March</w:t>
      </w:r>
      <w:r>
        <w:rPr>
          <w:rFonts w:ascii="Palatino Linotype" w:eastAsia="Calibri" w:hAnsi="Palatino Linotype"/>
          <w:bCs/>
          <w:i/>
          <w:iCs/>
        </w:rPr>
        <w:t xml:space="preserve"> 25</w:t>
      </w:r>
      <w:r w:rsidRPr="001D431F">
        <w:rPr>
          <w:rFonts w:ascii="Palatino Linotype" w:eastAsia="Calibri" w:hAnsi="Palatino Linotype"/>
          <w:bCs/>
          <w:i/>
          <w:iCs/>
        </w:rPr>
        <w:t>, 2021</w:t>
      </w:r>
    </w:p>
    <w:p w:rsidR="00284E34" w:rsidRDefault="00284E34" w:rsidP="00284E34">
      <w:pPr>
        <w:jc w:val="both"/>
        <w:rPr>
          <w:rFonts w:ascii="Palatino Linotype" w:eastAsia="Calibri" w:hAnsi="Palatino Linotype"/>
          <w:bCs/>
          <w:i/>
          <w:iCs/>
        </w:rPr>
      </w:pPr>
    </w:p>
    <w:p w:rsidR="00284E34" w:rsidRDefault="00284E34" w:rsidP="00284E34">
      <w:pPr>
        <w:contextualSpacing/>
        <w:jc w:val="both"/>
        <w:rPr>
          <w:rFonts w:ascii="Palatino Linotype" w:eastAsia="Calibri" w:hAnsi="Palatino Linotype"/>
          <w:b/>
          <w:bCs/>
        </w:rPr>
      </w:pPr>
      <w:r>
        <w:rPr>
          <w:rFonts w:ascii="Palatino Linotype" w:eastAsia="Calibri" w:hAnsi="Palatino Linotype"/>
          <w:b/>
          <w:bCs/>
        </w:rPr>
        <w:t xml:space="preserve">13. </w:t>
      </w:r>
      <w:r w:rsidRPr="00596A25">
        <w:rPr>
          <w:rFonts w:ascii="Palatino Linotype" w:eastAsia="Calibri" w:hAnsi="Palatino Linotype"/>
          <w:b/>
          <w:bCs/>
        </w:rPr>
        <w:t xml:space="preserve">Transfer of </w:t>
      </w:r>
      <w:r>
        <w:rPr>
          <w:rFonts w:ascii="Palatino Linotype" w:eastAsia="Calibri" w:hAnsi="Palatino Linotype"/>
          <w:b/>
          <w:bCs/>
        </w:rPr>
        <w:t>B</w:t>
      </w:r>
      <w:r w:rsidRPr="00596A25">
        <w:rPr>
          <w:rFonts w:ascii="Palatino Linotype" w:eastAsia="Calibri" w:hAnsi="Palatino Linotype"/>
          <w:b/>
          <w:bCs/>
        </w:rPr>
        <w:t xml:space="preserve">usiness by SEBI </w:t>
      </w:r>
      <w:r>
        <w:rPr>
          <w:rFonts w:ascii="Palatino Linotype" w:eastAsia="Calibri" w:hAnsi="Palatino Linotype"/>
          <w:b/>
          <w:bCs/>
        </w:rPr>
        <w:t>R</w:t>
      </w:r>
      <w:r w:rsidRPr="00596A25">
        <w:rPr>
          <w:rFonts w:ascii="Palatino Linotype" w:eastAsia="Calibri" w:hAnsi="Palatino Linotype"/>
          <w:b/>
          <w:bCs/>
        </w:rPr>
        <w:t xml:space="preserve">egistered </w:t>
      </w:r>
      <w:r>
        <w:rPr>
          <w:rFonts w:ascii="Palatino Linotype" w:eastAsia="Calibri" w:hAnsi="Palatino Linotype"/>
          <w:b/>
          <w:bCs/>
        </w:rPr>
        <w:t>I</w:t>
      </w:r>
      <w:r w:rsidRPr="00596A25">
        <w:rPr>
          <w:rFonts w:ascii="Palatino Linotype" w:eastAsia="Calibri" w:hAnsi="Palatino Linotype"/>
          <w:b/>
          <w:bCs/>
        </w:rPr>
        <w:t xml:space="preserve">ntermediaries to other </w:t>
      </w:r>
      <w:r>
        <w:rPr>
          <w:rFonts w:ascii="Palatino Linotype" w:eastAsia="Calibri" w:hAnsi="Palatino Linotype"/>
          <w:b/>
          <w:bCs/>
        </w:rPr>
        <w:t>L</w:t>
      </w:r>
      <w:r w:rsidRPr="00596A25">
        <w:rPr>
          <w:rFonts w:ascii="Palatino Linotype" w:eastAsia="Calibri" w:hAnsi="Palatino Linotype"/>
          <w:b/>
          <w:bCs/>
        </w:rPr>
        <w:t xml:space="preserve">egal </w:t>
      </w:r>
      <w:r>
        <w:rPr>
          <w:rFonts w:ascii="Palatino Linotype" w:eastAsia="Calibri" w:hAnsi="Palatino Linotype"/>
          <w:b/>
          <w:bCs/>
        </w:rPr>
        <w:t>E</w:t>
      </w:r>
      <w:r w:rsidRPr="00596A25">
        <w:rPr>
          <w:rFonts w:ascii="Palatino Linotype" w:eastAsia="Calibri" w:hAnsi="Palatino Linotype"/>
          <w:b/>
          <w:bCs/>
        </w:rPr>
        <w:t>ntity</w:t>
      </w:r>
    </w:p>
    <w:p w:rsidR="00284E34" w:rsidRPr="001D431F" w:rsidRDefault="00284E34" w:rsidP="00284E34">
      <w:pPr>
        <w:contextualSpacing/>
        <w:jc w:val="both"/>
        <w:rPr>
          <w:rFonts w:ascii="Palatino Linotype" w:eastAsia="Calibri" w:hAnsi="Palatino Linotype"/>
          <w:b/>
        </w:rPr>
      </w:pPr>
    </w:p>
    <w:p w:rsidR="00284E34" w:rsidRPr="00831E77" w:rsidRDefault="00284E34" w:rsidP="00284E34">
      <w:pPr>
        <w:contextualSpacing/>
        <w:jc w:val="both"/>
        <w:rPr>
          <w:rFonts w:ascii="Palatino Linotype" w:eastAsia="Calibri" w:hAnsi="Palatino Linotype"/>
          <w:bCs/>
        </w:rPr>
      </w:pPr>
      <w:r>
        <w:rPr>
          <w:rFonts w:ascii="Palatino Linotype" w:eastAsia="Calibri" w:hAnsi="Palatino Linotype"/>
          <w:bCs/>
        </w:rPr>
        <w:t xml:space="preserve">It is </w:t>
      </w:r>
      <w:r w:rsidRPr="00831E77">
        <w:rPr>
          <w:rFonts w:ascii="Palatino Linotype" w:eastAsia="Calibri" w:hAnsi="Palatino Linotype"/>
          <w:bCs/>
        </w:rPr>
        <w:t>clarified that the transferee will  obtain fresh registration from the regulator in the same capacity before the transfer of business if it is not registered with the markets watchdog in the same capacity.</w:t>
      </w:r>
      <w:r>
        <w:rPr>
          <w:rFonts w:ascii="Palatino Linotype" w:eastAsia="Calibri" w:hAnsi="Palatino Linotype"/>
          <w:bCs/>
        </w:rPr>
        <w:t xml:space="preserve">  A</w:t>
      </w:r>
      <w:r w:rsidRPr="00831E77">
        <w:rPr>
          <w:rFonts w:ascii="Palatino Linotype" w:eastAsia="Calibri" w:hAnsi="Palatino Linotype"/>
          <w:bCs/>
        </w:rPr>
        <w:t xml:space="preserve"> new registration number </w:t>
      </w:r>
      <w:r>
        <w:rPr>
          <w:rFonts w:ascii="Palatino Linotype" w:eastAsia="Calibri" w:hAnsi="Palatino Linotype"/>
          <w:bCs/>
        </w:rPr>
        <w:t xml:space="preserve">will be issued </w:t>
      </w:r>
      <w:r w:rsidRPr="00831E77">
        <w:rPr>
          <w:rFonts w:ascii="Palatino Linotype" w:eastAsia="Calibri" w:hAnsi="Palatino Linotype"/>
          <w:bCs/>
        </w:rPr>
        <w:t>to transferee different from the transferor's registration number if "business is transferred through regulatory process (pursuant to merger/amalgamation/corporate restructuring by way of order of primary regulator/govt/NCLT, etc</w:t>
      </w:r>
      <w:r>
        <w:rPr>
          <w:rFonts w:ascii="Palatino Linotype" w:eastAsia="Calibri" w:hAnsi="Palatino Linotype"/>
          <w:bCs/>
        </w:rPr>
        <w:t>.</w:t>
      </w:r>
      <w:r w:rsidRPr="00831E77">
        <w:rPr>
          <w:rFonts w:ascii="Palatino Linotype" w:eastAsia="Calibri" w:hAnsi="Palatino Linotype"/>
          <w:bCs/>
        </w:rPr>
        <w:t>) or non-regulatory process (as per private agreement/MOU pursuant to commercial dealing/private arrangement) irrespective of transferor continues to exist or ceases to exist after the said transfer".</w:t>
      </w:r>
    </w:p>
    <w:p w:rsidR="00284E34" w:rsidRDefault="00284E34" w:rsidP="00284E34">
      <w:pPr>
        <w:contextualSpacing/>
        <w:jc w:val="both"/>
        <w:rPr>
          <w:rFonts w:ascii="Palatino Linotype" w:eastAsia="Calibri" w:hAnsi="Palatino Linotype"/>
          <w:bCs/>
        </w:rPr>
      </w:pPr>
    </w:p>
    <w:p w:rsidR="00284E34" w:rsidRPr="00831E77" w:rsidRDefault="00284E34" w:rsidP="00284E34">
      <w:pPr>
        <w:contextualSpacing/>
        <w:jc w:val="both"/>
        <w:rPr>
          <w:rFonts w:ascii="Palatino Linotype" w:eastAsia="Calibri" w:hAnsi="Palatino Linotype"/>
          <w:bCs/>
        </w:rPr>
      </w:pPr>
      <w:r w:rsidRPr="00831E77">
        <w:rPr>
          <w:rFonts w:ascii="Palatino Linotype" w:eastAsia="Calibri" w:hAnsi="Palatino Linotype"/>
          <w:bCs/>
        </w:rPr>
        <w:t>In case of change in control pursuant to both regulatory process and non-regulatory process, prior approval and fresh registration will be obtained</w:t>
      </w:r>
      <w:r>
        <w:rPr>
          <w:rFonts w:ascii="Palatino Linotype" w:eastAsia="Calibri" w:hAnsi="Palatino Linotype"/>
          <w:bCs/>
        </w:rPr>
        <w:t>.</w:t>
      </w:r>
    </w:p>
    <w:p w:rsidR="00284E34" w:rsidRPr="00831E77" w:rsidRDefault="00284E34" w:rsidP="00284E34">
      <w:pPr>
        <w:contextualSpacing/>
        <w:jc w:val="both"/>
        <w:rPr>
          <w:rFonts w:ascii="Palatino Linotype" w:eastAsia="Calibri" w:hAnsi="Palatino Linotype"/>
          <w:bCs/>
        </w:rPr>
      </w:pP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596A25">
        <w:rPr>
          <w:rFonts w:ascii="Palatino Linotype" w:eastAsia="Calibri" w:hAnsi="Palatino Linotype"/>
          <w:bCs/>
          <w:i/>
          <w:iCs/>
        </w:rPr>
        <w:t>SEBI/HO/MIRSD/DOR/CIR/P/2021/46</w:t>
      </w:r>
      <w:r w:rsidRPr="001D431F">
        <w:rPr>
          <w:rFonts w:ascii="Palatino Linotype" w:eastAsia="Calibri" w:hAnsi="Palatino Linotype"/>
          <w:bCs/>
          <w:i/>
          <w:iCs/>
        </w:rPr>
        <w:t xml:space="preserve"> Dated March</w:t>
      </w:r>
      <w:r>
        <w:rPr>
          <w:rFonts w:ascii="Palatino Linotype" w:eastAsia="Calibri" w:hAnsi="Palatino Linotype"/>
          <w:bCs/>
          <w:i/>
          <w:iCs/>
        </w:rPr>
        <w:t xml:space="preserve"> 26</w:t>
      </w:r>
      <w:r w:rsidRPr="001D431F">
        <w:rPr>
          <w:rFonts w:ascii="Palatino Linotype" w:eastAsia="Calibri" w:hAnsi="Palatino Linotype"/>
          <w:bCs/>
          <w:i/>
          <w:iCs/>
        </w:rPr>
        <w:t>, 2021</w:t>
      </w:r>
    </w:p>
    <w:p w:rsidR="00284E34" w:rsidRPr="001D431F" w:rsidRDefault="00284E34" w:rsidP="00284E34">
      <w:pPr>
        <w:jc w:val="both"/>
        <w:rPr>
          <w:rFonts w:ascii="Palatino Linotype" w:eastAsia="Calibri" w:hAnsi="Palatino Linotype"/>
          <w:bCs/>
          <w:i/>
          <w:iCs/>
        </w:rPr>
      </w:pPr>
    </w:p>
    <w:p w:rsidR="00284E34" w:rsidRDefault="00284E34" w:rsidP="00284E34">
      <w:pPr>
        <w:contextualSpacing/>
        <w:jc w:val="both"/>
        <w:rPr>
          <w:rFonts w:ascii="Palatino Linotype" w:eastAsia="Calibri" w:hAnsi="Palatino Linotype"/>
          <w:b/>
          <w:bCs/>
        </w:rPr>
      </w:pPr>
      <w:r>
        <w:rPr>
          <w:rFonts w:ascii="Palatino Linotype" w:eastAsia="Calibri" w:hAnsi="Palatino Linotype"/>
          <w:b/>
          <w:bCs/>
        </w:rPr>
        <w:t xml:space="preserve">14. </w:t>
      </w:r>
      <w:r w:rsidRPr="001D1409">
        <w:rPr>
          <w:rFonts w:ascii="Palatino Linotype" w:eastAsia="Calibri" w:hAnsi="Palatino Linotype"/>
          <w:b/>
          <w:bCs/>
        </w:rPr>
        <w:t xml:space="preserve">Circular on Guidelines pertaining to </w:t>
      </w:r>
      <w:r>
        <w:rPr>
          <w:rFonts w:ascii="Palatino Linotype" w:eastAsia="Calibri" w:hAnsi="Palatino Linotype"/>
          <w:b/>
          <w:bCs/>
        </w:rPr>
        <w:t>s</w:t>
      </w:r>
      <w:r w:rsidRPr="001D1409">
        <w:rPr>
          <w:rFonts w:ascii="Palatino Linotype" w:eastAsia="Calibri" w:hAnsi="Palatino Linotype"/>
          <w:b/>
          <w:bCs/>
        </w:rPr>
        <w:t>urrender of FPI Registration</w:t>
      </w:r>
    </w:p>
    <w:p w:rsidR="00284E34" w:rsidRPr="001D431F" w:rsidRDefault="00284E34" w:rsidP="00284E34">
      <w:pPr>
        <w:contextualSpacing/>
        <w:jc w:val="both"/>
        <w:rPr>
          <w:rFonts w:ascii="Palatino Linotype" w:eastAsia="Calibri" w:hAnsi="Palatino Linotype"/>
          <w:b/>
        </w:rPr>
      </w:pPr>
    </w:p>
    <w:p w:rsidR="00284E34" w:rsidRPr="001D431F" w:rsidRDefault="00284E34" w:rsidP="00512839">
      <w:pPr>
        <w:contextualSpacing/>
        <w:jc w:val="both"/>
        <w:rPr>
          <w:rFonts w:ascii="Palatino Linotype" w:eastAsia="Calibri" w:hAnsi="Palatino Linotype"/>
          <w:bCs/>
        </w:rPr>
      </w:pPr>
      <w:r w:rsidRPr="00FA000D">
        <w:rPr>
          <w:rFonts w:ascii="Arial" w:eastAsia="Times New Roman" w:hAnsi="Arial" w:cs="Arial"/>
          <w:sz w:val="23"/>
          <w:szCs w:val="23"/>
          <w:lang w:val="en-IN" w:eastAsia="en-IN"/>
        </w:rPr>
        <w:br/>
      </w:r>
      <w:r w:rsidRPr="00512839">
        <w:rPr>
          <w:rFonts w:ascii="Palatino Linotype" w:eastAsia="Calibri" w:hAnsi="Palatino Linotype"/>
          <w:bCs/>
        </w:rPr>
        <w:t xml:space="preserve">In  order  to have  a  uniform  market  practice for  processing  of surrender requests DDPs </w:t>
      </w:r>
      <w:r>
        <w:rPr>
          <w:rFonts w:ascii="Palatino Linotype" w:eastAsia="Calibri" w:hAnsi="Palatino Linotype"/>
          <w:bCs/>
        </w:rPr>
        <w:t xml:space="preserve">additional guidelines were issued to Designated Depository Participants  pertaining to surrender of foreign portfolio investors  registration.  </w:t>
      </w:r>
    </w:p>
    <w:p w:rsidR="00284E34" w:rsidRDefault="00284E34" w:rsidP="00284E34">
      <w:pPr>
        <w:jc w:val="both"/>
        <w:rPr>
          <w:rFonts w:ascii="Palatino Linotype" w:eastAsia="Calibri" w:hAnsi="Palatino Linotype"/>
          <w:bCs/>
          <w:i/>
          <w:iCs/>
        </w:rPr>
      </w:pP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1D1409">
        <w:rPr>
          <w:rFonts w:ascii="Palatino Linotype" w:eastAsia="Calibri" w:hAnsi="Palatino Linotype"/>
          <w:bCs/>
          <w:i/>
          <w:iCs/>
        </w:rPr>
        <w:t>SEBI/HO/IMD/FPI&amp;C/CIR/P/2021/045</w:t>
      </w:r>
      <w:r>
        <w:rPr>
          <w:rFonts w:ascii="Palatino Linotype" w:eastAsia="Calibri" w:hAnsi="Palatino Linotype"/>
          <w:bCs/>
          <w:i/>
          <w:iCs/>
        </w:rPr>
        <w:t xml:space="preserve"> </w:t>
      </w:r>
      <w:r w:rsidRPr="001D431F">
        <w:rPr>
          <w:rFonts w:ascii="Palatino Linotype" w:eastAsia="Calibri" w:hAnsi="Palatino Linotype"/>
          <w:bCs/>
          <w:i/>
          <w:iCs/>
        </w:rPr>
        <w:t>Dated March</w:t>
      </w:r>
      <w:r>
        <w:rPr>
          <w:rFonts w:ascii="Palatino Linotype" w:eastAsia="Calibri" w:hAnsi="Palatino Linotype"/>
          <w:bCs/>
          <w:i/>
          <w:iCs/>
        </w:rPr>
        <w:t xml:space="preserve"> 30</w:t>
      </w:r>
      <w:r w:rsidRPr="001D431F">
        <w:rPr>
          <w:rFonts w:ascii="Palatino Linotype" w:eastAsia="Calibri" w:hAnsi="Palatino Linotype"/>
          <w:bCs/>
          <w:i/>
          <w:iCs/>
        </w:rPr>
        <w:t>, 2021</w:t>
      </w:r>
    </w:p>
    <w:p w:rsidR="00284E34" w:rsidRDefault="00284E34" w:rsidP="00284E34">
      <w:pPr>
        <w:jc w:val="both"/>
        <w:rPr>
          <w:rFonts w:ascii="Palatino Linotype" w:eastAsia="Calibri" w:hAnsi="Palatino Linotype"/>
          <w:bCs/>
          <w:i/>
          <w:iCs/>
        </w:rPr>
      </w:pPr>
    </w:p>
    <w:p w:rsidR="00284E34" w:rsidRDefault="00284E34" w:rsidP="00284E34">
      <w:pPr>
        <w:contextualSpacing/>
        <w:jc w:val="both"/>
        <w:rPr>
          <w:rFonts w:ascii="Palatino Linotype" w:eastAsia="Calibri" w:hAnsi="Palatino Linotype"/>
          <w:b/>
          <w:bCs/>
        </w:rPr>
      </w:pPr>
      <w:r>
        <w:rPr>
          <w:rFonts w:ascii="Palatino Linotype" w:eastAsia="Calibri" w:hAnsi="Palatino Linotype"/>
          <w:b/>
          <w:bCs/>
        </w:rPr>
        <w:t xml:space="preserve">15. </w:t>
      </w:r>
      <w:r w:rsidRPr="001D1409">
        <w:rPr>
          <w:rFonts w:ascii="Palatino Linotype" w:eastAsia="Calibri" w:hAnsi="Palatino Linotype"/>
          <w:b/>
          <w:bCs/>
        </w:rPr>
        <w:t xml:space="preserve">Reduction in </w:t>
      </w:r>
      <w:r>
        <w:rPr>
          <w:rFonts w:ascii="Palatino Linotype" w:eastAsia="Calibri" w:hAnsi="Palatino Linotype"/>
          <w:b/>
          <w:bCs/>
        </w:rPr>
        <w:t>U</w:t>
      </w:r>
      <w:r w:rsidRPr="001D1409">
        <w:rPr>
          <w:rFonts w:ascii="Palatino Linotype" w:eastAsia="Calibri" w:hAnsi="Palatino Linotype"/>
          <w:b/>
          <w:bCs/>
        </w:rPr>
        <w:t>nblocking/</w:t>
      </w:r>
      <w:r>
        <w:rPr>
          <w:rFonts w:ascii="Palatino Linotype" w:eastAsia="Calibri" w:hAnsi="Palatino Linotype"/>
          <w:b/>
          <w:bCs/>
        </w:rPr>
        <w:t>R</w:t>
      </w:r>
      <w:r w:rsidRPr="001D1409">
        <w:rPr>
          <w:rFonts w:ascii="Palatino Linotype" w:eastAsia="Calibri" w:hAnsi="Palatino Linotype"/>
          <w:b/>
          <w:bCs/>
        </w:rPr>
        <w:t xml:space="preserve">efund of </w:t>
      </w:r>
      <w:r>
        <w:rPr>
          <w:rFonts w:ascii="Palatino Linotype" w:eastAsia="Calibri" w:hAnsi="Palatino Linotype"/>
          <w:b/>
          <w:bCs/>
        </w:rPr>
        <w:t>A</w:t>
      </w:r>
      <w:r w:rsidRPr="001D1409">
        <w:rPr>
          <w:rFonts w:ascii="Palatino Linotype" w:eastAsia="Calibri" w:hAnsi="Palatino Linotype"/>
          <w:b/>
          <w:bCs/>
        </w:rPr>
        <w:t xml:space="preserve">pplication </w:t>
      </w:r>
      <w:r>
        <w:rPr>
          <w:rFonts w:ascii="Palatino Linotype" w:eastAsia="Calibri" w:hAnsi="Palatino Linotype"/>
          <w:b/>
          <w:bCs/>
        </w:rPr>
        <w:t>M</w:t>
      </w:r>
      <w:r w:rsidRPr="001D1409">
        <w:rPr>
          <w:rFonts w:ascii="Palatino Linotype" w:eastAsia="Calibri" w:hAnsi="Palatino Linotype"/>
          <w:b/>
          <w:bCs/>
        </w:rPr>
        <w:t>oney</w:t>
      </w:r>
    </w:p>
    <w:p w:rsidR="00284E34" w:rsidRPr="001D431F" w:rsidRDefault="00284E34" w:rsidP="00284E34">
      <w:pPr>
        <w:contextualSpacing/>
        <w:jc w:val="both"/>
        <w:rPr>
          <w:rFonts w:ascii="Palatino Linotype" w:eastAsia="Calibri" w:hAnsi="Palatino Linotype"/>
          <w:b/>
        </w:rPr>
      </w:pPr>
    </w:p>
    <w:p w:rsidR="00284E34" w:rsidRDefault="00284E34" w:rsidP="00284E34">
      <w:pPr>
        <w:contextualSpacing/>
        <w:jc w:val="both"/>
        <w:rPr>
          <w:rFonts w:ascii="Palatino Linotype" w:eastAsia="Calibri" w:hAnsi="Palatino Linotype"/>
          <w:bCs/>
        </w:rPr>
      </w:pPr>
      <w:r>
        <w:rPr>
          <w:rFonts w:ascii="Palatino Linotype" w:eastAsia="Calibri" w:hAnsi="Palatino Linotype"/>
          <w:bCs/>
        </w:rPr>
        <w:t xml:space="preserve">The timelines for refund of investors’ money has been reduced to four days in case of non-receipt of minimum subscription and the issuer failing to obtain listing or trading permission from the stock exchanges.  </w:t>
      </w:r>
    </w:p>
    <w:p w:rsidR="00284E34" w:rsidRDefault="00284E34" w:rsidP="00284E34">
      <w:pPr>
        <w:contextualSpacing/>
        <w:jc w:val="both"/>
        <w:rPr>
          <w:rFonts w:ascii="Palatino Linotype" w:eastAsia="Calibri" w:hAnsi="Palatino Linotype"/>
          <w:bCs/>
        </w:rPr>
      </w:pPr>
    </w:p>
    <w:p w:rsidR="00284E34" w:rsidRDefault="00284E34" w:rsidP="00284E34">
      <w:pPr>
        <w:jc w:val="both"/>
        <w:rPr>
          <w:rFonts w:ascii="Palatino Linotype" w:eastAsia="Calibri" w:hAnsi="Palatino Linotype"/>
          <w:bCs/>
          <w:i/>
          <w:iCs/>
        </w:rPr>
      </w:pPr>
      <w:r w:rsidRPr="001D431F">
        <w:rPr>
          <w:rFonts w:ascii="Palatino Linotype" w:eastAsia="Calibri" w:hAnsi="Palatino Linotype"/>
          <w:bCs/>
          <w:i/>
          <w:iCs/>
        </w:rPr>
        <w:t xml:space="preserve">Source - </w:t>
      </w:r>
      <w:r w:rsidRPr="001D1409">
        <w:rPr>
          <w:rFonts w:ascii="Palatino Linotype" w:eastAsia="Calibri" w:hAnsi="Palatino Linotype"/>
          <w:bCs/>
          <w:i/>
          <w:iCs/>
        </w:rPr>
        <w:t>SEBI/HO/CFD/DIL1/CIR/P/2021/47</w:t>
      </w:r>
      <w:r w:rsidRPr="001D431F">
        <w:rPr>
          <w:rFonts w:ascii="Palatino Linotype" w:eastAsia="Calibri" w:hAnsi="Palatino Linotype"/>
          <w:bCs/>
          <w:i/>
          <w:iCs/>
        </w:rPr>
        <w:t xml:space="preserve"> Dated March</w:t>
      </w:r>
      <w:r>
        <w:rPr>
          <w:rFonts w:ascii="Palatino Linotype" w:eastAsia="Calibri" w:hAnsi="Palatino Linotype"/>
          <w:bCs/>
          <w:i/>
          <w:iCs/>
        </w:rPr>
        <w:t xml:space="preserve"> 31</w:t>
      </w:r>
      <w:r w:rsidRPr="001D431F">
        <w:rPr>
          <w:rFonts w:ascii="Palatino Linotype" w:eastAsia="Calibri" w:hAnsi="Palatino Linotype"/>
          <w:bCs/>
          <w:i/>
          <w:iCs/>
        </w:rPr>
        <w:t>, 2021</w:t>
      </w:r>
    </w:p>
    <w:p w:rsidR="00284E34" w:rsidRDefault="00284E34" w:rsidP="00284E34">
      <w:pPr>
        <w:jc w:val="both"/>
        <w:rPr>
          <w:rFonts w:ascii="Palatino Linotype" w:eastAsia="Calibri" w:hAnsi="Palatino Linotype"/>
          <w:bCs/>
          <w:i/>
          <w:iCs/>
        </w:rPr>
      </w:pPr>
    </w:p>
    <w:p w:rsidR="00284E34" w:rsidRPr="00D20404" w:rsidRDefault="00284E34" w:rsidP="00284E34">
      <w:pPr>
        <w:jc w:val="both"/>
        <w:rPr>
          <w:rFonts w:ascii="Palatino Linotype" w:hAnsi="Palatino Linotype" w:cs="Arial"/>
          <w:b/>
          <w:bCs/>
          <w:color w:val="000000"/>
        </w:rPr>
      </w:pPr>
    </w:p>
    <w:p w:rsidR="00284E34" w:rsidRDefault="00284E34" w:rsidP="00284E34">
      <w:pPr>
        <w:spacing w:after="120"/>
        <w:rPr>
          <w:rFonts w:ascii="Garamond" w:hAnsi="Garamond" w:cs="Arial"/>
          <w:i/>
          <w:szCs w:val="32"/>
        </w:rPr>
      </w:pPr>
      <w:r w:rsidRPr="008570C3">
        <w:rPr>
          <w:rFonts w:ascii="Garamond" w:hAnsi="Garamond" w:cs="Arial"/>
          <w:i/>
          <w:szCs w:val="32"/>
        </w:rPr>
        <w:t>Disclaimer: The summary has been prepared for the convenience of readers. In case of any ambiguity, please refer to the original circular.</w:t>
      </w:r>
    </w:p>
    <w:p w:rsidR="00092887" w:rsidRDefault="00092887">
      <w:pPr>
        <w:rPr>
          <w:rFonts w:ascii="Palatino Linotype" w:hAnsi="Palatino Linotype"/>
          <w:b/>
          <w:bCs/>
        </w:rPr>
      </w:pPr>
      <w:r>
        <w:rPr>
          <w:rFonts w:ascii="Palatino Linotype" w:hAnsi="Palatino Linotype"/>
          <w:b/>
          <w:bCs/>
        </w:rPr>
        <w:br w:type="page"/>
      </w:r>
    </w:p>
    <w:p w:rsidR="00A07B14" w:rsidRDefault="00A07B14" w:rsidP="00A07B14">
      <w:pPr>
        <w:spacing w:after="120"/>
        <w:rPr>
          <w:rFonts w:ascii="Palatino Linotype" w:hAnsi="Palatino Linotype"/>
          <w:b/>
          <w:bCs/>
        </w:rPr>
      </w:pPr>
    </w:p>
    <w:p w:rsidR="00272724" w:rsidRPr="004752BB" w:rsidRDefault="00272724" w:rsidP="00272724">
      <w:pPr>
        <w:tabs>
          <w:tab w:val="left" w:pos="8160"/>
        </w:tabs>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272724" w:rsidRDefault="00272724" w:rsidP="00272724">
      <w:pPr>
        <w:rPr>
          <w:rFonts w:ascii="Palatino Linotype" w:hAnsi="Palatino Linotype"/>
          <w:b/>
          <w:sz w:val="40"/>
          <w:szCs w:val="40"/>
        </w:rPr>
      </w:pPr>
    </w:p>
    <w:p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rsidR="00A07B14" w:rsidRDefault="00A07B14" w:rsidP="00272724">
      <w:pPr>
        <w:rPr>
          <w:rFonts w:ascii="Palatino Linotype" w:hAnsi="Palatino Linotype"/>
          <w:b/>
        </w:rPr>
      </w:pPr>
    </w:p>
    <w:tbl>
      <w:tblPr>
        <w:tblW w:w="11482" w:type="dxa"/>
        <w:tblInd w:w="-714" w:type="dxa"/>
        <w:tblLayout w:type="fixed"/>
        <w:tblLook w:val="04A0" w:firstRow="1" w:lastRow="0" w:firstColumn="1" w:lastColumn="0" w:noHBand="0" w:noVBand="1"/>
      </w:tblPr>
      <w:tblGrid>
        <w:gridCol w:w="567"/>
        <w:gridCol w:w="1418"/>
        <w:gridCol w:w="2126"/>
        <w:gridCol w:w="1418"/>
        <w:gridCol w:w="2126"/>
        <w:gridCol w:w="2268"/>
        <w:gridCol w:w="1559"/>
      </w:tblGrid>
      <w:tr w:rsidR="000E7AC9" w:rsidRPr="00B83873" w:rsidTr="00581BF7">
        <w:trPr>
          <w:trHeight w:val="300"/>
        </w:trPr>
        <w:tc>
          <w:tcPr>
            <w:tcW w:w="567" w:type="dxa"/>
            <w:tcBorders>
              <w:top w:val="single" w:sz="4" w:space="0" w:color="auto"/>
              <w:left w:val="single" w:sz="4" w:space="0" w:color="auto"/>
              <w:bottom w:val="single" w:sz="4" w:space="0" w:color="auto"/>
              <w:right w:val="single" w:sz="4" w:space="0" w:color="auto"/>
            </w:tcBorders>
          </w:tcPr>
          <w:p w:rsidR="000E7AC9"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Sl.</w:t>
            </w:r>
          </w:p>
          <w:p w:rsidR="000E7AC9" w:rsidRPr="00B83873"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No.</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Date</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Case Name</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 xml:space="preserve">Action </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Violation</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PENALTY</w:t>
            </w:r>
            <w:r>
              <w:rPr>
                <w:rFonts w:ascii="Palatino Linotype" w:hAnsi="Palatino Linotype" w:cs="Calibri"/>
                <w:b/>
                <w:bCs/>
                <w:color w:val="000000"/>
                <w:sz w:val="20"/>
                <w:szCs w:val="20"/>
                <w:lang w:val="en-IN" w:eastAsia="en-IN" w:bidi="hi-IN"/>
              </w:rPr>
              <w:t xml:space="preserve"> (</w:t>
            </w:r>
            <w:r w:rsidRPr="00D22F0B">
              <w:rPr>
                <w:rFonts w:ascii="Rupee Foradian" w:hAnsi="Rupee Foradian" w:cs="Calibri"/>
                <w:b/>
                <w:bCs/>
                <w:color w:val="000000"/>
                <w:sz w:val="20"/>
                <w:szCs w:val="20"/>
                <w:lang w:val="en-IN" w:eastAsia="en-IN" w:bidi="hi-IN"/>
              </w:rPr>
              <w:t>`</w:t>
            </w:r>
            <w:r>
              <w:rPr>
                <w:rFonts w:ascii="Palatino Linotype" w:hAnsi="Palatino Linotype" w:cs="Calibri"/>
                <w:b/>
                <w:bCs/>
                <w:color w:val="000000"/>
                <w:sz w:val="20"/>
                <w:szCs w:val="20"/>
                <w:lang w:val="en-IN" w:eastAsia="en-IN" w:bidi="hi-IN"/>
              </w:rPr>
              <w:t>)</w:t>
            </w:r>
          </w:p>
        </w:tc>
      </w:tr>
      <w:tr w:rsidR="00581BF7" w:rsidRPr="00B83873" w:rsidTr="00581BF7">
        <w:trPr>
          <w:trHeight w:val="300"/>
        </w:trPr>
        <w:tc>
          <w:tcPr>
            <w:tcW w:w="567" w:type="dxa"/>
            <w:tcBorders>
              <w:top w:val="single" w:sz="4" w:space="0" w:color="auto"/>
              <w:left w:val="single" w:sz="4" w:space="0" w:color="auto"/>
              <w:bottom w:val="single" w:sz="4" w:space="0" w:color="auto"/>
              <w:right w:val="single" w:sz="4" w:space="0" w:color="auto"/>
            </w:tcBorders>
          </w:tcPr>
          <w:p w:rsidR="00581BF7" w:rsidRPr="00A538EB" w:rsidRDefault="00581BF7" w:rsidP="00581BF7">
            <w:pPr>
              <w:jc w:val="both"/>
              <w:rPr>
                <w:color w:val="000000"/>
                <w:sz w:val="22"/>
                <w:szCs w:val="22"/>
                <w:lang w:val="en-IN" w:eastAsia="en-IN" w:bidi="hi-IN"/>
              </w:rPr>
            </w:pPr>
            <w:r>
              <w:rPr>
                <w:color w:val="000000"/>
                <w:sz w:val="22"/>
                <w:szCs w:val="22"/>
                <w:lang w:val="en-IN" w:eastAsia="en-IN" w:bidi="hi-IN"/>
              </w:rPr>
              <w:t>1</w:t>
            </w:r>
          </w:p>
        </w:tc>
        <w:tc>
          <w:tcPr>
            <w:tcW w:w="1418" w:type="dxa"/>
            <w:tcBorders>
              <w:top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lang w:bidi="hi-IN"/>
              </w:rPr>
            </w:pPr>
            <w:r w:rsidRPr="00D20404">
              <w:rPr>
                <w:rFonts w:eastAsia="Calibri"/>
                <w:lang w:bidi="hi-IN"/>
              </w:rPr>
              <w:t>01/03/2021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Solitaire Machine Tools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Swati Hemendra Badani, Ashok Jivarajbhai Sheth, Harsh Hemendra Badani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81BF7" w:rsidRPr="00D20404" w:rsidRDefault="00581BF7" w:rsidP="00581BF7">
            <w:pPr>
              <w:shd w:val="clear" w:color="auto" w:fill="FFFFFF"/>
              <w:rPr>
                <w:lang w:bidi="hi-IN"/>
              </w:rPr>
            </w:pPr>
            <w:r w:rsidRPr="00D20404">
              <w:rPr>
                <w:lang w:bidi="hi-IN"/>
              </w:rPr>
              <w:t xml:space="preserve">Regulation 13(4A) &amp; 13(5) of Prohibition of Insider Trading Regulation, 2015(PIT Regulations). </w:t>
            </w:r>
          </w:p>
          <w:p w:rsidR="00581BF7" w:rsidRPr="00D20404" w:rsidRDefault="00581BF7" w:rsidP="00581BF7">
            <w:pPr>
              <w:rPr>
                <w:rFonts w:eastAsia="Calibri"/>
                <w:b/>
                <w:bCs/>
                <w:lang w:bidi="hi-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jc w:val="right"/>
              <w:rPr>
                <w:rFonts w:eastAsia="Calibri"/>
                <w:lang w:bidi="hi-IN"/>
              </w:rPr>
            </w:pPr>
            <w:r w:rsidRPr="00D20404">
              <w:rPr>
                <w:rFonts w:eastAsia="Calibri"/>
                <w:lang w:bidi="hi-IN"/>
              </w:rPr>
              <w:t>1,00,000</w:t>
            </w:r>
          </w:p>
        </w:tc>
      </w:tr>
      <w:tr w:rsidR="00581BF7" w:rsidRPr="00B83873" w:rsidTr="00581BF7">
        <w:trPr>
          <w:trHeight w:val="300"/>
        </w:trPr>
        <w:tc>
          <w:tcPr>
            <w:tcW w:w="567" w:type="dxa"/>
            <w:tcBorders>
              <w:top w:val="single" w:sz="4" w:space="0" w:color="auto"/>
              <w:left w:val="single" w:sz="4" w:space="0" w:color="auto"/>
              <w:bottom w:val="single" w:sz="4" w:space="0" w:color="auto"/>
              <w:right w:val="single" w:sz="4" w:space="0" w:color="auto"/>
            </w:tcBorders>
          </w:tcPr>
          <w:p w:rsidR="00581BF7" w:rsidRPr="00A538EB" w:rsidRDefault="00581BF7" w:rsidP="00581BF7">
            <w:pPr>
              <w:jc w:val="both"/>
              <w:rPr>
                <w:color w:val="000000"/>
                <w:sz w:val="22"/>
                <w:szCs w:val="22"/>
                <w:lang w:val="en-IN" w:eastAsia="en-IN" w:bidi="hi-IN"/>
              </w:rPr>
            </w:pPr>
            <w:r>
              <w:rPr>
                <w:color w:val="000000"/>
                <w:sz w:val="22"/>
                <w:szCs w:val="22"/>
                <w:lang w:val="en-IN" w:eastAsia="en-IN" w:bidi="hi-IN"/>
              </w:rPr>
              <w:t>2</w:t>
            </w:r>
          </w:p>
        </w:tc>
        <w:tc>
          <w:tcPr>
            <w:tcW w:w="1418" w:type="dxa"/>
            <w:tcBorders>
              <w:top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lang w:bidi="hi-IN"/>
              </w:rPr>
            </w:pPr>
            <w:r w:rsidRPr="00D20404">
              <w:rPr>
                <w:rFonts w:eastAsia="Calibri"/>
                <w:lang w:bidi="hi-IN"/>
              </w:rPr>
              <w:t>03/03/2021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KGN Enterprises Ltd., Gemstone Investment Ltd &amp; Polytex India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lang w:bidi="hi-IN"/>
              </w:rPr>
              <w:t xml:space="preserve">Jigar Ghorai, </w:t>
            </w:r>
            <w:r w:rsidRPr="00D20404">
              <w:rPr>
                <w:rFonts w:eastAsia="Calibri"/>
                <w:shd w:val="clear" w:color="auto" w:fill="FFFFFF"/>
                <w:lang w:bidi="hi-IN"/>
              </w:rPr>
              <w:t xml:space="preserve">and eight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81BF7" w:rsidRPr="00D20404" w:rsidRDefault="00581BF7" w:rsidP="00581BF7">
            <w:pPr>
              <w:shd w:val="clear" w:color="auto" w:fill="FFFFFF"/>
              <w:rPr>
                <w:lang w:bidi="hi-IN"/>
              </w:rPr>
            </w:pPr>
            <w:r w:rsidRPr="00D20404">
              <w:rPr>
                <w:lang w:bidi="hi-IN"/>
              </w:rPr>
              <w:t>Regulations 3(a), (b), (c) and (d) and 4(1), 4(2)(a),</w:t>
            </w:r>
          </w:p>
          <w:p w:rsidR="00581BF7" w:rsidRPr="00D20404" w:rsidRDefault="00581BF7" w:rsidP="00581BF7">
            <w:pPr>
              <w:shd w:val="clear" w:color="auto" w:fill="FFFFFF"/>
              <w:rPr>
                <w:lang w:bidi="hi-IN"/>
              </w:rPr>
            </w:pPr>
            <w:r w:rsidRPr="00D20404">
              <w:rPr>
                <w:lang w:bidi="hi-IN"/>
              </w:rPr>
              <w:t>4(2)(e) and 4(2)(g) of  SEBI (</w:t>
            </w:r>
            <w:r w:rsidRPr="00D20404">
              <w:rPr>
                <w:rFonts w:eastAsia="Calibri"/>
                <w:color w:val="202124"/>
                <w:shd w:val="clear" w:color="auto" w:fill="FFFFFF"/>
                <w:lang w:bidi="hi-IN"/>
              </w:rPr>
              <w:t>Prohibition of Fraudulent and Unfair Trade Practices)</w:t>
            </w:r>
            <w:r w:rsidRPr="00D20404">
              <w:rPr>
                <w:lang w:bidi="hi-IN"/>
              </w:rPr>
              <w:t xml:space="preserve"> Regulations, 2003 (PFUTP Regulations)</w:t>
            </w:r>
          </w:p>
          <w:p w:rsidR="00581BF7" w:rsidRPr="00D20404" w:rsidRDefault="00581BF7" w:rsidP="00581BF7">
            <w:pPr>
              <w:rPr>
                <w:rFonts w:eastAsia="Calibri"/>
                <w:b/>
                <w:bCs/>
                <w:lang w:bidi="hi-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jc w:val="right"/>
              <w:rPr>
                <w:rFonts w:eastAsia="Calibri"/>
                <w:lang w:bidi="hi-IN"/>
              </w:rPr>
            </w:pPr>
            <w:r w:rsidRPr="00D20404">
              <w:rPr>
                <w:rFonts w:eastAsia="Calibri"/>
                <w:lang w:bidi="hi-IN"/>
              </w:rPr>
              <w:t>18,00,000</w:t>
            </w:r>
          </w:p>
        </w:tc>
      </w:tr>
      <w:tr w:rsidR="00581BF7" w:rsidRPr="00B83873" w:rsidTr="00581BF7">
        <w:trPr>
          <w:trHeight w:val="300"/>
        </w:trPr>
        <w:tc>
          <w:tcPr>
            <w:tcW w:w="567" w:type="dxa"/>
            <w:tcBorders>
              <w:top w:val="single" w:sz="4" w:space="0" w:color="auto"/>
              <w:left w:val="single" w:sz="4" w:space="0" w:color="auto"/>
              <w:bottom w:val="single" w:sz="4" w:space="0" w:color="auto"/>
              <w:right w:val="single" w:sz="4" w:space="0" w:color="auto"/>
            </w:tcBorders>
          </w:tcPr>
          <w:p w:rsidR="00581BF7" w:rsidRPr="00A538EB" w:rsidRDefault="00581BF7" w:rsidP="00581BF7">
            <w:pPr>
              <w:jc w:val="both"/>
              <w:rPr>
                <w:color w:val="000000"/>
                <w:sz w:val="22"/>
                <w:szCs w:val="22"/>
                <w:lang w:val="en-IN" w:eastAsia="en-IN" w:bidi="hi-IN"/>
              </w:rPr>
            </w:pPr>
            <w:r>
              <w:rPr>
                <w:color w:val="000000"/>
                <w:sz w:val="22"/>
                <w:szCs w:val="22"/>
                <w:lang w:val="en-IN" w:eastAsia="en-IN" w:bidi="hi-IN"/>
              </w:rPr>
              <w:t>3</w:t>
            </w:r>
          </w:p>
        </w:tc>
        <w:tc>
          <w:tcPr>
            <w:tcW w:w="1418" w:type="dxa"/>
            <w:tcBorders>
              <w:top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lang w:bidi="hi-IN"/>
              </w:rPr>
            </w:pPr>
            <w:r w:rsidRPr="00D20404">
              <w:rPr>
                <w:rFonts w:eastAsia="Calibri"/>
                <w:lang w:bidi="hi-IN"/>
              </w:rPr>
              <w:t>04/03/2021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 xml:space="preserve">Adil Shamshi </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shd w:val="clear" w:color="auto" w:fill="FFFFFF"/>
              <w:rPr>
                <w:lang w:bidi="hi-IN"/>
              </w:rPr>
            </w:pPr>
            <w:r w:rsidRPr="00D20404">
              <w:rPr>
                <w:lang w:bidi="hi-IN"/>
              </w:rPr>
              <w:t xml:space="preserve">Adil Shamsi, </w:t>
            </w:r>
            <w:r w:rsidRPr="00D20404">
              <w:rPr>
                <w:rFonts w:eastAsia="Calibri"/>
                <w:shd w:val="clear" w:color="auto" w:fill="FFFFFF"/>
                <w:lang w:bidi="hi-IN"/>
              </w:rPr>
              <w:t>Unregistered Investment Adviser</w:t>
            </w:r>
          </w:p>
          <w:p w:rsidR="00581BF7" w:rsidRPr="00D20404" w:rsidRDefault="00581BF7" w:rsidP="00581BF7">
            <w:pPr>
              <w:jc w:val="center"/>
              <w:rPr>
                <w:rFonts w:eastAsia="Calibri"/>
                <w:b/>
                <w:bCs/>
                <w:lang w:bidi="hi-I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81BF7" w:rsidRPr="00D20404" w:rsidRDefault="00581BF7" w:rsidP="00581BF7">
            <w:pPr>
              <w:shd w:val="clear" w:color="auto" w:fill="FFFFFF"/>
              <w:rPr>
                <w:lang w:bidi="hi-IN"/>
              </w:rPr>
            </w:pPr>
            <w:r w:rsidRPr="00D20404">
              <w:rPr>
                <w:lang w:bidi="hi-IN"/>
              </w:rPr>
              <w:t xml:space="preserve">Section 12(1) of SEBI Act, 1992 and 3(1) of SEBI (Investment Advisers) </w:t>
            </w:r>
          </w:p>
          <w:p w:rsidR="00581BF7" w:rsidRPr="00D20404" w:rsidRDefault="00581BF7" w:rsidP="00581BF7">
            <w:pPr>
              <w:shd w:val="clear" w:color="auto" w:fill="FFFFFF"/>
              <w:rPr>
                <w:lang w:bidi="hi-IN"/>
              </w:rPr>
            </w:pPr>
            <w:r w:rsidRPr="00D20404">
              <w:rPr>
                <w:lang w:bidi="hi-IN"/>
              </w:rPr>
              <w:t>Regulations,2013</w:t>
            </w:r>
          </w:p>
          <w:p w:rsidR="00581BF7" w:rsidRPr="00D20404" w:rsidRDefault="00581BF7" w:rsidP="00581BF7">
            <w:pPr>
              <w:rPr>
                <w:rFonts w:eastAsia="Calibri"/>
                <w:b/>
                <w:bCs/>
                <w:lang w:bidi="hi-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jc w:val="right"/>
              <w:rPr>
                <w:rFonts w:eastAsia="Calibri"/>
                <w:lang w:bidi="hi-IN"/>
              </w:rPr>
            </w:pPr>
            <w:r w:rsidRPr="00D20404">
              <w:rPr>
                <w:rFonts w:eastAsia="Calibri"/>
                <w:lang w:bidi="hi-IN"/>
              </w:rPr>
              <w:t>1,00,000</w:t>
            </w:r>
          </w:p>
        </w:tc>
      </w:tr>
      <w:tr w:rsidR="00581BF7" w:rsidRPr="00B83873" w:rsidTr="00581BF7">
        <w:trPr>
          <w:trHeight w:val="300"/>
        </w:trPr>
        <w:tc>
          <w:tcPr>
            <w:tcW w:w="567" w:type="dxa"/>
            <w:tcBorders>
              <w:top w:val="single" w:sz="4" w:space="0" w:color="auto"/>
              <w:left w:val="single" w:sz="4" w:space="0" w:color="auto"/>
              <w:bottom w:val="single" w:sz="4" w:space="0" w:color="auto"/>
              <w:right w:val="single" w:sz="4" w:space="0" w:color="auto"/>
            </w:tcBorders>
          </w:tcPr>
          <w:p w:rsidR="00581BF7" w:rsidRPr="00A538EB" w:rsidRDefault="00581BF7" w:rsidP="00581BF7">
            <w:pPr>
              <w:jc w:val="both"/>
              <w:rPr>
                <w:color w:val="000000"/>
                <w:sz w:val="22"/>
                <w:szCs w:val="22"/>
                <w:lang w:val="en-IN" w:eastAsia="en-IN" w:bidi="hi-IN"/>
              </w:rPr>
            </w:pPr>
            <w:r>
              <w:rPr>
                <w:color w:val="000000"/>
                <w:sz w:val="22"/>
                <w:szCs w:val="22"/>
                <w:lang w:val="en-IN" w:eastAsia="en-IN" w:bidi="hi-IN"/>
              </w:rPr>
              <w:t>4</w:t>
            </w:r>
          </w:p>
        </w:tc>
        <w:tc>
          <w:tcPr>
            <w:tcW w:w="1418" w:type="dxa"/>
            <w:tcBorders>
              <w:top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lang w:bidi="hi-IN"/>
              </w:rPr>
            </w:pPr>
            <w:r w:rsidRPr="00D20404">
              <w:rPr>
                <w:rFonts w:eastAsia="Calibri"/>
                <w:lang w:bidi="hi-IN"/>
              </w:rPr>
              <w:t>05/03/2021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Wagend Infra Venture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Manojbhai Modi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81BF7" w:rsidRPr="00D20404" w:rsidRDefault="00581BF7" w:rsidP="00581BF7">
            <w:pPr>
              <w:rPr>
                <w:rFonts w:eastAsia="Calibri"/>
                <w:b/>
                <w:bCs/>
                <w:lang w:bidi="hi-IN"/>
              </w:rPr>
            </w:pPr>
            <w:r w:rsidRPr="00D20404">
              <w:rPr>
                <w:lang w:bidi="hi-IN"/>
              </w:rPr>
              <w:t>Regulation 13(4A) &amp; 13(5) of SEBI PIT Regulation, 2015 and clause 4.2 of the Model Code of Conduct for prevention of Insider Trading for listed Companies under Regulation 12 of PIT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jc w:val="right"/>
              <w:rPr>
                <w:rFonts w:eastAsia="Calibri"/>
                <w:lang w:bidi="hi-IN"/>
              </w:rPr>
            </w:pPr>
            <w:r w:rsidRPr="00D20404">
              <w:rPr>
                <w:rFonts w:eastAsia="Calibri"/>
                <w:lang w:bidi="hi-IN"/>
              </w:rPr>
              <w:t>3,00,000</w:t>
            </w:r>
          </w:p>
        </w:tc>
      </w:tr>
      <w:tr w:rsidR="00581BF7"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581BF7" w:rsidRPr="00A538EB" w:rsidRDefault="00581BF7" w:rsidP="00581BF7">
            <w:pPr>
              <w:jc w:val="both"/>
              <w:rPr>
                <w:color w:val="000000"/>
                <w:sz w:val="22"/>
                <w:szCs w:val="22"/>
                <w:lang w:val="en-IN" w:eastAsia="en-IN" w:bidi="hi-IN"/>
              </w:rPr>
            </w:pPr>
            <w:r>
              <w:rPr>
                <w:color w:val="000000"/>
                <w:sz w:val="22"/>
                <w:szCs w:val="22"/>
                <w:lang w:val="en-IN" w:eastAsia="en-IN" w:bidi="hi-IN"/>
              </w:rPr>
              <w:t>5</w:t>
            </w:r>
          </w:p>
        </w:tc>
        <w:tc>
          <w:tcPr>
            <w:tcW w:w="1418" w:type="dxa"/>
            <w:tcBorders>
              <w:top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lang w:bidi="hi-IN"/>
              </w:rPr>
            </w:pPr>
            <w:r w:rsidRPr="00D20404">
              <w:rPr>
                <w:rFonts w:eastAsia="Calibri"/>
                <w:lang w:bidi="hi-IN"/>
              </w:rPr>
              <w:t>05/03/2021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Tradebulls Securities Pvt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rPr>
                <w:rFonts w:eastAsia="Calibri"/>
                <w:b/>
                <w:bCs/>
                <w:lang w:bidi="hi-IN"/>
              </w:rPr>
            </w:pPr>
            <w:r w:rsidRPr="00D20404">
              <w:rPr>
                <w:rFonts w:eastAsia="Calibri"/>
                <w:shd w:val="clear" w:color="auto" w:fill="FFFFFF"/>
                <w:lang w:bidi="hi-IN"/>
              </w:rPr>
              <w:t>Tradebulls Securities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shd w:val="clear" w:color="auto" w:fill="FFFFFF"/>
              <w:rPr>
                <w:lang w:bidi="hi-IN"/>
              </w:rPr>
            </w:pPr>
            <w:r w:rsidRPr="00D20404">
              <w:rPr>
                <w:lang w:bidi="hi-IN"/>
              </w:rPr>
              <w:t xml:space="preserve">Circular no. </w:t>
            </w:r>
          </w:p>
          <w:p w:rsidR="00581BF7" w:rsidRPr="00D20404" w:rsidRDefault="00581BF7" w:rsidP="00581BF7">
            <w:pPr>
              <w:shd w:val="clear" w:color="auto" w:fill="FFFFFF"/>
              <w:rPr>
                <w:lang w:bidi="hi-IN"/>
              </w:rPr>
            </w:pPr>
            <w:r w:rsidRPr="00D20404">
              <w:rPr>
                <w:lang w:bidi="hi-IN"/>
              </w:rPr>
              <w:t xml:space="preserve">CIR/MIRSD/16/2011 </w:t>
            </w: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r w:rsidRPr="00D20404">
              <w:rPr>
                <w:lang w:bidi="hi-IN"/>
              </w:rPr>
              <w:t>Clause 2 of SEBI Circular no. MIRSD/</w:t>
            </w:r>
          </w:p>
          <w:p w:rsidR="00581BF7" w:rsidRPr="00D20404" w:rsidRDefault="00581BF7" w:rsidP="00581BF7">
            <w:pPr>
              <w:shd w:val="clear" w:color="auto" w:fill="FFFFFF"/>
              <w:rPr>
                <w:lang w:bidi="hi-IN"/>
              </w:rPr>
            </w:pPr>
            <w:r w:rsidRPr="00D20404">
              <w:rPr>
                <w:lang w:bidi="hi-IN"/>
              </w:rPr>
              <w:t xml:space="preserve">26/2011 dated </w:t>
            </w:r>
          </w:p>
          <w:p w:rsidR="00581BF7" w:rsidRPr="00D20404" w:rsidRDefault="00581BF7" w:rsidP="00581BF7">
            <w:pPr>
              <w:shd w:val="clear" w:color="auto" w:fill="FFFFFF"/>
              <w:rPr>
                <w:lang w:bidi="hi-IN"/>
              </w:rPr>
            </w:pPr>
            <w:r w:rsidRPr="00D20404">
              <w:rPr>
                <w:lang w:bidi="hi-IN"/>
              </w:rPr>
              <w:t xml:space="preserve">December 23, 2011 read with SEBI Circular no. MIRSD/ 23/2011 dated </w:t>
            </w:r>
          </w:p>
          <w:p w:rsidR="00581BF7" w:rsidRPr="00D20404" w:rsidRDefault="00581BF7" w:rsidP="00581BF7">
            <w:pPr>
              <w:shd w:val="clear" w:color="auto" w:fill="FFFFFF"/>
              <w:rPr>
                <w:lang w:bidi="hi-IN"/>
              </w:rPr>
            </w:pPr>
            <w:r w:rsidRPr="00D20404">
              <w:rPr>
                <w:lang w:bidi="hi-IN"/>
              </w:rPr>
              <w:t>December 2, 2011and SEBI Circular no. MIRSD/ 5/2012 dated April 13, 2012</w:t>
            </w: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r w:rsidRPr="00D20404">
              <w:rPr>
                <w:lang w:bidi="hi-IN"/>
              </w:rPr>
              <w:t>Clause 2(b) of SEBI Circular No. CIR/MIRSD/15/2011 dated August 02, 2011</w:t>
            </w: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r w:rsidRPr="00D20404">
              <w:rPr>
                <w:lang w:bidi="hi-IN"/>
              </w:rPr>
              <w:t>Clause 3 of SEBI Circular no. MIRSD/</w:t>
            </w:r>
          </w:p>
          <w:p w:rsidR="00581BF7" w:rsidRPr="00D20404" w:rsidRDefault="00581BF7" w:rsidP="00581BF7">
            <w:pPr>
              <w:shd w:val="clear" w:color="auto" w:fill="FFFFFF"/>
              <w:rPr>
                <w:lang w:bidi="hi-IN"/>
              </w:rPr>
            </w:pPr>
            <w:r w:rsidRPr="00D20404">
              <w:rPr>
                <w:lang w:bidi="hi-IN"/>
              </w:rPr>
              <w:t>26/2011 dated December 23, 2011</w:t>
            </w: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r w:rsidRPr="00D20404">
              <w:rPr>
                <w:lang w:bidi="hi-IN"/>
              </w:rPr>
              <w:t xml:space="preserve">SEBI Circular no. MIRSD/120/2016 dated November 10, 2016 read with SEBI Circular </w:t>
            </w:r>
          </w:p>
          <w:p w:rsidR="00581BF7" w:rsidRPr="00D20404" w:rsidRDefault="00581BF7" w:rsidP="00581BF7">
            <w:pPr>
              <w:shd w:val="clear" w:color="auto" w:fill="FFFFFF"/>
              <w:rPr>
                <w:lang w:bidi="hi-IN"/>
              </w:rPr>
            </w:pPr>
            <w:r w:rsidRPr="00D20404">
              <w:rPr>
                <w:lang w:bidi="hi-IN"/>
              </w:rPr>
              <w:t>No. CIR/MIRSD/66/2016 dated July 21, 2016</w:t>
            </w: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r w:rsidRPr="00D20404">
              <w:rPr>
                <w:lang w:bidi="hi-IN"/>
              </w:rPr>
              <w:t>Clause 2 of SEBI Circular no. MIRSD/Cir</w:t>
            </w:r>
          </w:p>
          <w:p w:rsidR="00581BF7" w:rsidRPr="00D20404" w:rsidRDefault="00581BF7" w:rsidP="00581BF7">
            <w:pPr>
              <w:shd w:val="clear" w:color="auto" w:fill="FFFFFF"/>
              <w:rPr>
                <w:lang w:bidi="hi-IN"/>
              </w:rPr>
            </w:pPr>
            <w:r w:rsidRPr="00D20404">
              <w:rPr>
                <w:lang w:bidi="hi-IN"/>
              </w:rPr>
              <w:t>26/2011 dated December 23, 2011 read with SEBI Circular no. MIRSD/Cir 23/2011 dated December 2, 2011 and SEBI Circular no. MIRSD/Cir</w:t>
            </w:r>
          </w:p>
          <w:p w:rsidR="00581BF7" w:rsidRPr="00D20404" w:rsidRDefault="00581BF7" w:rsidP="00581BF7">
            <w:pPr>
              <w:shd w:val="clear" w:color="auto" w:fill="FFFFFF"/>
              <w:rPr>
                <w:lang w:bidi="hi-IN"/>
              </w:rPr>
            </w:pPr>
            <w:r w:rsidRPr="00D20404">
              <w:rPr>
                <w:lang w:bidi="hi-IN"/>
              </w:rPr>
              <w:t>5/2012 dated April 13, 2012.</w:t>
            </w: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r w:rsidRPr="00D20404">
              <w:rPr>
                <w:lang w:bidi="hi-IN"/>
              </w:rPr>
              <w:t>SEBI Circular No. SMDRP/Policy/CIR39/2001 dated July 18, 2001 read with NSE Circular No. NSE/INVG/2005/015 dated July 29, 2005</w:t>
            </w: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r w:rsidRPr="00D20404">
              <w:rPr>
                <w:lang w:bidi="hi-IN"/>
              </w:rPr>
              <w:t xml:space="preserve">SEBI Circular </w:t>
            </w:r>
          </w:p>
          <w:p w:rsidR="00581BF7" w:rsidRPr="00D20404" w:rsidRDefault="00581BF7" w:rsidP="00581BF7">
            <w:pPr>
              <w:shd w:val="clear" w:color="auto" w:fill="FFFFFF"/>
              <w:rPr>
                <w:lang w:bidi="hi-IN"/>
              </w:rPr>
            </w:pPr>
            <w:r w:rsidRPr="00D20404">
              <w:rPr>
                <w:lang w:bidi="hi-IN"/>
              </w:rPr>
              <w:t>No. CIR/MIRSD/16/2011 dated August 22, 2011.</w:t>
            </w:r>
          </w:p>
          <w:p w:rsidR="00581BF7" w:rsidRPr="00D20404" w:rsidRDefault="00581BF7" w:rsidP="00581BF7">
            <w:pPr>
              <w:shd w:val="clear" w:color="auto" w:fill="FFFFFF"/>
              <w:rPr>
                <w:lang w:bidi="hi-IN"/>
              </w:rPr>
            </w:pPr>
          </w:p>
          <w:p w:rsidR="00581BF7" w:rsidRPr="00D20404" w:rsidRDefault="00581BF7" w:rsidP="00581BF7">
            <w:pPr>
              <w:shd w:val="clear" w:color="auto" w:fill="FFFFFF"/>
              <w:rPr>
                <w:lang w:bidi="hi-IN"/>
              </w:rPr>
            </w:pPr>
            <w:r w:rsidRPr="00D20404">
              <w:rPr>
                <w:lang w:bidi="hi-IN"/>
              </w:rPr>
              <w:t>SEBI circular no. SMD/SED/CIR/93/23321 dated November 18, 1993;</w:t>
            </w:r>
          </w:p>
          <w:p w:rsidR="00581BF7" w:rsidRPr="00D20404" w:rsidRDefault="00581BF7" w:rsidP="00581BF7">
            <w:pPr>
              <w:rPr>
                <w:lang w:bidi="hi-IN"/>
              </w:rPr>
            </w:pPr>
            <w:r w:rsidRPr="00D20404">
              <w:rPr>
                <w:lang w:bidi="hi-IN"/>
              </w:rPr>
              <w:t>SEBI Circular No. SEBI/HO/MIRSD/MIRSD2/CIR/P/2016/95 dated September 26, 2016</w:t>
            </w:r>
          </w:p>
          <w:p w:rsidR="00581BF7" w:rsidRPr="00D20404" w:rsidRDefault="00581BF7" w:rsidP="00581BF7">
            <w:pPr>
              <w:rPr>
                <w:lang w:bidi="hi-IN"/>
              </w:rPr>
            </w:pPr>
            <w:r w:rsidRPr="00D20404">
              <w:rPr>
                <w:lang w:bidi="hi-IN"/>
              </w:rPr>
              <w:t xml:space="preserve">Section 23D of SCRA read with Clause 1 pf Annexure and Clause 3 of Annexure to SEBI Circular No. </w:t>
            </w:r>
          </w:p>
          <w:p w:rsidR="00581BF7" w:rsidRPr="00D20404" w:rsidRDefault="00581BF7" w:rsidP="00581BF7">
            <w:pPr>
              <w:spacing w:after="160" w:line="259" w:lineRule="auto"/>
              <w:rPr>
                <w:lang w:bidi="hi-IN"/>
              </w:rPr>
            </w:pPr>
            <w:r w:rsidRPr="00D20404">
              <w:rPr>
                <w:lang w:bidi="hi-IN"/>
              </w:rPr>
              <w:t xml:space="preserve">SEBI/HO/MIRSD/MIRSD2/CIR/P/2016/95 dated September 26, 2016 </w:t>
            </w:r>
          </w:p>
          <w:p w:rsidR="00581BF7" w:rsidRPr="00D20404" w:rsidRDefault="00581BF7" w:rsidP="00581BF7">
            <w:pPr>
              <w:rPr>
                <w:lang w:bidi="hi-IN"/>
              </w:rPr>
            </w:pPr>
            <w:r w:rsidRPr="00D20404">
              <w:rPr>
                <w:lang w:bidi="hi-IN"/>
              </w:rPr>
              <w:t>Provisions of clause 12 of Annexure to SEBI circular SEBI/MIRSD/SE/Cir-19/2009 dated December 03, 2009.</w:t>
            </w:r>
          </w:p>
          <w:p w:rsidR="00581BF7" w:rsidRPr="00D20404" w:rsidRDefault="00581BF7" w:rsidP="00581BF7">
            <w:pPr>
              <w:rPr>
                <w:lang w:bidi="hi-IN"/>
              </w:rPr>
            </w:pPr>
          </w:p>
          <w:p w:rsidR="00581BF7" w:rsidRPr="00D20404" w:rsidRDefault="00581BF7" w:rsidP="00581BF7">
            <w:pPr>
              <w:rPr>
                <w:lang w:bidi="hi-IN"/>
              </w:rPr>
            </w:pPr>
            <w:r w:rsidRPr="00D20404">
              <w:rPr>
                <w:lang w:bidi="hi-IN"/>
              </w:rPr>
              <w:t>CDSL Operating instructions point 6.5.4.9</w:t>
            </w:r>
          </w:p>
          <w:p w:rsidR="00581BF7" w:rsidRPr="00D20404" w:rsidRDefault="00581BF7" w:rsidP="00581BF7">
            <w:pPr>
              <w:rPr>
                <w:lang w:bidi="hi-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81BF7" w:rsidRPr="00D20404" w:rsidRDefault="00581BF7" w:rsidP="00581BF7">
            <w:pPr>
              <w:jc w:val="right"/>
              <w:rPr>
                <w:rFonts w:eastAsia="Calibri"/>
                <w:lang w:bidi="hi-IN"/>
              </w:rPr>
            </w:pPr>
            <w:r w:rsidRPr="00D20404">
              <w:rPr>
                <w:rFonts w:eastAsia="Calibri"/>
                <w:lang w:bidi="hi-IN"/>
              </w:rPr>
              <w:t>4,00,000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Pr="00A538EB" w:rsidRDefault="008136E3" w:rsidP="008136E3">
            <w:pPr>
              <w:jc w:val="both"/>
              <w:rPr>
                <w:color w:val="000000"/>
                <w:sz w:val="22"/>
                <w:szCs w:val="22"/>
                <w:lang w:val="en-IN" w:eastAsia="en-IN" w:bidi="hi-IN"/>
              </w:rPr>
            </w:pPr>
            <w:r>
              <w:rPr>
                <w:color w:val="000000"/>
                <w:sz w:val="22"/>
                <w:szCs w:val="22"/>
                <w:lang w:val="en-IN" w:eastAsia="en-IN" w:bidi="hi-IN"/>
              </w:rPr>
              <w:t>6</w:t>
            </w:r>
          </w:p>
        </w:tc>
        <w:tc>
          <w:tcPr>
            <w:tcW w:w="1418" w:type="dxa"/>
            <w:tcBorders>
              <w:top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09/03/2021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Anugrah Stock &amp; Broking Pvt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Anugrah Stock &amp; Broking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 xml:space="preserve">Section 23D   of   the Securities Contracts (Regulation) Act (SCRA) 1956, r/w </w:t>
            </w:r>
            <w:r w:rsidRPr="001D431F">
              <w:rPr>
                <w:rFonts w:ascii="Palatino Linotype" w:hAnsi="Palatino Linotype" w:cs="Arial"/>
                <w:sz w:val="23"/>
                <w:szCs w:val="23"/>
                <w:lang w:val="en-IN" w:eastAsia="en-IN" w:bidi="hi-IN"/>
              </w:rPr>
              <w:t xml:space="preserve">clause 1  of  Annexure  of SEBI  Circular </w:t>
            </w:r>
          </w:p>
          <w:p w:rsidR="008136E3" w:rsidRPr="001D431F" w:rsidRDefault="008136E3" w:rsidP="008136E3">
            <w:pPr>
              <w:shd w:val="clear" w:color="auto" w:fill="FFFFFF"/>
              <w:rPr>
                <w:rFonts w:ascii="Palatino Linotype" w:hAnsi="Palatino Linotype" w:cs="Arial"/>
                <w:sz w:val="23"/>
                <w:szCs w:val="23"/>
                <w:lang w:val="en-IN" w:eastAsia="en-IN" w:bidi="hi-IN"/>
              </w:rPr>
            </w:pPr>
            <w:r w:rsidRPr="001D431F">
              <w:rPr>
                <w:rFonts w:ascii="Palatino Linotype" w:hAnsi="Palatino Linotype" w:cs="Arial"/>
                <w:sz w:val="23"/>
                <w:szCs w:val="23"/>
                <w:lang w:val="en-IN" w:eastAsia="en-IN" w:bidi="hi-IN"/>
              </w:rPr>
              <w:t>SMD/SED/CIR/93/23321 d</w:t>
            </w:r>
            <w:r w:rsidRPr="001D431F">
              <w:rPr>
                <w:rFonts w:ascii="Palatino Linotype" w:eastAsia="Calibri" w:hAnsi="Palatino Linotype" w:cs="Arial"/>
                <w:sz w:val="23"/>
                <w:szCs w:val="23"/>
                <w:shd w:val="clear" w:color="auto" w:fill="FFFFFF"/>
                <w:lang w:bidi="hi-IN"/>
              </w:rPr>
              <w:t xml:space="preserve">ated   November 18, 1993 and clause 3 of Annexure of SEBI circular </w:t>
            </w:r>
            <w:r w:rsidRPr="001D431F">
              <w:rPr>
                <w:rFonts w:ascii="Palatino Linotype" w:eastAsia="Calibri" w:hAnsi="Palatino Linotype"/>
                <w:lang w:bidi="hi-IN"/>
              </w:rPr>
              <w:t>SEBI/HO/MIRSD</w:t>
            </w:r>
          </w:p>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/MIRSD2/CIR/P/2016/95 dated September 26, 2016 and Others.</w:t>
            </w:r>
          </w:p>
          <w:p w:rsidR="008136E3" w:rsidRPr="001D431F" w:rsidRDefault="008136E3" w:rsidP="008136E3">
            <w:pPr>
              <w:rPr>
                <w:rFonts w:ascii="Palatino Linotype" w:eastAsia="Calibri" w:hAnsi="Palatino Linotype"/>
                <w:lang w:bidi="hi-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jc w:val="right"/>
              <w:rPr>
                <w:rFonts w:ascii="Palatino Linotype" w:eastAsia="Calibri" w:hAnsi="Palatino Linotype"/>
                <w:lang w:bidi="hi-IN"/>
              </w:rPr>
            </w:pPr>
            <w:r w:rsidRPr="001D431F">
              <w:rPr>
                <w:rFonts w:ascii="Palatino Linotype" w:eastAsia="Calibri" w:hAnsi="Palatino Linotype"/>
                <w:lang w:bidi="hi-IN"/>
              </w:rPr>
              <w:t>90,00,000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Default="00C21F0D" w:rsidP="008136E3">
            <w:pPr>
              <w:jc w:val="both"/>
              <w:rPr>
                <w:color w:val="000000"/>
                <w:sz w:val="22"/>
                <w:szCs w:val="22"/>
                <w:lang w:val="en-IN" w:eastAsia="en-IN" w:bidi="hi-IN"/>
              </w:rPr>
            </w:pPr>
            <w:r>
              <w:rPr>
                <w:color w:val="000000"/>
                <w:sz w:val="22"/>
                <w:szCs w:val="22"/>
                <w:lang w:val="en-IN" w:eastAsia="en-IN" w:bidi="hi-IN"/>
              </w:rPr>
              <w:t>7</w:t>
            </w:r>
          </w:p>
        </w:tc>
        <w:tc>
          <w:tcPr>
            <w:tcW w:w="1418" w:type="dxa"/>
            <w:tcBorders>
              <w:top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09/03/2021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Vaksh Steels Private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Vaksh Steels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Regulations 3(a), (b), (c), (d) and 4(1), 4(2) (a)of Prohibition of Fraudulent and Unfair Trade Practices relating to the Securities Market (PFUTP),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jc w:val="right"/>
              <w:rPr>
                <w:rFonts w:ascii="Palatino Linotype" w:eastAsia="Calibri" w:hAnsi="Palatino Linotype"/>
                <w:lang w:bidi="hi-IN"/>
              </w:rPr>
            </w:pPr>
            <w:r w:rsidRPr="001D431F">
              <w:rPr>
                <w:rFonts w:ascii="Palatino Linotype" w:eastAsia="Calibri" w:hAnsi="Palatino Linotype"/>
                <w:lang w:bidi="hi-IN"/>
              </w:rPr>
              <w:t>5,00,000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Default="00C21F0D" w:rsidP="008136E3">
            <w:pPr>
              <w:jc w:val="both"/>
              <w:rPr>
                <w:color w:val="000000"/>
                <w:sz w:val="22"/>
                <w:szCs w:val="22"/>
                <w:lang w:val="en-IN" w:eastAsia="en-IN" w:bidi="hi-IN"/>
              </w:rPr>
            </w:pPr>
            <w:r>
              <w:rPr>
                <w:color w:val="000000"/>
                <w:sz w:val="22"/>
                <w:szCs w:val="22"/>
                <w:lang w:val="en-IN" w:eastAsia="en-IN" w:bidi="hi-IN"/>
              </w:rPr>
              <w:t>8</w:t>
            </w:r>
          </w:p>
        </w:tc>
        <w:tc>
          <w:tcPr>
            <w:tcW w:w="1418" w:type="dxa"/>
            <w:tcBorders>
              <w:top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09/03/2021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IPO of Tijaria Polypipes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Alok Jain Tijaria,</w:t>
            </w:r>
            <w:r w:rsidRPr="001D431F">
              <w:rPr>
                <w:rFonts w:ascii="Palatino Linotype" w:eastAsia="Calibri" w:hAnsi="Palatino Linotype" w:cs="Mangal"/>
                <w:sz w:val="22"/>
                <w:szCs w:val="20"/>
                <w:lang w:bidi="hi-IN"/>
              </w:rPr>
              <w:t xml:space="preserve"> </w:t>
            </w:r>
            <w:r w:rsidRPr="001D431F">
              <w:rPr>
                <w:rFonts w:ascii="Palatino Linotype" w:eastAsia="Calibri" w:hAnsi="Palatino Linotype"/>
                <w:lang w:bidi="hi-IN"/>
              </w:rPr>
              <w:t>Vineet Jain Tijaria,</w:t>
            </w:r>
            <w:r w:rsidRPr="001D431F">
              <w:rPr>
                <w:rFonts w:ascii="Palatino Linotype" w:eastAsia="Calibri" w:hAnsi="Palatino Linotype" w:cs="Mangal"/>
                <w:sz w:val="22"/>
                <w:szCs w:val="20"/>
                <w:lang w:bidi="hi-IN"/>
              </w:rPr>
              <w:t xml:space="preserve"> </w:t>
            </w:r>
            <w:r w:rsidRPr="001D431F">
              <w:rPr>
                <w:rFonts w:ascii="Palatino Linotype" w:eastAsia="Calibri" w:hAnsi="Palatino Linotype"/>
                <w:lang w:bidi="hi-IN"/>
              </w:rPr>
              <w:t>Vikas Jain Tijaria, Praveen Jain Tijaria.</w:t>
            </w:r>
          </w:p>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Regulations 57(1) and 57(2), Schedule   VIII,   Part A(16), 59, 60(4)  and  60(7)(a) of Issue of Capital and Disclosure Requirements (ICDR) Regulations, 2009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jc w:val="right"/>
              <w:rPr>
                <w:rFonts w:ascii="Palatino Linotype" w:eastAsia="Calibri" w:hAnsi="Palatino Linotype"/>
                <w:lang w:bidi="hi-IN"/>
              </w:rPr>
            </w:pPr>
            <w:r w:rsidRPr="001D431F">
              <w:rPr>
                <w:rFonts w:ascii="Palatino Linotype" w:eastAsia="Calibri" w:hAnsi="Palatino Linotype"/>
                <w:lang w:bidi="hi-IN"/>
              </w:rPr>
              <w:t>8,00,000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Default="00C21F0D" w:rsidP="008136E3">
            <w:pPr>
              <w:jc w:val="both"/>
              <w:rPr>
                <w:color w:val="000000"/>
                <w:sz w:val="22"/>
                <w:szCs w:val="22"/>
                <w:lang w:val="en-IN" w:eastAsia="en-IN" w:bidi="hi-IN"/>
              </w:rPr>
            </w:pPr>
            <w:r>
              <w:rPr>
                <w:color w:val="000000"/>
                <w:sz w:val="22"/>
                <w:szCs w:val="22"/>
                <w:lang w:val="en-IN" w:eastAsia="en-IN" w:bidi="hi-IN"/>
              </w:rPr>
              <w:t>9</w:t>
            </w:r>
          </w:p>
        </w:tc>
        <w:tc>
          <w:tcPr>
            <w:tcW w:w="1418" w:type="dxa"/>
            <w:tcBorders>
              <w:top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10/03/2021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Swastika Commodities Pvt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Swastika Commodities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Section 23D of The Securities Contracts (Regulation) Act (SCRA) 1956,</w:t>
            </w:r>
          </w:p>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SEBI/MIRSD/SE/CIR-19/2009,</w:t>
            </w:r>
          </w:p>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CIR/MIRSD/15/2011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jc w:val="right"/>
              <w:rPr>
                <w:rFonts w:ascii="Palatino Linotype" w:eastAsia="Calibri" w:hAnsi="Palatino Linotype"/>
                <w:lang w:bidi="hi-IN"/>
              </w:rPr>
            </w:pPr>
            <w:r w:rsidRPr="001D431F">
              <w:rPr>
                <w:rFonts w:ascii="Palatino Linotype" w:eastAsia="Calibri" w:hAnsi="Palatino Linotype"/>
                <w:lang w:bidi="hi-IN"/>
              </w:rPr>
              <w:t>7,00,000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Default="00C21F0D" w:rsidP="008136E3">
            <w:pPr>
              <w:jc w:val="both"/>
              <w:rPr>
                <w:color w:val="000000"/>
                <w:sz w:val="22"/>
                <w:szCs w:val="22"/>
                <w:lang w:val="en-IN" w:eastAsia="en-IN" w:bidi="hi-IN"/>
              </w:rPr>
            </w:pPr>
            <w:r>
              <w:rPr>
                <w:color w:val="000000"/>
                <w:sz w:val="22"/>
                <w:szCs w:val="22"/>
                <w:lang w:val="en-IN" w:eastAsia="en-IN" w:bidi="hi-IN"/>
              </w:rPr>
              <w:t>10</w:t>
            </w:r>
          </w:p>
        </w:tc>
        <w:tc>
          <w:tcPr>
            <w:tcW w:w="1418" w:type="dxa"/>
            <w:tcBorders>
              <w:top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10/03/2021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Anukaran Commercial Enterprises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Rajesh Chetanji Tawri, Aanand Balavantrai Boghani, Kaushik Bipinchandra Dhanki, Mountain View Developers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Regulations 3(a), (b), (c), (d) and 4(1), 4(2) (a), (e) of Prohibition of Fraudulent and Unfair Trade Practices relating to the Securities Market (PFUTP),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jc w:val="right"/>
              <w:rPr>
                <w:rFonts w:ascii="Palatino Linotype" w:eastAsia="Calibri" w:hAnsi="Palatino Linotype"/>
                <w:lang w:bidi="hi-IN"/>
              </w:rPr>
            </w:pPr>
            <w:r w:rsidRPr="001D431F">
              <w:rPr>
                <w:rFonts w:ascii="Palatino Linotype" w:eastAsia="Calibri" w:hAnsi="Palatino Linotype"/>
                <w:lang w:bidi="hi-IN"/>
              </w:rPr>
              <w:t>20,00,000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Default="00C21F0D" w:rsidP="008136E3">
            <w:pPr>
              <w:jc w:val="both"/>
              <w:rPr>
                <w:color w:val="000000"/>
                <w:sz w:val="22"/>
                <w:szCs w:val="22"/>
                <w:lang w:val="en-IN" w:eastAsia="en-IN" w:bidi="hi-IN"/>
              </w:rPr>
            </w:pPr>
            <w:r>
              <w:rPr>
                <w:color w:val="000000"/>
                <w:sz w:val="22"/>
                <w:szCs w:val="22"/>
                <w:lang w:val="en-IN" w:eastAsia="en-IN" w:bidi="hi-IN"/>
              </w:rPr>
              <w:t>11</w:t>
            </w:r>
          </w:p>
        </w:tc>
        <w:tc>
          <w:tcPr>
            <w:tcW w:w="1418" w:type="dxa"/>
            <w:tcBorders>
              <w:top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10/03/2021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IPO of Esteem Bio Organic Food processing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FFFFFF"/>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Eco Friendly Food Processing Park Ltd</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Sections 11(3) and 11C(3) of SEBI Act,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jc w:val="right"/>
              <w:rPr>
                <w:rFonts w:ascii="Palatino Linotype" w:eastAsia="Calibri" w:hAnsi="Palatino Linotype"/>
                <w:lang w:bidi="hi-IN"/>
              </w:rPr>
            </w:pPr>
            <w:r w:rsidRPr="001D431F">
              <w:rPr>
                <w:rFonts w:ascii="Palatino Linotype" w:eastAsia="Calibri" w:hAnsi="Palatino Linotype"/>
                <w:lang w:bidi="hi-IN"/>
              </w:rPr>
              <w:t>10,00,000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Default="00C21F0D" w:rsidP="008136E3">
            <w:pPr>
              <w:jc w:val="both"/>
              <w:rPr>
                <w:color w:val="000000"/>
                <w:sz w:val="22"/>
                <w:szCs w:val="22"/>
                <w:lang w:val="en-IN" w:eastAsia="en-IN" w:bidi="hi-IN"/>
              </w:rPr>
            </w:pPr>
            <w:r>
              <w:rPr>
                <w:color w:val="000000"/>
                <w:sz w:val="22"/>
                <w:szCs w:val="22"/>
                <w:lang w:val="en-IN" w:eastAsia="en-IN" w:bidi="hi-IN"/>
              </w:rPr>
              <w:t>12</w:t>
            </w:r>
          </w:p>
        </w:tc>
        <w:tc>
          <w:tcPr>
            <w:tcW w:w="1418" w:type="dxa"/>
            <w:tcBorders>
              <w:top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10/03/2021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Anukaran Commercial Enterprises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Aishwarya Avenues Pvt Ltd,</w:t>
            </w:r>
          </w:p>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SKSE Securities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 xml:space="preserve">Clauses A (2), Schedule II, Regulation </w:t>
            </w:r>
            <w:r w:rsidRPr="001D431F">
              <w:rPr>
                <w:rFonts w:ascii="Palatino Linotype" w:eastAsia="Calibri" w:hAnsi="Palatino Linotype" w:cs="Arial"/>
                <w:sz w:val="23"/>
                <w:szCs w:val="23"/>
                <w:shd w:val="clear" w:color="auto" w:fill="FFFFFF"/>
                <w:lang w:bidi="hi-IN"/>
              </w:rPr>
              <w:t xml:space="preserve">9(f), </w:t>
            </w:r>
            <w:r w:rsidRPr="001D431F">
              <w:rPr>
                <w:rFonts w:ascii="Palatino Linotype" w:eastAsia="Calibri" w:hAnsi="Palatino Linotype"/>
                <w:lang w:bidi="hi-IN"/>
              </w:rPr>
              <w:t>15 of SEBI (Stock Brokers  &amp;  Sub  brokers)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jc w:val="right"/>
              <w:rPr>
                <w:rFonts w:ascii="Palatino Linotype" w:eastAsia="Calibri" w:hAnsi="Palatino Linotype"/>
                <w:lang w:bidi="hi-IN"/>
              </w:rPr>
            </w:pPr>
            <w:r w:rsidRPr="001D431F">
              <w:rPr>
                <w:rFonts w:ascii="Palatino Linotype" w:eastAsia="Calibri" w:hAnsi="Palatino Linotype"/>
                <w:lang w:bidi="hi-IN"/>
              </w:rPr>
              <w:t>2,00,000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Default="00C21F0D" w:rsidP="008136E3">
            <w:pPr>
              <w:jc w:val="both"/>
              <w:rPr>
                <w:color w:val="000000"/>
                <w:sz w:val="22"/>
                <w:szCs w:val="22"/>
                <w:lang w:val="en-IN" w:eastAsia="en-IN" w:bidi="hi-IN"/>
              </w:rPr>
            </w:pPr>
            <w:r>
              <w:rPr>
                <w:color w:val="000000"/>
                <w:sz w:val="22"/>
                <w:szCs w:val="22"/>
                <w:lang w:val="en-IN" w:eastAsia="en-IN" w:bidi="hi-IN"/>
              </w:rPr>
              <w:t>13</w:t>
            </w:r>
          </w:p>
        </w:tc>
        <w:tc>
          <w:tcPr>
            <w:tcW w:w="1418" w:type="dxa"/>
            <w:tcBorders>
              <w:top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12/03/2021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Cosboard Industries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Shiv Shankar Taparia, Ram Kishore Taparia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1D431F" w:rsidRDefault="008136E3" w:rsidP="008136E3">
            <w:pPr>
              <w:rPr>
                <w:rFonts w:ascii="Palatino Linotype" w:eastAsia="Calibri" w:hAnsi="Palatino Linotype"/>
                <w:lang w:bidi="hi-IN"/>
              </w:rPr>
            </w:pPr>
            <w:r w:rsidRPr="001D431F">
              <w:rPr>
                <w:rFonts w:ascii="Palatino Linotype" w:eastAsia="Calibri" w:hAnsi="Palatino Linotype"/>
                <w:lang w:bidi="hi-IN"/>
              </w:rPr>
              <w:t>Regulation 31(1), (3), SEBI (Substantial Acquisition of Shares and Takeovers)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1D431F" w:rsidRDefault="008136E3" w:rsidP="008136E3">
            <w:pPr>
              <w:jc w:val="right"/>
              <w:rPr>
                <w:rFonts w:eastAsia="Calibri"/>
                <w:lang w:bidi="hi-IN"/>
              </w:rPr>
            </w:pPr>
            <w:r w:rsidRPr="001D431F">
              <w:rPr>
                <w:rFonts w:eastAsia="Calibri"/>
                <w:lang w:bidi="hi-IN"/>
              </w:rPr>
              <w:t>4,00,000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14</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15/03/2021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Illiquid Stock Options at the BSE</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Mascot Bullions Pvt Ltd</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Regulation 3(a),  (b),  (c),  (d), 4(1) and 4(2)(a) 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5,00,000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15</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15/03/2021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United Textiles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Chhotalal Ramjibhai Bhanderi</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Regulation 29(1), (3) of SEBI  (Substantial  Acquisition  of  Shares  and Takeovers) Regulations, 2011.</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1,00,000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16</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16/03/2021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Kanchan International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Kanchan Kitchen Aid Pvt.,Ltd.</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 xml:space="preserve">Section 11 (3) and 11C (3) of SEBI Act, 1992. </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5,00,000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17</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16/03/2021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Aroma Enterprises (India)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 xml:space="preserve">Ravi Malhotra, Rajika Malhotra, Muskaan Malhotra, Shairee Malhotra, Makkanlal Sharma, Sirhind Steel Ltd. </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 xml:space="preserve">Regulation 7(1A), 11(2) of </w:t>
            </w:r>
            <w:r w:rsidRPr="007448DA">
              <w:rPr>
                <w:rFonts w:ascii="Calibri" w:eastAsia="Calibri" w:hAnsi="Calibri" w:cs="Mangal"/>
                <w:sz w:val="22"/>
                <w:szCs w:val="20"/>
                <w:lang w:bidi="hi-IN"/>
              </w:rPr>
              <w:t xml:space="preserve">SEBI </w:t>
            </w:r>
            <w:r w:rsidRPr="007448DA">
              <w:rPr>
                <w:rFonts w:eastAsia="Calibri"/>
                <w:lang w:bidi="hi-IN"/>
              </w:rPr>
              <w:t>(Substantial  Acquisition  of  Shares  and  Takeover) Regulations, 1997</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53,00,000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18</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17/03/2021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Prakash Constrowell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Krishnan G. Trichur</w:t>
            </w:r>
          </w:p>
          <w:p w:rsidR="00FE3FAE" w:rsidRPr="007448DA" w:rsidRDefault="00FE3FAE" w:rsidP="00FE3FAE">
            <w:pPr>
              <w:rPr>
                <w:rFonts w:eastAsia="Calibri"/>
                <w:lang w:bidi="hi-IN"/>
              </w:rPr>
            </w:pP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Clause  1  of  Schedule  A and   Regulation  8(1)  of SEBI (Prohibition  of  Insider  Trading) Regulations 2015.</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1,00,000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19</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18/03/2021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Concept Securities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 xml:space="preserve">Concept Securities Ltd, R. Wadiwala Securities Pvt. Ltd. </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Section 23D of SEBI (Securities Contracts) SCRA Regulation Act, 1956</w:t>
            </w:r>
          </w:p>
          <w:p w:rsidR="00FE3FAE" w:rsidRPr="007448DA" w:rsidRDefault="00FE3FAE" w:rsidP="00FE3FAE">
            <w:pPr>
              <w:rPr>
                <w:rFonts w:eastAsia="Calibri"/>
                <w:lang w:bidi="hi-IN"/>
              </w:rPr>
            </w:pPr>
            <w:r w:rsidRPr="007448DA">
              <w:rPr>
                <w:rFonts w:eastAsia="Calibri"/>
                <w:lang w:bidi="hi-IN"/>
              </w:rPr>
              <w:t>CIR/HO/MIRSD/MIRSD2/</w:t>
            </w:r>
          </w:p>
          <w:p w:rsidR="00FE3FAE" w:rsidRPr="007448DA" w:rsidRDefault="00FE3FAE" w:rsidP="00FE3FAE">
            <w:pPr>
              <w:rPr>
                <w:rFonts w:eastAsia="Calibri"/>
                <w:lang w:bidi="hi-IN"/>
              </w:rPr>
            </w:pPr>
            <w:r w:rsidRPr="007448DA">
              <w:rPr>
                <w:rFonts w:eastAsia="Calibri"/>
                <w:lang w:bidi="hi-IN"/>
              </w:rPr>
              <w:t xml:space="preserve">CIR/P/2017/64, </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4,00,000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20</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18/03/2021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Visu International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Visu International Ltd, B Prabhakar Reddy, K Viswanath Reddy, Mukesh Charuadiya</w:t>
            </w:r>
          </w:p>
          <w:p w:rsidR="00FE3FAE" w:rsidRPr="007448DA" w:rsidRDefault="00FE3FAE" w:rsidP="00FE3FAE">
            <w:pPr>
              <w:rPr>
                <w:rFonts w:eastAsia="Calibri"/>
                <w:lang w:bidi="hi-IN"/>
              </w:rPr>
            </w:pP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Section 12 A (a) (b) (c) of SEBI Act 1992. Regulation 3 (a) (b) (c) (d), 4 (1), 4 (2) (f) (k) (r) of SEBI (Prohibition of Insider Trading) Regulations, 2003.</w:t>
            </w:r>
          </w:p>
          <w:p w:rsidR="00FE3FAE" w:rsidRPr="007448DA" w:rsidRDefault="00FE3FAE" w:rsidP="00FE3FAE">
            <w:pPr>
              <w:rPr>
                <w:rFonts w:eastAsia="Calibri"/>
                <w:lang w:bidi="hi-IN"/>
              </w:rPr>
            </w:pPr>
            <w:r w:rsidRPr="007448DA">
              <w:rPr>
                <w:rFonts w:eastAsia="Calibri"/>
                <w:lang w:bidi="hi-IN"/>
              </w:rPr>
              <w:t>Section 21,  23E  of SEBI (Securities Contract)  (Procedure  for  Holding  Inquiry  and  Imposing  Penalties) Rules, SCRA, 2005</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1,65,00,000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21</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18/03/2021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Supreme Tex Mart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SINDIA Investment Group PTE Ltd.</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Regulation  29(2) and (3)  of SEBI (Substantial  Acquisition  of  Shares  &amp;  Takeovers) Regulations, 2011</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2,00,000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22</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18/03/2021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Supreme Tex Mart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Neeleshkumar Radheshyam Lahoti</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 xml:space="preserve">Section 11C (2), (3) of SEBI Act 1992. </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8,00,000</w:t>
            </w:r>
          </w:p>
        </w:tc>
      </w:tr>
      <w:tr w:rsidR="00FE3FAE" w:rsidRPr="00B83873" w:rsidTr="002C4AB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23</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Prakash Constrowell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Vyoman Tradelink India Pvt. Ltd.</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 xml:space="preserve">Regulations 29(2), (3) &amp; (4) of SEBI (Substantial  Acquisition  of  Shares  &amp;  Takeovers) Regulations, 2011 </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1,00,000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24</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Cityon Systems (India) Ltd</w:t>
            </w:r>
          </w:p>
        </w:tc>
        <w:tc>
          <w:tcPr>
            <w:tcW w:w="1418"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Adjudication</w:t>
            </w:r>
          </w:p>
        </w:tc>
        <w:tc>
          <w:tcPr>
            <w:tcW w:w="2126"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rPr>
                <w:rFonts w:eastAsia="Calibri"/>
                <w:lang w:bidi="hi-IN"/>
              </w:rPr>
            </w:pPr>
            <w:r w:rsidRPr="007448DA">
              <w:rPr>
                <w:rFonts w:eastAsia="Calibri"/>
                <w:lang w:bidi="hi-IN"/>
              </w:rPr>
              <w:t xml:space="preserve">Cityon Nano Technology Pvt. Ltd, Bansal Suppliers Pvt. Ltd, Nirbharant Management Consultants Pvt. Ltd, Ashesh Agarwal HUF, Deepak Sehgal. </w:t>
            </w:r>
          </w:p>
        </w:tc>
        <w:tc>
          <w:tcPr>
            <w:tcW w:w="2268" w:type="dxa"/>
            <w:tcBorders>
              <w:top w:val="single" w:sz="4" w:space="0" w:color="auto"/>
              <w:left w:val="single" w:sz="4" w:space="0" w:color="auto"/>
              <w:bottom w:val="single" w:sz="4" w:space="0" w:color="auto"/>
              <w:right w:val="single" w:sz="4" w:space="0" w:color="auto"/>
            </w:tcBorders>
          </w:tcPr>
          <w:p w:rsidR="00FE3FAE" w:rsidRPr="007448DA" w:rsidRDefault="00FE3FAE" w:rsidP="00FE3FAE">
            <w:pPr>
              <w:rPr>
                <w:rFonts w:eastAsia="Calibri"/>
                <w:lang w:bidi="hi-IN"/>
              </w:rPr>
            </w:pPr>
            <w:r w:rsidRPr="007448DA">
              <w:rPr>
                <w:rFonts w:eastAsia="Calibri"/>
                <w:lang w:bidi="hi-IN"/>
              </w:rPr>
              <w:t xml:space="preserve">Sections 12A(a), (b) &amp; (c) of the SEBI Act1992, Regulation 13 (3), (5) of SEBI (Prohibition of Insider Trading) Regulations, 2015, </w:t>
            </w:r>
          </w:p>
          <w:p w:rsidR="00FE3FAE" w:rsidRPr="007448DA" w:rsidRDefault="00FE3FAE" w:rsidP="00FE3FAE">
            <w:pPr>
              <w:rPr>
                <w:rFonts w:eastAsia="Calibri"/>
                <w:lang w:bidi="hi-IN"/>
              </w:rPr>
            </w:pPr>
            <w:r w:rsidRPr="007448DA">
              <w:rPr>
                <w:rFonts w:eastAsia="Calibri"/>
                <w:lang w:bidi="hi-IN"/>
              </w:rPr>
              <w:t>Regulations 3(a), (b), (c) &amp; (d), 4(1) and 4(2)(a) &amp; (e) 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7448DA" w:rsidRDefault="00FE3FAE" w:rsidP="00FE3FAE">
            <w:pPr>
              <w:jc w:val="right"/>
              <w:rPr>
                <w:rFonts w:eastAsia="Calibri"/>
                <w:lang w:bidi="hi-IN"/>
              </w:rPr>
            </w:pPr>
            <w:r w:rsidRPr="007448DA">
              <w:rPr>
                <w:rFonts w:eastAsia="Calibri"/>
                <w:lang w:bidi="hi-IN"/>
              </w:rPr>
              <w:t>46,00,000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25</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23/03/2021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IPO of Timbor Home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 xml:space="preserve">Anant </w:t>
            </w:r>
          </w:p>
          <w:p w:rsidR="00FE3FAE" w:rsidRPr="00771272" w:rsidRDefault="00FE3FAE" w:rsidP="00FE3FAE">
            <w:pPr>
              <w:pStyle w:val="Default"/>
              <w:rPr>
                <w:rFonts w:ascii="Palatino Linotype" w:hAnsi="Palatino Linotype"/>
                <w:sz w:val="22"/>
                <w:szCs w:val="22"/>
              </w:rPr>
            </w:pPr>
            <w:r w:rsidRPr="00771272">
              <w:rPr>
                <w:rFonts w:ascii="Palatino Linotype" w:hAnsi="Palatino Linotype"/>
                <w:sz w:val="22"/>
                <w:szCs w:val="22"/>
              </w:rPr>
              <w:t xml:space="preserve">Sureshchandra </w:t>
            </w:r>
          </w:p>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 xml:space="preserve">Maloo, Manan </w:t>
            </w:r>
          </w:p>
          <w:p w:rsidR="00FE3FAE" w:rsidRPr="00771272" w:rsidRDefault="00FE3FAE" w:rsidP="00FE3FAE">
            <w:pPr>
              <w:pStyle w:val="Default"/>
              <w:rPr>
                <w:rFonts w:ascii="Palatino Linotype" w:hAnsi="Palatino Linotype"/>
                <w:sz w:val="22"/>
                <w:szCs w:val="22"/>
              </w:rPr>
            </w:pPr>
            <w:r w:rsidRPr="00771272">
              <w:rPr>
                <w:rFonts w:ascii="Palatino Linotype" w:hAnsi="Palatino Linotype"/>
                <w:sz w:val="22"/>
                <w:szCs w:val="22"/>
              </w:rPr>
              <w:t xml:space="preserve">Vidhyapati </w:t>
            </w:r>
          </w:p>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 xml:space="preserve">Patel,  </w:t>
            </w:r>
          </w:p>
          <w:p w:rsidR="00FE3FAE" w:rsidRPr="00771272" w:rsidRDefault="00FE3FAE" w:rsidP="00FE3FAE">
            <w:pPr>
              <w:pStyle w:val="Default"/>
              <w:rPr>
                <w:rFonts w:ascii="Palatino Linotype" w:hAnsi="Palatino Linotype"/>
                <w:sz w:val="22"/>
                <w:szCs w:val="22"/>
              </w:rPr>
            </w:pPr>
            <w:r w:rsidRPr="00771272">
              <w:rPr>
                <w:rFonts w:ascii="Palatino Linotype" w:hAnsi="Palatino Linotype"/>
                <w:sz w:val="22"/>
                <w:szCs w:val="22"/>
              </w:rPr>
              <w:t xml:space="preserve">Rohit Babulal Patel, </w:t>
            </w:r>
          </w:p>
          <w:p w:rsidR="00FE3FAE" w:rsidRPr="00771272" w:rsidRDefault="00FE3FAE" w:rsidP="00FE3FAE">
            <w:pPr>
              <w:pStyle w:val="Default"/>
              <w:rPr>
                <w:rFonts w:ascii="Palatino Linotype" w:hAnsi="Palatino Linotype"/>
                <w:sz w:val="22"/>
                <w:szCs w:val="22"/>
              </w:rPr>
            </w:pPr>
            <w:r w:rsidRPr="00771272">
              <w:rPr>
                <w:rFonts w:ascii="Palatino Linotype" w:hAnsi="Palatino Linotype"/>
                <w:sz w:val="22"/>
                <w:szCs w:val="22"/>
              </w:rPr>
              <w:t xml:space="preserve">Diptiben Rohitbhai Patel; </w:t>
            </w:r>
          </w:p>
          <w:p w:rsidR="00FE3FAE" w:rsidRPr="00771272" w:rsidRDefault="00FE3FAE" w:rsidP="00FE3FAE">
            <w:pPr>
              <w:pStyle w:val="Default"/>
              <w:rPr>
                <w:rFonts w:ascii="Palatino Linotype" w:hAnsi="Palatino Linotype"/>
                <w:sz w:val="22"/>
                <w:szCs w:val="22"/>
              </w:rPr>
            </w:pPr>
            <w:r w:rsidRPr="00771272">
              <w:rPr>
                <w:rFonts w:ascii="Palatino Linotype" w:hAnsi="Palatino Linotype"/>
                <w:sz w:val="22"/>
                <w:szCs w:val="22"/>
              </w:rPr>
              <w:t xml:space="preserve">Ajay Sureshchandra Maloo ; </w:t>
            </w:r>
          </w:p>
          <w:p w:rsidR="00FE3FAE" w:rsidRPr="00771272" w:rsidRDefault="00FE3FAE" w:rsidP="00FE3FAE">
            <w:pPr>
              <w:pStyle w:val="Default"/>
              <w:rPr>
                <w:rFonts w:ascii="Palatino Linotype" w:hAnsi="Palatino Linotype"/>
                <w:sz w:val="22"/>
                <w:szCs w:val="22"/>
              </w:rPr>
            </w:pPr>
            <w:r w:rsidRPr="00771272">
              <w:rPr>
                <w:rFonts w:ascii="Palatino Linotype" w:hAnsi="Palatino Linotype"/>
                <w:sz w:val="22"/>
                <w:szCs w:val="22"/>
              </w:rPr>
              <w:t xml:space="preserve">Nina Ajay Maloo; </w:t>
            </w:r>
          </w:p>
          <w:p w:rsidR="00FE3FAE" w:rsidRPr="00771272" w:rsidRDefault="00FE3FAE" w:rsidP="00FE3FAE">
            <w:pPr>
              <w:pStyle w:val="Default"/>
              <w:rPr>
                <w:rFonts w:ascii="Palatino Linotype" w:hAnsi="Palatino Linotype"/>
                <w:sz w:val="22"/>
                <w:szCs w:val="22"/>
              </w:rPr>
            </w:pPr>
            <w:r w:rsidRPr="00771272">
              <w:rPr>
                <w:rFonts w:ascii="Palatino Linotype" w:hAnsi="Palatino Linotype"/>
                <w:sz w:val="22"/>
                <w:szCs w:val="22"/>
              </w:rPr>
              <w:t xml:space="preserve">M/s Corporate Strategic Allianz Limited, M/s .Wood star (India) Pvt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Section 12A (a) of SEBI Act, 1992 Regulations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3 (b), 4 (1), and 4(2)(f) </w:t>
            </w:r>
          </w:p>
          <w:p w:rsidR="00FE3FAE" w:rsidRPr="00771272" w:rsidRDefault="00FE3FAE" w:rsidP="00FE3FAE">
            <w:pPr>
              <w:shd w:val="clear" w:color="auto" w:fill="FFFFFF"/>
              <w:rPr>
                <w:rFonts w:ascii="Palatino Linotype" w:hAnsi="Palatino Linotype"/>
                <w:sz w:val="22"/>
                <w:szCs w:val="22"/>
                <w:lang w:val="en-IN" w:eastAsia="en-IN"/>
              </w:rPr>
            </w:pPr>
            <w:r w:rsidRPr="00771272">
              <w:rPr>
                <w:rFonts w:ascii="Palatino Linotype" w:hAnsi="Palatino Linotype"/>
                <w:sz w:val="22"/>
                <w:szCs w:val="22"/>
                <w:lang w:eastAsia="en-IN"/>
              </w:rPr>
              <w:t>of SEBI (</w:t>
            </w:r>
            <w:r w:rsidRPr="00771272">
              <w:rPr>
                <w:rFonts w:ascii="Palatino Linotype" w:hAnsi="Palatino Linotype"/>
                <w:color w:val="202124"/>
                <w:sz w:val="22"/>
                <w:szCs w:val="22"/>
                <w:shd w:val="clear" w:color="auto" w:fill="FFFFFF"/>
              </w:rPr>
              <w:t xml:space="preserve">Prohibition of Fraudulent and Unfair Trade Practices) </w:t>
            </w:r>
            <w:r w:rsidRPr="00771272">
              <w:rPr>
                <w:rFonts w:ascii="Palatino Linotype" w:hAnsi="Palatino Linotype"/>
                <w:sz w:val="22"/>
                <w:szCs w:val="22"/>
                <w:lang w:eastAsia="en-IN"/>
              </w:rPr>
              <w:t xml:space="preserve">Regulations (PFUTP Regulations), 2003. </w:t>
            </w:r>
          </w:p>
          <w:p w:rsidR="00FE3FAE" w:rsidRPr="00771272" w:rsidRDefault="00FE3FAE" w:rsidP="00FE3FAE">
            <w:pPr>
              <w:shd w:val="clear" w:color="auto" w:fill="FFFFFF"/>
              <w:rPr>
                <w:rFonts w:ascii="Palatino Linotype" w:hAnsi="Palatino Linotype"/>
                <w:sz w:val="22"/>
                <w:szCs w:val="22"/>
                <w:lang w:eastAsia="en-IN"/>
              </w:rPr>
            </w:pP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Regulation</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64(1) of </w:t>
            </w:r>
          </w:p>
          <w:p w:rsidR="00FE3FAE" w:rsidRPr="00771272" w:rsidRDefault="00FE3FAE" w:rsidP="00FE3FAE">
            <w:pPr>
              <w:pStyle w:val="Default"/>
              <w:rPr>
                <w:rFonts w:ascii="Palatino Linotype" w:hAnsi="Palatino Linotype"/>
                <w:sz w:val="22"/>
                <w:szCs w:val="22"/>
              </w:rPr>
            </w:pPr>
            <w:r w:rsidRPr="00771272">
              <w:rPr>
                <w:rFonts w:ascii="Palatino Linotype" w:hAnsi="Palatino Linotype"/>
                <w:color w:val="202124"/>
                <w:sz w:val="22"/>
                <w:szCs w:val="22"/>
                <w:shd w:val="clear" w:color="auto" w:fill="FFFFFF"/>
              </w:rPr>
              <w:t xml:space="preserve">SEBI (Issue of Capital and Disclosure Requirements) Regulations (ICDR Regulations), 2018 </w:t>
            </w:r>
          </w:p>
          <w:p w:rsidR="00FE3FAE" w:rsidRPr="00771272" w:rsidRDefault="00FE3FAE" w:rsidP="00FE3FAE">
            <w:pPr>
              <w:pStyle w:val="Default"/>
              <w:rPr>
                <w:rFonts w:ascii="Palatino Linotype" w:hAnsi="Palatino Linotype"/>
                <w:color w:val="202124"/>
                <w:sz w:val="22"/>
                <w:szCs w:val="22"/>
                <w:shd w:val="clear" w:color="auto" w:fill="FFFFFF"/>
              </w:rPr>
            </w:pPr>
            <w:r w:rsidRPr="00771272">
              <w:rPr>
                <w:rFonts w:ascii="Palatino Linotype" w:hAnsi="Palatino Linotype"/>
                <w:sz w:val="22"/>
                <w:szCs w:val="22"/>
              </w:rPr>
              <w:t>and Clauses 1, 4, 6 and 7 specified in schedule III of the Merchant Banker Regulations read with Regulation 13 of the Merchant Banker Regulations.</w:t>
            </w:r>
            <w:r w:rsidRPr="00771272">
              <w:rPr>
                <w:rFonts w:ascii="Palatino Linotype" w:hAnsi="Palatino Linotype"/>
                <w:color w:val="202124"/>
                <w:sz w:val="22"/>
                <w:szCs w:val="22"/>
                <w:shd w:val="clear" w:color="auto" w:fill="FFFFFF"/>
              </w:rPr>
              <w:t xml:space="preserve"> </w:t>
            </w:r>
          </w:p>
          <w:p w:rsidR="00FE3FAE" w:rsidRPr="00771272" w:rsidRDefault="00FE3FAE" w:rsidP="00FE3FAE">
            <w:pPr>
              <w:rPr>
                <w:rFonts w:ascii="Palatino Linotype" w:hAnsi="Palatino Linotype"/>
                <w:sz w:val="22"/>
                <w:szCs w:val="22"/>
              </w:rPr>
            </w:pPr>
          </w:p>
          <w:p w:rsidR="00FE3FAE" w:rsidRPr="00771272" w:rsidRDefault="00FE3FAE" w:rsidP="00FE3FAE">
            <w:pPr>
              <w:rPr>
                <w:rFonts w:ascii="Palatino Linotype" w:hAnsi="Palatino Linotype"/>
                <w:color w:val="202124"/>
                <w:sz w:val="22"/>
                <w:szCs w:val="22"/>
                <w:shd w:val="clear" w:color="auto" w:fill="FFFFFF"/>
              </w:rPr>
            </w:pPr>
            <w:r w:rsidRPr="00771272">
              <w:rPr>
                <w:rFonts w:ascii="Palatino Linotype" w:hAnsi="Palatino Linotype"/>
                <w:color w:val="202124"/>
                <w:sz w:val="22"/>
                <w:szCs w:val="22"/>
                <w:shd w:val="clear" w:color="auto" w:fill="FFFFFF"/>
              </w:rPr>
              <w:t xml:space="preserve">Regulations 57 (1) and 57 (2) (a) read with Clause 2 (VII) (G) of part A of schedule </w:t>
            </w:r>
          </w:p>
          <w:p w:rsidR="00FE3FAE" w:rsidRPr="00771272" w:rsidRDefault="00FE3FAE" w:rsidP="00FE3FAE">
            <w:pPr>
              <w:rPr>
                <w:rFonts w:ascii="Palatino Linotype" w:hAnsi="Palatino Linotype"/>
                <w:color w:val="202124"/>
                <w:sz w:val="22"/>
                <w:szCs w:val="22"/>
                <w:shd w:val="clear" w:color="auto" w:fill="FFFFFF"/>
              </w:rPr>
            </w:pPr>
            <w:r w:rsidRPr="00771272">
              <w:rPr>
                <w:rFonts w:ascii="Palatino Linotype" w:hAnsi="Palatino Linotype"/>
                <w:color w:val="202124"/>
                <w:sz w:val="22"/>
                <w:szCs w:val="22"/>
                <w:shd w:val="clear" w:color="auto" w:fill="FFFFFF"/>
              </w:rPr>
              <w:t>VIII of the ICDR Regulations</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17,00,000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26</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23/03/2021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Prakash Constrowell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Setubandhan Infrastructure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 7(2)(b) of </w:t>
            </w:r>
            <w:r w:rsidRPr="00771272">
              <w:rPr>
                <w:rFonts w:ascii="Palatino Linotype" w:hAnsi="Palatino Linotype"/>
                <w:color w:val="202124"/>
                <w:sz w:val="22"/>
                <w:szCs w:val="22"/>
                <w:shd w:val="clear" w:color="auto" w:fill="FFFFFF"/>
              </w:rPr>
              <w:t xml:space="preserve">Prohibition of Insider Trade </w:t>
            </w:r>
            <w:r w:rsidRPr="00771272">
              <w:rPr>
                <w:rFonts w:ascii="Palatino Linotype" w:hAnsi="Palatino Linotype"/>
                <w:sz w:val="22"/>
                <w:szCs w:val="22"/>
                <w:lang w:eastAsia="en-IN"/>
              </w:rPr>
              <w:t xml:space="preserve">Regulations </w:t>
            </w:r>
            <w:r w:rsidRPr="00771272">
              <w:rPr>
                <w:rFonts w:ascii="Palatino Linotype" w:hAnsi="Palatino Linotype"/>
                <w:color w:val="202124"/>
                <w:sz w:val="22"/>
                <w:szCs w:val="22"/>
                <w:shd w:val="clear" w:color="auto" w:fill="FFFFFF"/>
              </w:rPr>
              <w:t>(</w:t>
            </w:r>
            <w:r w:rsidRPr="00771272">
              <w:rPr>
                <w:rFonts w:ascii="Palatino Linotype" w:hAnsi="Palatino Linotype"/>
                <w:sz w:val="22"/>
                <w:szCs w:val="22"/>
                <w:lang w:eastAsia="en-IN"/>
              </w:rPr>
              <w:t xml:space="preserve">PIT Regulations), 2015. </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1,00,000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27</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23/03/2021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Timbor Home</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Ltd</w:t>
            </w:r>
          </w:p>
          <w:p w:rsidR="00FE3FAE" w:rsidRPr="00771272"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cs="Arial"/>
                <w:sz w:val="22"/>
                <w:szCs w:val="22"/>
                <w:lang w:val="en-IN" w:eastAsia="en-IN" w:bidi="hi-IN"/>
              </w:rPr>
              <w:t>Paresh Nathalal Chauhan</w:t>
            </w:r>
            <w:r w:rsidRPr="00771272">
              <w:rPr>
                <w:rFonts w:ascii="Palatino Linotype" w:hAnsi="Palatino Linotype"/>
                <w:sz w:val="22"/>
                <w:szCs w:val="22"/>
              </w:rPr>
              <w:t xml:space="preserve"> and 15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3(a), 3 (b), 4 (1), 4(2)(a),  4(2)(f) </w:t>
            </w:r>
          </w:p>
          <w:p w:rsidR="00FE3FAE" w:rsidRPr="00771272" w:rsidRDefault="00FE3FAE" w:rsidP="00FE3FAE">
            <w:pPr>
              <w:rPr>
                <w:rFonts w:ascii="Palatino Linotype" w:hAnsi="Palatino Linotype"/>
                <w:sz w:val="22"/>
                <w:szCs w:val="22"/>
              </w:rPr>
            </w:pPr>
            <w:r w:rsidRPr="00771272">
              <w:rPr>
                <w:rFonts w:ascii="Palatino Linotype" w:hAnsi="Palatino Linotype"/>
                <w:sz w:val="22"/>
                <w:szCs w:val="22"/>
                <w:lang w:eastAsia="en-IN"/>
              </w:rPr>
              <w:t xml:space="preserve">of PFUTP Regulations, 2003.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75,00,000</w:t>
            </w:r>
          </w:p>
          <w:p w:rsidR="00FE3FAE" w:rsidRPr="00771272" w:rsidRDefault="00FE3FAE" w:rsidP="00FE3FAE">
            <w:pPr>
              <w:jc w:val="right"/>
              <w:rPr>
                <w:rFonts w:ascii="Palatino Linotype" w:hAnsi="Palatino Linotype"/>
                <w:sz w:val="22"/>
                <w:szCs w:val="22"/>
              </w:rPr>
            </w:pP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28</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shd w:val="clear" w:color="auto" w:fill="FFFFFF"/>
              </w:rPr>
            </w:pPr>
            <w:r w:rsidRPr="00771272">
              <w:rPr>
                <w:rFonts w:ascii="Palatino Linotype" w:hAnsi="Palatino Linotype"/>
                <w:sz w:val="22"/>
                <w:szCs w:val="22"/>
                <w:shd w:val="clear" w:color="auto" w:fill="FFFFFF"/>
              </w:rPr>
              <w:t>23/03/2021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shd w:val="clear" w:color="auto" w:fill="FFFFFF"/>
              </w:rPr>
            </w:pPr>
            <w:r w:rsidRPr="00771272">
              <w:rPr>
                <w:rFonts w:ascii="Palatino Linotype" w:hAnsi="Palatino Linotype"/>
                <w:sz w:val="22"/>
                <w:szCs w:val="22"/>
                <w:shd w:val="clear" w:color="auto" w:fill="FFFFFF"/>
              </w:rPr>
              <w:t>KGN Enterprise Limited, Polytex India Limited and Gemstone India Limited</w:t>
            </w:r>
          </w:p>
          <w:p w:rsidR="00FE3FAE" w:rsidRPr="00771272" w:rsidRDefault="00FE3FAE" w:rsidP="00FE3FAE">
            <w:pPr>
              <w:rPr>
                <w:rFonts w:ascii="Palatino Linotype" w:hAnsi="Palatino Linotype"/>
                <w:sz w:val="22"/>
                <w:szCs w:val="22"/>
                <w:shd w:val="clear" w:color="auto" w:fill="FFFFFF"/>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Bhavesh Pabari , </w:t>
            </w:r>
            <w:r w:rsidRPr="00771272">
              <w:rPr>
                <w:rFonts w:ascii="Palatino Linotype" w:hAnsi="Palatino Linotype"/>
                <w:sz w:val="22"/>
                <w:szCs w:val="22"/>
                <w:shd w:val="clear" w:color="auto" w:fill="FFFFFF"/>
              </w:rPr>
              <w:t>Hemant Sheth, Prem Parikh, Ankit Sanchaniya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Regulations 3 (a), (b), (c), (d), 4 (1), 4 (2) (a), (b), (e) and (g) of PFUTP Regulations, 2003 and</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section 12A (a), (b) and (c) of SEBI Act, 1992.</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40,00,000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29</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24/03/2021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Dwitiya Trading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shd w:val="clear" w:color="auto" w:fill="FFFFFF"/>
              </w:rPr>
              <w:t xml:space="preserve">AlokTodi, and 12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Regulations 13(4A) read with 13(5) of PIT Regulations, 1992.</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12,00,000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30</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24/03/2021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Non-redressal of</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complaints</w:t>
            </w:r>
          </w:p>
          <w:p w:rsidR="00FE3FAE" w:rsidRPr="00771272"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Amit Kumar Dewda Propreitor M/s Avid Research Investment Adviser</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SEBI Circular CIR/OIAE/2014 dated December 18, 2014 r/w, Regulation 21(1) of SEBI (</w:t>
            </w:r>
            <w:r w:rsidRPr="00771272">
              <w:rPr>
                <w:rFonts w:ascii="Palatino Linotype" w:hAnsi="Palatino Linotype"/>
                <w:color w:val="202124"/>
                <w:sz w:val="22"/>
                <w:szCs w:val="22"/>
                <w:shd w:val="clear" w:color="auto" w:fill="FFFFFF"/>
              </w:rPr>
              <w:t xml:space="preserve">Investment Advisers) </w:t>
            </w:r>
            <w:r w:rsidRPr="00771272">
              <w:rPr>
                <w:rFonts w:ascii="Palatino Linotype" w:hAnsi="Palatino Linotype"/>
                <w:sz w:val="22"/>
                <w:szCs w:val="22"/>
                <w:shd w:val="clear" w:color="auto" w:fill="FFFFFF"/>
              </w:rPr>
              <w:t xml:space="preserve">Regulations </w:t>
            </w:r>
            <w:r w:rsidRPr="00771272">
              <w:rPr>
                <w:rFonts w:ascii="Palatino Linotype" w:hAnsi="Palatino Linotype"/>
                <w:color w:val="202124"/>
                <w:sz w:val="22"/>
                <w:szCs w:val="22"/>
                <w:shd w:val="clear" w:color="auto" w:fill="FFFFFF"/>
              </w:rPr>
              <w:t>(</w:t>
            </w:r>
            <w:r w:rsidRPr="00771272">
              <w:rPr>
                <w:rFonts w:ascii="Palatino Linotype" w:hAnsi="Palatino Linotype"/>
                <w:sz w:val="22"/>
                <w:szCs w:val="22"/>
                <w:shd w:val="clear" w:color="auto" w:fill="FFFFFF"/>
              </w:rPr>
              <w:t xml:space="preserve">IA Regulations), 2013.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1,00,000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31</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24/03/2021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Gujarat Arth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Basant Malpani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 7(1) r/w Regulation 7(2) of Takeover Regulations, 2011 and Regulation 13(1) of Prohibition of Insider Trading Regulations, 2013. </w:t>
            </w:r>
          </w:p>
          <w:p w:rsidR="00FE3FAE" w:rsidRPr="00771272" w:rsidRDefault="00FE3FAE" w:rsidP="00FE3FAE">
            <w:pPr>
              <w:shd w:val="clear" w:color="auto" w:fill="FFFFFF"/>
              <w:rPr>
                <w:rFonts w:ascii="Palatino Linotype" w:hAnsi="Palatino Linotype"/>
                <w:sz w:val="22"/>
                <w:szCs w:val="22"/>
                <w:lang w:eastAsia="en-IN"/>
              </w:rPr>
            </w:pP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Regulations 4 (1), 4(2) (a), (b), (e), (g)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1,30,00,000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32</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25/03/2021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Resurgere Mines and Minerals India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 xml:space="preserve">Resurgere Mines and Minerals India Ltd, Subhas Sharma, Amit Sharma, Nitin Sethi.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Section 12 A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(a) (b) (c) of</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SEBI Act, 1992 r/w</w:t>
            </w:r>
          </w:p>
          <w:p w:rsidR="00FE3FAE" w:rsidRPr="00771272" w:rsidRDefault="00FE3FAE" w:rsidP="00FE3FAE">
            <w:pPr>
              <w:shd w:val="clear" w:color="auto" w:fill="FFFFFF"/>
              <w:rPr>
                <w:rFonts w:ascii="Palatino Linotype" w:hAnsi="Palatino Linotype"/>
                <w:sz w:val="22"/>
                <w:szCs w:val="22"/>
                <w:lang w:eastAsia="en-IN"/>
              </w:rPr>
            </w:pP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 3 (a) (b) (c), (d), 4 (1), 4 (2) (f) (k) (r) of </w:t>
            </w:r>
            <w:r w:rsidRPr="00771272">
              <w:rPr>
                <w:rFonts w:ascii="Palatino Linotype" w:hAnsi="Palatino Linotype"/>
                <w:color w:val="202124"/>
                <w:sz w:val="22"/>
                <w:szCs w:val="22"/>
                <w:shd w:val="clear" w:color="auto" w:fill="FFFFFF"/>
              </w:rPr>
              <w:t xml:space="preserve"> </w:t>
            </w:r>
            <w:r w:rsidRPr="00771272">
              <w:rPr>
                <w:rFonts w:ascii="Palatino Linotype" w:hAnsi="Palatino Linotype"/>
                <w:sz w:val="22"/>
                <w:szCs w:val="22"/>
                <w:lang w:eastAsia="en-IN"/>
              </w:rPr>
              <w:t xml:space="preserve">PFUTP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Regulations, 2003;</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Section 23E of SCRA for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violation of the provisions of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Section 21 of SCRA read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with Clause 36 (7)</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of Listing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Agreement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 </w:t>
            </w:r>
          </w:p>
          <w:p w:rsidR="00FE3FAE" w:rsidRPr="00771272" w:rsidRDefault="00FE3FAE" w:rsidP="00FE3FAE">
            <w:pPr>
              <w:shd w:val="clear" w:color="auto" w:fill="FFFFFF"/>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1,75,00,000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33</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25/03/2021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Supreme Tex Mart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Creative Vis</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ion Industries Pvt Ltd</w:t>
            </w:r>
          </w:p>
          <w:p w:rsidR="00FE3FAE" w:rsidRPr="00771272" w:rsidRDefault="00FE3FAE" w:rsidP="00FE3FAE">
            <w:pPr>
              <w:rPr>
                <w:rFonts w:ascii="Palatino Linotype" w:hAnsi="Palatino Linotype"/>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Section 11C(2) Section  11C(3)  of  the  SEBI  Act, 1992.   </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5,00,000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34</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25/03/2021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SEW Infrastructure</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Limited</w:t>
            </w:r>
          </w:p>
          <w:p w:rsidR="00FE3FAE" w:rsidRPr="00771272"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SEW Infrastructure</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Limited</w:t>
            </w:r>
          </w:p>
          <w:p w:rsidR="00FE3FAE" w:rsidRPr="00771272" w:rsidRDefault="00FE3FAE" w:rsidP="00FE3FAE">
            <w:pPr>
              <w:rPr>
                <w:rFonts w:ascii="Palatino Linotype" w:hAnsi="Palatino Linotype"/>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Regulation</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52(1) of SEBI (Listing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Obligations   and   Disclosure   Requirements)</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Regulations, 2015 (LODR Regulations). </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1,00,000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35</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25/03/2021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Sampada Chemicals</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Ltd</w:t>
            </w:r>
          </w:p>
          <w:p w:rsidR="00FE3FAE" w:rsidRPr="00771272"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 xml:space="preserve">Shyam Alcohol and Chemicals Ltd and Sampada Chemicals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Section 11(C), (2) and</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(3) of SEBI Act, 1992. Regulation 7(1), 7(2), 7(1A) </w:t>
            </w:r>
          </w:p>
          <w:p w:rsidR="00FE3FAE" w:rsidRPr="00771272" w:rsidRDefault="00FE3FAE" w:rsidP="00FE3FAE">
            <w:pPr>
              <w:shd w:val="clear" w:color="auto" w:fill="FFFFFF"/>
              <w:rPr>
                <w:rFonts w:ascii="Palatino Linotype" w:hAnsi="Palatino Linotype"/>
                <w:sz w:val="22"/>
                <w:szCs w:val="22"/>
                <w:lang w:eastAsia="en-IN"/>
              </w:rPr>
            </w:pP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Section 16 of SCRA, 1956 read with SEBI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Notification G.S.R 219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(E) dated March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2, 2000, Section 13 and Section 18  of </w:t>
            </w:r>
            <w:r w:rsidRPr="00771272">
              <w:rPr>
                <w:rFonts w:ascii="Palatino Linotype" w:hAnsi="Palatino Linotype"/>
                <w:sz w:val="22"/>
                <w:szCs w:val="22"/>
                <w:lang w:eastAsia="en-IN"/>
              </w:rPr>
              <w:t>Securities Contracts (Regulation) Act,</w:t>
            </w:r>
            <w:r w:rsidRPr="00771272">
              <w:rPr>
                <w:rFonts w:ascii="Palatino Linotype" w:hAnsi="Palatino Linotype" w:cs="Arial"/>
                <w:sz w:val="22"/>
                <w:szCs w:val="22"/>
                <w:lang w:val="en-IN" w:eastAsia="en-IN" w:bidi="hi-IN"/>
              </w:rPr>
              <w:t>1956 (SCRA) read with</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Section 2(i) of SCRA, 1956</w:t>
            </w:r>
          </w:p>
          <w:p w:rsidR="00FE3FAE" w:rsidRPr="00771272" w:rsidRDefault="00FE3FAE" w:rsidP="00FE3FAE">
            <w:pPr>
              <w:rPr>
                <w:rFonts w:ascii="Palatino Linotype" w:hAnsi="Palatino Linotype" w:cs="Arial"/>
                <w:sz w:val="22"/>
                <w:szCs w:val="22"/>
                <w:lang w:val="en-IN" w:eastAsia="en-IN" w:bidi="hi-IN"/>
              </w:rPr>
            </w:pP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 7(1) r/w Regulation 7(2), Regulation 7(1A) r/w Regulation 11(1) of SAST Regulations, Regulation 13(3) read with Regulation 13(5)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of PIT Regulations,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34,00,000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36</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25/03/2021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Rahul Chokhany</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Rahul Chokhany</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rPr>
                <w:rFonts w:ascii="Palatino Linotype" w:hAnsi="Palatino Linotype"/>
                <w:sz w:val="22"/>
                <w:szCs w:val="22"/>
                <w:shd w:val="clear" w:color="auto" w:fill="FFFFFF"/>
              </w:rPr>
            </w:pPr>
            <w:r w:rsidRPr="00771272">
              <w:rPr>
                <w:rFonts w:ascii="Palatino Linotype" w:hAnsi="Palatino Linotype"/>
                <w:sz w:val="22"/>
                <w:szCs w:val="22"/>
              </w:rPr>
              <w:t xml:space="preserve">Clause 6.1.1(j) of Annexure to Enhanced Supervision Circular, </w:t>
            </w:r>
            <w:r w:rsidRPr="00771272">
              <w:rPr>
                <w:rFonts w:ascii="Palatino Linotype" w:hAnsi="Palatino Linotype"/>
                <w:sz w:val="22"/>
                <w:szCs w:val="22"/>
                <w:shd w:val="clear" w:color="auto" w:fill="FFFFFF"/>
              </w:rPr>
              <w:t xml:space="preserve"> SEBI/HO/MIRSD/</w:t>
            </w:r>
          </w:p>
          <w:p w:rsidR="00FE3FAE" w:rsidRPr="00771272" w:rsidRDefault="00FE3FAE" w:rsidP="00FE3FAE">
            <w:pPr>
              <w:rPr>
                <w:rFonts w:ascii="Palatino Linotype" w:hAnsi="Palatino Linotype" w:cs="Arial"/>
                <w:sz w:val="22"/>
                <w:szCs w:val="22"/>
              </w:rPr>
            </w:pPr>
            <w:r w:rsidRPr="00771272">
              <w:rPr>
                <w:rFonts w:ascii="Palatino Linotype" w:hAnsi="Palatino Linotype"/>
                <w:sz w:val="22"/>
                <w:szCs w:val="22"/>
                <w:shd w:val="clear" w:color="auto" w:fill="FFFFFF"/>
              </w:rPr>
              <w:t xml:space="preserve">DOP1/CIR/P/2018/54 </w:t>
            </w:r>
            <w:r w:rsidRPr="00771272">
              <w:rPr>
                <w:rFonts w:ascii="Palatino Linotype" w:hAnsi="Palatino Linotype" w:cs="Arial"/>
                <w:sz w:val="22"/>
                <w:szCs w:val="22"/>
                <w:lang w:val="en-IN" w:eastAsia="en-IN" w:bidi="hi-IN"/>
              </w:rPr>
              <w:t>dated March 22, 2018</w:t>
            </w:r>
            <w:r w:rsidRPr="00771272">
              <w:rPr>
                <w:rFonts w:ascii="Palatino Linotype" w:hAnsi="Palatino Linotype"/>
                <w:sz w:val="22"/>
                <w:szCs w:val="22"/>
                <w:shd w:val="clear" w:color="auto" w:fill="FFFFFF"/>
              </w:rPr>
              <w:t xml:space="preserve">,  </w:t>
            </w:r>
            <w:r w:rsidRPr="00771272">
              <w:rPr>
                <w:rFonts w:ascii="Palatino Linotype" w:hAnsi="Palatino Linotype" w:cs="Arial"/>
                <w:sz w:val="22"/>
                <w:szCs w:val="22"/>
              </w:rPr>
              <w:t xml:space="preserve">Clause 2(B) of SEBI Circular No. </w:t>
            </w:r>
          </w:p>
          <w:p w:rsidR="00FE3FAE" w:rsidRPr="00771272" w:rsidRDefault="00FE3FAE" w:rsidP="00FE3FAE">
            <w:pPr>
              <w:rPr>
                <w:rFonts w:ascii="Palatino Linotype" w:hAnsi="Palatino Linotype" w:cs="Arial"/>
                <w:sz w:val="22"/>
                <w:szCs w:val="22"/>
              </w:rPr>
            </w:pPr>
            <w:r w:rsidRPr="00771272">
              <w:rPr>
                <w:rFonts w:ascii="Palatino Linotype" w:hAnsi="Palatino Linotype" w:cs="Arial"/>
                <w:sz w:val="22"/>
                <w:szCs w:val="22"/>
              </w:rPr>
              <w:t>CIR/MIRSD/1</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rPr>
              <w:t xml:space="preserve">5/2011 dated August 02, 2011; </w:t>
            </w:r>
            <w:r w:rsidRPr="00771272">
              <w:rPr>
                <w:rFonts w:ascii="Palatino Linotype" w:hAnsi="Palatino Linotype"/>
                <w:sz w:val="22"/>
                <w:szCs w:val="22"/>
              </w:rPr>
              <w:t xml:space="preserve">Circular No. CIR/DNPD/7/2011 dated August 10, 2011; </w:t>
            </w:r>
            <w:r w:rsidRPr="00771272">
              <w:rPr>
                <w:rFonts w:ascii="Palatino Linotype" w:hAnsi="Palatino Linotype" w:cs="Arial"/>
                <w:sz w:val="22"/>
                <w:szCs w:val="22"/>
                <w:lang w:val="en-IN" w:eastAsia="en-IN" w:bidi="hi-IN"/>
              </w:rPr>
              <w:t>Clause 12 of Annexure to SEBI Circular no. SEBI/MIRSD/SE/Cir-</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19/2009 dated December 03, 2009 read with Clause 8.1 of Annexure to Enhanced Supervision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Circular</w:t>
            </w:r>
          </w:p>
          <w:p w:rsidR="00FE3FAE" w:rsidRPr="00771272" w:rsidRDefault="00FE3FAE" w:rsidP="00FE3FAE">
            <w:pPr>
              <w:rPr>
                <w:rFonts w:ascii="Palatino Linotype" w:hAnsi="Palatino Linotype" w:cs="Arial"/>
                <w:sz w:val="22"/>
                <w:szCs w:val="22"/>
              </w:rPr>
            </w:pPr>
          </w:p>
          <w:p w:rsidR="00FE3FAE" w:rsidRPr="00771272" w:rsidRDefault="00FE3FAE" w:rsidP="00FE3FAE">
            <w:pPr>
              <w:shd w:val="clear" w:color="FFFFFF" w:fill="FFFFFF"/>
              <w:rPr>
                <w:rFonts w:ascii="Palatino Linotype" w:hAnsi="Palatino Linotype"/>
                <w:sz w:val="22"/>
                <w:szCs w:val="22"/>
                <w:lang w:eastAsia="en-IN"/>
              </w:rPr>
            </w:pPr>
            <w:r w:rsidRPr="00771272">
              <w:rPr>
                <w:rFonts w:ascii="Palatino Linotype" w:hAnsi="Palatino Linotype"/>
                <w:sz w:val="22"/>
                <w:szCs w:val="22"/>
                <w:lang w:eastAsia="en-IN"/>
              </w:rPr>
              <w:t>Section</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23D of Securities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sz w:val="22"/>
                <w:szCs w:val="22"/>
                <w:lang w:eastAsia="en-IN"/>
              </w:rPr>
              <w:t xml:space="preserve">Contracts (Regulation) (SCRA) Act,1956 r/w </w:t>
            </w:r>
            <w:r w:rsidRPr="00771272">
              <w:rPr>
                <w:rFonts w:ascii="Palatino Linotype" w:hAnsi="Palatino Linotype"/>
                <w:sz w:val="22"/>
                <w:szCs w:val="22"/>
              </w:rPr>
              <w:t xml:space="preserve">with Clause 1 of </w:t>
            </w:r>
            <w:r w:rsidRPr="00771272">
              <w:rPr>
                <w:rFonts w:ascii="Palatino Linotype" w:hAnsi="Palatino Linotype" w:cs="Arial"/>
                <w:sz w:val="22"/>
                <w:szCs w:val="22"/>
                <w:lang w:val="en-IN" w:eastAsia="en-IN" w:bidi="hi-IN"/>
              </w:rPr>
              <w:t xml:space="preserve">Annexure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to Transaction</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Regulation Circular and Clause</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 xml:space="preserve">3 of Annexure to Enhanced </w:t>
            </w:r>
          </w:p>
          <w:p w:rsidR="00FE3FAE" w:rsidRPr="00771272" w:rsidRDefault="00FE3FAE" w:rsidP="00FE3FAE">
            <w:pPr>
              <w:rPr>
                <w:rFonts w:ascii="Palatino Linotype" w:hAnsi="Palatino Linotype" w:cs="Arial"/>
                <w:sz w:val="22"/>
                <w:szCs w:val="22"/>
                <w:lang w:val="en-IN" w:eastAsia="en-IN" w:bidi="hi-IN"/>
              </w:rPr>
            </w:pPr>
            <w:r w:rsidRPr="00771272">
              <w:rPr>
                <w:rFonts w:ascii="Palatino Linotype" w:hAnsi="Palatino Linotype" w:cs="Arial"/>
                <w:sz w:val="22"/>
                <w:szCs w:val="22"/>
                <w:lang w:val="en-IN" w:eastAsia="en-IN" w:bidi="hi-IN"/>
              </w:rPr>
              <w:t>Supervision Circular.</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9,00,000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37</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25/03/2021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Tara Jewels Limited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Rajeev Sheth, Aarti Sheth, Divya Sheth, Purnima Sheth, Divya Jewels International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rPr>
                <w:rFonts w:ascii="Palatino Linotype" w:hAnsi="Palatino Linotype" w:cs="Arial"/>
                <w:sz w:val="22"/>
                <w:szCs w:val="22"/>
                <w:lang w:val="en-IN"/>
              </w:rPr>
            </w:pPr>
            <w:r w:rsidRPr="00771272">
              <w:rPr>
                <w:rFonts w:ascii="Palatino Linotype" w:hAnsi="Palatino Linotype" w:cs="Arial"/>
                <w:sz w:val="22"/>
                <w:szCs w:val="22"/>
              </w:rPr>
              <w:t xml:space="preserve">Regulation </w:t>
            </w:r>
          </w:p>
          <w:p w:rsidR="00FE3FAE" w:rsidRPr="00771272" w:rsidRDefault="00FE3FAE" w:rsidP="00FE3FAE">
            <w:pPr>
              <w:rPr>
                <w:rFonts w:ascii="Palatino Linotype" w:hAnsi="Palatino Linotype" w:cs="Arial"/>
                <w:sz w:val="22"/>
                <w:szCs w:val="22"/>
              </w:rPr>
            </w:pPr>
            <w:r w:rsidRPr="00771272">
              <w:rPr>
                <w:rFonts w:ascii="Palatino Linotype" w:hAnsi="Palatino Linotype" w:cs="Arial"/>
                <w:sz w:val="22"/>
                <w:szCs w:val="22"/>
              </w:rPr>
              <w:t xml:space="preserve">7(2)(a) of PIT Regulation,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 Regulation 29(2), 29(3)of SAST Regulations,. </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2,00,000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38</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26/03/2021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Aqua Logistics</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Ltd</w:t>
            </w:r>
          </w:p>
          <w:p w:rsidR="00FE3FAE" w:rsidRPr="00771272"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Mukesh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Chauradiya</w:t>
            </w:r>
          </w:p>
          <w:p w:rsidR="00FE3FAE" w:rsidRPr="00771272" w:rsidRDefault="00FE3FAE" w:rsidP="00FE3FAE">
            <w:pPr>
              <w:rPr>
                <w:rFonts w:ascii="Palatino Linotype" w:hAnsi="Palatino Linotype"/>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Section 12A (a), (b), (c) of SEBI Act, 1992. </w:t>
            </w:r>
            <w:r w:rsidRPr="00771272">
              <w:rPr>
                <w:rFonts w:ascii="Palatino Linotype" w:hAnsi="Palatino Linotype"/>
                <w:sz w:val="22"/>
                <w:szCs w:val="22"/>
                <w:shd w:val="clear" w:color="auto" w:fill="FFFFFF"/>
              </w:rPr>
              <w:t xml:space="preserve">3(a), (b), (c), (d) and 4(1) of </w:t>
            </w:r>
            <w:r w:rsidRPr="00771272">
              <w:rPr>
                <w:rFonts w:ascii="Palatino Linotype" w:hAnsi="Palatino Linotype"/>
                <w:color w:val="202124"/>
                <w:sz w:val="22"/>
                <w:szCs w:val="22"/>
                <w:shd w:val="clear" w:color="auto" w:fill="FFFFFF"/>
              </w:rPr>
              <w:t xml:space="preserve">Prohibition of Fraudulent and Unfair Trade Practices </w:t>
            </w:r>
            <w:r w:rsidRPr="00771272">
              <w:rPr>
                <w:rFonts w:ascii="Palatino Linotype" w:hAnsi="Palatino Linotype"/>
                <w:sz w:val="22"/>
                <w:szCs w:val="22"/>
                <w:lang w:eastAsia="en-IN"/>
              </w:rPr>
              <w:t xml:space="preserve">(PFUTP)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Regulations, 2003. </w:t>
            </w:r>
          </w:p>
          <w:p w:rsidR="00FE3FAE" w:rsidRPr="00771272" w:rsidRDefault="00FE3FAE" w:rsidP="00FE3FAE">
            <w:pPr>
              <w:shd w:val="clear" w:color="auto" w:fill="FFFFFF"/>
              <w:rPr>
                <w:rFonts w:ascii="Palatino Linotype" w:hAnsi="Palatino Linotype"/>
                <w:sz w:val="22"/>
                <w:szCs w:val="22"/>
                <w:lang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20,00,000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39</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26/03/2021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Delayed submission/</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Non-submission of financial results for financial year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ended March 31, 2019</w:t>
            </w:r>
          </w:p>
          <w:p w:rsidR="00FE3FAE" w:rsidRPr="00771272"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Fantasy Buildwell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52(1), 52(4) and 52(5) of LODR Regulations. </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1,00,000</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40</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26/03/2021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Delayed submission/</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Non-submission of financial results for financial year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ended March 31, 2019</w:t>
            </w:r>
          </w:p>
          <w:p w:rsidR="00FE3FAE" w:rsidRPr="00771272"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shd w:val="clear" w:color="auto" w:fill="FFFFFF"/>
              </w:rPr>
              <w:t xml:space="preserve">Alliance Infrastructure Project Pvt. Ltd, Ashna Realtors Pvt.  Ltd, </w:t>
            </w:r>
            <w:r w:rsidRPr="00771272">
              <w:rPr>
                <w:rFonts w:ascii="Palatino Linotype" w:hAnsi="Palatino Linotype"/>
                <w:sz w:val="22"/>
                <w:szCs w:val="22"/>
                <w:lang w:eastAsia="en-IN"/>
              </w:rPr>
              <w:t>RMG Developers Pvt. Ltd, T</w:t>
            </w:r>
            <w:r w:rsidRPr="00771272">
              <w:rPr>
                <w:rFonts w:ascii="Palatino Linotype" w:hAnsi="Palatino Linotype"/>
                <w:sz w:val="22"/>
                <w:szCs w:val="22"/>
                <w:shd w:val="clear" w:color="auto" w:fill="FFFFFF"/>
              </w:rPr>
              <w:t>arendra Infrastructure Chennai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52(1), 52(4), 52(5) of SEBI LODR Regulations. </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4,00,000</w:t>
            </w:r>
          </w:p>
        </w:tc>
      </w:tr>
      <w:tr w:rsidR="00FE3FAE"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FE3FAE" w:rsidRDefault="00C21F0D" w:rsidP="00FE3FAE">
            <w:pPr>
              <w:jc w:val="both"/>
              <w:rPr>
                <w:color w:val="000000"/>
                <w:sz w:val="22"/>
                <w:szCs w:val="22"/>
                <w:lang w:val="en-IN" w:eastAsia="en-IN" w:bidi="hi-IN"/>
              </w:rPr>
            </w:pPr>
            <w:r>
              <w:rPr>
                <w:color w:val="000000"/>
                <w:sz w:val="22"/>
                <w:szCs w:val="22"/>
                <w:lang w:val="en-IN" w:eastAsia="en-IN" w:bidi="hi-IN"/>
              </w:rPr>
              <w:t>41</w:t>
            </w:r>
          </w:p>
        </w:tc>
        <w:tc>
          <w:tcPr>
            <w:tcW w:w="1418" w:type="dxa"/>
            <w:tcBorders>
              <w:top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rPr>
              <w:t>26/03/2021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B C Power Controls Ltd</w:t>
            </w:r>
          </w:p>
          <w:p w:rsidR="00FE3FAE" w:rsidRPr="00771272"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rPr>
                <w:rFonts w:ascii="Palatino Linotype" w:hAnsi="Palatino Linotype"/>
                <w:sz w:val="22"/>
                <w:szCs w:val="22"/>
              </w:rPr>
            </w:pPr>
            <w:r w:rsidRPr="00771272">
              <w:rPr>
                <w:rFonts w:ascii="Palatino Linotype" w:hAnsi="Palatino Linotype"/>
                <w:sz w:val="22"/>
                <w:szCs w:val="22"/>
                <w:shd w:val="clear" w:color="auto" w:fill="FFFFFF"/>
              </w:rPr>
              <w:t>Silvertoss Shoppers Pvt. Ltd, Kamlesh Shantilalji  Jain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 29(1),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29(2) r/w 29 (3) of SEBI SAST </w:t>
            </w:r>
          </w:p>
          <w:p w:rsidR="00FE3FAE" w:rsidRPr="00771272" w:rsidRDefault="00FE3FAE" w:rsidP="00FE3FAE">
            <w:pPr>
              <w:shd w:val="clear" w:color="auto" w:fill="FFFFFF"/>
              <w:rPr>
                <w:rFonts w:ascii="Palatino Linotype" w:hAnsi="Palatino Linotype"/>
                <w:sz w:val="22"/>
                <w:szCs w:val="22"/>
                <w:lang w:eastAsia="en-IN"/>
              </w:rPr>
            </w:pPr>
            <w:r w:rsidRPr="00771272">
              <w:rPr>
                <w:rFonts w:ascii="Palatino Linotype" w:hAnsi="Palatino Linotype"/>
                <w:sz w:val="22"/>
                <w:szCs w:val="22"/>
                <w:lang w:eastAsia="en-IN"/>
              </w:rPr>
              <w:t xml:space="preserve">Regulations. </w:t>
            </w:r>
          </w:p>
          <w:p w:rsidR="00FE3FAE" w:rsidRPr="00771272" w:rsidRDefault="00FE3FAE" w:rsidP="00FE3FAE">
            <w:pPr>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771272" w:rsidRDefault="00FE3FAE" w:rsidP="00FE3FAE">
            <w:pPr>
              <w:jc w:val="right"/>
              <w:rPr>
                <w:rFonts w:ascii="Palatino Linotype" w:hAnsi="Palatino Linotype"/>
                <w:sz w:val="22"/>
                <w:szCs w:val="22"/>
              </w:rPr>
            </w:pPr>
            <w:r w:rsidRPr="00771272">
              <w:rPr>
                <w:rFonts w:ascii="Palatino Linotype" w:hAnsi="Palatino Linotype"/>
                <w:sz w:val="22"/>
                <w:szCs w:val="22"/>
              </w:rPr>
              <w:t>4,00,000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42</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28/03/2021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Illiquid Stock Options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at BSE  </w:t>
            </w:r>
          </w:p>
          <w:p w:rsidR="00C21F0D" w:rsidRPr="003863EE" w:rsidRDefault="00C21F0D" w:rsidP="00C21F0D">
            <w:pPr>
              <w:rPr>
                <w:rFonts w:ascii="Palatino Linotype" w:eastAsia="Calibri" w:hAnsi="Palatino Linotype"/>
                <w:sz w:val="22"/>
                <w:szCs w:val="22"/>
                <w:lang w:val="en-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Stallion Investments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Regulations 3(a), (b), (c), (d), 4(1) and 4(2)(a) of </w:t>
            </w:r>
            <w:r w:rsidRPr="003863EE">
              <w:rPr>
                <w:rFonts w:ascii="Palatino Linotype" w:eastAsia="Calibri" w:hAnsi="Palatino Linotype"/>
                <w:sz w:val="22"/>
                <w:szCs w:val="22"/>
                <w:shd w:val="clear" w:color="auto" w:fill="FFFFFF"/>
                <w:lang w:val="en-IN"/>
              </w:rPr>
              <w:t xml:space="preserve">Prohibition of Fraudulent and Unfair Trading Practices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Regulations  </w:t>
            </w:r>
            <w:r w:rsidRPr="003863EE">
              <w:rPr>
                <w:rFonts w:ascii="Palatino Linotype" w:eastAsia="Calibri" w:hAnsi="Palatino Linotype"/>
                <w:sz w:val="22"/>
                <w:szCs w:val="22"/>
                <w:shd w:val="clear" w:color="auto" w:fill="FFFFFF"/>
                <w:lang w:val="en-IN"/>
              </w:rPr>
              <w:t>(</w:t>
            </w:r>
            <w:r w:rsidRPr="003863EE">
              <w:rPr>
                <w:rFonts w:ascii="Palatino Linotype" w:hAnsi="Palatino Linotype"/>
                <w:sz w:val="22"/>
                <w:szCs w:val="22"/>
                <w:lang w:val="en-IN" w:eastAsia="en-IN"/>
              </w:rPr>
              <w:t xml:space="preserve">PFUTP Regulations), 2003 </w:t>
            </w:r>
          </w:p>
          <w:p w:rsidR="00C21F0D" w:rsidRPr="003863EE" w:rsidRDefault="00C21F0D" w:rsidP="00C21F0D">
            <w:pPr>
              <w:rPr>
                <w:rFonts w:ascii="Palatino Linotype" w:eastAsia="Calibri" w:hAnsi="Palatino Linotype"/>
                <w:sz w:val="22"/>
                <w:szCs w:val="22"/>
                <w:lang w:val="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5,00,000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43</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28/03/2021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KLG Capital Services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Hemant Patel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Unpublished price sensitive information (UPSI) - </w:t>
            </w:r>
            <w:r w:rsidRPr="003863EE">
              <w:rPr>
                <w:rFonts w:ascii="Palatino Linotype" w:eastAsia="Calibri" w:hAnsi="Palatino Linotype"/>
                <w:sz w:val="22"/>
                <w:szCs w:val="22"/>
                <w:shd w:val="clear" w:color="auto" w:fill="FFFFFF"/>
                <w:lang w:val="en-IN"/>
              </w:rPr>
              <w:t xml:space="preserve">Regulations 3(i), (ii) of Prohibition of Insider Trading Regulations (PIT Regulations), 1992.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7,63,908</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44</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Delayed submission/non</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submission of financial results for financial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year ended March 31, 2019</w:t>
            </w:r>
          </w:p>
          <w:p w:rsidR="00C21F0D" w:rsidRPr="003863EE" w:rsidRDefault="00C21F0D" w:rsidP="00C21F0D">
            <w:pPr>
              <w:rPr>
                <w:rFonts w:ascii="Palatino Linotype" w:eastAsia="Calibri" w:hAnsi="Palatino Linotype"/>
                <w:sz w:val="22"/>
                <w:szCs w:val="22"/>
                <w:shd w:val="clear" w:color="auto" w:fill="FFFFFF"/>
                <w:lang w:val="en-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Ozone Projects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Regulation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52(1), 52(4) and 52(5) of Listing Obligations and Disclosure Requirements Regulations (LODR Regulations), 2015.</w:t>
            </w:r>
          </w:p>
          <w:p w:rsidR="00C21F0D" w:rsidRPr="003863EE"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2,00,000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45</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ASE Capital Markets Ltd. </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ASE Capital Markets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SEBI Circulars - MIRSD/Cir-26/2011 dated December 23, 2011 </w:t>
            </w:r>
          </w:p>
          <w:p w:rsidR="00C21F0D" w:rsidRPr="003863EE" w:rsidRDefault="00C21F0D" w:rsidP="00C21F0D">
            <w:pPr>
              <w:jc w:val="both"/>
              <w:rPr>
                <w:rFonts w:ascii="Palatino Linotype" w:eastAsia="Calibri" w:hAnsi="Palatino Linotype"/>
                <w:sz w:val="22"/>
                <w:szCs w:val="22"/>
                <w:shd w:val="clear" w:color="auto" w:fill="FFFFFF"/>
                <w:lang w:val="en-IN"/>
              </w:rPr>
            </w:pP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Clause 7 &amp; 6.1.1(J) of Annexure of </w:t>
            </w: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SEBI Circular </w:t>
            </w: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SEBI/HO/MIRSD/MIRSD2/CIR/P/2016/95 dated September 26, 2016; </w:t>
            </w:r>
          </w:p>
          <w:p w:rsidR="00C21F0D" w:rsidRPr="003863EE" w:rsidRDefault="00C21F0D" w:rsidP="00C21F0D">
            <w:pPr>
              <w:jc w:val="both"/>
              <w:rPr>
                <w:rFonts w:ascii="Palatino Linotype" w:eastAsia="Calibri" w:hAnsi="Palatino Linotype"/>
                <w:sz w:val="22"/>
                <w:szCs w:val="22"/>
                <w:shd w:val="clear" w:color="auto" w:fill="FFFFFF"/>
                <w:lang w:val="en-IN"/>
              </w:rPr>
            </w:pP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Clause </w:t>
            </w: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2B of SEBI circular CIR/MIRSD/15/2011 dated August 02, 2011; </w:t>
            </w:r>
          </w:p>
          <w:p w:rsidR="00C21F0D" w:rsidRPr="003863EE" w:rsidRDefault="00C21F0D" w:rsidP="00C21F0D">
            <w:pPr>
              <w:jc w:val="both"/>
              <w:rPr>
                <w:rFonts w:ascii="Palatino Linotype" w:eastAsia="Calibri" w:hAnsi="Palatino Linotype"/>
                <w:sz w:val="22"/>
                <w:szCs w:val="22"/>
                <w:shd w:val="clear" w:color="auto" w:fill="FFFFFF"/>
                <w:lang w:val="en-IN"/>
              </w:rPr>
            </w:pP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Provisions of </w:t>
            </w: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clause 2.6 of annexure to SEBI circular </w:t>
            </w: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SEBI/HO/MIRSD/MIRSD2/Cir/P/2016/95 dated September 26,2016 read with Clause 2(d) of the SEBI's Circular no. CIR/HO/MIRSD/MIRSD2/CIR/P/2017/64 dated June 22 2017</w:t>
            </w:r>
          </w:p>
          <w:p w:rsidR="00C21F0D" w:rsidRPr="003863EE" w:rsidRDefault="00C21F0D" w:rsidP="00C21F0D">
            <w:pPr>
              <w:jc w:val="both"/>
              <w:rPr>
                <w:rFonts w:ascii="Palatino Linotype" w:eastAsia="Calibri" w:hAnsi="Palatino Linotype"/>
                <w:sz w:val="22"/>
                <w:szCs w:val="22"/>
                <w:shd w:val="clear" w:color="auto" w:fill="FFFFFF"/>
                <w:lang w:val="en-IN"/>
              </w:rPr>
            </w:pPr>
          </w:p>
          <w:p w:rsidR="00C21F0D" w:rsidRPr="003863EE" w:rsidRDefault="00C21F0D" w:rsidP="00C21F0D">
            <w:pPr>
              <w:jc w:val="both"/>
              <w:rPr>
                <w:rFonts w:ascii="Palatino Linotype" w:eastAsia="Calibri" w:hAnsi="Palatino Linotype"/>
                <w:sz w:val="22"/>
                <w:szCs w:val="22"/>
                <w:shd w:val="clear" w:color="auto" w:fill="FFFFFF"/>
                <w:lang w:val="en-IN"/>
              </w:rPr>
            </w:pP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SEBI Circular </w:t>
            </w: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MIRSD/SE/Cir</w:t>
            </w: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 xml:space="preserve">-19/2009 dated </w:t>
            </w:r>
          </w:p>
          <w:p w:rsidR="00C21F0D" w:rsidRPr="003863EE" w:rsidRDefault="00C21F0D" w:rsidP="00C21F0D">
            <w:pPr>
              <w:jc w:val="both"/>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December 03, 2009</w:t>
            </w:r>
          </w:p>
          <w:p w:rsidR="00C21F0D" w:rsidRPr="003863EE" w:rsidRDefault="00C21F0D" w:rsidP="00C21F0D">
            <w:pPr>
              <w:shd w:val="clear" w:color="auto" w:fill="FFFFFF"/>
              <w:jc w:val="both"/>
              <w:rPr>
                <w:rFonts w:ascii="Palatino Linotype" w:eastAsia="Calibri" w:hAnsi="Palatino Linotype"/>
                <w:sz w:val="22"/>
                <w:szCs w:val="22"/>
                <w:shd w:val="clear" w:color="auto" w:fill="FFFFFF"/>
                <w:lang w:val="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2,50,000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46</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Pyramid Saimira Theatre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 xml:space="preserve">Rajesh Shah, Nirmal Shah, Devang Shah, Ritaben Shah, Binaben Shah, Namitaben Shah, Sachin Shah and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Section 12A(a), 12A(b) and 1</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2A(c) of SEBI Act, 1992.</w:t>
            </w:r>
          </w:p>
          <w:p w:rsidR="00C21F0D" w:rsidRPr="003863EE" w:rsidRDefault="00C21F0D" w:rsidP="00C21F0D">
            <w:pPr>
              <w:shd w:val="clear" w:color="auto" w:fill="FFFFFF"/>
              <w:rPr>
                <w:rFonts w:ascii="Palatino Linotype" w:hAnsi="Palatino Linotype"/>
                <w:sz w:val="22"/>
                <w:szCs w:val="22"/>
                <w:lang w:val="en-IN" w:eastAsia="en-IN"/>
              </w:rPr>
            </w:pP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Regulation 3(a),3(b), 3(c), 3(d), 4(1), 4(2)(a), 4(2)(b)</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and 4(2)(e) of PFUTP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Regulations, 2003 </w:t>
            </w:r>
          </w:p>
          <w:p w:rsidR="00C21F0D" w:rsidRPr="003863EE" w:rsidRDefault="00C21F0D" w:rsidP="00C21F0D">
            <w:pPr>
              <w:shd w:val="clear" w:color="auto" w:fill="FFFFFF"/>
              <w:rPr>
                <w:rFonts w:ascii="Palatino Linotype" w:hAnsi="Palatino Linotype"/>
                <w:sz w:val="22"/>
                <w:szCs w:val="22"/>
                <w:lang w:val="en-IN" w:eastAsia="en-IN"/>
              </w:rPr>
            </w:pPr>
          </w:p>
          <w:p w:rsidR="00C21F0D" w:rsidRPr="003863EE" w:rsidRDefault="00C21F0D" w:rsidP="00C21F0D">
            <w:pPr>
              <w:shd w:val="clear" w:color="auto" w:fill="FFFFFF"/>
              <w:rPr>
                <w:rFonts w:ascii="Palatino Linotype" w:hAnsi="Palatino Linotype"/>
                <w:sz w:val="22"/>
                <w:szCs w:val="22"/>
                <w:lang w:val="en-IN" w:eastAsia="en-IN"/>
              </w:rPr>
            </w:pPr>
          </w:p>
          <w:p w:rsidR="00C21F0D" w:rsidRPr="003863EE"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10,00,000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47</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Kunvarji Finstock Pvt.</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Ltd.</w:t>
            </w:r>
          </w:p>
          <w:p w:rsidR="00C21F0D" w:rsidRPr="003863EE" w:rsidRDefault="00C21F0D" w:rsidP="00C21F0D">
            <w:pPr>
              <w:rPr>
                <w:rFonts w:ascii="Palatino Linotype" w:eastAsia="Calibri" w:hAnsi="Palatino Linotype"/>
                <w:sz w:val="22"/>
                <w:szCs w:val="22"/>
                <w:shd w:val="clear" w:color="auto" w:fill="FFFFFF"/>
                <w:lang w:val="en-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Kunvarji Finstock Pvt.</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Ltd.</w:t>
            </w:r>
          </w:p>
          <w:p w:rsidR="00C21F0D" w:rsidRPr="003863EE" w:rsidRDefault="00C21F0D" w:rsidP="00C21F0D">
            <w:pPr>
              <w:rPr>
                <w:rFonts w:ascii="Palatino Linotype" w:eastAsia="Calibri" w:hAnsi="Palatino Linotype"/>
                <w:sz w:val="22"/>
                <w:szCs w:val="22"/>
                <w:lang w:val="en-I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autoSpaceDE w:val="0"/>
              <w:autoSpaceDN w:val="0"/>
              <w:adjustRightInd w:val="0"/>
              <w:jc w:val="both"/>
              <w:rPr>
                <w:rFonts w:ascii="Palatino Linotype" w:hAnsi="Palatino Linotype"/>
                <w:sz w:val="22"/>
                <w:szCs w:val="22"/>
                <w:lang w:val="en-IN" w:eastAsia="en-IN"/>
              </w:rPr>
            </w:pPr>
            <w:r w:rsidRPr="003863EE">
              <w:rPr>
                <w:rFonts w:ascii="Palatino Linotype" w:hAnsi="Palatino Linotype"/>
                <w:sz w:val="22"/>
                <w:szCs w:val="22"/>
                <w:lang w:val="en-IN" w:eastAsia="en-IN"/>
              </w:rPr>
              <w:t>Clause 12 of Annexure to SEBI Circular SEBI/MIRSD/SE/Cir-19/2009 dated 03.12.2009;</w:t>
            </w:r>
          </w:p>
          <w:p w:rsidR="00C21F0D" w:rsidRPr="003863EE" w:rsidRDefault="00C21F0D" w:rsidP="00C21F0D">
            <w:pPr>
              <w:autoSpaceDE w:val="0"/>
              <w:autoSpaceDN w:val="0"/>
              <w:adjustRightInd w:val="0"/>
              <w:jc w:val="both"/>
              <w:rPr>
                <w:rFonts w:ascii="Palatino Linotype" w:hAnsi="Palatino Linotype"/>
                <w:sz w:val="22"/>
                <w:szCs w:val="22"/>
                <w:lang w:val="en-IN" w:eastAsia="en-IN"/>
              </w:rPr>
            </w:pPr>
          </w:p>
          <w:p w:rsidR="00C21F0D" w:rsidRPr="003863EE" w:rsidRDefault="00C21F0D" w:rsidP="00C21F0D">
            <w:pPr>
              <w:autoSpaceDE w:val="0"/>
              <w:autoSpaceDN w:val="0"/>
              <w:adjustRightInd w:val="0"/>
              <w:jc w:val="both"/>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Clause 8.1. of Annexure to SEBI Circular SEBI/HO/MIRSD/MIRSS2/CIR/P/2016/95 dated 26.09.2016 </w:t>
            </w:r>
          </w:p>
          <w:p w:rsidR="00C21F0D" w:rsidRPr="003863EE" w:rsidRDefault="00C21F0D" w:rsidP="00C21F0D">
            <w:pPr>
              <w:shd w:val="clear" w:color="auto" w:fill="FFFFFF"/>
              <w:rPr>
                <w:rFonts w:ascii="Palatino Linotype" w:hAnsi="Palatino Linotype"/>
                <w:sz w:val="22"/>
                <w:szCs w:val="22"/>
                <w:lang w:val="en-IN" w:eastAsia="en-IN"/>
              </w:rPr>
            </w:pPr>
          </w:p>
          <w:p w:rsidR="00C21F0D" w:rsidRPr="003863EE"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1,00,000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48</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31/03/2021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Zensar Technologies</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Ltd.</w:t>
            </w:r>
          </w:p>
          <w:p w:rsidR="00C21F0D" w:rsidRPr="003863EE" w:rsidRDefault="00C21F0D" w:rsidP="00C21F0D">
            <w:pPr>
              <w:rPr>
                <w:rFonts w:ascii="Palatino Linotype" w:eastAsia="Calibri" w:hAnsi="Palatino Linotype"/>
                <w:sz w:val="22"/>
                <w:szCs w:val="22"/>
                <w:shd w:val="clear" w:color="auto" w:fill="FFFFFF"/>
                <w:lang w:val="en-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Swallow Associates LLP (earlier known as RPG Cellular Investments and Holdings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rPr>
                <w:rFonts w:ascii="Palatino Linotype" w:hAnsi="Palatino Linotype" w:cs="Arial"/>
                <w:sz w:val="22"/>
                <w:szCs w:val="22"/>
                <w:lang w:val="en-IN" w:eastAsia="en-IN" w:bidi="hi-IN"/>
              </w:rPr>
            </w:pPr>
            <w:r w:rsidRPr="003863EE">
              <w:rPr>
                <w:rFonts w:ascii="Palatino Linotype" w:hAnsi="Palatino Linotype" w:cs="Arial"/>
                <w:sz w:val="22"/>
                <w:szCs w:val="22"/>
                <w:lang w:val="en-IN" w:eastAsia="en-IN" w:bidi="hi-IN"/>
              </w:rPr>
              <w:t>Regulation 10 of the SAST Regulations, 1997;</w:t>
            </w:r>
          </w:p>
          <w:p w:rsidR="00C21F0D" w:rsidRPr="003863EE" w:rsidRDefault="00C21F0D" w:rsidP="00C21F0D">
            <w:pPr>
              <w:rPr>
                <w:rFonts w:ascii="Palatino Linotype" w:hAnsi="Palatino Linotype" w:cs="Arial"/>
                <w:sz w:val="22"/>
                <w:szCs w:val="22"/>
                <w:lang w:val="en-IN" w:eastAsia="en-IN" w:bidi="hi-IN"/>
              </w:rPr>
            </w:pPr>
            <w:r w:rsidRPr="003863EE">
              <w:rPr>
                <w:rFonts w:ascii="Palatino Linotype" w:hAnsi="Palatino Linotype" w:cs="Arial"/>
                <w:sz w:val="22"/>
                <w:szCs w:val="22"/>
                <w:lang w:val="en-IN" w:eastAsia="en-IN" w:bidi="hi-IN"/>
              </w:rPr>
              <w:t xml:space="preserve">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Regulation </w:t>
            </w:r>
            <w:r w:rsidRPr="003863EE">
              <w:rPr>
                <w:rFonts w:ascii="Palatino Linotype" w:eastAsia="Calibri" w:hAnsi="Palatino Linotype"/>
                <w:sz w:val="22"/>
                <w:szCs w:val="22"/>
                <w:shd w:val="clear" w:color="auto" w:fill="FFFFFF"/>
                <w:lang w:val="en-IN"/>
              </w:rPr>
              <w:t>7(1) and 7(1A) of SEBI (</w:t>
            </w:r>
            <w:r w:rsidRPr="003863EE">
              <w:rPr>
                <w:rFonts w:ascii="Palatino Linotype" w:hAnsi="Palatino Linotype"/>
                <w:sz w:val="22"/>
                <w:szCs w:val="22"/>
                <w:lang w:val="en-IN" w:eastAsia="en-IN"/>
              </w:rPr>
              <w:t xml:space="preserve"> </w:t>
            </w:r>
            <w:r w:rsidRPr="003863EE">
              <w:rPr>
                <w:rFonts w:ascii="Palatino Linotype" w:eastAsia="Calibri" w:hAnsi="Palatino Linotype"/>
                <w:sz w:val="22"/>
                <w:szCs w:val="22"/>
                <w:shd w:val="clear" w:color="auto" w:fill="FFFFFF"/>
                <w:lang w:val="en-IN"/>
              </w:rPr>
              <w:t xml:space="preserve">Substantial Acquisition of Shares and Takeovers)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Regulations </w:t>
            </w:r>
            <w:r w:rsidRPr="003863EE">
              <w:rPr>
                <w:rFonts w:ascii="Palatino Linotype" w:eastAsia="Calibri" w:hAnsi="Palatino Linotype"/>
                <w:sz w:val="22"/>
                <w:szCs w:val="22"/>
                <w:shd w:val="clear" w:color="auto" w:fill="FFFFFF"/>
                <w:lang w:val="en-IN"/>
              </w:rPr>
              <w:t>(</w:t>
            </w:r>
            <w:r w:rsidRPr="003863EE">
              <w:rPr>
                <w:rFonts w:ascii="Palatino Linotype" w:hAnsi="Palatino Linotype"/>
                <w:sz w:val="22"/>
                <w:szCs w:val="22"/>
                <w:lang w:val="en-IN" w:eastAsia="en-IN"/>
              </w:rPr>
              <w:t>SAST Regulations)1997;</w:t>
            </w:r>
          </w:p>
          <w:p w:rsidR="00C21F0D" w:rsidRPr="003863EE" w:rsidRDefault="00C21F0D" w:rsidP="00C21F0D">
            <w:pPr>
              <w:shd w:val="clear" w:color="auto" w:fill="FFFFFF"/>
              <w:rPr>
                <w:rFonts w:ascii="Palatino Linotype" w:hAnsi="Palatino Linotype"/>
                <w:sz w:val="22"/>
                <w:szCs w:val="22"/>
                <w:lang w:val="en-IN" w:eastAsia="en-IN"/>
              </w:rPr>
            </w:pP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Regulation 13(3) r/w 13(5) of PIT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12,00,000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49</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31/03/2021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Partani Appliances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Girish Agarwal &amp; Sons (HUF) and six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Regulations 3(a), 3(b), 3(c), 3(d) and 4(1), 4(2) (a) &amp; 4(2) (e)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35,00,000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50</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31/03/2021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Voltaire Leasing and Finance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Looklike Trade Pvt</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Ltd</w:t>
            </w:r>
          </w:p>
          <w:p w:rsidR="00C21F0D" w:rsidRPr="003863EE" w:rsidRDefault="00C21F0D" w:rsidP="00C21F0D">
            <w:pPr>
              <w:rPr>
                <w:rFonts w:ascii="Palatino Linotype" w:eastAsia="Calibri" w:hAnsi="Palatino Linotype"/>
                <w:sz w:val="22"/>
                <w:szCs w:val="22"/>
                <w:lang w:val="en-I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Sections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11C (2) and 11C (3) of SEBI Act, 1992. </w:t>
            </w:r>
          </w:p>
          <w:p w:rsidR="00C21F0D" w:rsidRPr="003863EE"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2,00,000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51</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31/03/2021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Supreme Tex Mart Ltd</w:t>
            </w:r>
          </w:p>
          <w:p w:rsidR="00C21F0D" w:rsidRPr="003863EE" w:rsidRDefault="00C21F0D" w:rsidP="00C21F0D">
            <w:pPr>
              <w:rPr>
                <w:rFonts w:ascii="Palatino Linotype" w:eastAsia="Calibri" w:hAnsi="Palatino Linotype"/>
                <w:sz w:val="22"/>
                <w:szCs w:val="22"/>
                <w:shd w:val="clear" w:color="auto" w:fill="FFFFFF"/>
                <w:lang w:val="en-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 xml:space="preserve">Vinit Enterprises proprietor Mr. Dharmendra Harilal Bhojak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Sections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11C (2) r/w 11C (3) of SEBI Act, 1992. </w:t>
            </w:r>
          </w:p>
          <w:p w:rsidR="00C21F0D" w:rsidRPr="003863EE"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5,00,000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52</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31/03/2021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Illiquid Stock Options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At BSE</w:t>
            </w:r>
          </w:p>
          <w:p w:rsidR="00C21F0D" w:rsidRPr="003863EE" w:rsidRDefault="00C21F0D" w:rsidP="00C21F0D">
            <w:pPr>
              <w:rPr>
                <w:rFonts w:ascii="Palatino Linotype" w:eastAsia="Calibri" w:hAnsi="Palatino Linotype"/>
                <w:sz w:val="22"/>
                <w:szCs w:val="22"/>
                <w:shd w:val="clear" w:color="auto" w:fill="FFFFFF"/>
                <w:lang w:val="en-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shd w:val="clear" w:color="auto" w:fill="FFFFFF"/>
                <w:lang w:val="en-IN"/>
              </w:rPr>
              <w:t>Uma Bansal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Regulations 3(a), (b), (c), (d), 4(1) </w:t>
            </w:r>
          </w:p>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and 4(2)(a) of PFUTP Regulations, 2003.  </w:t>
            </w:r>
          </w:p>
          <w:p w:rsidR="00C21F0D" w:rsidRPr="003863EE"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5,00,000</w:t>
            </w:r>
          </w:p>
        </w:tc>
      </w:tr>
      <w:tr w:rsidR="00C21F0D" w:rsidRPr="00B83873"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Default="00C21F0D" w:rsidP="00C21F0D">
            <w:pPr>
              <w:jc w:val="both"/>
              <w:rPr>
                <w:color w:val="000000"/>
                <w:sz w:val="22"/>
                <w:szCs w:val="22"/>
                <w:lang w:val="en-IN" w:eastAsia="en-IN" w:bidi="hi-IN"/>
              </w:rPr>
            </w:pPr>
            <w:r>
              <w:rPr>
                <w:color w:val="000000"/>
                <w:sz w:val="22"/>
                <w:szCs w:val="22"/>
                <w:lang w:val="en-IN" w:eastAsia="en-IN" w:bidi="hi-IN"/>
              </w:rPr>
              <w:t>53</w:t>
            </w:r>
          </w:p>
        </w:tc>
        <w:tc>
          <w:tcPr>
            <w:tcW w:w="1418" w:type="dxa"/>
            <w:tcBorders>
              <w:top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lang w:val="en-IN"/>
              </w:rPr>
            </w:pPr>
            <w:r w:rsidRPr="003863EE">
              <w:rPr>
                <w:rFonts w:ascii="Palatino Linotype" w:eastAsia="Calibri" w:hAnsi="Palatino Linotype"/>
                <w:sz w:val="22"/>
                <w:szCs w:val="22"/>
                <w:lang w:val="en-IN"/>
              </w:rPr>
              <w:t>31/03/2021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Swastika Invest</w:t>
            </w:r>
            <w:r>
              <w:rPr>
                <w:rFonts w:ascii="Palatino Linotype" w:hAnsi="Palatino Linotype"/>
                <w:sz w:val="22"/>
                <w:szCs w:val="22"/>
                <w:lang w:val="en-IN" w:eastAsia="en-IN"/>
              </w:rPr>
              <w:t>-</w:t>
            </w:r>
            <w:r w:rsidRPr="003863EE">
              <w:rPr>
                <w:rFonts w:ascii="Palatino Linotype" w:hAnsi="Palatino Linotype"/>
                <w:sz w:val="22"/>
                <w:szCs w:val="22"/>
                <w:lang w:val="en-IN" w:eastAsia="en-IN"/>
              </w:rPr>
              <w:t>mart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rPr>
                <w:rFonts w:ascii="Palatino Linotype" w:eastAsia="Calibri" w:hAnsi="Palatino Linotype"/>
                <w:sz w:val="22"/>
                <w:szCs w:val="22"/>
                <w:shd w:val="clear" w:color="auto" w:fill="FFFFFF"/>
                <w:lang w:val="en-IN"/>
              </w:rPr>
            </w:pPr>
            <w:r w:rsidRPr="003863EE">
              <w:rPr>
                <w:rFonts w:ascii="Palatino Linotype" w:eastAsia="Calibri" w:hAnsi="Palatino Linotype"/>
                <w:sz w:val="22"/>
                <w:szCs w:val="22"/>
                <w:shd w:val="clear" w:color="auto" w:fill="FFFFFF"/>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shd w:val="clear" w:color="auto" w:fill="FFFFFF"/>
              <w:rPr>
                <w:rFonts w:ascii="Palatino Linotype" w:hAnsi="Palatino Linotype"/>
                <w:sz w:val="22"/>
                <w:szCs w:val="22"/>
                <w:lang w:val="en-IN" w:eastAsia="en-IN"/>
              </w:rPr>
            </w:pPr>
            <w:r w:rsidRPr="003863EE">
              <w:rPr>
                <w:rFonts w:ascii="Palatino Linotype" w:hAnsi="Palatino Linotype"/>
                <w:sz w:val="22"/>
                <w:szCs w:val="22"/>
                <w:lang w:val="en-IN" w:eastAsia="en-IN"/>
              </w:rPr>
              <w:t>Swastika Investmart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3863EE" w:rsidRDefault="00C21F0D" w:rsidP="00C21F0D">
            <w:pPr>
              <w:shd w:val="clear" w:color="auto" w:fill="FFFFFF"/>
              <w:jc w:val="both"/>
              <w:rPr>
                <w:rFonts w:ascii="Palatino Linotype" w:hAnsi="Palatino Linotype"/>
                <w:sz w:val="22"/>
                <w:szCs w:val="22"/>
                <w:lang w:val="en-IN" w:eastAsia="en-IN"/>
              </w:rPr>
            </w:pPr>
            <w:r w:rsidRPr="003863EE">
              <w:rPr>
                <w:rFonts w:ascii="Palatino Linotype" w:hAnsi="Palatino Linotype"/>
                <w:sz w:val="22"/>
                <w:szCs w:val="22"/>
                <w:lang w:val="en-IN" w:eastAsia="en-IN"/>
              </w:rPr>
              <w:t>Clause A (5) of</w:t>
            </w:r>
          </w:p>
          <w:p w:rsidR="00C21F0D" w:rsidRPr="003863EE" w:rsidRDefault="00C21F0D" w:rsidP="00C21F0D">
            <w:pPr>
              <w:shd w:val="clear" w:color="auto" w:fill="FFFFFF"/>
              <w:jc w:val="both"/>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Schedule II of Regulation 7 of </w:t>
            </w:r>
          </w:p>
          <w:p w:rsidR="00C21F0D" w:rsidRPr="003863EE" w:rsidRDefault="00C21F0D" w:rsidP="00C21F0D">
            <w:pPr>
              <w:shd w:val="clear" w:color="auto" w:fill="FFFFFF"/>
              <w:jc w:val="both"/>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SEBI (Stock Brokers) Regulations, 1992 r/w </w:t>
            </w:r>
          </w:p>
          <w:p w:rsidR="00C21F0D" w:rsidRPr="003863EE" w:rsidRDefault="00C21F0D" w:rsidP="00C21F0D">
            <w:pPr>
              <w:shd w:val="clear" w:color="auto" w:fill="FFFFFF"/>
              <w:jc w:val="both"/>
              <w:rPr>
                <w:rFonts w:ascii="Palatino Linotype" w:hAnsi="Palatino Linotype"/>
                <w:sz w:val="22"/>
                <w:szCs w:val="22"/>
                <w:lang w:val="en-IN" w:eastAsia="en-IN"/>
              </w:rPr>
            </w:pPr>
            <w:r w:rsidRPr="003863EE">
              <w:rPr>
                <w:rFonts w:ascii="Palatino Linotype" w:hAnsi="Palatino Linotype"/>
                <w:sz w:val="22"/>
                <w:szCs w:val="22"/>
                <w:lang w:val="en-IN" w:eastAsia="en-IN"/>
              </w:rPr>
              <w:t xml:space="preserve">NSE/MEM/1591 dated April 20, 2000, </w:t>
            </w:r>
            <w:r w:rsidRPr="003863EE">
              <w:rPr>
                <w:rFonts w:ascii="Palatino Linotype" w:eastAsia="Calibri" w:hAnsi="Palatino Linotype"/>
                <w:sz w:val="22"/>
                <w:szCs w:val="22"/>
                <w:lang w:val="en-IN"/>
              </w:rPr>
              <w:t xml:space="preserve">NSE/MEM/7400 dated April 20, 2006, </w:t>
            </w:r>
            <w:r w:rsidRPr="003863EE">
              <w:rPr>
                <w:rFonts w:ascii="Palatino Linotype" w:hAnsi="Palatino Linotype"/>
                <w:sz w:val="22"/>
                <w:szCs w:val="22"/>
                <w:lang w:val="en-IN" w:eastAsia="en-IN"/>
              </w:rPr>
              <w:t xml:space="preserve"> </w:t>
            </w:r>
          </w:p>
          <w:p w:rsidR="00C21F0D" w:rsidRPr="003863EE" w:rsidRDefault="00C21F0D" w:rsidP="00C21F0D">
            <w:pPr>
              <w:jc w:val="both"/>
              <w:rPr>
                <w:rFonts w:ascii="Palatino Linotype" w:hAnsi="Palatino Linotype"/>
                <w:sz w:val="22"/>
                <w:szCs w:val="22"/>
                <w:lang w:val="en-IN" w:eastAsia="en-IN" w:bidi="hi-IN"/>
              </w:rPr>
            </w:pPr>
            <w:r w:rsidRPr="003863EE">
              <w:rPr>
                <w:rFonts w:ascii="Palatino Linotype" w:eastAsia="Calibri" w:hAnsi="Palatino Linotype"/>
                <w:sz w:val="22"/>
                <w:szCs w:val="22"/>
                <w:shd w:val="clear" w:color="auto" w:fill="FFFFFF"/>
                <w:lang w:val="en-IN"/>
              </w:rPr>
              <w:t>NSE/MA/22732 dated February 13, 2013, C</w:t>
            </w:r>
            <w:r w:rsidRPr="003863EE">
              <w:rPr>
                <w:rFonts w:ascii="Palatino Linotype" w:hAnsi="Palatino Linotype"/>
                <w:sz w:val="22"/>
                <w:szCs w:val="22"/>
                <w:lang w:val="en-IN" w:eastAsia="en-IN" w:bidi="hi-IN"/>
              </w:rPr>
              <w:t>TCL-</w:t>
            </w:r>
          </w:p>
          <w:p w:rsidR="00C21F0D" w:rsidRPr="003863EE" w:rsidRDefault="00C21F0D" w:rsidP="00C21F0D">
            <w:pPr>
              <w:jc w:val="both"/>
              <w:rPr>
                <w:rFonts w:ascii="Palatino Linotype" w:hAnsi="Palatino Linotype"/>
                <w:sz w:val="22"/>
                <w:szCs w:val="22"/>
                <w:lang w:val="en-IN" w:eastAsia="en-IN" w:bidi="hi-IN"/>
              </w:rPr>
            </w:pPr>
            <w:r w:rsidRPr="003863EE">
              <w:rPr>
                <w:rFonts w:ascii="Palatino Linotype" w:hAnsi="Palatino Linotype"/>
                <w:sz w:val="22"/>
                <w:szCs w:val="22"/>
                <w:lang w:val="en-IN" w:eastAsia="en-IN" w:bidi="hi-IN"/>
              </w:rPr>
              <w:t>Exchange's circular no. NSE/MEMB/3574 dated August 29, 2002, NSE/MEMB/3635 dated September 25, 2002, and Exchange circular NSE/INSP/28434 dated December 24, 2014</w:t>
            </w:r>
          </w:p>
          <w:p w:rsidR="00C21F0D" w:rsidRPr="003863EE" w:rsidRDefault="00C21F0D" w:rsidP="00C21F0D">
            <w:pPr>
              <w:shd w:val="clear" w:color="auto" w:fill="FFFFFF"/>
              <w:jc w:val="both"/>
              <w:rPr>
                <w:rFonts w:ascii="Palatino Linotype" w:eastAsia="Calibri" w:hAnsi="Palatino Linotype"/>
                <w:sz w:val="22"/>
                <w:szCs w:val="22"/>
                <w:shd w:val="clear" w:color="auto" w:fill="FFFFFF"/>
                <w:lang w:val="en-IN"/>
              </w:rPr>
            </w:pPr>
          </w:p>
          <w:p w:rsidR="00C21F0D" w:rsidRPr="003863EE" w:rsidRDefault="00C21F0D" w:rsidP="00C21F0D">
            <w:pPr>
              <w:shd w:val="clear" w:color="auto" w:fill="FFFFFF"/>
              <w:jc w:val="both"/>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3863EE" w:rsidRDefault="00C21F0D" w:rsidP="00C21F0D">
            <w:pPr>
              <w:jc w:val="right"/>
              <w:rPr>
                <w:rFonts w:ascii="Palatino Linotype" w:eastAsia="Calibri" w:hAnsi="Palatino Linotype"/>
                <w:sz w:val="22"/>
                <w:szCs w:val="22"/>
                <w:lang w:val="en-IN"/>
              </w:rPr>
            </w:pPr>
            <w:r w:rsidRPr="003863EE">
              <w:rPr>
                <w:rFonts w:ascii="Palatino Linotype" w:eastAsia="Calibri" w:hAnsi="Palatino Linotype"/>
                <w:sz w:val="22"/>
                <w:szCs w:val="22"/>
                <w:lang w:val="en-IN"/>
              </w:rPr>
              <w:t>10,00,000</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Pr="00DF79C0" w:rsidRDefault="00DF79C0" w:rsidP="008136E3">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54</w:t>
            </w:r>
          </w:p>
        </w:tc>
        <w:tc>
          <w:tcPr>
            <w:tcW w:w="1418" w:type="dxa"/>
            <w:tcBorders>
              <w:top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03/03/2021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 xml:space="preserve">Sahara </w:t>
            </w:r>
          </w:p>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India Financial Corporation Ltd</w:t>
            </w:r>
          </w:p>
          <w:p w:rsidR="008136E3" w:rsidRPr="00DF79C0" w:rsidRDefault="008136E3" w:rsidP="008136E3">
            <w:pPr>
              <w:jc w:val="center"/>
              <w:rPr>
                <w:rFonts w:ascii="Palatino Linotype" w:eastAsia="Calibri" w:hAnsi="Palatino Linotype"/>
                <w:b/>
                <w:bCs/>
                <w:lang w:bidi="hi-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b/>
                <w:bCs/>
                <w:lang w:bidi="hi-IN"/>
              </w:rPr>
            </w:pPr>
            <w:r w:rsidRPr="00DF79C0">
              <w:rPr>
                <w:rFonts w:ascii="Palatino Linotype" w:eastAsia="Calibri" w:hAnsi="Palatino Linotype"/>
                <w:shd w:val="clear" w:color="auto" w:fill="FFFFFF"/>
                <w:lang w:bidi="hi-IN"/>
              </w:rPr>
              <w:t>Section 19, read with Section 12(3) of SEBI Act</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 xml:space="preserve">Sahara </w:t>
            </w:r>
          </w:p>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India Financial Corporation Ltd</w:t>
            </w:r>
          </w:p>
          <w:p w:rsidR="008136E3" w:rsidRPr="00DF79C0" w:rsidRDefault="008136E3" w:rsidP="008136E3">
            <w:pPr>
              <w:jc w:val="center"/>
              <w:rPr>
                <w:rFonts w:ascii="Palatino Linotype" w:eastAsia="Calibri" w:hAnsi="Palatino Linotype"/>
                <w:b/>
                <w:bCs/>
                <w:lang w:bidi="hi-I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 xml:space="preserve">Regulation 7(2)(e) read with Schedule II of </w:t>
            </w:r>
          </w:p>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the SEBI (Intermediaries Regulations), 2008</w:t>
            </w:r>
          </w:p>
          <w:p w:rsidR="008136E3" w:rsidRPr="00DF79C0" w:rsidRDefault="008136E3" w:rsidP="008136E3">
            <w:pPr>
              <w:shd w:val="clear" w:color="auto" w:fill="FFFFFF"/>
              <w:rPr>
                <w:rFonts w:ascii="Palatino Linotype" w:hAnsi="Palatino Linotype"/>
                <w:lang w:bidi="hi-IN"/>
              </w:rPr>
            </w:pPr>
          </w:p>
          <w:p w:rsidR="008136E3" w:rsidRPr="00DF79C0" w:rsidRDefault="008136E3" w:rsidP="008136E3">
            <w:pPr>
              <w:shd w:val="clear" w:color="auto" w:fill="FFFFFF"/>
              <w:rPr>
                <w:rFonts w:ascii="Palatino Linotype" w:hAnsi="Palatino Linotype"/>
                <w:lang w:bidi="hi-IN"/>
              </w:rPr>
            </w:pPr>
          </w:p>
          <w:p w:rsidR="008136E3" w:rsidRPr="00DF79C0" w:rsidRDefault="008136E3" w:rsidP="008136E3">
            <w:pPr>
              <w:shd w:val="clear" w:color="auto" w:fill="FFFFFF"/>
              <w:rPr>
                <w:rFonts w:ascii="Palatino Linotype" w:eastAsia="Calibri" w:hAnsi="Palatino Linotype"/>
                <w:b/>
                <w:bCs/>
                <w:lang w:bidi="hi-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jc w:val="right"/>
              <w:rPr>
                <w:rFonts w:ascii="Palatino Linotype" w:eastAsia="Calibri" w:hAnsi="Palatino Linotype"/>
                <w:lang w:bidi="hi-IN"/>
              </w:rPr>
            </w:pPr>
            <w:r w:rsidRPr="00DF79C0">
              <w:rPr>
                <w:rFonts w:ascii="Palatino Linotype" w:eastAsia="Calibri" w:hAnsi="Palatino Linotype"/>
                <w:lang w:bidi="hi-IN"/>
              </w:rPr>
              <w:t>-</w:t>
            </w:r>
          </w:p>
        </w:tc>
      </w:tr>
      <w:tr w:rsidR="008136E3" w:rsidRPr="00B83873"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Pr="00DF79C0" w:rsidRDefault="00DF79C0" w:rsidP="008136E3">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55</w:t>
            </w:r>
          </w:p>
        </w:tc>
        <w:tc>
          <w:tcPr>
            <w:tcW w:w="1418" w:type="dxa"/>
            <w:tcBorders>
              <w:top w:val="single" w:sz="4" w:space="0" w:color="auto"/>
              <w:bottom w:val="single" w:sz="4" w:space="0" w:color="auto"/>
              <w:right w:val="single" w:sz="4" w:space="0" w:color="auto"/>
            </w:tcBorders>
            <w:shd w:val="clear" w:color="auto" w:fill="auto"/>
            <w:noWrap/>
          </w:tcPr>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03/03/2021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 xml:space="preserve">Channel Nine Entertainment </w:t>
            </w:r>
          </w:p>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Limited</w:t>
            </w:r>
          </w:p>
          <w:p w:rsidR="008136E3" w:rsidRPr="00DF79C0" w:rsidRDefault="008136E3" w:rsidP="008136E3">
            <w:pPr>
              <w:shd w:val="clear" w:color="auto" w:fill="FFFFFF"/>
              <w:rPr>
                <w:rFonts w:ascii="Palatino Linotype" w:hAnsi="Palatino Linotype"/>
                <w:lang w:bidi="hi-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shd w:val="clear" w:color="auto" w:fill="FFFFFF"/>
              <w:rPr>
                <w:rFonts w:ascii="Palatino Linotype" w:hAnsi="Palatino Linotype"/>
                <w:lang w:bidi="hi-IN"/>
              </w:rPr>
            </w:pPr>
            <w:r w:rsidRPr="00DF79C0">
              <w:rPr>
                <w:rFonts w:ascii="Palatino Linotype" w:hAnsi="Palatino Linotype"/>
                <w:lang w:bidi="hi-IN"/>
              </w:rPr>
              <w:t>Channel Nine Entertainment Limited, Gaj Raj Singh, Kirti, Neena Sood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DF79C0" w:rsidRDefault="008136E3" w:rsidP="008136E3">
            <w:pPr>
              <w:rPr>
                <w:rFonts w:ascii="Palatino Linotype" w:hAnsi="Palatino Linotype"/>
                <w:lang w:bidi="hi-IN"/>
              </w:rPr>
            </w:pPr>
            <w:r w:rsidRPr="00DF79C0">
              <w:rPr>
                <w:rFonts w:ascii="Palatino Linotype" w:hAnsi="Palatino Linotype"/>
                <w:lang w:bidi="hi-IN"/>
              </w:rPr>
              <w:t xml:space="preserve">Section 56(1) &amp; (3) and 60, 73(1), (2) &amp; (3) read with Section 67(1),(2)&amp;(3) of the Companies Act, 1956 and </w:t>
            </w:r>
          </w:p>
          <w:p w:rsidR="008136E3" w:rsidRPr="00DF79C0" w:rsidRDefault="008136E3" w:rsidP="008136E3">
            <w:pPr>
              <w:rPr>
                <w:rFonts w:ascii="Palatino Linotype" w:hAnsi="Palatino Linotype"/>
                <w:lang w:bidi="hi-IN"/>
              </w:rPr>
            </w:pPr>
          </w:p>
          <w:p w:rsidR="008136E3" w:rsidRPr="00DF79C0" w:rsidRDefault="008136E3" w:rsidP="008136E3">
            <w:pPr>
              <w:rPr>
                <w:rFonts w:ascii="Palatino Linotype" w:hAnsi="Palatino Linotype"/>
                <w:lang w:bidi="hi-IN"/>
              </w:rPr>
            </w:pPr>
            <w:r w:rsidRPr="00DF79C0">
              <w:rPr>
                <w:rFonts w:ascii="Palatino Linotype" w:hAnsi="Palatino Linotype"/>
                <w:lang w:bidi="hi-IN"/>
              </w:rPr>
              <w:t>Regulations 4(2)(d), 4(2)(e), 5, 6, 7, 25, 26, 36, 37, 46, 47, 57 and 59 of the SEBI (Issue of Capital and Disclosure Requirements) Regulations, 2009.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shd w:val="clear" w:color="auto" w:fill="FFFFFF"/>
              <w:jc w:val="right"/>
              <w:rPr>
                <w:rFonts w:ascii="Palatino Linotype" w:hAnsi="Palatino Linotype"/>
                <w:lang w:bidi="hi-IN"/>
              </w:rPr>
            </w:pPr>
            <w:r w:rsidRPr="00DF79C0">
              <w:rPr>
                <w:rFonts w:ascii="Palatino Linotype" w:hAnsi="Palatino Linotype"/>
                <w:lang w:bidi="hi-IN"/>
              </w:rPr>
              <w:t>-</w:t>
            </w:r>
          </w:p>
        </w:tc>
      </w:tr>
      <w:tr w:rsidR="008136E3" w:rsidRPr="00A538EB"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Pr="00DF79C0" w:rsidRDefault="00DF79C0" w:rsidP="008136E3">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56</w:t>
            </w:r>
          </w:p>
        </w:tc>
        <w:tc>
          <w:tcPr>
            <w:tcW w:w="1418" w:type="dxa"/>
            <w:tcBorders>
              <w:top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09/03/2021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KCGP Share Broking Services Pvt.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KCGP Share Broking Services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 xml:space="preserve">21(1), 21(2) and 21(4) of SEBI (Stock Brokers &amp; Sub-brokers) Regulations, 1992. </w:t>
            </w:r>
          </w:p>
          <w:p w:rsidR="008136E3" w:rsidRPr="00DF79C0" w:rsidRDefault="008136E3" w:rsidP="008136E3">
            <w:pPr>
              <w:rPr>
                <w:rFonts w:ascii="Palatino Linotype" w:eastAsia="Calibri" w:hAnsi="Palatino Linotype"/>
                <w:lang w:bidi="hi-IN"/>
              </w:rPr>
            </w:pPr>
          </w:p>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8(2) of SEBI (Intermediaries) Regulations, 2008</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jc w:val="right"/>
              <w:rPr>
                <w:rFonts w:ascii="Palatino Linotype" w:eastAsia="Calibri" w:hAnsi="Palatino Linotype"/>
                <w:lang w:bidi="hi-IN"/>
              </w:rPr>
            </w:pPr>
            <w:r w:rsidRPr="00DF79C0">
              <w:rPr>
                <w:rFonts w:ascii="Palatino Linotype" w:eastAsia="Calibri" w:hAnsi="Palatino Linotype"/>
                <w:lang w:bidi="hi-IN"/>
              </w:rPr>
              <w:t>-</w:t>
            </w:r>
          </w:p>
        </w:tc>
      </w:tr>
      <w:tr w:rsidR="008136E3" w:rsidRPr="00A538EB" w:rsidTr="008136E3">
        <w:trPr>
          <w:trHeight w:val="300"/>
        </w:trPr>
        <w:tc>
          <w:tcPr>
            <w:tcW w:w="567" w:type="dxa"/>
            <w:tcBorders>
              <w:top w:val="single" w:sz="4" w:space="0" w:color="auto"/>
              <w:left w:val="single" w:sz="4" w:space="0" w:color="auto"/>
              <w:bottom w:val="single" w:sz="4" w:space="0" w:color="auto"/>
              <w:right w:val="single" w:sz="4" w:space="0" w:color="auto"/>
            </w:tcBorders>
          </w:tcPr>
          <w:p w:rsidR="008136E3" w:rsidRPr="00DF79C0" w:rsidRDefault="00DF79C0" w:rsidP="008136E3">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57</w:t>
            </w:r>
          </w:p>
        </w:tc>
        <w:tc>
          <w:tcPr>
            <w:tcW w:w="1418" w:type="dxa"/>
            <w:tcBorders>
              <w:top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09/03/2021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Purva Shareregistry (India) Pvt.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Purva Shareregistry (India)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 xml:space="preserve">Registrars to an Issue and Share Transfer Agents (RTA) Regulations, 1993, Listing Obligations and Disclosure Requirements (LODR) Regulations, 2015, 28(2) of   SEBI (Intermediaries) Regulations, 2008.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jc w:val="right"/>
              <w:rPr>
                <w:rFonts w:ascii="Palatino Linotype" w:eastAsia="Calibri" w:hAnsi="Palatino Linotype"/>
                <w:lang w:bidi="hi-IN"/>
              </w:rPr>
            </w:pPr>
            <w:r w:rsidRPr="00DF79C0">
              <w:rPr>
                <w:rFonts w:ascii="Palatino Linotype" w:eastAsia="Calibri" w:hAnsi="Palatino Linotype"/>
                <w:lang w:bidi="hi-IN"/>
              </w:rPr>
              <w:t>-</w:t>
            </w:r>
          </w:p>
        </w:tc>
      </w:tr>
      <w:tr w:rsidR="008136E3"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8136E3" w:rsidRPr="00DF79C0" w:rsidRDefault="00DF79C0" w:rsidP="008136E3">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58</w:t>
            </w:r>
          </w:p>
        </w:tc>
        <w:tc>
          <w:tcPr>
            <w:tcW w:w="1418" w:type="dxa"/>
            <w:tcBorders>
              <w:top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09/03/2021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Alliance Intermediaries and Network Pvt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Alliance Intermediaries and Network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5(e), 5A, 27(5) of Intermediaries    Regulations, 2008</w:t>
            </w:r>
          </w:p>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Circular No.SMD-1/23341,</w:t>
            </w:r>
          </w:p>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 xml:space="preserve"> SEBI/MRD/SE/Cir-33/2003/27/08,</w:t>
            </w:r>
          </w:p>
          <w:p w:rsidR="008136E3" w:rsidRPr="00DF79C0" w:rsidRDefault="008136E3" w:rsidP="008136E3">
            <w:pPr>
              <w:rPr>
                <w:rFonts w:ascii="Palatino Linotype" w:eastAsia="Calibri" w:hAnsi="Palatino Linotype"/>
                <w:lang w:bidi="hi-IN"/>
              </w:rPr>
            </w:pPr>
            <w:r w:rsidRPr="00DF79C0">
              <w:rPr>
                <w:rFonts w:ascii="Palatino Linotype" w:eastAsia="Calibri" w:hAnsi="Palatino Linotype"/>
                <w:lang w:bidi="hi-IN"/>
              </w:rPr>
              <w:t xml:space="preserve">Clauses A (1), A (2), A (3) and A (5), 7, Stock Brokers Regulations, 1992.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136E3" w:rsidRPr="00DF79C0" w:rsidRDefault="008136E3" w:rsidP="008136E3">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59</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16/03/2021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ICL Multitrading India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Corporate Capital Ventures Pvt. Ltd</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Clauses 1, 3, 4, 6 &amp; of the code of conduct under Schedule III to Regulation 13 of  the  SEBI (Merchant  Bankers) Regulations,  1992</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60</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16/03/2021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Arvind Goyal, Abhay Javlekar, Yatin Prakash, Manish Rathi, Dharmendra Bhajak, Ramesh Daga and others.</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Arvind Goyal, Abhay Javlekar, Yatin Prakash, Manish Rathi, Dharmendra Bhajak, Ramesh Daga and others.</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Sections 12A(a), (b) &amp; (c) of the SEBI Act, 1992. </w:t>
            </w:r>
          </w:p>
          <w:p w:rsidR="00FE3FAE" w:rsidRPr="00DF79C0" w:rsidRDefault="00FE3FAE" w:rsidP="00FE3FAE">
            <w:pPr>
              <w:rPr>
                <w:rFonts w:ascii="Palatino Linotype" w:eastAsia="Calibri" w:hAnsi="Palatino Linotype"/>
                <w:lang w:bidi="hi-IN"/>
              </w:rPr>
            </w:pPr>
          </w:p>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Regulations 3(a), (c) &amp; (d), 4(1) and 4(2)(h)of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61</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17/03/2021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Ashika Capital Ltd  </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Sudar Industries Ltd</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 60(7) and 64 (1) of SEBI (Issue of Capital and Disclosure Requirements) Regulations, 2009.</w:t>
            </w:r>
          </w:p>
          <w:p w:rsidR="00FE3FAE" w:rsidRPr="00DF79C0" w:rsidRDefault="00FE3FAE" w:rsidP="00FE3FAE">
            <w:pPr>
              <w:rPr>
                <w:rFonts w:ascii="Palatino Linotype" w:eastAsia="Calibri" w:hAnsi="Palatino Linotype"/>
                <w:lang w:bidi="hi-IN"/>
              </w:rPr>
            </w:pPr>
          </w:p>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Regulation 13, Clauses 1, 2, 3, 4, 6, 7 and 21 of Schedule III, SEBI (Merchant Bankers) Regulations, 1992. </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62</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18/03/2021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Profit Money Advisor</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Profit Money Advisor and its Proprietor Prateek Singh. </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Sections 12A (a), (b) and (c) of the SEBI Act, 1992. </w:t>
            </w:r>
          </w:p>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Regulations 3 (a), (b), (c) and (d) and Regulations 4(1) and 4(2)(k) 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63</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Indiabulls Integrated Services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Exemption Order</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Yaarii Digital Integrated Services Ltd (‘Acquirer’)</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 3(1), 4 and 5(1) of SEBI (Substantial  Acquisition  of  Shares  &amp;  Takeovers) Regulations, 2011</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64</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Greenply Industries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Exemption Order</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Mittal Business Holdings Trust (‘Acquirer’)</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 3(1), 4 and 5(1) of SEBI (Substantial  Acquisition  of  Shares  &amp;  Takeovers) Regulations, 2011</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65</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Prime Plantations Pvt.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Prime Plantations Pvt. Ltd, Adhunik Plantations Pvt. Ltd, Twentieth Century Plantation Pvt. Ltd, Vinod Kumar Saraf, Sharadchandra Bhagirath Jaju, Motilal Saraf and others. </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Section 12(1B) of SEBI Act, 1992. Regulation 3 of SEBI (Collective Investment Scheme) Regulations, 1999. </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66</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Sunstar Realty Development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Maxtor conclave pvt ltd, Blueview tradevin pvt. ltd, Jain nemi minerals pvt. ltd, Keshavah mercantile pvt. ltd, Frohar trading pvt. ltd., Quickscope dealers pvt. ltd. and Others </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Section 12A(a) (b) (c) of SEBI Act, 1992. Regulations 3 (a), (b), (c), (d) and 4 (1), 4 (2) (a), (e) of</w:t>
            </w:r>
            <w:r w:rsidRPr="00DF79C0">
              <w:rPr>
                <w:rFonts w:ascii="Palatino Linotype" w:eastAsia="Calibri" w:hAnsi="Palatino Linotype" w:cs="Mangal"/>
                <w:sz w:val="22"/>
                <w:szCs w:val="20"/>
                <w:lang w:bidi="hi-IN"/>
              </w:rPr>
              <w:t xml:space="preserve"> </w:t>
            </w:r>
            <w:r w:rsidRPr="00DF79C0">
              <w:rPr>
                <w:rFonts w:ascii="Palatino Linotype" w:eastAsia="Calibri" w:hAnsi="Palatino Linotype"/>
                <w:lang w:bidi="hi-IN"/>
              </w:rPr>
              <w:t>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67</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Nouveau Global Ventures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Skylight Distributors Pvt. Ltd, Suryamukhi Projects Pvt. Ltd, Mangalmayee Hirise Pvt. Ltd, Pushpanjali Commotrade Pvt. Ltd, Subhshree Hirise Pvt. Ltd, Growfast Realtors Pvt. Ltd and Others. </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 3(a),(b),(c),(d) and Regulation 4(1), 4(2) (a), (e) 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68</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Indiabulls Real Estate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Sameer Gehlaut IBR Trust</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Regulations 4 and 5(1) of  SEBI (Substantial  Acquisition  of  Shares  &amp;  Takeovers) Regulations, 2011</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spacing w:after="160" w:line="259" w:lineRule="auto"/>
              <w:rPr>
                <w:rFonts w:ascii="Palatino Linotype" w:eastAsia="Calibri" w:hAnsi="Palatino Linotype"/>
                <w:sz w:val="22"/>
                <w:szCs w:val="22"/>
                <w:lang w:bidi="hi-IN"/>
              </w:rPr>
            </w:pPr>
            <w:r>
              <w:rPr>
                <w:rFonts w:ascii="Palatino Linotype" w:eastAsia="Calibri" w:hAnsi="Palatino Linotype"/>
                <w:sz w:val="22"/>
                <w:szCs w:val="22"/>
                <w:lang w:bidi="hi-IN"/>
              </w:rPr>
              <w:t>69</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Ruchi Soya Industries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Aventis Biofeeds Pvt. Ltd, Navinya Multitrade Pvt. Ltd, Uni24 Techno Solutions Pvt. Ltd, Sunmate Trade, Shreyans Credit and Capital Pvt. Ltd, Betul Oils and Feeds Pvt. Ltd, Betul Minerals and Constructions Pvt. Ltd. </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Section 12A (a), (b), (c) of SEBI Act, 1992, Regulations 3(a), (b), (c), (d), 4(1), 4(2)(a) and (e) of SEBI (Prohibition of Fraudulent and Unfair Trading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70</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Dhani Services Limited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Exemption Order </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Sameer Gehlaut IVL Trust (‘Acquirer’)</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 3(2), 4 and 5(1) of SEBI (Substantial  Acquisition  of  Shares  &amp;  Takeovers) Regulations, 2011</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71</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16/03/2021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ICL Multitrading India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Corporate Capital Ventures Pvt. Ltd</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Clauses 1, 3, 4, 6 &amp; of the code of conduct under Schedule III to Regulation 13 of  the  SEBI (Merchant  Bankers) Regulations,  1992</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72</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16/03/2021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Arvind Goyal, Abhay Javlekar, Yatin Prakash, Manish Rathi, Dharmendra Bhajak, Ramesh Daga and others.</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Arvind Goyal, Abhay Javlekar, Yatin Prakash, Manish Rathi, Dharmendra Bhajak, Ramesh Daga and others.</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Sections 12A(a), (b) &amp; (c) of the SEBI Act, 1992. </w:t>
            </w:r>
          </w:p>
          <w:p w:rsidR="00FE3FAE" w:rsidRPr="00DF79C0" w:rsidRDefault="00FE3FAE" w:rsidP="00FE3FAE">
            <w:pPr>
              <w:rPr>
                <w:rFonts w:ascii="Palatino Linotype" w:eastAsia="Calibri" w:hAnsi="Palatino Linotype"/>
                <w:lang w:bidi="hi-IN"/>
              </w:rPr>
            </w:pPr>
          </w:p>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Regulations 3(a), (c) &amp; (d), 4(1) and 4(2)(h)of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B83873"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73</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17/03/2021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Ashika Capital Ltd  </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Sudar Industries Ltd</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 60(7) and 64 (1) of SEBI (Issue of Capital and Disclosure Requirements) Regulations, 2009.</w:t>
            </w:r>
          </w:p>
          <w:p w:rsidR="00FE3FAE" w:rsidRPr="00DF79C0" w:rsidRDefault="00FE3FAE" w:rsidP="00FE3FAE">
            <w:pPr>
              <w:rPr>
                <w:rFonts w:ascii="Palatino Linotype" w:eastAsia="Calibri" w:hAnsi="Palatino Linotype"/>
                <w:lang w:bidi="hi-IN"/>
              </w:rPr>
            </w:pPr>
          </w:p>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Regulation 13, Clauses 1, 2, 3, 4, 6, 7 and 21 of Schedule III, SEBI (Merchant Bankers) Regulations, 1992. </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74</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18/03/2021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Profit Money Advisor</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Profit Money Advisor and its Proprietor Prateek Singh. </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Sections 12A (a), (b) and (c) of the SEBI Act, 1992. </w:t>
            </w:r>
          </w:p>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Regulations 3 (a), (b), (c) and (d) and Regulations 4(1) and 4(2)(k) 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75</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Indiabulls Integrated Services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Exemption Order</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Yaarii Digital Integrated Services Ltd (‘Acquirer’)</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 3(1), 4 and 5(1) of SEBI (Substantial  Acquisition  of  Shares  &amp;  Takeovers) Regulations, 2011</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76</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Greenply Industries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Exemption Order</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Mittal Business Holdings Trust (‘Acquirer’)</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Regulation 3(1), 4 and 5(1) of SEBI (Substantial  Acquisition  of  Shares  &amp;  Takeovers) Regulations, 2011</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77</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Prime Plantations Pvt.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Prime Plantations Pvt. Ltd, Adhunik Plantations Pvt. Ltd, Twentieth Century Plantation Pvt. Ltd, Vinod Kumar Saraf, Sharadchandra Bhagirath Jaju, Motilal Saraf and others. </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Section 12(1B) of SEBI Act, 1992. Regulation 3 of SEBI (Collective Investment Scheme) Regulations, 1999. </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78</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19/03/2021</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Sunstar Realty Development Ltd</w:t>
            </w:r>
          </w:p>
        </w:tc>
        <w:tc>
          <w:tcPr>
            <w:tcW w:w="1418"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11B</w:t>
            </w:r>
          </w:p>
        </w:tc>
        <w:tc>
          <w:tcPr>
            <w:tcW w:w="2126"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 xml:space="preserve">Maxtor conclave pvt ltd, Blueview tradevin pvt. ltd, Jain nemi minerals pvt. ltd, Keshavah mercantile pvt. ltd, Frohar trading pvt. ltd., Quickscope dealers pvt. ltd. and Others </w:t>
            </w:r>
          </w:p>
        </w:tc>
        <w:tc>
          <w:tcPr>
            <w:tcW w:w="2268" w:type="dxa"/>
            <w:tcBorders>
              <w:top w:val="single" w:sz="4" w:space="0" w:color="auto"/>
              <w:left w:val="single" w:sz="4" w:space="0" w:color="auto"/>
              <w:bottom w:val="single" w:sz="4" w:space="0" w:color="auto"/>
              <w:right w:val="single" w:sz="4" w:space="0" w:color="auto"/>
            </w:tcBorders>
          </w:tcPr>
          <w:p w:rsidR="00FE3FAE" w:rsidRPr="00DF79C0" w:rsidRDefault="00FE3FAE" w:rsidP="00FE3FAE">
            <w:pPr>
              <w:rPr>
                <w:rFonts w:ascii="Palatino Linotype" w:eastAsia="Calibri" w:hAnsi="Palatino Linotype"/>
                <w:lang w:bidi="hi-IN"/>
              </w:rPr>
            </w:pPr>
            <w:r w:rsidRPr="00DF79C0">
              <w:rPr>
                <w:rFonts w:ascii="Palatino Linotype" w:eastAsia="Calibri" w:hAnsi="Palatino Linotype"/>
                <w:lang w:bidi="hi-IN"/>
              </w:rPr>
              <w:t>Section 12A(a) (b) (c) of SEBI Act, 1992. Regulations 3 (a), (b), (c), (d) and 4 (1), 4 (2) (a), (e) of</w:t>
            </w:r>
            <w:r w:rsidRPr="00DF79C0">
              <w:rPr>
                <w:rFonts w:ascii="Palatino Linotype" w:eastAsia="Calibri" w:hAnsi="Palatino Linotype" w:cs="Mangal"/>
                <w:sz w:val="22"/>
                <w:szCs w:val="20"/>
                <w:lang w:bidi="hi-IN"/>
              </w:rPr>
              <w:t xml:space="preserve"> </w:t>
            </w:r>
            <w:r w:rsidRPr="00DF79C0">
              <w:rPr>
                <w:rFonts w:ascii="Palatino Linotype" w:eastAsia="Calibri" w:hAnsi="Palatino Linotype"/>
                <w:lang w:bidi="hi-IN"/>
              </w:rPr>
              <w:t>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noWrap/>
          </w:tcPr>
          <w:p w:rsidR="00FE3FAE" w:rsidRPr="00DF79C0" w:rsidRDefault="00FE3FAE" w:rsidP="00FE3FAE">
            <w:pPr>
              <w:jc w:val="right"/>
              <w:rPr>
                <w:rFonts w:ascii="Palatino Linotype" w:eastAsia="Calibri" w:hAnsi="Palatino Linotype"/>
                <w:lang w:bidi="hi-IN"/>
              </w:rPr>
            </w:pPr>
            <w:r w:rsidRPr="00DF79C0">
              <w:rPr>
                <w:rFonts w:ascii="Palatino Linotype" w:eastAsia="Calibri" w:hAnsi="Palatino Linotype"/>
                <w:lang w:bidi="hi-IN"/>
              </w:rPr>
              <w:t>-</w:t>
            </w:r>
          </w:p>
        </w:tc>
      </w:tr>
      <w:tr w:rsidR="00FE3FAE" w:rsidRPr="00A538EB" w:rsidTr="00FE3FAE">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79</w:t>
            </w:r>
          </w:p>
        </w:tc>
        <w:tc>
          <w:tcPr>
            <w:tcW w:w="1418" w:type="dxa"/>
            <w:tcBorders>
              <w:top w:val="single" w:sz="4" w:space="0" w:color="auto"/>
              <w:bottom w:val="single" w:sz="4" w:space="0" w:color="auto"/>
              <w:right w:val="single" w:sz="4" w:space="0" w:color="auto"/>
            </w:tcBorders>
            <w:shd w:val="clear" w:color="auto" w:fill="auto"/>
            <w:noWrap/>
          </w:tcPr>
          <w:p w:rsidR="00FE3FAE" w:rsidRPr="00DF79C0" w:rsidRDefault="00FE3FAE" w:rsidP="00FE3FAE">
            <w:pPr>
              <w:rPr>
                <w:rFonts w:ascii="Palatino Linotype" w:hAnsi="Palatino Linotype"/>
                <w:sz w:val="22"/>
                <w:szCs w:val="22"/>
              </w:rPr>
            </w:pPr>
            <w:r w:rsidRPr="00DF79C0">
              <w:rPr>
                <w:rFonts w:ascii="Palatino Linotype" w:hAnsi="Palatino Linotype"/>
                <w:sz w:val="22"/>
                <w:szCs w:val="22"/>
              </w:rPr>
              <w:t>23/03/2021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DF79C0" w:rsidRDefault="00FE3FAE" w:rsidP="00FE3FAE">
            <w:pPr>
              <w:shd w:val="clear" w:color="auto" w:fill="FFFFFF"/>
              <w:rPr>
                <w:rFonts w:ascii="Palatino Linotype" w:hAnsi="Palatino Linotype"/>
                <w:sz w:val="22"/>
                <w:szCs w:val="22"/>
                <w:lang w:eastAsia="en-IN"/>
              </w:rPr>
            </w:pPr>
            <w:r w:rsidRPr="00DF79C0">
              <w:rPr>
                <w:rFonts w:ascii="Palatino Linotype" w:hAnsi="Palatino Linotype"/>
                <w:sz w:val="22"/>
                <w:szCs w:val="22"/>
                <w:lang w:eastAsia="en-IN"/>
              </w:rPr>
              <w:t>Birla Power Solutions</w:t>
            </w:r>
          </w:p>
          <w:p w:rsidR="00FE3FAE" w:rsidRPr="00DF79C0" w:rsidRDefault="00FE3FAE" w:rsidP="00FE3FAE">
            <w:pPr>
              <w:shd w:val="clear" w:color="auto" w:fill="FFFFFF"/>
              <w:rPr>
                <w:rFonts w:ascii="Palatino Linotype" w:hAnsi="Palatino Linotype"/>
                <w:sz w:val="22"/>
                <w:szCs w:val="22"/>
                <w:lang w:eastAsia="en-IN"/>
              </w:rPr>
            </w:pPr>
            <w:r w:rsidRPr="00DF79C0">
              <w:rPr>
                <w:rFonts w:ascii="Palatino Linotype" w:hAnsi="Palatino Linotype"/>
                <w:sz w:val="22"/>
                <w:szCs w:val="22"/>
                <w:lang w:eastAsia="en-IN"/>
              </w:rPr>
              <w:t>Ltd</w:t>
            </w:r>
          </w:p>
          <w:p w:rsidR="00FE3FAE" w:rsidRPr="00DF79C0" w:rsidRDefault="00FE3FAE" w:rsidP="00FE3FAE">
            <w:pPr>
              <w:rPr>
                <w:rFonts w:ascii="Palatino Linotype" w:hAnsi="Palatino Linotype"/>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DF79C0" w:rsidRDefault="00FE3FAE" w:rsidP="00FE3FAE">
            <w:pPr>
              <w:rPr>
                <w:rFonts w:ascii="Palatino Linotype" w:hAnsi="Palatino Linotype"/>
                <w:sz w:val="22"/>
                <w:szCs w:val="22"/>
              </w:rPr>
            </w:pPr>
            <w:r w:rsidRPr="00DF79C0">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DF79C0" w:rsidRDefault="00FE3FAE" w:rsidP="00FE3FAE">
            <w:pPr>
              <w:shd w:val="clear" w:color="auto" w:fill="FFFFFF"/>
              <w:rPr>
                <w:rFonts w:ascii="Palatino Linotype" w:hAnsi="Palatino Linotype"/>
                <w:sz w:val="22"/>
                <w:szCs w:val="22"/>
                <w:lang w:eastAsia="en-IN"/>
              </w:rPr>
            </w:pPr>
            <w:r w:rsidRPr="00DF79C0">
              <w:rPr>
                <w:rFonts w:ascii="Palatino Linotype" w:hAnsi="Palatino Linotype"/>
                <w:sz w:val="22"/>
                <w:szCs w:val="22"/>
                <w:lang w:eastAsia="en-IN"/>
              </w:rPr>
              <w:t>Birla Power Solutions</w:t>
            </w:r>
          </w:p>
          <w:p w:rsidR="00FE3FAE" w:rsidRPr="00DF79C0" w:rsidRDefault="00FE3FAE" w:rsidP="00FE3FAE">
            <w:pPr>
              <w:shd w:val="clear" w:color="auto" w:fill="FFFFFF"/>
              <w:rPr>
                <w:rFonts w:ascii="Palatino Linotype" w:hAnsi="Palatino Linotype"/>
                <w:sz w:val="22"/>
                <w:szCs w:val="22"/>
                <w:lang w:eastAsia="en-IN"/>
              </w:rPr>
            </w:pPr>
            <w:r w:rsidRPr="00DF79C0">
              <w:rPr>
                <w:rFonts w:ascii="Palatino Linotype" w:hAnsi="Palatino Linotype"/>
                <w:sz w:val="22"/>
                <w:szCs w:val="22"/>
                <w:lang w:eastAsia="en-IN"/>
              </w:rPr>
              <w:t xml:space="preserve">Ltd, </w:t>
            </w:r>
            <w:r w:rsidRPr="00DF79C0">
              <w:rPr>
                <w:rFonts w:ascii="Palatino Linotype" w:hAnsi="Palatino Linotype"/>
                <w:sz w:val="22"/>
                <w:szCs w:val="22"/>
                <w:shd w:val="clear" w:color="auto" w:fill="FFFFFF"/>
              </w:rPr>
              <w:t xml:space="preserve">P.V.R Murthy, </w:t>
            </w:r>
            <w:r w:rsidRPr="00DF79C0">
              <w:rPr>
                <w:rFonts w:ascii="Palatino Linotype" w:hAnsi="Palatino Linotype"/>
                <w:sz w:val="22"/>
                <w:szCs w:val="22"/>
                <w:lang w:eastAsia="en-IN"/>
              </w:rPr>
              <w:t xml:space="preserve">N. Nagesh, </w:t>
            </w:r>
            <w:r w:rsidRPr="00DF79C0">
              <w:rPr>
                <w:rFonts w:ascii="Palatino Linotype" w:hAnsi="Palatino Linotype"/>
                <w:sz w:val="22"/>
                <w:szCs w:val="22"/>
                <w:shd w:val="clear" w:color="auto" w:fill="FFFFFF"/>
              </w:rPr>
              <w:t>Rajesh V. Shah, Upkar Singh Kohli</w:t>
            </w:r>
          </w:p>
          <w:p w:rsidR="00FE3FAE" w:rsidRPr="00DF79C0" w:rsidRDefault="00FE3FAE" w:rsidP="00FE3FAE">
            <w:pPr>
              <w:shd w:val="clear" w:color="auto" w:fill="FFFFFF"/>
              <w:rPr>
                <w:rFonts w:ascii="Palatino Linotype" w:hAnsi="Palatino Linotype"/>
                <w:sz w:val="22"/>
                <w:szCs w:val="22"/>
                <w:lang w:eastAsia="en-IN"/>
              </w:rPr>
            </w:pPr>
          </w:p>
          <w:p w:rsidR="00FE3FAE" w:rsidRPr="00DF79C0" w:rsidRDefault="00FE3FAE" w:rsidP="00FE3FAE">
            <w:pPr>
              <w:shd w:val="clear" w:color="auto" w:fill="FFFFFF"/>
              <w:rPr>
                <w:rFonts w:ascii="Palatino Linotype" w:hAnsi="Palatino Linotype"/>
                <w:sz w:val="22"/>
                <w:szCs w:val="22"/>
                <w:lang w:eastAsia="en-IN"/>
              </w:rPr>
            </w:pPr>
          </w:p>
          <w:p w:rsidR="00FE3FAE" w:rsidRPr="00DF79C0" w:rsidRDefault="00FE3FAE" w:rsidP="00FE3FAE">
            <w:pPr>
              <w:rPr>
                <w:rFonts w:ascii="Palatino Linotype" w:hAnsi="Palatino Linotype"/>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DF79C0" w:rsidRDefault="00FE3FAE" w:rsidP="00FE3FAE">
            <w:pPr>
              <w:rPr>
                <w:rFonts w:ascii="Palatino Linotype" w:hAnsi="Palatino Linotype" w:cs="Arial"/>
                <w:sz w:val="22"/>
                <w:szCs w:val="22"/>
                <w:lang w:val="en-IN" w:eastAsia="en-IN" w:bidi="hi-IN"/>
              </w:rPr>
            </w:pPr>
            <w:r w:rsidRPr="00DF79C0">
              <w:rPr>
                <w:rFonts w:ascii="Palatino Linotype" w:hAnsi="Palatino Linotype" w:cs="Arial"/>
                <w:sz w:val="22"/>
                <w:szCs w:val="22"/>
                <w:lang w:val="en-IN" w:eastAsia="en-IN" w:bidi="hi-IN"/>
              </w:rPr>
              <w:t>Section 12A (a) of SEBI Act, 1992 read with Regulations 3 (b) and 4(1) of PFUTP Regulations</w:t>
            </w:r>
          </w:p>
          <w:p w:rsidR="00FE3FAE" w:rsidRPr="00DF79C0" w:rsidRDefault="00FE3FAE" w:rsidP="00FE3FAE">
            <w:pPr>
              <w:rPr>
                <w:rFonts w:ascii="Palatino Linotype" w:hAnsi="Palatino Linotype"/>
                <w:sz w:val="22"/>
                <w:szCs w:val="22"/>
                <w:shd w:val="clear" w:color="auto" w:fill="FFFFFF"/>
              </w:rPr>
            </w:pPr>
            <w:r w:rsidRPr="00DF79C0">
              <w:rPr>
                <w:rFonts w:ascii="Palatino Linotype" w:hAnsi="Palatino Linotype"/>
                <w:sz w:val="22"/>
                <w:szCs w:val="22"/>
                <w:shd w:val="clear" w:color="auto" w:fill="FFFFFF"/>
              </w:rPr>
              <w:t xml:space="preserve">Section 12A(a), (b) &amp; (c) of SEBI Act, 1992 </w:t>
            </w:r>
          </w:p>
          <w:p w:rsidR="00FE3FAE" w:rsidRPr="00DF79C0" w:rsidRDefault="00FE3FAE" w:rsidP="00FE3FAE">
            <w:pPr>
              <w:rPr>
                <w:rFonts w:ascii="Palatino Linotype" w:hAnsi="Palatino Linotype"/>
                <w:sz w:val="22"/>
                <w:szCs w:val="22"/>
                <w:shd w:val="clear" w:color="auto" w:fill="FFFFFF"/>
              </w:rPr>
            </w:pPr>
            <w:r w:rsidRPr="00DF79C0">
              <w:rPr>
                <w:rFonts w:ascii="Palatino Linotype" w:hAnsi="Palatino Linotype"/>
                <w:sz w:val="22"/>
                <w:szCs w:val="22"/>
                <w:shd w:val="clear" w:color="auto" w:fill="FFFFFF"/>
              </w:rPr>
              <w:t xml:space="preserve">read with Regulations </w:t>
            </w:r>
          </w:p>
          <w:p w:rsidR="00FE3FAE" w:rsidRPr="00DF79C0" w:rsidRDefault="00FE3FAE" w:rsidP="00FE3FAE">
            <w:pPr>
              <w:rPr>
                <w:rFonts w:ascii="Palatino Linotype" w:hAnsi="Palatino Linotype"/>
                <w:sz w:val="22"/>
                <w:szCs w:val="22"/>
                <w:shd w:val="clear" w:color="auto" w:fill="FFFFFF"/>
              </w:rPr>
            </w:pPr>
            <w:r w:rsidRPr="00DF79C0">
              <w:rPr>
                <w:rFonts w:ascii="Palatino Linotype" w:hAnsi="Palatino Linotype"/>
                <w:sz w:val="22"/>
                <w:szCs w:val="22"/>
                <w:shd w:val="clear" w:color="auto" w:fill="FFFFFF"/>
              </w:rPr>
              <w:t>3, (b) and 4(1), (2)(f), (k) &amp; (r)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DF79C0" w:rsidRDefault="00FE3FAE" w:rsidP="00FE3FAE">
            <w:pPr>
              <w:pStyle w:val="ListParagraph"/>
              <w:numPr>
                <w:ilvl w:val="0"/>
                <w:numId w:val="23"/>
              </w:numPr>
              <w:spacing w:after="160" w:line="259" w:lineRule="auto"/>
              <w:jc w:val="right"/>
              <w:rPr>
                <w:rFonts w:ascii="Palatino Linotype" w:hAnsi="Palatino Linotype"/>
                <w:sz w:val="22"/>
                <w:szCs w:val="22"/>
              </w:rPr>
            </w:pPr>
          </w:p>
        </w:tc>
      </w:tr>
      <w:tr w:rsidR="00FE3FAE" w:rsidRPr="00A538EB"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FE3FAE" w:rsidRPr="00DF79C0" w:rsidRDefault="00DF79C0" w:rsidP="00FE3FAE">
            <w:pPr>
              <w:rPr>
                <w:rFonts w:ascii="Palatino Linotype" w:eastAsia="Calibri" w:hAnsi="Palatino Linotype"/>
                <w:sz w:val="22"/>
                <w:szCs w:val="22"/>
                <w:lang w:bidi="hi-IN"/>
              </w:rPr>
            </w:pPr>
            <w:r>
              <w:rPr>
                <w:rFonts w:ascii="Palatino Linotype" w:eastAsia="Calibri" w:hAnsi="Palatino Linotype"/>
                <w:sz w:val="22"/>
                <w:szCs w:val="22"/>
                <w:lang w:bidi="hi-IN"/>
              </w:rPr>
              <w:t>80</w:t>
            </w:r>
          </w:p>
        </w:tc>
        <w:tc>
          <w:tcPr>
            <w:tcW w:w="1418" w:type="dxa"/>
            <w:tcBorders>
              <w:top w:val="single" w:sz="4" w:space="0" w:color="auto"/>
              <w:bottom w:val="single" w:sz="4" w:space="0" w:color="auto"/>
              <w:right w:val="single" w:sz="4" w:space="0" w:color="auto"/>
            </w:tcBorders>
            <w:shd w:val="clear" w:color="auto" w:fill="auto"/>
            <w:noWrap/>
          </w:tcPr>
          <w:p w:rsidR="00FE3FAE" w:rsidRPr="00DF79C0" w:rsidRDefault="00FE3FAE" w:rsidP="00FE3FAE">
            <w:pPr>
              <w:rPr>
                <w:rFonts w:ascii="Palatino Linotype" w:hAnsi="Palatino Linotype"/>
                <w:sz w:val="22"/>
                <w:szCs w:val="22"/>
              </w:rPr>
            </w:pPr>
            <w:r w:rsidRPr="00DF79C0">
              <w:rPr>
                <w:rFonts w:ascii="Palatino Linotype" w:hAnsi="Palatino Linotype"/>
                <w:sz w:val="22"/>
                <w:szCs w:val="22"/>
              </w:rPr>
              <w:t>24/03/2021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DF79C0" w:rsidRDefault="00FE3FAE" w:rsidP="00FE3FAE">
            <w:pPr>
              <w:shd w:val="clear" w:color="auto" w:fill="FFFFFF"/>
              <w:rPr>
                <w:rFonts w:ascii="Palatino Linotype" w:hAnsi="Palatino Linotype"/>
                <w:sz w:val="22"/>
                <w:szCs w:val="22"/>
                <w:lang w:eastAsia="en-IN"/>
              </w:rPr>
            </w:pPr>
            <w:r w:rsidRPr="00DF79C0">
              <w:rPr>
                <w:rFonts w:ascii="Palatino Linotype" w:hAnsi="Palatino Linotype"/>
                <w:sz w:val="22"/>
                <w:szCs w:val="22"/>
                <w:shd w:val="clear" w:color="auto" w:fill="FFFFFF"/>
              </w:rPr>
              <w:t>Falcon Tyres Limited and Dunlop India Limited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FE3FAE" w:rsidRPr="00DF79C0" w:rsidRDefault="00FE3FAE" w:rsidP="00FE3FAE">
            <w:pPr>
              <w:rPr>
                <w:rFonts w:ascii="Palatino Linotype" w:hAnsi="Palatino Linotype"/>
                <w:sz w:val="22"/>
                <w:szCs w:val="22"/>
              </w:rPr>
            </w:pPr>
            <w:r w:rsidRPr="00DF79C0">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E3FAE" w:rsidRPr="00DF79C0" w:rsidRDefault="00FE3FAE" w:rsidP="00FE3FAE">
            <w:pPr>
              <w:shd w:val="clear" w:color="auto" w:fill="FFFFFF"/>
              <w:rPr>
                <w:rFonts w:ascii="Palatino Linotype" w:hAnsi="Palatino Linotype"/>
                <w:sz w:val="22"/>
                <w:szCs w:val="22"/>
                <w:lang w:eastAsia="en-IN"/>
              </w:rPr>
            </w:pPr>
            <w:r w:rsidRPr="00DF79C0">
              <w:rPr>
                <w:rFonts w:ascii="Palatino Linotype" w:hAnsi="Palatino Linotype"/>
                <w:sz w:val="22"/>
                <w:szCs w:val="22"/>
                <w:shd w:val="clear" w:color="auto" w:fill="FFFFFF"/>
              </w:rPr>
              <w:t xml:space="preserve">Falcon Tyres Ltd, Pawan Ruia, Sunil Bhansali, S. Ravi, Mohan Chuahan.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E3FAE" w:rsidRPr="00DF79C0" w:rsidRDefault="00FE3FAE" w:rsidP="00FE3FAE">
            <w:pPr>
              <w:shd w:val="clear" w:color="auto" w:fill="FFFFFF"/>
              <w:rPr>
                <w:rFonts w:ascii="Palatino Linotype" w:hAnsi="Palatino Linotype"/>
                <w:sz w:val="22"/>
                <w:szCs w:val="22"/>
                <w:lang w:eastAsia="en-IN"/>
              </w:rPr>
            </w:pPr>
            <w:r w:rsidRPr="00DF79C0">
              <w:rPr>
                <w:rFonts w:ascii="Palatino Linotype" w:hAnsi="Palatino Linotype"/>
                <w:sz w:val="22"/>
                <w:szCs w:val="22"/>
                <w:lang w:eastAsia="en-IN"/>
              </w:rPr>
              <w:t xml:space="preserve">Rule   19(A)  of  Securities </w:t>
            </w:r>
          </w:p>
          <w:p w:rsidR="00FE3FAE" w:rsidRPr="00DF79C0" w:rsidRDefault="00FE3FAE" w:rsidP="00FE3FAE">
            <w:pPr>
              <w:shd w:val="clear" w:color="auto" w:fill="FFFFFF"/>
              <w:rPr>
                <w:rFonts w:ascii="Palatino Linotype" w:hAnsi="Palatino Linotype"/>
                <w:sz w:val="22"/>
                <w:szCs w:val="22"/>
                <w:lang w:eastAsia="en-IN"/>
              </w:rPr>
            </w:pPr>
            <w:r w:rsidRPr="00DF79C0">
              <w:rPr>
                <w:rFonts w:ascii="Palatino Linotype" w:hAnsi="Palatino Linotype"/>
                <w:sz w:val="22"/>
                <w:szCs w:val="22"/>
                <w:lang w:eastAsia="en-IN"/>
              </w:rPr>
              <w:t xml:space="preserve">Contracts (Regulation) Rules, 1957 (“SCRR”) and clause 40A of Listing Agreement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E3FAE" w:rsidRPr="00DF79C0" w:rsidRDefault="00FE3FAE" w:rsidP="00FE3FAE">
            <w:pPr>
              <w:pStyle w:val="ListParagraph"/>
              <w:numPr>
                <w:ilvl w:val="0"/>
                <w:numId w:val="23"/>
              </w:numPr>
              <w:spacing w:after="160" w:line="259" w:lineRule="auto"/>
              <w:jc w:val="right"/>
              <w:rPr>
                <w:rFonts w:ascii="Palatino Linotype" w:hAnsi="Palatino Linotype"/>
                <w:sz w:val="22"/>
                <w:szCs w:val="22"/>
              </w:rPr>
            </w:pPr>
          </w:p>
        </w:tc>
      </w:tr>
      <w:tr w:rsidR="00C21F0D" w:rsidRPr="00A538EB"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Pr="00DF79C0" w:rsidRDefault="00DF79C0" w:rsidP="00C21F0D">
            <w:pPr>
              <w:rPr>
                <w:rFonts w:ascii="Palatino Linotype" w:eastAsia="Calibri" w:hAnsi="Palatino Linotype"/>
                <w:sz w:val="22"/>
                <w:szCs w:val="22"/>
                <w:lang w:bidi="hi-IN"/>
              </w:rPr>
            </w:pPr>
            <w:r>
              <w:rPr>
                <w:rFonts w:ascii="Palatino Linotype" w:eastAsia="Calibri" w:hAnsi="Palatino Linotype"/>
                <w:sz w:val="22"/>
                <w:szCs w:val="22"/>
                <w:lang w:bidi="hi-IN"/>
              </w:rPr>
              <w:t>81</w:t>
            </w:r>
          </w:p>
        </w:tc>
        <w:tc>
          <w:tcPr>
            <w:tcW w:w="1418" w:type="dxa"/>
            <w:tcBorders>
              <w:top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lang w:val="en-IN"/>
              </w:rPr>
            </w:pPr>
            <w:r w:rsidRPr="00DF79C0">
              <w:rPr>
                <w:rFonts w:ascii="Palatino Linotype" w:eastAsia="Calibri" w:hAnsi="Palatino Linotype"/>
                <w:sz w:val="22"/>
                <w:szCs w:val="22"/>
                <w:lang w:val="en-IN"/>
              </w:rPr>
              <w:t>30/03/2021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shd w:val="clear" w:color="auto" w:fill="FFFFFF"/>
                <w:lang w:val="en-IN"/>
              </w:rPr>
            </w:pPr>
            <w:r w:rsidRPr="00DF79C0">
              <w:rPr>
                <w:rFonts w:ascii="Palatino Linotype" w:eastAsia="Calibri" w:hAnsi="Palatino Linotype"/>
                <w:sz w:val="22"/>
                <w:szCs w:val="22"/>
                <w:shd w:val="clear" w:color="auto" w:fill="FFFFFF"/>
                <w:lang w:val="en-IN"/>
              </w:rPr>
              <w:t>Zenith Birla (India)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shd w:val="clear" w:color="auto" w:fill="FFFFFF"/>
                <w:lang w:val="en-IN"/>
              </w:rPr>
            </w:pPr>
            <w:r w:rsidRPr="00DF79C0">
              <w:rPr>
                <w:rFonts w:ascii="Palatino Linotype" w:eastAsia="Calibri" w:hAnsi="Palatino Linotype"/>
                <w:sz w:val="22"/>
                <w:szCs w:val="22"/>
                <w:shd w:val="clear" w:color="auto" w:fill="FFFFFF"/>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lang w:val="en-IN"/>
              </w:rPr>
            </w:pPr>
            <w:r w:rsidRPr="00DF79C0">
              <w:rPr>
                <w:rFonts w:ascii="Palatino Linotype" w:eastAsia="Calibri" w:hAnsi="Palatino Linotype"/>
                <w:sz w:val="22"/>
                <w:szCs w:val="22"/>
                <w:shd w:val="clear" w:color="auto" w:fill="FFFFFF"/>
                <w:lang w:val="en-IN"/>
              </w:rPr>
              <w:t xml:space="preserve">P.V.R. Murthy, Yash Birla and 11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Sections 12A(a), (b), (c) of SEBI Act, 1992 r/w</w:t>
            </w:r>
          </w:p>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Regulation 3(a), (b), (c), (d) and 4(1) of PFUTP</w:t>
            </w:r>
          </w:p>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Regulations, 2003</w:t>
            </w:r>
          </w:p>
          <w:p w:rsidR="00C21F0D" w:rsidRPr="00DF79C0"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numPr>
                <w:ilvl w:val="0"/>
                <w:numId w:val="24"/>
              </w:numPr>
              <w:spacing w:after="160" w:line="259" w:lineRule="auto"/>
              <w:contextualSpacing/>
              <w:jc w:val="right"/>
              <w:rPr>
                <w:rFonts w:ascii="Palatino Linotype" w:eastAsia="Calibri" w:hAnsi="Palatino Linotype"/>
                <w:sz w:val="22"/>
                <w:szCs w:val="22"/>
                <w:lang w:val="en-IN"/>
              </w:rPr>
            </w:pPr>
          </w:p>
        </w:tc>
      </w:tr>
      <w:tr w:rsidR="00C21F0D" w:rsidRPr="00A538EB"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Pr="00DF79C0" w:rsidRDefault="00DF79C0" w:rsidP="00C21F0D">
            <w:pPr>
              <w:rPr>
                <w:rFonts w:ascii="Palatino Linotype" w:eastAsia="Calibri" w:hAnsi="Palatino Linotype"/>
                <w:sz w:val="22"/>
                <w:szCs w:val="22"/>
                <w:lang w:bidi="hi-IN"/>
              </w:rPr>
            </w:pPr>
            <w:r>
              <w:rPr>
                <w:rFonts w:ascii="Palatino Linotype" w:eastAsia="Calibri" w:hAnsi="Palatino Linotype"/>
                <w:sz w:val="22"/>
                <w:szCs w:val="22"/>
                <w:lang w:bidi="hi-IN"/>
              </w:rPr>
              <w:t>82</w:t>
            </w:r>
          </w:p>
        </w:tc>
        <w:tc>
          <w:tcPr>
            <w:tcW w:w="1418" w:type="dxa"/>
            <w:tcBorders>
              <w:top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lang w:val="en-IN"/>
              </w:rPr>
            </w:pPr>
            <w:r w:rsidRPr="00DF79C0">
              <w:rPr>
                <w:rFonts w:ascii="Palatino Linotype" w:eastAsia="Calibri" w:hAnsi="Palatino Linotype"/>
                <w:sz w:val="22"/>
                <w:szCs w:val="22"/>
                <w:lang w:val="en-IN"/>
              </w:rPr>
              <w:t>30/03/2021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shd w:val="clear" w:color="auto" w:fill="FFFFFF"/>
                <w:lang w:val="en-IN"/>
              </w:rPr>
            </w:pPr>
            <w:r w:rsidRPr="00DF79C0">
              <w:rPr>
                <w:rFonts w:ascii="Palatino Linotype" w:eastAsia="Calibri" w:hAnsi="Palatino Linotype"/>
                <w:sz w:val="22"/>
                <w:szCs w:val="22"/>
                <w:shd w:val="clear" w:color="auto" w:fill="FFFFFF"/>
                <w:lang w:val="en-IN"/>
              </w:rPr>
              <w:t>ADF Foods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shd w:val="clear" w:color="auto" w:fill="FFFFFF"/>
                <w:lang w:val="en-IN"/>
              </w:rPr>
            </w:pPr>
            <w:r w:rsidRPr="00DF79C0">
              <w:rPr>
                <w:rFonts w:ascii="Palatino Linotype" w:eastAsia="Calibri" w:hAnsi="Palatino Linotype"/>
                <w:sz w:val="22"/>
                <w:szCs w:val="22"/>
                <w:shd w:val="clear" w:color="auto" w:fill="FFFFFF"/>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lang w:val="en-IN"/>
              </w:rPr>
            </w:pPr>
            <w:r w:rsidRPr="00DF79C0">
              <w:rPr>
                <w:rFonts w:ascii="Palatino Linotype" w:eastAsia="Calibri" w:hAnsi="Palatino Linotype"/>
                <w:sz w:val="22"/>
                <w:szCs w:val="22"/>
                <w:lang w:val="en-IN"/>
              </w:rPr>
              <w:t>Pallavi Mehta and five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 xml:space="preserve">Section 2 (1) (d) and 2 (1) (f),. </w:t>
            </w:r>
          </w:p>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 xml:space="preserve">Regulation 2(1)(d)(i), </w:t>
            </w:r>
            <w:r w:rsidRPr="00DF79C0">
              <w:rPr>
                <w:rFonts w:ascii="Palatino Linotype" w:eastAsia="Calibri" w:hAnsi="Palatino Linotype"/>
                <w:sz w:val="22"/>
                <w:szCs w:val="22"/>
                <w:shd w:val="clear" w:color="auto" w:fill="FFFFFF"/>
                <w:lang w:val="en-IN"/>
              </w:rPr>
              <w:t xml:space="preserve">2(1)(f), 2 (1) (g)(i), 2 (1) (g)(ii), 3(1), </w:t>
            </w:r>
            <w:r w:rsidRPr="00DF79C0">
              <w:rPr>
                <w:rFonts w:ascii="Palatino Linotype" w:hAnsi="Palatino Linotype"/>
                <w:sz w:val="22"/>
                <w:szCs w:val="22"/>
                <w:lang w:val="en-IN" w:eastAsia="en-IN"/>
              </w:rPr>
              <w:t>of PIT Regulations</w:t>
            </w:r>
          </w:p>
          <w:p w:rsidR="00C21F0D" w:rsidRPr="00DF79C0" w:rsidRDefault="00C21F0D" w:rsidP="00C21F0D">
            <w:pPr>
              <w:shd w:val="clear" w:color="auto" w:fill="FFFFFF"/>
              <w:rPr>
                <w:rFonts w:ascii="Palatino Linotype" w:hAnsi="Palatino Linotype"/>
                <w:sz w:val="22"/>
                <w:szCs w:val="22"/>
                <w:lang w:val="en-IN" w:eastAsia="en-IN"/>
              </w:rPr>
            </w:pPr>
          </w:p>
          <w:p w:rsidR="00C21F0D" w:rsidRPr="00DF79C0"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numPr>
                <w:ilvl w:val="0"/>
                <w:numId w:val="24"/>
              </w:numPr>
              <w:spacing w:after="160" w:line="259" w:lineRule="auto"/>
              <w:contextualSpacing/>
              <w:jc w:val="right"/>
              <w:rPr>
                <w:rFonts w:ascii="Palatino Linotype" w:eastAsia="Calibri" w:hAnsi="Palatino Linotype"/>
                <w:sz w:val="22"/>
                <w:szCs w:val="22"/>
                <w:lang w:val="en-IN"/>
              </w:rPr>
            </w:pPr>
          </w:p>
        </w:tc>
      </w:tr>
      <w:tr w:rsidR="00C21F0D" w:rsidRPr="00A538EB"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Pr="00DF79C0" w:rsidRDefault="00DF79C0" w:rsidP="00C21F0D">
            <w:pPr>
              <w:rPr>
                <w:rFonts w:ascii="Palatino Linotype" w:eastAsia="Calibri" w:hAnsi="Palatino Linotype"/>
                <w:sz w:val="22"/>
                <w:szCs w:val="22"/>
                <w:lang w:bidi="hi-IN"/>
              </w:rPr>
            </w:pPr>
            <w:r>
              <w:rPr>
                <w:rFonts w:ascii="Palatino Linotype" w:eastAsia="Calibri" w:hAnsi="Palatino Linotype"/>
                <w:sz w:val="22"/>
                <w:szCs w:val="22"/>
                <w:lang w:bidi="hi-IN"/>
              </w:rPr>
              <w:t>83</w:t>
            </w:r>
          </w:p>
        </w:tc>
        <w:tc>
          <w:tcPr>
            <w:tcW w:w="1418" w:type="dxa"/>
            <w:tcBorders>
              <w:top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lang w:val="en-IN"/>
              </w:rPr>
            </w:pPr>
            <w:r w:rsidRPr="00DF79C0">
              <w:rPr>
                <w:rFonts w:ascii="Palatino Linotype" w:eastAsia="Calibri" w:hAnsi="Palatino Linotype"/>
                <w:sz w:val="22"/>
                <w:szCs w:val="22"/>
                <w:lang w:val="en-IN"/>
              </w:rPr>
              <w:t>30/03/2021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Trifid</w:t>
            </w:r>
          </w:p>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Research</w:t>
            </w:r>
          </w:p>
          <w:p w:rsidR="00C21F0D" w:rsidRPr="00DF79C0" w:rsidRDefault="00C21F0D" w:rsidP="00C21F0D">
            <w:pPr>
              <w:rPr>
                <w:rFonts w:ascii="Palatino Linotype" w:eastAsia="Calibri" w:hAnsi="Palatino Linotype"/>
                <w:sz w:val="22"/>
                <w:szCs w:val="22"/>
                <w:shd w:val="clear" w:color="auto" w:fill="FFFFFF"/>
                <w:lang w:val="en-IN"/>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shd w:val="clear" w:color="auto" w:fill="FFFFFF"/>
                <w:lang w:val="en-IN"/>
              </w:rPr>
            </w:pPr>
            <w:r w:rsidRPr="00DF79C0">
              <w:rPr>
                <w:rFonts w:ascii="Palatino Linotype" w:eastAsia="Calibri" w:hAnsi="Palatino Linotype"/>
                <w:sz w:val="22"/>
                <w:szCs w:val="22"/>
                <w:shd w:val="clear" w:color="auto" w:fill="FFFFFF"/>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Trifid</w:t>
            </w:r>
          </w:p>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 xml:space="preserve">Research and partners Vivek Tyagi, Lydia Thomas. </w:t>
            </w:r>
          </w:p>
          <w:p w:rsidR="00C21F0D" w:rsidRPr="00DF79C0" w:rsidRDefault="00C21F0D" w:rsidP="00C21F0D">
            <w:pPr>
              <w:shd w:val="clear" w:color="auto" w:fill="FFFFFF"/>
              <w:rPr>
                <w:rFonts w:ascii="Palatino Linotype" w:hAnsi="Palatino Linotype"/>
                <w:sz w:val="22"/>
                <w:szCs w:val="22"/>
                <w:lang w:val="en-IN" w:eastAsia="en-IN"/>
              </w:rPr>
            </w:pPr>
          </w:p>
          <w:p w:rsidR="00C21F0D" w:rsidRPr="00DF79C0" w:rsidRDefault="00C21F0D" w:rsidP="00C21F0D">
            <w:pPr>
              <w:shd w:val="clear" w:color="auto" w:fill="FFFFFF"/>
              <w:rPr>
                <w:rFonts w:ascii="Palatino Linotype" w:hAnsi="Palatino Linotype"/>
                <w:sz w:val="22"/>
                <w:szCs w:val="22"/>
                <w:lang w:val="en-IN" w:eastAsia="en-I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DF79C0" w:rsidRDefault="00C21F0D" w:rsidP="00C21F0D">
            <w:pPr>
              <w:rPr>
                <w:rFonts w:ascii="Palatino Linotype" w:hAnsi="Palatino Linotype" w:cs="Arial"/>
                <w:sz w:val="22"/>
                <w:szCs w:val="22"/>
                <w:lang w:val="en-IN" w:eastAsia="en-IN" w:bidi="hi-IN"/>
              </w:rPr>
            </w:pPr>
            <w:r w:rsidRPr="00DF79C0">
              <w:rPr>
                <w:rFonts w:ascii="Palatino Linotype" w:hAnsi="Palatino Linotype" w:cs="Arial"/>
                <w:sz w:val="22"/>
                <w:szCs w:val="22"/>
                <w:lang w:val="en-IN" w:eastAsia="en-IN" w:bidi="hi-IN"/>
              </w:rPr>
              <w:t>Regulation 16(e)</w:t>
            </w:r>
          </w:p>
          <w:p w:rsidR="00C21F0D" w:rsidRPr="00DF79C0" w:rsidRDefault="00C21F0D" w:rsidP="00C21F0D">
            <w:pPr>
              <w:rPr>
                <w:rFonts w:ascii="Palatino Linotype" w:hAnsi="Palatino Linotype" w:cs="Arial"/>
                <w:sz w:val="22"/>
                <w:szCs w:val="22"/>
                <w:lang w:val="en-IN" w:eastAsia="en-IN" w:bidi="hi-IN"/>
              </w:rPr>
            </w:pPr>
            <w:r w:rsidRPr="00DF79C0">
              <w:rPr>
                <w:rFonts w:ascii="Palatino Linotype" w:hAnsi="Palatino Linotype" w:cs="Arial"/>
                <w:sz w:val="22"/>
                <w:szCs w:val="22"/>
                <w:lang w:val="en-IN" w:eastAsia="en-IN" w:bidi="hi-IN"/>
              </w:rPr>
              <w:t>And Clauses 1, 2</w:t>
            </w:r>
          </w:p>
          <w:p w:rsidR="00C21F0D" w:rsidRPr="00DF79C0" w:rsidRDefault="00C21F0D" w:rsidP="00C21F0D">
            <w:pPr>
              <w:rPr>
                <w:rFonts w:ascii="Palatino Linotype" w:hAnsi="Palatino Linotype" w:cs="Arial"/>
                <w:sz w:val="22"/>
                <w:szCs w:val="22"/>
                <w:lang w:val="en-IN" w:eastAsia="en-IN" w:bidi="hi-IN"/>
              </w:rPr>
            </w:pPr>
            <w:r w:rsidRPr="00DF79C0">
              <w:rPr>
                <w:rFonts w:ascii="Palatino Linotype" w:hAnsi="Palatino Linotype" w:cs="Arial"/>
                <w:sz w:val="22"/>
                <w:szCs w:val="22"/>
                <w:lang w:val="en-IN" w:eastAsia="en-IN" w:bidi="hi-IN"/>
              </w:rPr>
              <w:t>And 8 of the Code of Conduct as mentioned</w:t>
            </w:r>
          </w:p>
          <w:p w:rsidR="00C21F0D" w:rsidRPr="00DF79C0" w:rsidRDefault="00C21F0D" w:rsidP="00C21F0D">
            <w:pPr>
              <w:rPr>
                <w:rFonts w:ascii="Palatino Linotype" w:hAnsi="Palatino Linotype" w:cs="Arial"/>
                <w:sz w:val="22"/>
                <w:szCs w:val="22"/>
                <w:lang w:val="en-IN" w:eastAsia="en-IN" w:bidi="hi-IN"/>
              </w:rPr>
            </w:pPr>
            <w:r w:rsidRPr="00DF79C0">
              <w:rPr>
                <w:rFonts w:ascii="Palatino Linotype" w:hAnsi="Palatino Linotype" w:cs="Arial"/>
                <w:sz w:val="22"/>
                <w:szCs w:val="22"/>
                <w:lang w:val="en-IN" w:eastAsia="en-IN" w:bidi="hi-IN"/>
              </w:rPr>
              <w:t>In Schedule III read with Regulation 15(9),  of IA Regulations;</w:t>
            </w:r>
          </w:p>
          <w:p w:rsidR="00C21F0D" w:rsidRPr="00DF79C0" w:rsidRDefault="00C21F0D" w:rsidP="00C21F0D">
            <w:pPr>
              <w:rPr>
                <w:rFonts w:ascii="Palatino Linotype" w:hAnsi="Palatino Linotype" w:cs="Arial"/>
                <w:sz w:val="22"/>
                <w:szCs w:val="22"/>
                <w:lang w:val="en-IN" w:eastAsia="en-IN" w:bidi="hi-IN"/>
              </w:rPr>
            </w:pPr>
          </w:p>
          <w:p w:rsidR="00C21F0D" w:rsidRPr="00DF79C0" w:rsidRDefault="00C21F0D" w:rsidP="00C21F0D">
            <w:pPr>
              <w:rPr>
                <w:rFonts w:ascii="Palatino Linotype" w:hAnsi="Palatino Linotype" w:cs="Arial"/>
                <w:sz w:val="22"/>
                <w:szCs w:val="22"/>
                <w:lang w:val="en-IN" w:eastAsia="en-IN" w:bidi="hi-IN"/>
              </w:rPr>
            </w:pPr>
            <w:r w:rsidRPr="00DF79C0">
              <w:rPr>
                <w:rFonts w:ascii="Palatino Linotype" w:hAnsi="Palatino Linotype" w:cs="Arial"/>
                <w:sz w:val="22"/>
                <w:szCs w:val="22"/>
                <w:lang w:val="en-IN" w:eastAsia="en-IN" w:bidi="hi-IN"/>
              </w:rPr>
              <w:t>Regulation 15(1) and Regulation 17 of IA Regulations</w:t>
            </w:r>
          </w:p>
          <w:p w:rsidR="00C21F0D" w:rsidRPr="00DF79C0" w:rsidRDefault="00C21F0D" w:rsidP="00C21F0D">
            <w:pPr>
              <w:rPr>
                <w:rFonts w:ascii="Palatino Linotype" w:hAnsi="Palatino Linotype" w:cs="Arial"/>
                <w:sz w:val="22"/>
                <w:szCs w:val="22"/>
                <w:lang w:val="en-IN" w:eastAsia="en-IN" w:bidi="hi-IN"/>
              </w:rPr>
            </w:pPr>
          </w:p>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Section 12A(a), (b), (c) of SEBI Act, 1992.</w:t>
            </w:r>
          </w:p>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 xml:space="preserve"> </w:t>
            </w:r>
          </w:p>
          <w:p w:rsidR="00C21F0D" w:rsidRPr="00DF79C0" w:rsidRDefault="00C21F0D" w:rsidP="00C21F0D">
            <w:pPr>
              <w:shd w:val="clear" w:color="auto" w:fill="FFFFFF"/>
              <w:rPr>
                <w:rFonts w:ascii="Palatino Linotype" w:eastAsia="Calibri" w:hAnsi="Palatino Linotype"/>
                <w:sz w:val="22"/>
                <w:szCs w:val="22"/>
                <w:shd w:val="clear" w:color="auto" w:fill="FFFFFF"/>
                <w:lang w:val="en-IN"/>
              </w:rPr>
            </w:pPr>
            <w:r w:rsidRPr="00DF79C0">
              <w:rPr>
                <w:rFonts w:ascii="Palatino Linotype" w:hAnsi="Palatino Linotype"/>
                <w:sz w:val="22"/>
                <w:szCs w:val="22"/>
                <w:lang w:val="en-IN" w:eastAsia="en-IN"/>
              </w:rPr>
              <w:t>Regulations 3 (a), (b), (c) and (d) of PFUTP</w:t>
            </w:r>
          </w:p>
          <w:p w:rsidR="00C21F0D" w:rsidRPr="00DF79C0" w:rsidRDefault="00C21F0D" w:rsidP="00C21F0D">
            <w:pPr>
              <w:shd w:val="clear" w:color="auto" w:fill="FFFFFF"/>
              <w:rPr>
                <w:rFonts w:ascii="Palatino Linotype" w:hAnsi="Palatino Linotype"/>
                <w:sz w:val="22"/>
                <w:szCs w:val="22"/>
                <w:lang w:val="en-IN" w:eastAsia="en-IN"/>
              </w:rPr>
            </w:pPr>
            <w:r w:rsidRPr="00DF79C0">
              <w:rPr>
                <w:rFonts w:ascii="Palatino Linotype" w:hAnsi="Palatino Linotype"/>
                <w:sz w:val="22"/>
                <w:szCs w:val="22"/>
                <w:lang w:val="en-IN" w:eastAsia="en-IN"/>
              </w:rPr>
              <w:t xml:space="preserve">Regulations. </w:t>
            </w:r>
          </w:p>
          <w:p w:rsidR="00C21F0D" w:rsidRPr="00DF79C0"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numPr>
                <w:ilvl w:val="0"/>
                <w:numId w:val="24"/>
              </w:numPr>
              <w:spacing w:after="160" w:line="259" w:lineRule="auto"/>
              <w:contextualSpacing/>
              <w:jc w:val="right"/>
              <w:rPr>
                <w:rFonts w:ascii="Palatino Linotype" w:eastAsia="Calibri" w:hAnsi="Palatino Linotype"/>
                <w:sz w:val="22"/>
                <w:szCs w:val="22"/>
                <w:lang w:val="en-IN"/>
              </w:rPr>
            </w:pPr>
          </w:p>
        </w:tc>
      </w:tr>
      <w:tr w:rsidR="00C21F0D" w:rsidRPr="00A538EB" w:rsidTr="00C21F0D">
        <w:trPr>
          <w:trHeight w:val="300"/>
        </w:trPr>
        <w:tc>
          <w:tcPr>
            <w:tcW w:w="567" w:type="dxa"/>
            <w:tcBorders>
              <w:top w:val="single" w:sz="4" w:space="0" w:color="auto"/>
              <w:left w:val="single" w:sz="4" w:space="0" w:color="auto"/>
              <w:bottom w:val="single" w:sz="4" w:space="0" w:color="auto"/>
              <w:right w:val="single" w:sz="4" w:space="0" w:color="auto"/>
            </w:tcBorders>
          </w:tcPr>
          <w:p w:rsidR="00C21F0D" w:rsidRPr="00DF79C0" w:rsidRDefault="00DF79C0" w:rsidP="00C21F0D">
            <w:pPr>
              <w:rPr>
                <w:rFonts w:ascii="Palatino Linotype" w:eastAsia="Calibri" w:hAnsi="Palatino Linotype"/>
                <w:sz w:val="22"/>
                <w:szCs w:val="22"/>
                <w:lang w:bidi="hi-IN"/>
              </w:rPr>
            </w:pPr>
            <w:r>
              <w:rPr>
                <w:rFonts w:ascii="Palatino Linotype" w:eastAsia="Calibri" w:hAnsi="Palatino Linotype"/>
                <w:sz w:val="22"/>
                <w:szCs w:val="22"/>
                <w:lang w:bidi="hi-IN"/>
              </w:rPr>
              <w:t>84</w:t>
            </w:r>
          </w:p>
        </w:tc>
        <w:tc>
          <w:tcPr>
            <w:tcW w:w="1418" w:type="dxa"/>
            <w:tcBorders>
              <w:top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lang w:val="en-IN"/>
              </w:rPr>
            </w:pPr>
            <w:r w:rsidRPr="00DF79C0">
              <w:rPr>
                <w:rFonts w:ascii="Palatino Linotype" w:eastAsia="Calibri" w:hAnsi="Palatino Linotype"/>
                <w:sz w:val="22"/>
                <w:szCs w:val="22"/>
                <w:lang w:val="en-IN"/>
              </w:rPr>
              <w:t>31/03/2021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shd w:val="clear" w:color="auto" w:fill="FFFFFF"/>
                <w:lang w:val="en-IN"/>
              </w:rPr>
            </w:pPr>
            <w:r w:rsidRPr="00DF79C0">
              <w:rPr>
                <w:rFonts w:ascii="Palatino Linotype" w:eastAsia="Calibri" w:hAnsi="Palatino Linotype"/>
                <w:sz w:val="22"/>
                <w:szCs w:val="22"/>
                <w:shd w:val="clear" w:color="auto" w:fill="FFFFFF"/>
                <w:lang w:val="en-IN"/>
              </w:rPr>
              <w:t>Sitaram Maharaj Sakhar Karkhana</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shd w:val="clear" w:color="auto" w:fill="FFFFFF"/>
                <w:lang w:val="en-IN"/>
              </w:rPr>
            </w:pPr>
            <w:r w:rsidRPr="00DF79C0">
              <w:rPr>
                <w:rFonts w:ascii="Palatino Linotype" w:eastAsia="Calibri" w:hAnsi="Palatino Linotype"/>
                <w:sz w:val="22"/>
                <w:szCs w:val="22"/>
                <w:shd w:val="clear" w:color="auto" w:fill="FFFFFF"/>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rPr>
                <w:rFonts w:ascii="Palatino Linotype" w:eastAsia="Calibri" w:hAnsi="Palatino Linotype"/>
                <w:sz w:val="22"/>
                <w:szCs w:val="22"/>
                <w:lang w:val="en-IN"/>
              </w:rPr>
            </w:pPr>
            <w:r w:rsidRPr="00DF79C0">
              <w:rPr>
                <w:rFonts w:ascii="Palatino Linotype" w:eastAsia="Calibri" w:hAnsi="Palatino Linotype"/>
                <w:sz w:val="22"/>
                <w:szCs w:val="22"/>
                <w:shd w:val="clear" w:color="auto" w:fill="FFFFFF"/>
                <w:lang w:val="en-IN"/>
              </w:rPr>
              <w:t>Sitaram Maharaj Sakhar Karkhana and its Directors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C21F0D" w:rsidRPr="00DF79C0" w:rsidRDefault="00C21F0D" w:rsidP="00C21F0D">
            <w:pPr>
              <w:jc w:val="both"/>
              <w:rPr>
                <w:rFonts w:ascii="Palatino Linotype" w:hAnsi="Palatino Linotype"/>
                <w:sz w:val="22"/>
                <w:szCs w:val="22"/>
                <w:lang w:val="en-IN" w:eastAsia="en-IN" w:bidi="hi-IN"/>
              </w:rPr>
            </w:pPr>
            <w:r w:rsidRPr="00DF79C0">
              <w:rPr>
                <w:rFonts w:ascii="Palatino Linotype" w:hAnsi="Palatino Linotype"/>
                <w:sz w:val="22"/>
                <w:szCs w:val="22"/>
                <w:lang w:val="en-IN" w:eastAsia="en-IN"/>
              </w:rPr>
              <w:t xml:space="preserve">Ex-Parte ad-Interim Order cum Show Cause notice for violation of provisions of SEBI </w:t>
            </w:r>
            <w:r w:rsidRPr="00DF79C0">
              <w:rPr>
                <w:rFonts w:ascii="Palatino Linotype" w:hAnsi="Palatino Linotype"/>
                <w:sz w:val="22"/>
                <w:szCs w:val="22"/>
                <w:lang w:val="en-IN" w:eastAsia="en-IN" w:bidi="hi-IN"/>
              </w:rPr>
              <w:t xml:space="preserve">(Issue and </w:t>
            </w:r>
          </w:p>
          <w:p w:rsidR="00C21F0D" w:rsidRPr="00DF79C0" w:rsidRDefault="00C21F0D" w:rsidP="00C21F0D">
            <w:pPr>
              <w:jc w:val="both"/>
              <w:rPr>
                <w:rFonts w:ascii="Palatino Linotype" w:hAnsi="Palatino Linotype"/>
                <w:sz w:val="22"/>
                <w:szCs w:val="22"/>
                <w:lang w:val="en-IN" w:eastAsia="en-IN" w:bidi="hi-IN"/>
              </w:rPr>
            </w:pPr>
            <w:r w:rsidRPr="00DF79C0">
              <w:rPr>
                <w:rFonts w:ascii="Palatino Linotype" w:hAnsi="Palatino Linotype"/>
                <w:sz w:val="22"/>
                <w:szCs w:val="22"/>
                <w:lang w:val="en-IN" w:eastAsia="en-IN" w:bidi="hi-IN"/>
              </w:rPr>
              <w:t>Listing of Non-Convertible Redeemable Preference Shares) Regulations, 2013</w:t>
            </w:r>
          </w:p>
          <w:p w:rsidR="00C21F0D" w:rsidRPr="00DF79C0" w:rsidRDefault="00C21F0D" w:rsidP="00C21F0D">
            <w:pPr>
              <w:shd w:val="clear" w:color="auto" w:fill="FFFFFF"/>
              <w:rPr>
                <w:rFonts w:ascii="Palatino Linotype" w:hAnsi="Palatino Linotype"/>
                <w:sz w:val="22"/>
                <w:szCs w:val="22"/>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C21F0D" w:rsidRPr="00DF79C0" w:rsidRDefault="00C21F0D" w:rsidP="00C21F0D">
            <w:pPr>
              <w:numPr>
                <w:ilvl w:val="0"/>
                <w:numId w:val="24"/>
              </w:numPr>
              <w:spacing w:after="160" w:line="259" w:lineRule="auto"/>
              <w:contextualSpacing/>
              <w:jc w:val="right"/>
              <w:rPr>
                <w:rFonts w:ascii="Palatino Linotype" w:eastAsia="Calibri" w:hAnsi="Palatino Linotype"/>
                <w:sz w:val="22"/>
                <w:szCs w:val="22"/>
                <w:lang w:val="en-IN"/>
              </w:rPr>
            </w:pPr>
          </w:p>
        </w:tc>
      </w:tr>
    </w:tbl>
    <w:p w:rsidR="00272724" w:rsidRDefault="00272724" w:rsidP="00272724">
      <w:pPr>
        <w:pStyle w:val="ListParagraph"/>
        <w:rPr>
          <w:rFonts w:ascii="Garamond" w:hAnsi="Garamond"/>
          <w:sz w:val="24"/>
          <w:szCs w:val="24"/>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 xml:space="preserve">Disclaimer: </w:t>
      </w:r>
      <w:r w:rsidR="00D22F0B">
        <w:rPr>
          <w:rFonts w:ascii="Garamond" w:hAnsi="Garamond" w:cs="Arial"/>
          <w:i/>
          <w:szCs w:val="32"/>
        </w:rPr>
        <w:t xml:space="preserve">Regulatory actions consist of orders passed by Whole Time Member/Adjudication Officer.  Please refer SEBI website for exhaustive list.  </w:t>
      </w:r>
      <w:r>
        <w:rPr>
          <w:rFonts w:ascii="Garamond" w:hAnsi="Garamond" w:cs="Arial"/>
          <w:i/>
          <w:szCs w:val="32"/>
        </w:rPr>
        <w:t>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47"/>
      <w:headerReference w:type="default" r:id="rId48"/>
      <w:footerReference w:type="even" r:id="rId49"/>
      <w:footerReference w:type="default" r:id="rId50"/>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6D2" w:rsidRDefault="003B16D2" w:rsidP="00E07645">
      <w:r>
        <w:separator/>
      </w:r>
    </w:p>
  </w:endnote>
  <w:endnote w:type="continuationSeparator" w:id="0">
    <w:p w:rsidR="003B16D2" w:rsidRDefault="003B16D2"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Rupee Foradian">
    <w:panose1 w:val="020B0603030804020204"/>
    <w:charset w:val="00"/>
    <w:family w:val="swiss"/>
    <w:pitch w:val="variable"/>
    <w:sig w:usb0="800000AF" w:usb1="1000204A" w:usb2="00000000" w:usb3="00000000" w:csb0="00000001" w:csb1="00000000"/>
  </w:font>
  <w:font w:name="Rupe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A17" w:rsidRDefault="00A12A17">
    <w:pPr>
      <w:pStyle w:val="Footer"/>
    </w:pPr>
  </w:p>
  <w:p w:rsidR="00A12A17" w:rsidRDefault="00A12A1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A17" w:rsidRDefault="00A12A17" w:rsidP="00C02A9E">
    <w:pPr>
      <w:pStyle w:val="Footer"/>
      <w:pBdr>
        <w:top w:val="single" w:sz="4" w:space="1" w:color="D9D9D9"/>
      </w:pBdr>
      <w:jc w:val="right"/>
    </w:pPr>
    <w:r>
      <w:fldChar w:fldCharType="begin"/>
    </w:r>
    <w:r>
      <w:instrText xml:space="preserve"> PAGE   \* MERGEFORMAT </w:instrText>
    </w:r>
    <w:r>
      <w:fldChar w:fldCharType="separate"/>
    </w:r>
    <w:r w:rsidR="00570AC0">
      <w:rPr>
        <w:noProof/>
      </w:rPr>
      <w:t>20</w:t>
    </w:r>
    <w:r>
      <w:rPr>
        <w:noProof/>
      </w:rPr>
      <w:fldChar w:fldCharType="end"/>
    </w:r>
    <w:r>
      <w:t xml:space="preserve"> | </w:t>
    </w:r>
    <w:r w:rsidRPr="00601592">
      <w:rPr>
        <w:color w:val="7F7F7F"/>
        <w:spacing w:val="60"/>
      </w:rPr>
      <w:t>Page</w:t>
    </w:r>
  </w:p>
  <w:p w:rsidR="00A12A17" w:rsidRDefault="00A12A17">
    <w:pPr>
      <w:pStyle w:val="Footer"/>
    </w:pPr>
  </w:p>
  <w:p w:rsidR="00A12A17" w:rsidRDefault="00A12A17"/>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16D2" w:rsidRDefault="003B16D2">
    <w:pPr>
      <w:pStyle w:val="Footer"/>
    </w:pPr>
  </w:p>
  <w:p w:rsidR="003B16D2" w:rsidRDefault="003B16D2"/>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3B16D2" w:rsidRDefault="003B16D2">
        <w:pPr>
          <w:pStyle w:val="Footer"/>
          <w:pBdr>
            <w:top w:val="single" w:sz="4" w:space="1" w:color="D9D9D9" w:themeColor="background1" w:themeShade="D9"/>
          </w:pBdr>
          <w:jc w:val="right"/>
        </w:pPr>
        <w:r>
          <w:fldChar w:fldCharType="begin"/>
        </w:r>
        <w:r>
          <w:instrText xml:space="preserve"> PAGE   \* MERGEFORMAT </w:instrText>
        </w:r>
        <w:r>
          <w:fldChar w:fldCharType="separate"/>
        </w:r>
        <w:r w:rsidR="001755DE">
          <w:rPr>
            <w:noProof/>
          </w:rPr>
          <w:t>29</w:t>
        </w:r>
        <w:r>
          <w:rPr>
            <w:noProof/>
          </w:rPr>
          <w:fldChar w:fldCharType="end"/>
        </w:r>
        <w:r>
          <w:t xml:space="preserve"> | </w:t>
        </w:r>
        <w:r>
          <w:rPr>
            <w:color w:val="7F7F7F" w:themeColor="background1" w:themeShade="7F"/>
            <w:spacing w:val="60"/>
          </w:rPr>
          <w:t>Page</w:t>
        </w:r>
      </w:p>
    </w:sdtContent>
  </w:sdt>
  <w:p w:rsidR="003B16D2" w:rsidRDefault="003B16D2">
    <w:pPr>
      <w:pStyle w:val="Footer"/>
    </w:pPr>
  </w:p>
  <w:p w:rsidR="003B16D2" w:rsidRDefault="003B16D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6D2" w:rsidRDefault="003B16D2" w:rsidP="00E07645">
      <w:r>
        <w:separator/>
      </w:r>
    </w:p>
  </w:footnote>
  <w:footnote w:type="continuationSeparator" w:id="0">
    <w:p w:rsidR="003B16D2" w:rsidRDefault="003B16D2" w:rsidP="00E07645">
      <w:r>
        <w:continuationSeparator/>
      </w:r>
    </w:p>
  </w:footnote>
  <w:footnote w:id="1">
    <w:p w:rsidR="001755DE" w:rsidRPr="005B5517" w:rsidRDefault="001755DE" w:rsidP="001755DE">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A12A17" w:rsidRDefault="00A12A17" w:rsidP="00A12A17">
      <w:pPr>
        <w:pStyle w:val="FootnoteText"/>
      </w:pPr>
      <w:r>
        <w:rPr>
          <w:rStyle w:val="FootnoteReference"/>
        </w:rPr>
        <w:footnoteRef/>
      </w:r>
      <w:r>
        <w:t xml:space="preserve"> Based on data available on World Federation of Exchanges as on 12 April 2021. BSE data from WFE has not been included as BSE is no longer providing data to WFE since June 2019.</w:t>
      </w:r>
    </w:p>
  </w:footnote>
  <w:footnote w:id="3">
    <w:p w:rsidR="00A12A17" w:rsidRDefault="00A12A17" w:rsidP="00A12A17">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4">
    <w:p w:rsidR="00A12A17" w:rsidRDefault="00A12A17" w:rsidP="00A12A17">
      <w:pPr>
        <w:pStyle w:val="FootnoteText"/>
      </w:pPr>
      <w:r>
        <w:rPr>
          <w:rStyle w:val="FootnoteReference"/>
        </w:rPr>
        <w:footnoteRef/>
      </w:r>
      <w:r>
        <w:t xml:space="preserve"> Germany, Spain, USA, UK, Japan, India, China, Brazil and Russia.</w:t>
      </w:r>
    </w:p>
  </w:footnote>
  <w:footnote w:id="5">
    <w:p w:rsidR="00A12A17" w:rsidRDefault="00A12A17" w:rsidP="00A12A17">
      <w:pPr>
        <w:pStyle w:val="FootnoteText"/>
      </w:pPr>
      <w:r>
        <w:rPr>
          <w:rStyle w:val="FootnoteReference"/>
        </w:rPr>
        <w:footnoteRef/>
      </w:r>
      <w:r>
        <w:t xml:space="preserve"> Data available on as on 12 April 2021 on WFE as submitted by exchanges which are members of WFE,</w:t>
      </w:r>
    </w:p>
  </w:footnote>
  <w:footnote w:id="6">
    <w:p w:rsidR="00A12A17" w:rsidRDefault="00A12A17" w:rsidP="00A12A17">
      <w:pPr>
        <w:pStyle w:val="FootnoteText"/>
      </w:pPr>
      <w:r>
        <w:rPr>
          <w:rStyle w:val="FootnoteReference"/>
        </w:rPr>
        <w:footnoteRef/>
      </w:r>
      <w:r>
        <w:t xml:space="preserve"> USA, UK, Germany, France, Japan, Singapore, Hong Kong, China, Russia, India, S. Korea and Australia.</w:t>
      </w:r>
    </w:p>
  </w:footnote>
  <w:footnote w:id="7">
    <w:p w:rsidR="00A12A17" w:rsidRDefault="00A12A17" w:rsidP="00A12A17">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A17" w:rsidRDefault="00A12A17">
    <w:pPr>
      <w:pStyle w:val="Header"/>
    </w:pPr>
  </w:p>
  <w:p w:rsidR="00A12A17" w:rsidRDefault="00A12A17"/>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A17" w:rsidRDefault="00A12A17">
    <w:pPr>
      <w:pStyle w:val="Header"/>
    </w:pPr>
    <w:r>
      <w:rPr>
        <w:noProof/>
        <w:lang w:val="en-IN" w:eastAsia="en-IN" w:bidi="hi-I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expertsource_watermark" o:spid="_x0000_s4100" type="#_x0000_t136" style="position:absolute;margin-left:0;margin-top:0;width:406.1pt;height:270.7pt;rotation:315;z-index:251659264;mso-position-horizontal:center;mso-position-horizontal-relative:margin;mso-position-vertical:center;mso-position-vertical-relative:margin" fillcolor="silver" stroked="f">
          <v:fill opacity=".5"/>
          <v:stroke r:id="rId1" o:title=""/>
          <v:shadow color="#868686"/>
          <v:textpath style="font-family:&quot;Times New Roman&quot;;font-size:1pt;v-text-kern:t" trim="t" fitpath="t" string="   "/>
          <o:lock v:ext="edit" aspectratio="t"/>
        </v:shape>
      </w:pict>
    </w:r>
  </w:p>
  <w:p w:rsidR="00A12A17" w:rsidRDefault="00A12A17"/>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16D2" w:rsidRDefault="003B16D2">
    <w:pPr>
      <w:pStyle w:val="Header"/>
    </w:pPr>
  </w:p>
  <w:p w:rsidR="003B16D2" w:rsidRDefault="003B16D2"/>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16D2" w:rsidRDefault="003B16D2">
    <w:pPr>
      <w:pStyle w:val="Header"/>
    </w:pPr>
  </w:p>
  <w:p w:rsidR="003B16D2" w:rsidRDefault="003B16D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19F24B6"/>
    <w:multiLevelType w:val="hybridMultilevel"/>
    <w:tmpl w:val="D6144B70"/>
    <w:lvl w:ilvl="0" w:tplc="D73CC0F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757149"/>
    <w:multiLevelType w:val="hybridMultilevel"/>
    <w:tmpl w:val="5072A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1920F00"/>
    <w:multiLevelType w:val="hybridMultilevel"/>
    <w:tmpl w:val="9968A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1"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C49255A"/>
    <w:multiLevelType w:val="hybridMultilevel"/>
    <w:tmpl w:val="E850E076"/>
    <w:lvl w:ilvl="0" w:tplc="5AC22932">
      <w:numFmt w:val="bullet"/>
      <w:lvlText w:val=""/>
      <w:lvlJc w:val="left"/>
      <w:pPr>
        <w:ind w:left="1080" w:hanging="360"/>
      </w:pPr>
      <w:rPr>
        <w:rFonts w:ascii="Symbol" w:eastAsia="Palatino Linotype" w:hAnsi="Symbol" w:cs="Palatino Linotype"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EC4521B"/>
    <w:multiLevelType w:val="hybridMultilevel"/>
    <w:tmpl w:val="3C982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321637"/>
    <w:multiLevelType w:val="hybridMultilevel"/>
    <w:tmpl w:val="F1448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597F73"/>
    <w:multiLevelType w:val="hybridMultilevel"/>
    <w:tmpl w:val="B4C0D452"/>
    <w:lvl w:ilvl="0" w:tplc="FB188760">
      <w:start w:val="1"/>
      <w:numFmt w:val="upp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9B5C91"/>
    <w:multiLevelType w:val="hybridMultilevel"/>
    <w:tmpl w:val="F2EA9876"/>
    <w:lvl w:ilvl="0" w:tplc="7A30186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C826CE1"/>
    <w:multiLevelType w:val="hybridMultilevel"/>
    <w:tmpl w:val="8A901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51934C4F"/>
    <w:multiLevelType w:val="hybridMultilevel"/>
    <w:tmpl w:val="88629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37" w15:restartNumberingAfterBreak="0">
    <w:nsid w:val="584F0F63"/>
    <w:multiLevelType w:val="hybridMultilevel"/>
    <w:tmpl w:val="AAFAB1E2"/>
    <w:lvl w:ilvl="0" w:tplc="702CC1B4">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9F84AD1"/>
    <w:multiLevelType w:val="hybridMultilevel"/>
    <w:tmpl w:val="E47C2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08F19B9"/>
    <w:multiLevelType w:val="hybridMultilevel"/>
    <w:tmpl w:val="5BB47572"/>
    <w:lvl w:ilvl="0" w:tplc="60A896E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1B51D4F"/>
    <w:multiLevelType w:val="hybridMultilevel"/>
    <w:tmpl w:val="18CA79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51D4C42"/>
    <w:multiLevelType w:val="hybridMultilevel"/>
    <w:tmpl w:val="CFA8027E"/>
    <w:lvl w:ilvl="0" w:tplc="16229AE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F74141"/>
    <w:multiLevelType w:val="hybridMultilevel"/>
    <w:tmpl w:val="23501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751611DF"/>
    <w:multiLevelType w:val="hybridMultilevel"/>
    <w:tmpl w:val="86F60F2C"/>
    <w:lvl w:ilvl="0" w:tplc="08C847F2">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1"/>
  </w:num>
  <w:num w:numId="3">
    <w:abstractNumId w:val="7"/>
  </w:num>
  <w:num w:numId="4">
    <w:abstractNumId w:val="16"/>
  </w:num>
  <w:num w:numId="5">
    <w:abstractNumId w:val="3"/>
  </w:num>
  <w:num w:numId="6">
    <w:abstractNumId w:val="1"/>
  </w:num>
  <w:num w:numId="7">
    <w:abstractNumId w:val="2"/>
  </w:num>
  <w:num w:numId="8">
    <w:abstractNumId w:val="0"/>
  </w:num>
  <w:num w:numId="9">
    <w:abstractNumId w:val="12"/>
  </w:num>
  <w:num w:numId="10">
    <w:abstractNumId w:val="13"/>
  </w:num>
  <w:num w:numId="11">
    <w:abstractNumId w:val="29"/>
  </w:num>
  <w:num w:numId="12">
    <w:abstractNumId w:val="45"/>
  </w:num>
  <w:num w:numId="13">
    <w:abstractNumId w:val="8"/>
  </w:num>
  <w:num w:numId="14">
    <w:abstractNumId w:val="38"/>
  </w:num>
  <w:num w:numId="15">
    <w:abstractNumId w:val="44"/>
  </w:num>
  <w:num w:numId="16">
    <w:abstractNumId w:val="23"/>
  </w:num>
  <w:num w:numId="17">
    <w:abstractNumId w:val="14"/>
  </w:num>
  <w:num w:numId="18">
    <w:abstractNumId w:val="17"/>
  </w:num>
  <w:num w:numId="19">
    <w:abstractNumId w:val="33"/>
  </w:num>
  <w:num w:numId="20">
    <w:abstractNumId w:val="42"/>
  </w:num>
  <w:num w:numId="21">
    <w:abstractNumId w:val="26"/>
  </w:num>
  <w:num w:numId="22">
    <w:abstractNumId w:val="43"/>
  </w:num>
  <w:num w:numId="23">
    <w:abstractNumId w:val="37"/>
  </w:num>
  <w:num w:numId="24">
    <w:abstractNumId w:val="47"/>
  </w:num>
  <w:num w:numId="25">
    <w:abstractNumId w:val="28"/>
  </w:num>
  <w:num w:numId="26">
    <w:abstractNumId w:val="15"/>
  </w:num>
  <w:num w:numId="27">
    <w:abstractNumId w:val="40"/>
  </w:num>
  <w:num w:numId="28">
    <w:abstractNumId w:val="20"/>
  </w:num>
  <w:num w:numId="29">
    <w:abstractNumId w:val="36"/>
  </w:num>
  <w:num w:numId="30">
    <w:abstractNumId w:val="30"/>
  </w:num>
  <w:num w:numId="31">
    <w:abstractNumId w:val="31"/>
  </w:num>
  <w:num w:numId="32">
    <w:abstractNumId w:val="5"/>
  </w:num>
  <w:num w:numId="33">
    <w:abstractNumId w:val="34"/>
  </w:num>
  <w:num w:numId="34">
    <w:abstractNumId w:val="39"/>
  </w:num>
  <w:num w:numId="35">
    <w:abstractNumId w:val="21"/>
  </w:num>
  <w:num w:numId="36">
    <w:abstractNumId w:val="11"/>
  </w:num>
  <w:num w:numId="37">
    <w:abstractNumId w:val="46"/>
  </w:num>
  <w:num w:numId="38">
    <w:abstractNumId w:val="4"/>
  </w:num>
  <w:num w:numId="39">
    <w:abstractNumId w:val="18"/>
  </w:num>
  <w:num w:numId="40">
    <w:abstractNumId w:val="19"/>
  </w:num>
  <w:num w:numId="41">
    <w:abstractNumId w:val="9"/>
  </w:num>
  <w:num w:numId="42">
    <w:abstractNumId w:val="24"/>
  </w:num>
  <w:num w:numId="43">
    <w:abstractNumId w:val="32"/>
  </w:num>
  <w:num w:numId="44">
    <w:abstractNumId w:val="25"/>
  </w:num>
  <w:num w:numId="45">
    <w:abstractNumId w:val="27"/>
  </w:num>
  <w:num w:numId="46">
    <w:abstractNumId w:val="10"/>
  </w:num>
  <w:num w:numId="47">
    <w:abstractNumId w:val="22"/>
  </w:num>
  <w:num w:numId="48">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101"/>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3BA3"/>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56EC"/>
    <w:rsid w:val="00057D3C"/>
    <w:rsid w:val="00062D7C"/>
    <w:rsid w:val="00062F4A"/>
    <w:rsid w:val="00063FF5"/>
    <w:rsid w:val="00065CF0"/>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A047F"/>
    <w:rsid w:val="000A0816"/>
    <w:rsid w:val="000A142F"/>
    <w:rsid w:val="000A19FF"/>
    <w:rsid w:val="000A2F76"/>
    <w:rsid w:val="000A34B6"/>
    <w:rsid w:val="000A37CE"/>
    <w:rsid w:val="000A47E6"/>
    <w:rsid w:val="000A4D70"/>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1A21"/>
    <w:rsid w:val="000D2FD5"/>
    <w:rsid w:val="000D4C7F"/>
    <w:rsid w:val="000D66B0"/>
    <w:rsid w:val="000E03A6"/>
    <w:rsid w:val="000E0833"/>
    <w:rsid w:val="000E0D86"/>
    <w:rsid w:val="000E125F"/>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5DE"/>
    <w:rsid w:val="00175977"/>
    <w:rsid w:val="00175A49"/>
    <w:rsid w:val="00175C02"/>
    <w:rsid w:val="00177824"/>
    <w:rsid w:val="00177BD1"/>
    <w:rsid w:val="00177C4A"/>
    <w:rsid w:val="0018049A"/>
    <w:rsid w:val="001816BF"/>
    <w:rsid w:val="0018197C"/>
    <w:rsid w:val="00182965"/>
    <w:rsid w:val="0018378C"/>
    <w:rsid w:val="00183E80"/>
    <w:rsid w:val="001847A1"/>
    <w:rsid w:val="00184C5B"/>
    <w:rsid w:val="00184D09"/>
    <w:rsid w:val="0018502D"/>
    <w:rsid w:val="001868D6"/>
    <w:rsid w:val="00186E61"/>
    <w:rsid w:val="001912C3"/>
    <w:rsid w:val="00191B9C"/>
    <w:rsid w:val="0019305B"/>
    <w:rsid w:val="001932A2"/>
    <w:rsid w:val="00193EFB"/>
    <w:rsid w:val="0019451C"/>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093A"/>
    <w:rsid w:val="001D0BCA"/>
    <w:rsid w:val="001D1729"/>
    <w:rsid w:val="001D2CA3"/>
    <w:rsid w:val="001D4399"/>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4E34"/>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136"/>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3AF7"/>
    <w:rsid w:val="002F41CD"/>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6D2"/>
    <w:rsid w:val="003B1DAD"/>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3C28"/>
    <w:rsid w:val="003D3F72"/>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537A"/>
    <w:rsid w:val="003F5475"/>
    <w:rsid w:val="003F560E"/>
    <w:rsid w:val="003F5A24"/>
    <w:rsid w:val="003F5BB2"/>
    <w:rsid w:val="003F5EDA"/>
    <w:rsid w:val="003F62E0"/>
    <w:rsid w:val="003F643D"/>
    <w:rsid w:val="003F653C"/>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3BE4"/>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191E"/>
    <w:rsid w:val="00512441"/>
    <w:rsid w:val="00512785"/>
    <w:rsid w:val="00512839"/>
    <w:rsid w:val="00513E19"/>
    <w:rsid w:val="0051508B"/>
    <w:rsid w:val="00515FF5"/>
    <w:rsid w:val="005179F5"/>
    <w:rsid w:val="00517AB4"/>
    <w:rsid w:val="00520349"/>
    <w:rsid w:val="005209F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5B35"/>
    <w:rsid w:val="00706036"/>
    <w:rsid w:val="00706CB2"/>
    <w:rsid w:val="00707D06"/>
    <w:rsid w:val="007105B1"/>
    <w:rsid w:val="00711718"/>
    <w:rsid w:val="00713267"/>
    <w:rsid w:val="00713E40"/>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5D12"/>
    <w:rsid w:val="007978DE"/>
    <w:rsid w:val="007A291E"/>
    <w:rsid w:val="007A54BA"/>
    <w:rsid w:val="007A583C"/>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332"/>
    <w:rsid w:val="007C18BF"/>
    <w:rsid w:val="007C27EF"/>
    <w:rsid w:val="007C2931"/>
    <w:rsid w:val="007C32C5"/>
    <w:rsid w:val="007C372B"/>
    <w:rsid w:val="007C52EA"/>
    <w:rsid w:val="007C5387"/>
    <w:rsid w:val="007C67D6"/>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B31"/>
    <w:rsid w:val="009325AE"/>
    <w:rsid w:val="00932FDF"/>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972B4"/>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9F7467"/>
    <w:rsid w:val="00A00155"/>
    <w:rsid w:val="00A01043"/>
    <w:rsid w:val="00A0126B"/>
    <w:rsid w:val="00A01720"/>
    <w:rsid w:val="00A02454"/>
    <w:rsid w:val="00A02548"/>
    <w:rsid w:val="00A02D52"/>
    <w:rsid w:val="00A03A7D"/>
    <w:rsid w:val="00A03B4A"/>
    <w:rsid w:val="00A04AA5"/>
    <w:rsid w:val="00A072C1"/>
    <w:rsid w:val="00A07B14"/>
    <w:rsid w:val="00A113B3"/>
    <w:rsid w:val="00A11694"/>
    <w:rsid w:val="00A12A17"/>
    <w:rsid w:val="00A12F12"/>
    <w:rsid w:val="00A134B2"/>
    <w:rsid w:val="00A139E6"/>
    <w:rsid w:val="00A14C28"/>
    <w:rsid w:val="00A16061"/>
    <w:rsid w:val="00A16582"/>
    <w:rsid w:val="00A16772"/>
    <w:rsid w:val="00A16E83"/>
    <w:rsid w:val="00A17085"/>
    <w:rsid w:val="00A2036F"/>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4CC9"/>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60E"/>
    <w:rsid w:val="00B02A35"/>
    <w:rsid w:val="00B04C55"/>
    <w:rsid w:val="00B0682B"/>
    <w:rsid w:val="00B07CDD"/>
    <w:rsid w:val="00B07E11"/>
    <w:rsid w:val="00B10547"/>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9FA"/>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698"/>
    <w:rsid w:val="00B8272E"/>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1F0D"/>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F98"/>
    <w:rsid w:val="00CE4665"/>
    <w:rsid w:val="00CE4A4A"/>
    <w:rsid w:val="00CE4B31"/>
    <w:rsid w:val="00CE5886"/>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4976"/>
    <w:rsid w:val="00D35EDA"/>
    <w:rsid w:val="00D36D16"/>
    <w:rsid w:val="00D379DA"/>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5A3C"/>
    <w:rsid w:val="00D76680"/>
    <w:rsid w:val="00D802C2"/>
    <w:rsid w:val="00D803BC"/>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4B3D"/>
    <w:rsid w:val="00DE7027"/>
    <w:rsid w:val="00DE7B3D"/>
    <w:rsid w:val="00DF2C51"/>
    <w:rsid w:val="00DF4282"/>
    <w:rsid w:val="00DF4DB1"/>
    <w:rsid w:val="00DF4F75"/>
    <w:rsid w:val="00DF61AF"/>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C48"/>
    <w:rsid w:val="00E23764"/>
    <w:rsid w:val="00E25497"/>
    <w:rsid w:val="00E25BD9"/>
    <w:rsid w:val="00E26147"/>
    <w:rsid w:val="00E263F0"/>
    <w:rsid w:val="00E2730C"/>
    <w:rsid w:val="00E3101C"/>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4C7F"/>
    <w:rsid w:val="00E75332"/>
    <w:rsid w:val="00E7624D"/>
    <w:rsid w:val="00E8001E"/>
    <w:rsid w:val="00E808D0"/>
    <w:rsid w:val="00E80A7D"/>
    <w:rsid w:val="00E8251D"/>
    <w:rsid w:val="00E8490D"/>
    <w:rsid w:val="00E85B1B"/>
    <w:rsid w:val="00E86EA2"/>
    <w:rsid w:val="00E87E37"/>
    <w:rsid w:val="00E90138"/>
    <w:rsid w:val="00E92CFD"/>
    <w:rsid w:val="00E933DC"/>
    <w:rsid w:val="00E940C3"/>
    <w:rsid w:val="00E94C05"/>
    <w:rsid w:val="00E94CA0"/>
    <w:rsid w:val="00E9744A"/>
    <w:rsid w:val="00E974CF"/>
    <w:rsid w:val="00E97AE2"/>
    <w:rsid w:val="00EA169B"/>
    <w:rsid w:val="00EA2012"/>
    <w:rsid w:val="00EA26A1"/>
    <w:rsid w:val="00EA4711"/>
    <w:rsid w:val="00EA538F"/>
    <w:rsid w:val="00EA5938"/>
    <w:rsid w:val="00EA5A39"/>
    <w:rsid w:val="00EA5B35"/>
    <w:rsid w:val="00EA5BCF"/>
    <w:rsid w:val="00EA5E9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19E"/>
    <w:rsid w:val="00F359B1"/>
    <w:rsid w:val="00F368EA"/>
    <w:rsid w:val="00F378C2"/>
    <w:rsid w:val="00F37BB4"/>
    <w:rsid w:val="00F42930"/>
    <w:rsid w:val="00F42B5D"/>
    <w:rsid w:val="00F42F9E"/>
    <w:rsid w:val="00F437A5"/>
    <w:rsid w:val="00F43DB2"/>
    <w:rsid w:val="00F45A36"/>
    <w:rsid w:val="00F461C7"/>
    <w:rsid w:val="00F4639C"/>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4546"/>
    <w:rsid w:val="00FA4878"/>
    <w:rsid w:val="00FA504E"/>
    <w:rsid w:val="00FA5150"/>
    <w:rsid w:val="00FB2E1D"/>
    <w:rsid w:val="00FB365C"/>
    <w:rsid w:val="00FB4843"/>
    <w:rsid w:val="00FB5B4E"/>
    <w:rsid w:val="00FB5F3F"/>
    <w:rsid w:val="00FB6D7A"/>
    <w:rsid w:val="00FB7313"/>
    <w:rsid w:val="00FC0A85"/>
    <w:rsid w:val="00FC0F39"/>
    <w:rsid w:val="00FC1063"/>
    <w:rsid w:val="00FC1AD5"/>
    <w:rsid w:val="00FC1D6F"/>
    <w:rsid w:val="00FC2E6C"/>
    <w:rsid w:val="00FC2FA1"/>
    <w:rsid w:val="00FC2FF6"/>
    <w:rsid w:val="00FC3171"/>
    <w:rsid w:val="00FC57AE"/>
    <w:rsid w:val="00FC5D27"/>
    <w:rsid w:val="00FC5E32"/>
    <w:rsid w:val="00FC60B4"/>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4101"/>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ettings" Target="settings.xml"/><Relationship Id="rId18" Type="http://schemas.openxmlformats.org/officeDocument/2006/relationships/hyperlink" Target="mailto:bulletin@sebi.gov.in" TargetMode="External"/><Relationship Id="rId26" Type="http://schemas.openxmlformats.org/officeDocument/2006/relationships/chart" Target="charts/chart8.xml"/><Relationship Id="rId39" Type="http://schemas.openxmlformats.org/officeDocument/2006/relationships/image" Target="media/image4.png"/><Relationship Id="rId21" Type="http://schemas.openxmlformats.org/officeDocument/2006/relationships/chart" Target="charts/chart3.xml"/><Relationship Id="rId34" Type="http://schemas.openxmlformats.org/officeDocument/2006/relationships/chart" Target="charts/chart16.xml"/><Relationship Id="rId42" Type="http://schemas.openxmlformats.org/officeDocument/2006/relationships/header" Target="header1.xm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endnotes" Target="endnotes.xml"/><Relationship Id="rId29" Type="http://schemas.openxmlformats.org/officeDocument/2006/relationships/chart" Target="charts/chart11.xml"/><Relationship Id="rId11" Type="http://schemas.openxmlformats.org/officeDocument/2006/relationships/numbering" Target="numbering.xml"/><Relationship Id="rId24" Type="http://schemas.openxmlformats.org/officeDocument/2006/relationships/chart" Target="charts/chart6.xml"/><Relationship Id="rId32" Type="http://schemas.openxmlformats.org/officeDocument/2006/relationships/chart" Target="charts/chart14.xm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image" Target="media/image1.png"/><Relationship Id="rId49" Type="http://schemas.openxmlformats.org/officeDocument/2006/relationships/footer" Target="footer3.xml"/><Relationship Id="rId10" Type="http://schemas.openxmlformats.org/officeDocument/2006/relationships/customXml" Target="../customXml/item10.xml"/><Relationship Id="rId19" Type="http://schemas.openxmlformats.org/officeDocument/2006/relationships/chart" Target="charts/chart1.xml"/><Relationship Id="rId31" Type="http://schemas.openxmlformats.org/officeDocument/2006/relationships/chart" Target="charts/chart13.xml"/><Relationship Id="rId44"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chart" Target="charts/chart12.xml"/><Relationship Id="rId35" Type="http://schemas.openxmlformats.org/officeDocument/2006/relationships/chart" Target="charts/chart17.xml"/><Relationship Id="rId43" Type="http://schemas.openxmlformats.org/officeDocument/2006/relationships/header" Target="header2.xml"/><Relationship Id="rId48" Type="http://schemas.openxmlformats.org/officeDocument/2006/relationships/header" Target="header4.xml"/><Relationship Id="rId8" Type="http://schemas.openxmlformats.org/officeDocument/2006/relationships/customXml" Target="../customXml/item8.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styles" Target="styles.xml"/><Relationship Id="rId17" Type="http://schemas.openxmlformats.org/officeDocument/2006/relationships/hyperlink" Target="http://www.sebi.gov.in" TargetMode="External"/><Relationship Id="rId25" Type="http://schemas.openxmlformats.org/officeDocument/2006/relationships/chart" Target="charts/chart7.xml"/><Relationship Id="rId33" Type="http://schemas.openxmlformats.org/officeDocument/2006/relationships/chart" Target="charts/chart15.xml"/><Relationship Id="rId38" Type="http://schemas.openxmlformats.org/officeDocument/2006/relationships/image" Target="media/image3.png"/><Relationship Id="rId46" Type="http://schemas.openxmlformats.org/officeDocument/2006/relationships/hyperlink" Target="https://www.fca.org.uk/publication/documents/future-cessation-loss-representativeness-libor-benchmarks.pdf" TargetMode="External"/><Relationship Id="rId20" Type="http://schemas.openxmlformats.org/officeDocument/2006/relationships/chart" Target="charts/chart2.xm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F:\C%20DRIVE%20DATA%20BACKUP%2013-11-2019\Documents\Work_HO_DEPA\2020-21\Bulletin\April%202021\CMR%20April%20202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F:\C%20DRIVE%20DATA%20BACKUP%2013-11-2019\Documents\Work_HO_DEPA\2020-21\Bulletin\April%202021\CMR%20April%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F:\C%20DRIVE%20DATA%20BACKUP%2013-11-2019\Documents\Work_HO_DEPA\2020-21\Bulletin\April%202021\CMR%20April%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F:\C%20DRIVE%20DATA%20BACKUP%2013-11-2019\Documents\Work_HO_DEPA\2020-21\Bulletin\April%202021\CMR%20April%20202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F:\C%20DRIVE%20DATA%20BACKUP%2013-11-2019\Documents\Work_HO_DEPA\2020-21\Bulletin\March%202021\CMR%20March%202021.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F:\C%20DRIVE%20DATA%20BACKUP%2013-11-2019\Documents\Work_HO_DEPA\2020-21\Bulletin\April%202021\CMR%20April%202021.xlsx" TargetMode="External"/></Relationships>
</file>

<file path=word/charts/_rels/chart7.xml.rels><?xml version="1.0" encoding="UTF-8" standalone="yes"?>
<Relationships xmlns="http://schemas.openxmlformats.org/package/2006/relationships"><Relationship Id="rId2" Type="http://schemas.openxmlformats.org/officeDocument/2006/relationships/oleObject" Target="file:///F:\C%20DRIVE%20DATA%20BACKUP%2013-11-2019\Documents\Work_HO_DEPA\2020-21\Bulletin\April%202021\CMR%20April%202021.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F:\C%20DRIVE%20DATA%20BACKUP%2013-11-2019\Documents\Work_HO_DEPA\2020-21\Bulletin\April%202021\CMR%20April%202021.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F:\C%20DRIVE%20DATA%20BACKUP%2013-11-2019\Documents\Work_HO_DEPA\2020-21\Bulletin\April%202021\CMR%20April%202021.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F:\C%20DRIVE%20DATA%20BACKUP%2013-11-2019\Documents\Work_HO_DEPA\2020-21\Bulletin\April%202021\CMR%20April%20202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F:\C%20DRIVE%20DATA%20BACKUP%2013-11-2019\Documents\Work_HO_DEPA\2020-21\Bulletin\April%202021\CMR%20April%202021.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F:\C%20DRIVE%20DATA%20BACKUP%2013-11-2019\Documents\Work_HO_DEPA\2020-21\Bulletin\April%202021\CMR%20April%202021.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F:\C%20DRIVE%20DATA%20BACKUP%2013-11-2019\Documents\Work_HO_DEPA\2020-21\Bulletin\April%202021\CMR%20April%202021.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Saurabh\Desktop\Graphs%20%20data%20for%20bulletin%20Mar.%20%202021.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Saurabh\Desktop\Graphs%20%20data%20for%20bulletin%20Mar.%20%202021.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Saurabh\Desktop\Graphs%20%20data%20for%20bulletin%20Mar.%20%202021.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Saurabh\Desktop\Graphs%20%20data%20for%20bulletin%20Mar.%20%2020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2"/>
          <c:order val="0"/>
          <c:tx>
            <c:strRef>
              <c:f>'F1'!$D$1</c:f>
              <c:strCache>
                <c:ptCount val="1"/>
                <c:pt idx="0">
                  <c:v>Nifty </c:v>
                </c:pt>
              </c:strCache>
            </c:strRef>
          </c:tx>
          <c:spPr>
            <a:ln w="28575" cap="rnd">
              <a:solidFill>
                <a:srgbClr val="00B050"/>
              </a:solidFill>
              <a:round/>
            </a:ln>
            <a:effectLst/>
          </c:spPr>
          <c:marker>
            <c:symbol val="none"/>
          </c:marker>
          <c:cat>
            <c:numRef>
              <c:f>'F1'!$A$2:$A$23</c:f>
              <c:numCache>
                <c:formatCode>[$-409]d\-mmm\-yy;@</c:formatCode>
                <c:ptCount val="22"/>
                <c:pt idx="0" formatCode="[$-409]d\-mmm\-yy">
                  <c:v>44255</c:v>
                </c:pt>
                <c:pt idx="1">
                  <c:v>44256</c:v>
                </c:pt>
                <c:pt idx="2">
                  <c:v>44257</c:v>
                </c:pt>
                <c:pt idx="3">
                  <c:v>44258</c:v>
                </c:pt>
                <c:pt idx="4">
                  <c:v>44259</c:v>
                </c:pt>
                <c:pt idx="5">
                  <c:v>44260</c:v>
                </c:pt>
                <c:pt idx="6">
                  <c:v>44263</c:v>
                </c:pt>
                <c:pt idx="7">
                  <c:v>44264</c:v>
                </c:pt>
                <c:pt idx="8">
                  <c:v>44265</c:v>
                </c:pt>
                <c:pt idx="9">
                  <c:v>44267</c:v>
                </c:pt>
                <c:pt idx="10">
                  <c:v>44270</c:v>
                </c:pt>
                <c:pt idx="11">
                  <c:v>44271</c:v>
                </c:pt>
                <c:pt idx="12">
                  <c:v>44272</c:v>
                </c:pt>
                <c:pt idx="13">
                  <c:v>44273</c:v>
                </c:pt>
                <c:pt idx="14">
                  <c:v>44274</c:v>
                </c:pt>
                <c:pt idx="15">
                  <c:v>44277</c:v>
                </c:pt>
                <c:pt idx="16">
                  <c:v>44278</c:v>
                </c:pt>
                <c:pt idx="17">
                  <c:v>44279</c:v>
                </c:pt>
                <c:pt idx="18">
                  <c:v>44280</c:v>
                </c:pt>
                <c:pt idx="19">
                  <c:v>44281</c:v>
                </c:pt>
                <c:pt idx="20">
                  <c:v>44285</c:v>
                </c:pt>
                <c:pt idx="21">
                  <c:v>44286</c:v>
                </c:pt>
              </c:numCache>
            </c:numRef>
          </c:cat>
          <c:val>
            <c:numRef>
              <c:f>'F1'!$D$2:$D$23</c:f>
              <c:numCache>
                <c:formatCode>0.0</c:formatCode>
                <c:ptCount val="22"/>
                <c:pt idx="0">
                  <c:v>100</c:v>
                </c:pt>
                <c:pt idx="1">
                  <c:v>101.59954298771778</c:v>
                </c:pt>
                <c:pt idx="2">
                  <c:v>102.68391475069086</c:v>
                </c:pt>
                <c:pt idx="3">
                  <c:v>104.9311212287023</c:v>
                </c:pt>
                <c:pt idx="4">
                  <c:v>103.79650564554704</c:v>
                </c:pt>
                <c:pt idx="5">
                  <c:v>102.8146863374664</c:v>
                </c:pt>
                <c:pt idx="6">
                  <c:v>102.93926348065784</c:v>
                </c:pt>
                <c:pt idx="7">
                  <c:v>103.91798556694643</c:v>
                </c:pt>
                <c:pt idx="8">
                  <c:v>104.44382500008602</c:v>
                </c:pt>
                <c:pt idx="9">
                  <c:v>103.45374643389324</c:v>
                </c:pt>
                <c:pt idx="10">
                  <c:v>102.75549498766273</c:v>
                </c:pt>
                <c:pt idx="11">
                  <c:v>102.6243792651325</c:v>
                </c:pt>
                <c:pt idx="12">
                  <c:v>101.3225137052064</c:v>
                </c:pt>
                <c:pt idx="13">
                  <c:v>100.19753392318201</c:v>
                </c:pt>
                <c:pt idx="14">
                  <c:v>101.47875133782775</c:v>
                </c:pt>
                <c:pt idx="15">
                  <c:v>101.42644270311753</c:v>
                </c:pt>
                <c:pt idx="16">
                  <c:v>101.96570343068933</c:v>
                </c:pt>
                <c:pt idx="17">
                  <c:v>100.13937498064236</c:v>
                </c:pt>
                <c:pt idx="18">
                  <c:v>98.594205442162817</c:v>
                </c:pt>
                <c:pt idx="19">
                  <c:v>99.849612675208093</c:v>
                </c:pt>
                <c:pt idx="20">
                  <c:v>102.17459383377555</c:v>
                </c:pt>
                <c:pt idx="21">
                  <c:v>101.11190262334686</c:v>
                </c:pt>
              </c:numCache>
            </c:numRef>
          </c:val>
          <c:smooth val="0"/>
          <c:extLst>
            <c:ext xmlns:c16="http://schemas.microsoft.com/office/drawing/2014/chart" uri="{C3380CC4-5D6E-409C-BE32-E72D297353CC}">
              <c16:uniqueId val="{00000000-8401-4EF0-9ACE-BE515A70667E}"/>
            </c:ext>
          </c:extLst>
        </c:ser>
        <c:ser>
          <c:idx val="3"/>
          <c:order val="1"/>
          <c:tx>
            <c:strRef>
              <c:f>'F1'!$E$1</c:f>
              <c:strCache>
                <c:ptCount val="1"/>
                <c:pt idx="0">
                  <c:v>Sensex </c:v>
                </c:pt>
              </c:strCache>
            </c:strRef>
          </c:tx>
          <c:spPr>
            <a:ln w="28575" cap="rnd">
              <a:solidFill>
                <a:srgbClr val="FF0000"/>
              </a:solidFill>
              <a:round/>
            </a:ln>
            <a:effectLst/>
          </c:spPr>
          <c:marker>
            <c:symbol val="none"/>
          </c:marker>
          <c:cat>
            <c:numRef>
              <c:f>'F1'!$A$2:$A$23</c:f>
              <c:numCache>
                <c:formatCode>[$-409]d\-mmm\-yy;@</c:formatCode>
                <c:ptCount val="22"/>
                <c:pt idx="0" formatCode="[$-409]d\-mmm\-yy">
                  <c:v>44255</c:v>
                </c:pt>
                <c:pt idx="1">
                  <c:v>44256</c:v>
                </c:pt>
                <c:pt idx="2">
                  <c:v>44257</c:v>
                </c:pt>
                <c:pt idx="3">
                  <c:v>44258</c:v>
                </c:pt>
                <c:pt idx="4">
                  <c:v>44259</c:v>
                </c:pt>
                <c:pt idx="5">
                  <c:v>44260</c:v>
                </c:pt>
                <c:pt idx="6">
                  <c:v>44263</c:v>
                </c:pt>
                <c:pt idx="7">
                  <c:v>44264</c:v>
                </c:pt>
                <c:pt idx="8">
                  <c:v>44265</c:v>
                </c:pt>
                <c:pt idx="9">
                  <c:v>44267</c:v>
                </c:pt>
                <c:pt idx="10">
                  <c:v>44270</c:v>
                </c:pt>
                <c:pt idx="11">
                  <c:v>44271</c:v>
                </c:pt>
                <c:pt idx="12">
                  <c:v>44272</c:v>
                </c:pt>
                <c:pt idx="13">
                  <c:v>44273</c:v>
                </c:pt>
                <c:pt idx="14">
                  <c:v>44274</c:v>
                </c:pt>
                <c:pt idx="15">
                  <c:v>44277</c:v>
                </c:pt>
                <c:pt idx="16">
                  <c:v>44278</c:v>
                </c:pt>
                <c:pt idx="17">
                  <c:v>44279</c:v>
                </c:pt>
                <c:pt idx="18">
                  <c:v>44280</c:v>
                </c:pt>
                <c:pt idx="19">
                  <c:v>44281</c:v>
                </c:pt>
                <c:pt idx="20">
                  <c:v>44285</c:v>
                </c:pt>
                <c:pt idx="21">
                  <c:v>44286</c:v>
                </c:pt>
              </c:numCache>
            </c:numRef>
          </c:cat>
          <c:val>
            <c:numRef>
              <c:f>'F1'!$E$2:$E$23</c:f>
              <c:numCache>
                <c:formatCode>0.0</c:formatCode>
                <c:ptCount val="22"/>
                <c:pt idx="0" formatCode="0">
                  <c:v>100</c:v>
                </c:pt>
                <c:pt idx="1">
                  <c:v>101.52718972040525</c:v>
                </c:pt>
                <c:pt idx="2">
                  <c:v>102.43767870421156</c:v>
                </c:pt>
                <c:pt idx="3">
                  <c:v>104.77527592164482</c:v>
                </c:pt>
                <c:pt idx="4">
                  <c:v>103.55619217030393</c:v>
                </c:pt>
                <c:pt idx="5">
                  <c:v>102.65851377973807</c:v>
                </c:pt>
                <c:pt idx="6">
                  <c:v>102.73132438519849</c:v>
                </c:pt>
                <c:pt idx="7">
                  <c:v>103.92156902679618</c:v>
                </c:pt>
                <c:pt idx="8">
                  <c:v>104.43894184092507</c:v>
                </c:pt>
                <c:pt idx="9">
                  <c:v>103.44621251450361</c:v>
                </c:pt>
                <c:pt idx="10">
                  <c:v>102.63765837834187</c:v>
                </c:pt>
                <c:pt idx="11">
                  <c:v>102.57427751003618</c:v>
                </c:pt>
                <c:pt idx="12">
                  <c:v>101.42898196109617</c:v>
                </c:pt>
                <c:pt idx="13">
                  <c:v>100.23733202389657</c:v>
                </c:pt>
                <c:pt idx="14">
                  <c:v>101.54429766686309</c:v>
                </c:pt>
                <c:pt idx="15">
                  <c:v>101.36721005442162</c:v>
                </c:pt>
                <c:pt idx="16">
                  <c:v>101.93778043539318</c:v>
                </c:pt>
                <c:pt idx="17">
                  <c:v>100.16358455470154</c:v>
                </c:pt>
                <c:pt idx="18">
                  <c:v>98.656068972722821</c:v>
                </c:pt>
                <c:pt idx="19">
                  <c:v>99.813665949830153</c:v>
                </c:pt>
                <c:pt idx="20">
                  <c:v>102.11118169270505</c:v>
                </c:pt>
                <c:pt idx="21">
                  <c:v>100.83331992531976</c:v>
                </c:pt>
              </c:numCache>
            </c:numRef>
          </c:val>
          <c:smooth val="0"/>
          <c:extLst>
            <c:ext xmlns:c16="http://schemas.microsoft.com/office/drawing/2014/chart" uri="{C3380CC4-5D6E-409C-BE32-E72D297353CC}">
              <c16:uniqueId val="{00000001-8401-4EF0-9ACE-BE515A70667E}"/>
            </c:ext>
          </c:extLst>
        </c:ser>
        <c:dLbls>
          <c:showLegendKey val="0"/>
          <c:showVal val="0"/>
          <c:showCatName val="0"/>
          <c:showSerName val="0"/>
          <c:showPercent val="0"/>
          <c:showBubbleSize val="0"/>
        </c:dLbls>
        <c:smooth val="0"/>
        <c:axId val="1671506863"/>
        <c:axId val="1671507695"/>
      </c:lineChart>
      <c:dateAx>
        <c:axId val="1671506863"/>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7695"/>
        <c:crosses val="autoZero"/>
        <c:auto val="1"/>
        <c:lblOffset val="100"/>
        <c:baseTimeUnit val="days"/>
        <c:majorUnit val="1"/>
        <c:majorTimeUnit val="days"/>
        <c:minorUnit val="1"/>
        <c:minorTimeUnit val="days"/>
      </c:dateAx>
      <c:valAx>
        <c:axId val="1671507695"/>
        <c:scaling>
          <c:orientation val="minMax"/>
          <c:max val="105"/>
          <c:min val="9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6863"/>
        <c:crosses val="autoZero"/>
        <c:crossBetween val="between"/>
        <c:majorUnit val="2"/>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0"/>
          <c:tx>
            <c:strRef>
              <c:f>'F2&amp;F3'!$D$3</c:f>
              <c:strCache>
                <c:ptCount val="1"/>
                <c:pt idx="0">
                  <c:v>ADT at NSE (LHS)</c:v>
                </c:pt>
              </c:strCache>
            </c:strRef>
          </c:tx>
          <c:spPr>
            <a:solidFill>
              <a:srgbClr val="00B050"/>
            </a:solidFill>
            <a:ln>
              <a:noFill/>
            </a:ln>
            <a:effectLst/>
          </c:spPr>
          <c:invertIfNegative val="0"/>
          <c:cat>
            <c:numRef>
              <c:f>'F2&amp;F3'!$A$4:$A$15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'F2&amp;F3'!$D$4:$D$15</c:f>
              <c:numCache>
                <c:formatCode>#,##0</c:formatCode>
                <c:ptCount val="12"/>
                <c:pt idx="0">
                  <c:v>50322.35</c:v>
                </c:pt>
                <c:pt idx="1">
                  <c:v>52655.6</c:v>
                </c:pt>
                <c:pt idx="2">
                  <c:v>61394.58</c:v>
                </c:pt>
                <c:pt idx="3" formatCode="[&gt;=10000000]#\,##\,##\,##0;[&gt;=100000]#\,##\,##0;##,##0">
                  <c:v>58631.347159999998</c:v>
                </c:pt>
                <c:pt idx="4" formatCode="[&gt;=10000000]#\,##\,##\,##0;[&gt;=100000]#\,##\,##0;##,##0">
                  <c:v>61074.12</c:v>
                </c:pt>
                <c:pt idx="5" formatCode="[&gt;=10000000]#\,##\,##\,##0;[&gt;=100000]#\,##\,##0;##,##0">
                  <c:v>55605.851524328958</c:v>
                </c:pt>
                <c:pt idx="6" formatCode="[&gt;=10000000]#\,##\,##\,##0;[&gt;=100000]#\,##\,##0;##,##0">
                  <c:v>52327.798311617102</c:v>
                </c:pt>
                <c:pt idx="7" formatCode="[&gt;=10000000]#\,##\,##\,##0;[&gt;=100000]#\,##\,##0;##,##0">
                  <c:v>66863.595756470837</c:v>
                </c:pt>
                <c:pt idx="8" formatCode="[&gt;=10000000]#\,##\,##\,##0;[&gt;=100000]#\,##\,##0;##,##0">
                  <c:v>62479.615040464567</c:v>
                </c:pt>
                <c:pt idx="9" formatCode="[&gt;=10000000]#\,##\,##\,##0;[&gt;=100000]#\,##\,##0;##,##0">
                  <c:v>72472.244728850172</c:v>
                </c:pt>
                <c:pt idx="10" formatCode="#,##0;\-#,##0;0">
                  <c:v>81373.180989999993</c:v>
                </c:pt>
                <c:pt idx="11" formatCode="#,##0;\-#,##0;0">
                  <c:v>66616.515109999993</c:v>
                </c:pt>
              </c:numCache>
            </c:numRef>
          </c:val>
          <c:extLst>
            <c:ext xmlns:c16="http://schemas.microsoft.com/office/drawing/2014/chart" uri="{C3380CC4-5D6E-409C-BE32-E72D297353CC}">
              <c16:uniqueId val="{00000000-19F1-4E1A-907C-6D40E1E654BF}"/>
            </c:ext>
          </c:extLst>
        </c:ser>
        <c:dLbls>
          <c:showLegendKey val="0"/>
          <c:showVal val="0"/>
          <c:showCatName val="0"/>
          <c:showSerName val="0"/>
          <c:showPercent val="0"/>
          <c:showBubbleSize val="0"/>
        </c:dLbls>
        <c:gapWidth val="219"/>
        <c:overlap val="-27"/>
        <c:axId val="44891935"/>
        <c:axId val="44890271"/>
      </c:barChart>
      <c:lineChart>
        <c:grouping val="standard"/>
        <c:varyColors val="0"/>
        <c:ser>
          <c:idx val="3"/>
          <c:order val="1"/>
          <c:tx>
            <c:strRef>
              <c:f>'F2&amp;F3'!$E$3</c:f>
              <c:strCache>
                <c:ptCount val="1"/>
                <c:pt idx="0">
                  <c:v>ADV of Nifty 50 (RHS)</c:v>
                </c:pt>
              </c:strCache>
            </c:strRef>
          </c:tx>
          <c:spPr>
            <a:ln w="28575" cap="rnd">
              <a:solidFill>
                <a:srgbClr val="FF0000"/>
              </a:solidFill>
              <a:round/>
            </a:ln>
            <a:effectLst/>
          </c:spPr>
          <c:marker>
            <c:symbol val="none"/>
          </c:marker>
          <c:cat>
            <c:numRef>
              <c:f>'F2&amp;F3'!$A$4:$A$15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'F2&amp;F3'!$E$4:$E$15</c:f>
              <c:numCache>
                <c:formatCode>#,##0</c:formatCode>
                <c:ptCount val="12"/>
                <c:pt idx="0">
                  <c:v>9063.58</c:v>
                </c:pt>
                <c:pt idx="1">
                  <c:v>9192.01</c:v>
                </c:pt>
                <c:pt idx="2">
                  <c:v>10116.450000000001</c:v>
                </c:pt>
                <c:pt idx="3">
                  <c:v>10897.695652173914</c:v>
                </c:pt>
                <c:pt idx="4" formatCode="[&gt;=10000000]#\,##\,##\,##0;[&gt;=100000]#\,##\,##0;##,##0">
                  <c:v>11318.57</c:v>
                </c:pt>
                <c:pt idx="5" formatCode="[&gt;=10000000]#\,##\,##\,##0;[&gt;=100000]#\,##\,##0;##,##0">
                  <c:v>11336.702272727271</c:v>
                </c:pt>
                <c:pt idx="6" formatCode="[&gt;=10000000]#\,##\,##\,##0;[&gt;=100000]#\,##\,##0;##,##0">
                  <c:v>11789.709523809524</c:v>
                </c:pt>
                <c:pt idx="7" formatCode="[&gt;=10000000]#\,##\,##\,##0;[&gt;=100000]#\,##\,##0;##,##0">
                  <c:v>12602.3225</c:v>
                </c:pt>
                <c:pt idx="8" formatCode="[&gt;=10000000]#\,##\,##\,##0;[&gt;=100000]#\,##\,##0;##,##0">
                  <c:v>13550.44090909091</c:v>
                </c:pt>
                <c:pt idx="9" formatCode="[&gt;=10000000]#\,##\,##\,##0;[&gt;=100000]#\,##\,##0;##,##0">
                  <c:v>14284.602499999999</c:v>
                </c:pt>
                <c:pt idx="10" formatCode="[&gt;=10000000]#\,##\,##\,##0;[&gt;=100000]#\,##\,##0;##,##0">
                  <c:v>14956.842499999999</c:v>
                </c:pt>
                <c:pt idx="11" formatCode="[&gt;=10000000]#\,##\,##\,##0;[&gt;=100000]#\,##\,##0;##,##0">
                  <c:v>14835.099999999999</c:v>
                </c:pt>
              </c:numCache>
            </c:numRef>
          </c:val>
          <c:smooth val="0"/>
          <c:extLst>
            <c:ext xmlns:c16="http://schemas.microsoft.com/office/drawing/2014/chart" uri="{C3380CC4-5D6E-409C-BE32-E72D297353CC}">
              <c16:uniqueId val="{00000001-19F1-4E1A-907C-6D40E1E654BF}"/>
            </c:ext>
          </c:extLst>
        </c:ser>
        <c:dLbls>
          <c:showLegendKey val="0"/>
          <c:showVal val="0"/>
          <c:showCatName val="0"/>
          <c:showSerName val="0"/>
          <c:showPercent val="0"/>
          <c:showBubbleSize val="0"/>
        </c:dLbls>
        <c:marker val="1"/>
        <c:smooth val="0"/>
        <c:axId val="1671505615"/>
        <c:axId val="1671508527"/>
      </c:lineChart>
      <c:dateAx>
        <c:axId val="44891935"/>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4890271"/>
        <c:crosses val="autoZero"/>
        <c:auto val="1"/>
        <c:lblOffset val="100"/>
        <c:baseTimeUnit val="months"/>
      </c:dateAx>
      <c:valAx>
        <c:axId val="44890271"/>
        <c:scaling>
          <c:orientation val="minMax"/>
          <c:min val="35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4891935"/>
        <c:crosses val="autoZero"/>
        <c:crossBetween val="between"/>
        <c:majorUnit val="5000.01"/>
      </c:valAx>
      <c:valAx>
        <c:axId val="1671508527"/>
        <c:scaling>
          <c:orientation val="minMax"/>
          <c:min val="8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5615"/>
        <c:crosses val="max"/>
        <c:crossBetween val="between"/>
      </c:valAx>
      <c:dateAx>
        <c:axId val="1671505615"/>
        <c:scaling>
          <c:orientation val="minMax"/>
        </c:scaling>
        <c:delete val="1"/>
        <c:axPos val="b"/>
        <c:numFmt formatCode="[$-409]mmm\-yy" sourceLinked="1"/>
        <c:majorTickMark val="out"/>
        <c:minorTickMark val="none"/>
        <c:tickLblPos val="nextTo"/>
        <c:crossAx val="1671508527"/>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'F2&amp;F3'!$B$3</c:f>
              <c:strCache>
                <c:ptCount val="1"/>
                <c:pt idx="0">
                  <c:v>ADT at BSE (LHS)</c:v>
                </c:pt>
              </c:strCache>
            </c:strRef>
          </c:tx>
          <c:spPr>
            <a:solidFill>
              <a:srgbClr val="00B050"/>
            </a:solidFill>
            <a:ln>
              <a:noFill/>
            </a:ln>
            <a:effectLst/>
          </c:spPr>
          <c:invertIfNegative val="0"/>
          <c:cat>
            <c:numRef>
              <c:f>'F2&amp;F3'!$A$4:$A$15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'F2&amp;F3'!$B$4:$B$15</c:f>
              <c:numCache>
                <c:formatCode>[&gt;=10000000]#\,##\,##\,##0;[&gt;=100000]#\,##\,##0;##,##0</c:formatCode>
                <c:ptCount val="12"/>
                <c:pt idx="0">
                  <c:v>2470.91</c:v>
                </c:pt>
                <c:pt idx="1">
                  <c:v>3422.05</c:v>
                </c:pt>
                <c:pt idx="2">
                  <c:v>5008.76</c:v>
                </c:pt>
                <c:pt idx="3">
                  <c:v>3482.2930434782606</c:v>
                </c:pt>
                <c:pt idx="4">
                  <c:v>4432.38</c:v>
                </c:pt>
                <c:pt idx="5">
                  <c:v>3182.9668181818183</c:v>
                </c:pt>
                <c:pt idx="6">
                  <c:v>2755.5385714285712</c:v>
                </c:pt>
                <c:pt idx="7">
                  <c:v>3533.7944999999991</c:v>
                </c:pt>
                <c:pt idx="8">
                  <c:v>4518.8545454545456</c:v>
                </c:pt>
                <c:pt idx="9">
                  <c:v>5203.16</c:v>
                </c:pt>
                <c:pt idx="10" formatCode="#,##0;\-#,##0;0">
                  <c:v>7247.7254999999996</c:v>
                </c:pt>
                <c:pt idx="11" formatCode="#,##0;\-#,##0;0">
                  <c:v>5010.8952380950004</c:v>
                </c:pt>
              </c:numCache>
            </c:numRef>
          </c:val>
          <c:extLst>
            <c:ext xmlns:c16="http://schemas.microsoft.com/office/drawing/2014/chart" uri="{C3380CC4-5D6E-409C-BE32-E72D297353CC}">
              <c16:uniqueId val="{00000000-C2F5-47F1-BDE4-1FAD7D499A79}"/>
            </c:ext>
          </c:extLst>
        </c:ser>
        <c:dLbls>
          <c:showLegendKey val="0"/>
          <c:showVal val="0"/>
          <c:showCatName val="0"/>
          <c:showSerName val="0"/>
          <c:showPercent val="0"/>
          <c:showBubbleSize val="0"/>
        </c:dLbls>
        <c:gapWidth val="219"/>
        <c:overlap val="-27"/>
        <c:axId val="39372047"/>
        <c:axId val="39374959"/>
      </c:barChart>
      <c:lineChart>
        <c:grouping val="standard"/>
        <c:varyColors val="0"/>
        <c:ser>
          <c:idx val="1"/>
          <c:order val="1"/>
          <c:tx>
            <c:strRef>
              <c:f>'F2&amp;F3'!$C$3</c:f>
              <c:strCache>
                <c:ptCount val="1"/>
                <c:pt idx="0">
                  <c:v>ADV of Sensex (RHS)</c:v>
                </c:pt>
              </c:strCache>
            </c:strRef>
          </c:tx>
          <c:spPr>
            <a:ln w="28575" cap="rnd">
              <a:solidFill>
                <a:srgbClr val="FF0000"/>
              </a:solidFill>
              <a:round/>
            </a:ln>
            <a:effectLst/>
          </c:spPr>
          <c:marker>
            <c:symbol val="none"/>
          </c:marker>
          <c:cat>
            <c:numRef>
              <c:f>'F2&amp;F3'!$A$4:$A$15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'F2&amp;F3'!$C$4:$C$15</c:f>
              <c:numCache>
                <c:formatCode>[&gt;=10000000]#\,##\,##\,##0;[&gt;=100000]#\,##\,##0;##,##0</c:formatCode>
                <c:ptCount val="12"/>
                <c:pt idx="0">
                  <c:v>30966</c:v>
                </c:pt>
                <c:pt idx="1">
                  <c:v>31294</c:v>
                </c:pt>
                <c:pt idx="2">
                  <c:v>34263</c:v>
                </c:pt>
                <c:pt idx="3" formatCode="0">
                  <c:v>37030.641739130428</c:v>
                </c:pt>
                <c:pt idx="4">
                  <c:v>38347</c:v>
                </c:pt>
                <c:pt idx="5">
                  <c:v>38378.977272727272</c:v>
                </c:pt>
                <c:pt idx="6">
                  <c:v>40115.386666666658</c:v>
                </c:pt>
                <c:pt idx="7">
                  <c:v>43011.3845</c:v>
                </c:pt>
                <c:pt idx="8">
                  <c:v>46211.837272727265</c:v>
                </c:pt>
                <c:pt idx="9">
                  <c:v>48580.33</c:v>
                </c:pt>
                <c:pt idx="10" formatCode="#,##0;\-#,##0;0">
                  <c:v>50782.818000000007</c:v>
                </c:pt>
                <c:pt idx="11" formatCode="#,##0;\-#,##0;0">
                  <c:v>50782.818000000007</c:v>
                </c:pt>
              </c:numCache>
            </c:numRef>
          </c:val>
          <c:smooth val="0"/>
          <c:extLst>
            <c:ext xmlns:c16="http://schemas.microsoft.com/office/drawing/2014/chart" uri="{C3380CC4-5D6E-409C-BE32-E72D297353CC}">
              <c16:uniqueId val="{00000001-C2F5-47F1-BDE4-1FAD7D499A79}"/>
            </c:ext>
          </c:extLst>
        </c:ser>
        <c:dLbls>
          <c:showLegendKey val="0"/>
          <c:showVal val="0"/>
          <c:showCatName val="0"/>
          <c:showSerName val="0"/>
          <c:showPercent val="0"/>
          <c:showBubbleSize val="0"/>
        </c:dLbls>
        <c:marker val="1"/>
        <c:smooth val="0"/>
        <c:axId val="38448239"/>
        <c:axId val="38443247"/>
      </c:lineChart>
      <c:dateAx>
        <c:axId val="39372047"/>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374959"/>
        <c:crosses val="autoZero"/>
        <c:auto val="1"/>
        <c:lblOffset val="100"/>
        <c:baseTimeUnit val="months"/>
      </c:dateAx>
      <c:valAx>
        <c:axId val="39374959"/>
        <c:scaling>
          <c:orientation val="minMax"/>
          <c:min val="2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372047"/>
        <c:crosses val="autoZero"/>
        <c:crossBetween val="between"/>
      </c:valAx>
      <c:valAx>
        <c:axId val="38443247"/>
        <c:scaling>
          <c:orientation val="minMax"/>
          <c:min val="30000"/>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448239"/>
        <c:crosses val="max"/>
        <c:crossBetween val="between"/>
        <c:majorUnit val="5000"/>
      </c:valAx>
      <c:dateAx>
        <c:axId val="38448239"/>
        <c:scaling>
          <c:orientation val="minMax"/>
        </c:scaling>
        <c:delete val="1"/>
        <c:axPos val="b"/>
        <c:numFmt formatCode="[$-409]mmm\-yy" sourceLinked="1"/>
        <c:majorTickMark val="out"/>
        <c:minorTickMark val="none"/>
        <c:tickLblPos val="nextTo"/>
        <c:crossAx val="38443247"/>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'!$E$4</c:f>
              <c:strCache>
                <c:ptCount val="1"/>
                <c:pt idx="0">
                  <c:v>Return (LHS)</c:v>
                </c:pt>
              </c:strCache>
            </c:strRef>
          </c:tx>
          <c:spPr>
            <a:solidFill>
              <a:srgbClr val="00B050"/>
            </a:solidFill>
            <a:ln>
              <a:noFill/>
            </a:ln>
            <a:effectLst/>
          </c:spPr>
          <c:invertIfNegative val="0"/>
          <c:cat>
            <c:strRef>
              <c:f>'F4&amp;5 '!$D$5:$D$14</c:f>
              <c:strCache>
                <c:ptCount val="10"/>
                <c:pt idx="0">
                  <c:v>BSETECK</c:v>
                </c:pt>
                <c:pt idx="1">
                  <c:v>BSEMET</c:v>
                </c:pt>
                <c:pt idx="2">
                  <c:v>BSECD</c:v>
                </c:pt>
                <c:pt idx="3">
                  <c:v>BSEPOWER</c:v>
                </c:pt>
                <c:pt idx="4">
                  <c:v>BSECG</c:v>
                </c:pt>
                <c:pt idx="5">
                  <c:v>BSEAUTO</c:v>
                </c:pt>
                <c:pt idx="6">
                  <c:v>BSEBANK</c:v>
                </c:pt>
                <c:pt idx="7">
                  <c:v>BSEREAL</c:v>
                </c:pt>
                <c:pt idx="8">
                  <c:v>BSEPSU</c:v>
                </c:pt>
                <c:pt idx="9">
                  <c:v>BSEOIL</c:v>
                </c:pt>
              </c:strCache>
            </c:strRef>
          </c:cat>
          <c:val>
            <c:numRef>
              <c:f>'F4&amp;5 '!$E$5:$E$14</c:f>
              <c:numCache>
                <c:formatCode>0.0</c:formatCode>
                <c:ptCount val="10"/>
                <c:pt idx="0">
                  <c:v>6.1168077116877217</c:v>
                </c:pt>
                <c:pt idx="1">
                  <c:v>4.6026870449794366</c:v>
                </c:pt>
                <c:pt idx="2">
                  <c:v>3.3619967876023171</c:v>
                </c:pt>
                <c:pt idx="3">
                  <c:v>2.3301099319075425</c:v>
                </c:pt>
                <c:pt idx="4">
                  <c:v>-1.9666842635517656</c:v>
                </c:pt>
                <c:pt idx="5">
                  <c:v>-2.9883170297231754</c:v>
                </c:pt>
                <c:pt idx="6">
                  <c:v>-3.6767761657169773</c:v>
                </c:pt>
                <c:pt idx="7">
                  <c:v>-4.1852204022318258</c:v>
                </c:pt>
                <c:pt idx="8">
                  <c:v>-4.4183423659262422</c:v>
                </c:pt>
                <c:pt idx="9">
                  <c:v>-4.6512286227870074</c:v>
                </c:pt>
              </c:numCache>
            </c:numRef>
          </c:val>
          <c:extLst>
            <c:ext xmlns:c16="http://schemas.microsoft.com/office/drawing/2014/chart" uri="{C3380CC4-5D6E-409C-BE32-E72D297353CC}">
              <c16:uniqueId val="{00000000-46C3-425E-9D0C-07D32C6DCC7F}"/>
            </c:ext>
          </c:extLst>
        </c:ser>
        <c:dLbls>
          <c:showLegendKey val="0"/>
          <c:showVal val="0"/>
          <c:showCatName val="0"/>
          <c:showSerName val="0"/>
          <c:showPercent val="0"/>
          <c:showBubbleSize val="0"/>
        </c:dLbls>
        <c:gapWidth val="219"/>
        <c:overlap val="-27"/>
        <c:axId val="389602944"/>
        <c:axId val="389590464"/>
      </c:barChart>
      <c:lineChart>
        <c:grouping val="standard"/>
        <c:varyColors val="0"/>
        <c:ser>
          <c:idx val="1"/>
          <c:order val="1"/>
          <c:tx>
            <c:strRef>
              <c:f>'F4&amp;5 '!$F$4</c:f>
              <c:strCache>
                <c:ptCount val="1"/>
                <c:pt idx="0">
                  <c:v>Volatility (RHS)</c:v>
                </c:pt>
              </c:strCache>
            </c:strRef>
          </c:tx>
          <c:spPr>
            <a:ln w="28575" cap="rnd">
              <a:solidFill>
                <a:srgbClr val="FF0000"/>
              </a:solidFill>
              <a:round/>
            </a:ln>
            <a:effectLst/>
          </c:spPr>
          <c:marker>
            <c:symbol val="none"/>
          </c:marker>
          <c:cat>
            <c:strRef>
              <c:f>'F4&amp;5 '!$D$5:$D$14</c:f>
              <c:strCache>
                <c:ptCount val="10"/>
                <c:pt idx="0">
                  <c:v>BSETECK</c:v>
                </c:pt>
                <c:pt idx="1">
                  <c:v>BSEMET</c:v>
                </c:pt>
                <c:pt idx="2">
                  <c:v>BSECD</c:v>
                </c:pt>
                <c:pt idx="3">
                  <c:v>BSEPOWER</c:v>
                </c:pt>
                <c:pt idx="4">
                  <c:v>BSECG</c:v>
                </c:pt>
                <c:pt idx="5">
                  <c:v>BSEAUTO</c:v>
                </c:pt>
                <c:pt idx="6">
                  <c:v>BSEBANK</c:v>
                </c:pt>
                <c:pt idx="7">
                  <c:v>BSEREAL</c:v>
                </c:pt>
                <c:pt idx="8">
                  <c:v>BSEPSU</c:v>
                </c:pt>
                <c:pt idx="9">
                  <c:v>BSEOIL</c:v>
                </c:pt>
              </c:strCache>
            </c:strRef>
          </c:cat>
          <c:val>
            <c:numRef>
              <c:f>'F4&amp;5 '!$F$5:$F$14</c:f>
              <c:numCache>
                <c:formatCode>0.0</c:formatCode>
                <c:ptCount val="10"/>
                <c:pt idx="0">
                  <c:v>1.3247730035128999</c:v>
                </c:pt>
                <c:pt idx="1">
                  <c:v>1.8773438404225753</c:v>
                </c:pt>
                <c:pt idx="2">
                  <c:v>1.1955462817575437</c:v>
                </c:pt>
                <c:pt idx="3">
                  <c:v>1.5489738949762997</c:v>
                </c:pt>
                <c:pt idx="4">
                  <c:v>1.2264083688018597</c:v>
                </c:pt>
                <c:pt idx="5">
                  <c:v>1.4442852415703886</c:v>
                </c:pt>
                <c:pt idx="6">
                  <c:v>1.4074423150543076</c:v>
                </c:pt>
                <c:pt idx="7">
                  <c:v>1.5757653267598513</c:v>
                </c:pt>
                <c:pt idx="8">
                  <c:v>1.507400651279539</c:v>
                </c:pt>
                <c:pt idx="9">
                  <c:v>1.4155598473557054</c:v>
                </c:pt>
              </c:numCache>
            </c:numRef>
          </c:val>
          <c:smooth val="0"/>
          <c:extLst>
            <c:ext xmlns:c16="http://schemas.microsoft.com/office/drawing/2014/chart" uri="{C3380CC4-5D6E-409C-BE32-E72D297353CC}">
              <c16:uniqueId val="{00000001-46C3-425E-9D0C-07D32C6DCC7F}"/>
            </c:ext>
          </c:extLst>
        </c:ser>
        <c:dLbls>
          <c:showLegendKey val="0"/>
          <c:showVal val="0"/>
          <c:showCatName val="0"/>
          <c:showSerName val="0"/>
          <c:showPercent val="0"/>
          <c:showBubbleSize val="0"/>
        </c:dLbls>
        <c:marker val="1"/>
        <c:smooth val="0"/>
        <c:axId val="378603104"/>
        <c:axId val="378630976"/>
      </c:lineChart>
      <c:catAx>
        <c:axId val="3896029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590464"/>
        <c:crosses val="autoZero"/>
        <c:auto val="1"/>
        <c:lblAlgn val="ctr"/>
        <c:lblOffset val="100"/>
        <c:noMultiLvlLbl val="0"/>
      </c:catAx>
      <c:valAx>
        <c:axId val="389590464"/>
        <c:scaling>
          <c:orientation val="minMax"/>
          <c:min val="-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602944"/>
        <c:crosses val="autoZero"/>
        <c:crossBetween val="between"/>
      </c:valAx>
      <c:valAx>
        <c:axId val="378630976"/>
        <c:scaling>
          <c:orientation val="minMax"/>
          <c:min val="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03104"/>
        <c:crosses val="max"/>
        <c:crossBetween val="between"/>
        <c:majorUnit val="0.5"/>
      </c:valAx>
      <c:catAx>
        <c:axId val="378603104"/>
        <c:scaling>
          <c:orientation val="minMax"/>
        </c:scaling>
        <c:delete val="1"/>
        <c:axPos val="b"/>
        <c:numFmt formatCode="General" sourceLinked="1"/>
        <c:majorTickMark val="out"/>
        <c:minorTickMark val="none"/>
        <c:tickLblPos val="nextTo"/>
        <c:crossAx val="378630976"/>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'!$B$4</c:f>
              <c:strCache>
                <c:ptCount val="1"/>
                <c:pt idx="0">
                  <c:v>Return (LHS)</c:v>
                </c:pt>
              </c:strCache>
            </c:strRef>
          </c:tx>
          <c:spPr>
            <a:solidFill>
              <a:srgbClr val="00B050"/>
            </a:solidFill>
            <a:ln>
              <a:noFill/>
            </a:ln>
            <a:effectLst/>
          </c:spPr>
          <c:invertIfNegative val="0"/>
          <c:cat>
            <c:strRef>
              <c:f>'F4&amp;5 '!$A$5:$A$14</c:f>
              <c:strCache>
                <c:ptCount val="10"/>
                <c:pt idx="0">
                  <c:v>NIFTYPSU</c:v>
                </c:pt>
                <c:pt idx="1">
                  <c:v>NIFTYPSE</c:v>
                </c:pt>
                <c:pt idx="2">
                  <c:v>NIFTYENR</c:v>
                </c:pt>
                <c:pt idx="3">
                  <c:v>NIFTYREAL</c:v>
                </c:pt>
                <c:pt idx="4">
                  <c:v>NSEBANK</c:v>
                </c:pt>
                <c:pt idx="5">
                  <c:v>NIFTYINFR</c:v>
                </c:pt>
                <c:pt idx="6">
                  <c:v>NIFTYSER</c:v>
                </c:pt>
                <c:pt idx="7">
                  <c:v>NIFTYIT</c:v>
                </c:pt>
                <c:pt idx="8">
                  <c:v>NIPHARM</c:v>
                </c:pt>
                <c:pt idx="9">
                  <c:v>NIFTYFMCG</c:v>
                </c:pt>
              </c:strCache>
            </c:strRef>
          </c:cat>
          <c:val>
            <c:numRef>
              <c:f>'F4&amp;5 '!$B$5:$B$14</c:f>
              <c:numCache>
                <c:formatCode>0.0</c:formatCode>
                <c:ptCount val="10"/>
                <c:pt idx="0">
                  <c:v>31.878944902290463</c:v>
                </c:pt>
                <c:pt idx="1">
                  <c:v>17.704219401531994</c:v>
                </c:pt>
                <c:pt idx="2">
                  <c:v>16.301240160403974</c:v>
                </c:pt>
                <c:pt idx="3">
                  <c:v>14.444626206445289</c:v>
                </c:pt>
                <c:pt idx="4">
                  <c:v>13.86563282131814</c:v>
                </c:pt>
                <c:pt idx="5">
                  <c:v>11.942208968231283</c:v>
                </c:pt>
                <c:pt idx="6">
                  <c:v>6.9364568173475361</c:v>
                </c:pt>
                <c:pt idx="7">
                  <c:v>-1.3969954251747185</c:v>
                </c:pt>
                <c:pt idx="8">
                  <c:v>-1.9913313202276073</c:v>
                </c:pt>
                <c:pt idx="9">
                  <c:v>-2.0467346294879007</c:v>
                </c:pt>
              </c:numCache>
            </c:numRef>
          </c:val>
          <c:extLst>
            <c:ext xmlns:c16="http://schemas.microsoft.com/office/drawing/2014/chart" uri="{C3380CC4-5D6E-409C-BE32-E72D297353CC}">
              <c16:uniqueId val="{00000000-912D-4C4D-9FED-13C848867F51}"/>
            </c:ext>
          </c:extLst>
        </c:ser>
        <c:dLbls>
          <c:showLegendKey val="0"/>
          <c:showVal val="0"/>
          <c:showCatName val="0"/>
          <c:showSerName val="0"/>
          <c:showPercent val="0"/>
          <c:showBubbleSize val="0"/>
        </c:dLbls>
        <c:gapWidth val="219"/>
        <c:overlap val="-27"/>
        <c:axId val="378608096"/>
        <c:axId val="378611424"/>
      </c:barChart>
      <c:lineChart>
        <c:grouping val="standard"/>
        <c:varyColors val="0"/>
        <c:ser>
          <c:idx val="1"/>
          <c:order val="1"/>
          <c:tx>
            <c:strRef>
              <c:f>'F4&amp;5 '!$C$4</c:f>
              <c:strCache>
                <c:ptCount val="1"/>
                <c:pt idx="0">
                  <c:v>Volatility (RHS)</c:v>
                </c:pt>
              </c:strCache>
            </c:strRef>
          </c:tx>
          <c:spPr>
            <a:ln w="28575" cap="rnd">
              <a:solidFill>
                <a:srgbClr val="FF0000"/>
              </a:solidFill>
              <a:round/>
            </a:ln>
            <a:effectLst/>
          </c:spPr>
          <c:marker>
            <c:symbol val="none"/>
          </c:marker>
          <c:cat>
            <c:strRef>
              <c:f>'F4&amp;5 '!$A$5:$A$14</c:f>
              <c:strCache>
                <c:ptCount val="10"/>
                <c:pt idx="0">
                  <c:v>NIFTYPSU</c:v>
                </c:pt>
                <c:pt idx="1">
                  <c:v>NIFTYPSE</c:v>
                </c:pt>
                <c:pt idx="2">
                  <c:v>NIFTYENR</c:v>
                </c:pt>
                <c:pt idx="3">
                  <c:v>NIFTYREAL</c:v>
                </c:pt>
                <c:pt idx="4">
                  <c:v>NSEBANK</c:v>
                </c:pt>
                <c:pt idx="5">
                  <c:v>NIFTYINFR</c:v>
                </c:pt>
                <c:pt idx="6">
                  <c:v>NIFTYSER</c:v>
                </c:pt>
                <c:pt idx="7">
                  <c:v>NIFTYIT</c:v>
                </c:pt>
                <c:pt idx="8">
                  <c:v>NIPHARM</c:v>
                </c:pt>
                <c:pt idx="9">
                  <c:v>NIFTYFMCG</c:v>
                </c:pt>
              </c:strCache>
            </c:strRef>
          </c:cat>
          <c:val>
            <c:numRef>
              <c:f>'F4&amp;5 '!$C$5:$C$14</c:f>
              <c:numCache>
                <c:formatCode>0.0</c:formatCode>
                <c:ptCount val="10"/>
                <c:pt idx="0">
                  <c:v>3.3340494419629212</c:v>
                </c:pt>
                <c:pt idx="1">
                  <c:v>1.9869687667589322</c:v>
                </c:pt>
                <c:pt idx="2">
                  <c:v>1.5905885132643665</c:v>
                </c:pt>
                <c:pt idx="3">
                  <c:v>2.0221917696378577</c:v>
                </c:pt>
                <c:pt idx="4">
                  <c:v>2.6340318914930139</c:v>
                </c:pt>
                <c:pt idx="5">
                  <c:v>1.8108875020288173</c:v>
                </c:pt>
                <c:pt idx="6">
                  <c:v>1.9481653071948428</c:v>
                </c:pt>
                <c:pt idx="7">
                  <c:v>1.3302973162410141</c:v>
                </c:pt>
                <c:pt idx="8">
                  <c:v>1.3441453308937323</c:v>
                </c:pt>
                <c:pt idx="9">
                  <c:v>0.99047168473033365</c:v>
                </c:pt>
              </c:numCache>
            </c:numRef>
          </c:val>
          <c:smooth val="0"/>
          <c:extLst>
            <c:ext xmlns:c16="http://schemas.microsoft.com/office/drawing/2014/chart" uri="{C3380CC4-5D6E-409C-BE32-E72D297353CC}">
              <c16:uniqueId val="{00000001-912D-4C4D-9FED-13C848867F51}"/>
            </c:ext>
          </c:extLst>
        </c:ser>
        <c:dLbls>
          <c:showLegendKey val="0"/>
          <c:showVal val="0"/>
          <c:showCatName val="0"/>
          <c:showSerName val="0"/>
          <c:showPercent val="0"/>
          <c:showBubbleSize val="0"/>
        </c:dLbls>
        <c:marker val="1"/>
        <c:smooth val="0"/>
        <c:axId val="389597952"/>
        <c:axId val="389598784"/>
      </c:lineChart>
      <c:catAx>
        <c:axId val="378608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11424"/>
        <c:crosses val="autoZero"/>
        <c:auto val="1"/>
        <c:lblAlgn val="ctr"/>
        <c:lblOffset val="100"/>
        <c:noMultiLvlLbl val="0"/>
      </c:catAx>
      <c:valAx>
        <c:axId val="378611424"/>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08096"/>
        <c:crosses val="autoZero"/>
        <c:crossBetween val="between"/>
      </c:valAx>
      <c:valAx>
        <c:axId val="389598784"/>
        <c:scaling>
          <c:orientation val="minMax"/>
          <c:min val="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597952"/>
        <c:crosses val="max"/>
        <c:crossBetween val="between"/>
      </c:valAx>
      <c:catAx>
        <c:axId val="389597952"/>
        <c:scaling>
          <c:orientation val="minMax"/>
        </c:scaling>
        <c:delete val="1"/>
        <c:axPos val="b"/>
        <c:numFmt formatCode="General" sourceLinked="1"/>
        <c:majorTickMark val="out"/>
        <c:minorTickMark val="none"/>
        <c:tickLblPos val="nextTo"/>
        <c:crossAx val="389598784"/>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BSE (RHS)</c:v>
                </c:pt>
              </c:strCache>
            </c:strRef>
          </c:tx>
          <c:spPr>
            <a:solidFill>
              <a:srgbClr val="00B050"/>
            </a:solidFill>
            <a:ln>
              <a:noFill/>
            </a:ln>
            <a:effectLst/>
          </c:spPr>
          <c:invertIfNegative val="0"/>
          <c:cat>
            <c:numRef>
              <c:f>'F4 '!$A$2:$A$13</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'F4 '!$E$2:$E$13</c:f>
              <c:numCache>
                <c:formatCode>[&gt;=10000000]#\,##\,##\,##0;[&gt;=100000]#\,##\,##0;##,##0</c:formatCode>
                <c:ptCount val="12"/>
                <c:pt idx="0">
                  <c:v>1149076.579714505</c:v>
                </c:pt>
                <c:pt idx="1">
                  <c:v>1306943.7383416786</c:v>
                </c:pt>
                <c:pt idx="2">
                  <c:v>1668626.379107326</c:v>
                </c:pt>
                <c:pt idx="3">
                  <c:v>1910248.1950051249</c:v>
                </c:pt>
                <c:pt idx="4">
                  <c:v>1877589.023486543</c:v>
                </c:pt>
                <c:pt idx="5">
                  <c:v>2157023.5625705258</c:v>
                </c:pt>
                <c:pt idx="6">
                  <c:v>2632458.2987257265</c:v>
                </c:pt>
                <c:pt idx="7">
                  <c:v>2844478.2670458574</c:v>
                </c:pt>
                <c:pt idx="8">
                  <c:v>3057374.9092755187</c:v>
                </c:pt>
                <c:pt idx="9">
                  <c:v>3595657.0081937932</c:v>
                </c:pt>
                <c:pt idx="10">
                  <c:v>4301098.4515000004</c:v>
                </c:pt>
                <c:pt idx="11">
                  <c:v>4438327.3871428566</c:v>
                </c:pt>
              </c:numCache>
            </c:numRef>
          </c:val>
          <c:extLst>
            <c:ext xmlns:c16="http://schemas.microsoft.com/office/drawing/2014/chart" uri="{C3380CC4-5D6E-409C-BE32-E72D297353CC}">
              <c16:uniqueId val="{00000000-2949-46B7-8FB0-C26DA2504FF8}"/>
            </c:ext>
          </c:extLst>
        </c:ser>
        <c:dLbls>
          <c:showLegendKey val="0"/>
          <c:showVal val="0"/>
          <c:showCatName val="0"/>
          <c:showSerName val="0"/>
          <c:showPercent val="0"/>
          <c:showBubbleSize val="0"/>
        </c:dLbls>
        <c:gapWidth val="219"/>
        <c:overlap val="-27"/>
        <c:axId val="1930973119"/>
        <c:axId val="1954171231"/>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'!$A$2:$A$13</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'F4 '!$D$2:$D$13</c:f>
              <c:numCache>
                <c:formatCode>#,##0</c:formatCode>
                <c:ptCount val="12"/>
                <c:pt idx="0">
                  <c:v>6063.8816666666662</c:v>
                </c:pt>
                <c:pt idx="1">
                  <c:v>6197.3447368421057</c:v>
                </c:pt>
                <c:pt idx="2">
                  <c:v>7.0372727272727271</c:v>
                </c:pt>
                <c:pt idx="3">
                  <c:v>26196.207826086957</c:v>
                </c:pt>
                <c:pt idx="4">
                  <c:v>88005.567619047622</c:v>
                </c:pt>
                <c:pt idx="5">
                  <c:v>123934.84768617614</c:v>
                </c:pt>
                <c:pt idx="6">
                  <c:v>161548.20265396428</c:v>
                </c:pt>
                <c:pt idx="7">
                  <c:v>218924.7232084875</c:v>
                </c:pt>
                <c:pt idx="8">
                  <c:v>222827.48463496024</c:v>
                </c:pt>
                <c:pt idx="9">
                  <c:v>246651.46454715001</c:v>
                </c:pt>
                <c:pt idx="10">
                  <c:v>291858.57797283505</c:v>
                </c:pt>
                <c:pt idx="11">
                  <c:v>295833.62791219522</c:v>
                </c:pt>
              </c:numCache>
            </c:numRef>
          </c:val>
          <c:smooth val="0"/>
          <c:extLst>
            <c:ext xmlns:c16="http://schemas.microsoft.com/office/drawing/2014/chart" uri="{C3380CC4-5D6E-409C-BE32-E72D297353CC}">
              <c16:uniqueId val="{00000001-2949-46B7-8FB0-C26DA2504FF8}"/>
            </c:ext>
          </c:extLst>
        </c:ser>
        <c:dLbls>
          <c:showLegendKey val="0"/>
          <c:showVal val="0"/>
          <c:showCatName val="0"/>
          <c:showSerName val="0"/>
          <c:showPercent val="0"/>
          <c:showBubbleSize val="0"/>
        </c:dLbls>
        <c:marker val="1"/>
        <c:smooth val="0"/>
        <c:axId val="1945105631"/>
        <c:axId val="1945106047"/>
      </c:lineChart>
      <c:dateAx>
        <c:axId val="194510563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5106047"/>
        <c:crosses val="autoZero"/>
        <c:auto val="1"/>
        <c:lblOffset val="100"/>
        <c:baseTimeUnit val="months"/>
      </c:dateAx>
      <c:valAx>
        <c:axId val="1945106047"/>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BSE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5105631"/>
        <c:crosses val="autoZero"/>
        <c:crossBetween val="between"/>
      </c:valAx>
      <c:valAx>
        <c:axId val="1954171231"/>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30973119"/>
        <c:crosses val="max"/>
        <c:crossBetween val="between"/>
      </c:valAx>
      <c:dateAx>
        <c:axId val="1930973119"/>
        <c:scaling>
          <c:orientation val="minMax"/>
        </c:scaling>
        <c:delete val="1"/>
        <c:axPos val="b"/>
        <c:numFmt formatCode="[$-409]mmm\-yy" sourceLinked="1"/>
        <c:majorTickMark val="out"/>
        <c:minorTickMark val="none"/>
        <c:tickLblPos val="nextTo"/>
        <c:crossAx val="1954171231"/>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1"/>
        <c:ser>
          <c:idx val="0"/>
          <c:order val="0"/>
          <c:tx>
            <c:strRef>
              <c:f>'Index Option'!$E$15</c:f>
              <c:strCache>
                <c:ptCount val="1"/>
                <c:pt idx="0">
                  <c:v>Feb-21</c:v>
                </c:pt>
              </c:strCache>
            </c:strRef>
          </c:tx>
          <c:spPr>
            <a:solidFill>
              <a:srgbClr val="FF000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'Index Option'!$F$14:$H$14</c:f>
              <c:strCache>
                <c:ptCount val="3"/>
                <c:pt idx="0">
                  <c:v>Weekly</c:v>
                </c:pt>
                <c:pt idx="1">
                  <c:v>1 Month</c:v>
                </c:pt>
                <c:pt idx="2">
                  <c:v>&gt; 1 Month</c:v>
                </c:pt>
              </c:strCache>
            </c:strRef>
          </c:cat>
          <c:val>
            <c:numRef>
              <c:f>'Index Option'!$F$15:$H$15</c:f>
              <c:numCache>
                <c:formatCode>#,##0.0</c:formatCode>
                <c:ptCount val="3"/>
                <c:pt idx="0">
                  <c:v>74.045195395356799</c:v>
                </c:pt>
                <c:pt idx="1">
                  <c:v>25.421409105167342</c:v>
                </c:pt>
                <c:pt idx="2">
                  <c:v>0.53339549947587306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F86D-41E4-8E38-72ABAC4FBC13}"/>
            </c:ext>
          </c:extLst>
        </c:ser>
        <c:ser>
          <c:idx val="1"/>
          <c:order val="1"/>
          <c:tx>
            <c:strRef>
              <c:f>'Index Option'!$E$16</c:f>
              <c:strCache>
                <c:ptCount val="1"/>
                <c:pt idx="0">
                  <c:v>Mar-21</c:v>
                </c:pt>
              </c:strCache>
            </c:strRef>
          </c:tx>
          <c:spPr>
            <a:solidFill>
              <a:srgbClr val="00B05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'Index Option'!$F$14:$H$14</c:f>
              <c:strCache>
                <c:ptCount val="3"/>
                <c:pt idx="0">
                  <c:v>Weekly</c:v>
                </c:pt>
                <c:pt idx="1">
                  <c:v>1 Month</c:v>
                </c:pt>
                <c:pt idx="2">
                  <c:v>&gt; 1 Month</c:v>
                </c:pt>
              </c:strCache>
            </c:strRef>
          </c:cat>
          <c:val>
            <c:numRef>
              <c:f>'Index Option'!$F$16:$H$16</c:f>
              <c:numCache>
                <c:formatCode>#,##0.0</c:formatCode>
                <c:ptCount val="3"/>
                <c:pt idx="0">
                  <c:v>74.47664947635154</c:v>
                </c:pt>
                <c:pt idx="1">
                  <c:v>25.008629454744202</c:v>
                </c:pt>
                <c:pt idx="2">
                  <c:v>0.51472106890425839</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F86D-41E4-8E38-72ABAC4FBC13}"/>
            </c:ext>
          </c:extLst>
        </c:ser>
        <c:dLbls>
          <c:showLegendKey val="0"/>
          <c:showVal val="0"/>
          <c:showCatName val="0"/>
          <c:showSerName val="0"/>
          <c:showPercent val="0"/>
          <c:showBubbleSize val="0"/>
        </c:dLbls>
        <c:gapWidth val="150"/>
        <c:axId val="438130079"/>
        <c:axId val="2035117534"/>
      </c:barChart>
      <c:catAx>
        <c:axId val="438130079"/>
        <c:scaling>
          <c:orientation val="minMax"/>
        </c:scaling>
        <c:delete val="0"/>
        <c:axPos val="l"/>
        <c:numFmt formatCode="General" sourceLinked="1"/>
        <c:majorTickMark val="out"/>
        <c:minorTickMark val="cross"/>
        <c:tickLblPos val="nextTo"/>
        <c:crossAx val="2035117534"/>
        <c:crosses val="autoZero"/>
        <c:auto val="1"/>
        <c:lblAlgn val="ctr"/>
        <c:lblOffset val="100"/>
        <c:noMultiLvlLbl val="1"/>
      </c:catAx>
      <c:valAx>
        <c:axId val="2035117534"/>
        <c:scaling>
          <c:orientation val="minMax"/>
        </c:scaling>
        <c:delete val="1"/>
        <c:axPos val="t"/>
        <c:numFmt formatCode="#,##0.0" sourceLinked="1"/>
        <c:majorTickMark val="out"/>
        <c:minorTickMark val="cross"/>
        <c:tickLblPos val="nextTo"/>
        <c:crossAx val="438130079"/>
        <c:crosses val="max"/>
        <c:crossBetween val="between"/>
      </c:valAx>
    </c:plotArea>
    <c:legend>
      <c:legendPos val="b"/>
      <c:layout/>
      <c:overlay val="0"/>
    </c:legend>
    <c:plotVisOnly val="1"/>
    <c:dispBlanksAs val="zero"/>
    <c:showDLblsOverMax val="1"/>
  </c:chart>
  <c:spPr>
    <a:solidFill>
      <a:srgbClr val="FFFFFF"/>
    </a:solidFill>
  </c:spPr>
  <c:txPr>
    <a:bodyPr/>
    <a:lstStyle/>
    <a:p>
      <a:pPr>
        <a:defRPr sz="10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'F6'!$B$2</c:f>
              <c:strCache>
                <c:ptCount val="1"/>
                <c:pt idx="0">
                  <c:v>NSE (LHS)</c:v>
                </c:pt>
              </c:strCache>
            </c:strRef>
          </c:tx>
          <c:spPr>
            <a:ln w="28575" cap="rnd">
              <a:solidFill>
                <a:schemeClr val="accent1"/>
              </a:solidFill>
              <a:round/>
            </a:ln>
            <a:effectLst/>
          </c:spPr>
          <c:marker>
            <c:symbol val="none"/>
          </c:marker>
          <c:cat>
            <c:numRef>
              <c:f>'F6'!$A$3:$A$14</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'F6'!$B$3:$B$14</c:f>
              <c:numCache>
                <c:formatCode>[&gt;=10000000]#\,##\,##\,##0;[&gt;=100000]#\,##\,##0;##,##0</c:formatCode>
                <c:ptCount val="12"/>
                <c:pt idx="0">
                  <c:v>696282.45724269352</c:v>
                </c:pt>
                <c:pt idx="1">
                  <c:v>729527.23581414134</c:v>
                </c:pt>
                <c:pt idx="2">
                  <c:v>949170.06959089276</c:v>
                </c:pt>
                <c:pt idx="3" formatCode="0\,00\,000;\-0\,00\,000;0">
                  <c:v>943395.67188321159</c:v>
                </c:pt>
                <c:pt idx="4" formatCode="0\,00\,000;\-0\,00\,000;0">
                  <c:v>976864.32951144269</c:v>
                </c:pt>
                <c:pt idx="5" formatCode="0\,00\,000;\-0\,00\,000;0">
                  <c:v>1120073.5900000001</c:v>
                </c:pt>
                <c:pt idx="6" formatCode="0\,00\,000;\-0\,00\,000;0">
                  <c:v>977668.28209999995</c:v>
                </c:pt>
                <c:pt idx="7" formatCode="0\,00\,000;\-0\,00\,000;0">
                  <c:v>1024112.012</c:v>
                </c:pt>
                <c:pt idx="8" formatCode="0\,00\,000;\-0\,00\,000;0">
                  <c:v>1160618.8376070948</c:v>
                </c:pt>
                <c:pt idx="9" formatCode="0\,00\,000;\-0\,00\,000;0">
                  <c:v>1001205.5174880214</c:v>
                </c:pt>
                <c:pt idx="10" formatCode="0\,00\,000;\-0\,00\,000;0">
                  <c:v>1082488.916</c:v>
                </c:pt>
                <c:pt idx="11" formatCode="0\,00\,000;\-0\,00\,000;0">
                  <c:v>1444570.959</c:v>
                </c:pt>
              </c:numCache>
            </c:numRef>
          </c:val>
          <c:smooth val="0"/>
          <c:extLst>
            <c:ext xmlns:c16="http://schemas.microsoft.com/office/drawing/2014/chart" uri="{C3380CC4-5D6E-409C-BE32-E72D297353CC}">
              <c16:uniqueId val="{00000000-6C17-4583-A09D-5A6D1802B000}"/>
            </c:ext>
          </c:extLst>
        </c:ser>
        <c:ser>
          <c:idx val="2"/>
          <c:order val="2"/>
          <c:tx>
            <c:strRef>
              <c:f>'F6'!$D$2</c:f>
              <c:strCache>
                <c:ptCount val="1"/>
                <c:pt idx="0">
                  <c:v>BSE  (LHS)</c:v>
                </c:pt>
              </c:strCache>
            </c:strRef>
          </c:tx>
          <c:spPr>
            <a:ln w="28575" cap="rnd">
              <a:solidFill>
                <a:schemeClr val="accent3"/>
              </a:solidFill>
              <a:round/>
            </a:ln>
            <a:effectLst/>
          </c:spPr>
          <c:marker>
            <c:symbol val="none"/>
          </c:marker>
          <c:cat>
            <c:numRef>
              <c:f>'F6'!$A$3:$A$14</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'F6'!$D$3:$D$14</c:f>
              <c:numCache>
                <c:formatCode>[&gt;=10000000]#\,##\,##\,##0;[&gt;=100000]#\,##\,##0;##,##0</c:formatCode>
                <c:ptCount val="12"/>
                <c:pt idx="0">
                  <c:v>271144.38</c:v>
                </c:pt>
                <c:pt idx="1">
                  <c:v>306144.90000000002</c:v>
                </c:pt>
                <c:pt idx="2">
                  <c:v>467245.2</c:v>
                </c:pt>
                <c:pt idx="3" formatCode="0\,00\,000;\-0\,00\,000;0">
                  <c:v>437166.34</c:v>
                </c:pt>
                <c:pt idx="4" formatCode="0\,00\,000;\-0\,00\,000;0">
                  <c:v>451790.26</c:v>
                </c:pt>
                <c:pt idx="5" formatCode="0\,00\,000;\-0\,00\,000;0">
                  <c:v>429477.39090000006</c:v>
                </c:pt>
                <c:pt idx="6" formatCode="0\,00\,000;\-0\,00\,000;0">
                  <c:v>408890.7488</c:v>
                </c:pt>
                <c:pt idx="7" formatCode="0\,00\,000;\-0\,00\,000;0">
                  <c:v>402246.89210000006</c:v>
                </c:pt>
                <c:pt idx="8" formatCode="0\,00\,000;\-0\,00\,000;0">
                  <c:v>496940.56949999998</c:v>
                </c:pt>
                <c:pt idx="9" formatCode="#,##0">
                  <c:v>440262.21429999999</c:v>
                </c:pt>
                <c:pt idx="10" formatCode="0\,00\,000;\-0\,00\,000;0">
                  <c:v>449170.83260000002</c:v>
                </c:pt>
                <c:pt idx="11" formatCode="0\,00\,000;\-0\,00\,000;0">
                  <c:v>563283.70030000003</c:v>
                </c:pt>
              </c:numCache>
            </c:numRef>
          </c:val>
          <c:smooth val="0"/>
          <c:extLst>
            <c:ext xmlns:c16="http://schemas.microsoft.com/office/drawing/2014/chart" uri="{C3380CC4-5D6E-409C-BE32-E72D297353CC}">
              <c16:uniqueId val="{00000001-6C17-4583-A09D-5A6D1802B000}"/>
            </c:ext>
          </c:extLst>
        </c:ser>
        <c:dLbls>
          <c:showLegendKey val="0"/>
          <c:showVal val="0"/>
          <c:showCatName val="0"/>
          <c:showSerName val="0"/>
          <c:showPercent val="0"/>
          <c:showBubbleSize val="0"/>
        </c:dLbls>
        <c:marker val="1"/>
        <c:smooth val="0"/>
        <c:axId val="1962150111"/>
        <c:axId val="1962148447"/>
      </c:lineChart>
      <c:lineChart>
        <c:grouping val="standard"/>
        <c:varyColors val="0"/>
        <c:ser>
          <c:idx val="1"/>
          <c:order val="1"/>
          <c:tx>
            <c:strRef>
              <c:f>'F6'!$C$2</c:f>
              <c:strCache>
                <c:ptCount val="1"/>
                <c:pt idx="0">
                  <c:v>MSEI (RHS)</c:v>
                </c:pt>
              </c:strCache>
            </c:strRef>
          </c:tx>
          <c:spPr>
            <a:ln w="28575" cap="rnd">
              <a:solidFill>
                <a:schemeClr val="accent2"/>
              </a:solidFill>
              <a:round/>
            </a:ln>
            <a:effectLst/>
          </c:spPr>
          <c:marker>
            <c:symbol val="none"/>
          </c:marker>
          <c:cat>
            <c:numRef>
              <c:f>'F6'!$A$3:$A$14</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'F6'!$C$3:$C$14</c:f>
              <c:numCache>
                <c:formatCode>[&gt;=10000000]#\,##\,##\,##0;[&gt;=100000]#\,##\,##0;##,##0</c:formatCode>
                <c:ptCount val="12"/>
                <c:pt idx="0">
                  <c:v>1785.2814207500001</c:v>
                </c:pt>
                <c:pt idx="1">
                  <c:v>1702.4234337499997</c:v>
                </c:pt>
                <c:pt idx="2">
                  <c:v>2854.2512265</c:v>
                </c:pt>
                <c:pt idx="3" formatCode="#,##0;\-#,##0;0">
                  <c:v>4064.4222235000007</c:v>
                </c:pt>
                <c:pt idx="4" formatCode="#,##0;\-#,##0;0">
                  <c:v>5291.3987129999996</c:v>
                </c:pt>
                <c:pt idx="5" formatCode="#,##0;\-#,##0;0">
                  <c:v>6888.6162975000007</c:v>
                </c:pt>
                <c:pt idx="6" formatCode="#,##0;\-#,##0;0">
                  <c:v>9075.2012660000019</c:v>
                </c:pt>
                <c:pt idx="7" formatCode="#,##0;\-#,##0;0">
                  <c:v>12344.712834499998</c:v>
                </c:pt>
                <c:pt idx="8" formatCode="#,##0;\-#,##0;0">
                  <c:v>14310.276320249999</c:v>
                </c:pt>
                <c:pt idx="9" formatCode="#,##0;\-#,##0;0">
                  <c:v>13562.270864749999</c:v>
                </c:pt>
                <c:pt idx="10" formatCode="#,##0;\-#,##0;0">
                  <c:v>12191.89372125</c:v>
                </c:pt>
                <c:pt idx="11" formatCode="#,##0;\-#,##0;0">
                  <c:v>14323.94781</c:v>
                </c:pt>
              </c:numCache>
            </c:numRef>
          </c:val>
          <c:smooth val="0"/>
          <c:extLst>
            <c:ext xmlns:c16="http://schemas.microsoft.com/office/drawing/2014/chart" uri="{C3380CC4-5D6E-409C-BE32-E72D297353CC}">
              <c16:uniqueId val="{00000002-6C17-4583-A09D-5A6D1802B000}"/>
            </c:ext>
          </c:extLst>
        </c:ser>
        <c:dLbls>
          <c:showLegendKey val="0"/>
          <c:showVal val="0"/>
          <c:showCatName val="0"/>
          <c:showSerName val="0"/>
          <c:showPercent val="0"/>
          <c:showBubbleSize val="0"/>
        </c:dLbls>
        <c:marker val="1"/>
        <c:smooth val="0"/>
        <c:axId val="1942669647"/>
        <c:axId val="91238383"/>
      </c:lineChart>
      <c:dateAx>
        <c:axId val="196215011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62148447"/>
        <c:crosses val="autoZero"/>
        <c:auto val="1"/>
        <c:lblOffset val="100"/>
        <c:baseTimeUnit val="months"/>
      </c:dateAx>
      <c:valAx>
        <c:axId val="1962148447"/>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62150111"/>
        <c:crosses val="autoZero"/>
        <c:crossBetween val="between"/>
      </c:valAx>
      <c:valAx>
        <c:axId val="91238383"/>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2669647"/>
        <c:crosses val="max"/>
        <c:crossBetween val="between"/>
      </c:valAx>
      <c:dateAx>
        <c:axId val="1942669647"/>
        <c:scaling>
          <c:orientation val="minMax"/>
        </c:scaling>
        <c:delete val="1"/>
        <c:axPos val="b"/>
        <c:numFmt formatCode="[$-409]mmm\-yy" sourceLinked="1"/>
        <c:majorTickMark val="out"/>
        <c:minorTickMark val="none"/>
        <c:tickLblPos val="nextTo"/>
        <c:crossAx val="91238383"/>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1"/>
              </a:solidFill>
              <a:round/>
            </a:ln>
            <a:effectLst/>
          </c:spPr>
          <c:marker>
            <c:symbol val="none"/>
          </c:marker>
          <c:cat>
            <c:numRef>
              <c:f>'F7'!$A$3:$A$14</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'F7'!$B$3:$B$14</c:f>
              <c:numCache>
                <c:formatCode>#,##0;\-#,##0;0</c:formatCode>
                <c:ptCount val="12"/>
                <c:pt idx="0">
                  <c:v>2394.6293999999998</c:v>
                </c:pt>
                <c:pt idx="1">
                  <c:v>1898.7684999999999</c:v>
                </c:pt>
                <c:pt idx="2">
                  <c:v>4307.7403000000004</c:v>
                </c:pt>
                <c:pt idx="3">
                  <c:v>4082.3089</c:v>
                </c:pt>
                <c:pt idx="4">
                  <c:v>1339.4258</c:v>
                </c:pt>
                <c:pt idx="5">
                  <c:v>618.83699999999999</c:v>
                </c:pt>
                <c:pt idx="6">
                  <c:v>1949.4366000000005</c:v>
                </c:pt>
                <c:pt idx="7">
                  <c:v>3284.3459999999995</c:v>
                </c:pt>
                <c:pt idx="8">
                  <c:v>1087.3935000000001</c:v>
                </c:pt>
                <c:pt idx="9">
                  <c:v>1100.9360999999999</c:v>
                </c:pt>
                <c:pt idx="10">
                  <c:v>5520.3626999999997</c:v>
                </c:pt>
                <c:pt idx="11">
                  <c:v>14649.4748</c:v>
                </c:pt>
              </c:numCache>
            </c:numRef>
          </c:val>
          <c:smooth val="0"/>
          <c:extLst>
            <c:ext xmlns:c16="http://schemas.microsoft.com/office/drawing/2014/chart" uri="{C3380CC4-5D6E-409C-BE32-E72D297353CC}">
              <c16:uniqueId val="{00000000-8FCA-48D3-BC27-16CB1A7672BB}"/>
            </c:ext>
          </c:extLst>
        </c:ser>
        <c:ser>
          <c:idx val="1"/>
          <c:order val="1"/>
          <c:tx>
            <c:strRef>
              <c:f>'F7'!$C$2</c:f>
              <c:strCache>
                <c:ptCount val="1"/>
                <c:pt idx="0">
                  <c:v>NSE</c:v>
                </c:pt>
              </c:strCache>
            </c:strRef>
          </c:tx>
          <c:spPr>
            <a:ln w="28575" cap="rnd">
              <a:solidFill>
                <a:schemeClr val="accent2"/>
              </a:solidFill>
              <a:round/>
            </a:ln>
            <a:effectLst/>
          </c:spPr>
          <c:marker>
            <c:symbol val="none"/>
          </c:marker>
          <c:cat>
            <c:numRef>
              <c:f>'F7'!$A$3:$A$14</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'F7'!$C$3:$C$14</c:f>
              <c:numCache>
                <c:formatCode>#,##0;\-#,##0;0</c:formatCode>
                <c:ptCount val="12"/>
                <c:pt idx="0">
                  <c:v>9733.7467485000016</c:v>
                </c:pt>
                <c:pt idx="1">
                  <c:v>12197.847997499997</c:v>
                </c:pt>
                <c:pt idx="2">
                  <c:v>16790.040404000003</c:v>
                </c:pt>
                <c:pt idx="3">
                  <c:v>11477.779758999999</c:v>
                </c:pt>
                <c:pt idx="4">
                  <c:v>8836.0223354999998</c:v>
                </c:pt>
                <c:pt idx="5">
                  <c:v>7968.2005550000003</c:v>
                </c:pt>
                <c:pt idx="6">
                  <c:v>5969.361613</c:v>
                </c:pt>
                <c:pt idx="7">
                  <c:v>3735.2176584999997</c:v>
                </c:pt>
                <c:pt idx="8">
                  <c:v>5464.1321635000004</c:v>
                </c:pt>
                <c:pt idx="9">
                  <c:v>4093.5442204999999</c:v>
                </c:pt>
                <c:pt idx="10">
                  <c:v>6734.7814850000004</c:v>
                </c:pt>
                <c:pt idx="11">
                  <c:v>4389.8273959999997</c:v>
                </c:pt>
              </c:numCache>
            </c:numRef>
          </c:val>
          <c:smooth val="0"/>
          <c:extLst>
            <c:ext xmlns:c16="http://schemas.microsoft.com/office/drawing/2014/chart" uri="{C3380CC4-5D6E-409C-BE32-E72D297353CC}">
              <c16:uniqueId val="{00000001-8FCA-48D3-BC27-16CB1A7672BB}"/>
            </c:ext>
          </c:extLst>
        </c:ser>
        <c:dLbls>
          <c:showLegendKey val="0"/>
          <c:showVal val="0"/>
          <c:showCatName val="0"/>
          <c:showSerName val="0"/>
          <c:showPercent val="0"/>
          <c:showBubbleSize val="0"/>
        </c:dLbls>
        <c:smooth val="0"/>
        <c:axId val="1842193055"/>
        <c:axId val="1842195135"/>
      </c:lineChart>
      <c:dateAx>
        <c:axId val="1842193055"/>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842195135"/>
        <c:crosses val="autoZero"/>
        <c:auto val="1"/>
        <c:lblOffset val="100"/>
        <c:baseTimeUnit val="months"/>
      </c:dateAx>
      <c:valAx>
        <c:axId val="1842195135"/>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84219305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'F11'!$A$5:$A$16</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'F11'!$C$5:$C$16</c:f>
              <c:numCache>
                <c:formatCode>#,##0;\-#,##0;0</c:formatCode>
                <c:ptCount val="12"/>
                <c:pt idx="0">
                  <c:v>65285.07</c:v>
                </c:pt>
                <c:pt idx="1">
                  <c:v>64964.767999999996</c:v>
                </c:pt>
                <c:pt idx="2">
                  <c:v>76987.05</c:v>
                </c:pt>
                <c:pt idx="3">
                  <c:v>80074.63</c:v>
                </c:pt>
                <c:pt idx="4">
                  <c:v>53915.519999999997</c:v>
                </c:pt>
                <c:pt idx="5">
                  <c:v>50693.919999999998</c:v>
                </c:pt>
                <c:pt idx="6">
                  <c:v>42448.36</c:v>
                </c:pt>
                <c:pt idx="7">
                  <c:v>35255.333224302012</c:v>
                </c:pt>
                <c:pt idx="8">
                  <c:v>34626.160000000003</c:v>
                </c:pt>
                <c:pt idx="9">
                  <c:v>48384.845524290002</c:v>
                </c:pt>
                <c:pt idx="10">
                  <c:v>43534.32</c:v>
                </c:pt>
                <c:pt idx="11">
                  <c:v>64043.87</c:v>
                </c:pt>
              </c:numCache>
            </c:numRef>
          </c:val>
          <c:extLst>
            <c:ext xmlns:c16="http://schemas.microsoft.com/office/drawing/2014/chart" uri="{C3380CC4-5D6E-409C-BE32-E72D297353CC}">
              <c16:uniqueId val="{00000000-A9B1-4C20-9CB5-52976AA95147}"/>
            </c:ext>
          </c:extLst>
        </c:ser>
        <c:ser>
          <c:idx val="1"/>
          <c:order val="1"/>
          <c:tx>
            <c:strRef>
              <c:f>'F11'!$D$3</c:f>
              <c:strCache>
                <c:ptCount val="1"/>
                <c:pt idx="0">
                  <c:v>NSE</c:v>
                </c:pt>
              </c:strCache>
            </c:strRef>
          </c:tx>
          <c:spPr>
            <a:solidFill>
              <a:srgbClr val="00B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'F11'!$A$5:$A$16</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'F11'!$E$5:$E$16</c:f>
              <c:numCache>
                <c:formatCode>0\,00\,000;\-0\,00\,000;0</c:formatCode>
                <c:ptCount val="12"/>
                <c:pt idx="0">
                  <c:v>149229.69</c:v>
                </c:pt>
                <c:pt idx="1">
                  <c:v>131841.63199999998</c:v>
                </c:pt>
                <c:pt idx="2">
                  <c:v>130256.79</c:v>
                </c:pt>
                <c:pt idx="3">
                  <c:v>121730.01</c:v>
                </c:pt>
                <c:pt idx="4" formatCode="#,##0">
                  <c:v>89136.44</c:v>
                </c:pt>
                <c:pt idx="5" formatCode="#,##0">
                  <c:v>90782.64</c:v>
                </c:pt>
                <c:pt idx="6" formatCode="#,##0">
                  <c:v>88404.000000000015</c:v>
                </c:pt>
                <c:pt idx="7" formatCode="#,##0">
                  <c:v>79665.3</c:v>
                </c:pt>
                <c:pt idx="8" formatCode="#,##0">
                  <c:v>76874.000000000015</c:v>
                </c:pt>
                <c:pt idx="9" formatCode="#,##0">
                  <c:v>83618.37999999999</c:v>
                </c:pt>
                <c:pt idx="10" formatCode="#,##0">
                  <c:v>75565.039999999994</c:v>
                </c:pt>
                <c:pt idx="11" formatCode="#,##0">
                  <c:v>95400.379999999976</c:v>
                </c:pt>
              </c:numCache>
            </c:numRef>
          </c:val>
          <c:extLst>
            <c:ext xmlns:c16="http://schemas.microsoft.com/office/drawing/2014/chart" uri="{C3380CC4-5D6E-409C-BE32-E72D297353CC}">
              <c16:uniqueId val="{00000001-A9B1-4C20-9CB5-52976AA95147}"/>
            </c:ext>
          </c:extLst>
        </c:ser>
        <c:dLbls>
          <c:showLegendKey val="0"/>
          <c:showVal val="0"/>
          <c:showCatName val="0"/>
          <c:showSerName val="0"/>
          <c:showPercent val="0"/>
          <c:showBubbleSize val="0"/>
        </c:dLbls>
        <c:gapWidth val="219"/>
        <c:overlap val="-27"/>
        <c:axId val="1957239791"/>
        <c:axId val="1957237711"/>
      </c:barChart>
      <c:dateAx>
        <c:axId val="195723979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57237711"/>
        <c:crosses val="autoZero"/>
        <c:auto val="1"/>
        <c:lblOffset val="100"/>
        <c:baseTimeUnit val="months"/>
      </c:dateAx>
      <c:valAx>
        <c:axId val="1957237711"/>
        <c:scaling>
          <c:orientation val="minMax"/>
          <c:min val="30000"/>
        </c:scaling>
        <c:delete val="1"/>
        <c:axPos val="l"/>
        <c:numFmt formatCode="#,##0;\-#,##0;0" sourceLinked="1"/>
        <c:majorTickMark val="none"/>
        <c:minorTickMark val="none"/>
        <c:tickLblPos val="nextTo"/>
        <c:crossAx val="195723979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'F12'!$A$3:$A$14</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'F12'!$B$3:$B$14</c:f>
              <c:numCache>
                <c:formatCode>[&gt;9999999]##\,##\,##\,##0;[&gt;99999]##\,##\,##0;##,##0</c:formatCode>
                <c:ptCount val="12"/>
                <c:pt idx="0">
                  <c:v>-7965.5</c:v>
                </c:pt>
                <c:pt idx="1">
                  <c:v>6522.45</c:v>
                </c:pt>
                <c:pt idx="2">
                  <c:v>-501.5</c:v>
                </c:pt>
                <c:pt idx="3" formatCode="#,##0;\-#,##0;0">
                  <c:v>-9195.0400000000009</c:v>
                </c:pt>
                <c:pt idx="4" formatCode="#,##0;\-#,##0;0">
                  <c:v>-9213.44</c:v>
                </c:pt>
                <c:pt idx="5" formatCode="#,##0;\-#,##0;0">
                  <c:v>-4134.37</c:v>
                </c:pt>
                <c:pt idx="6" formatCode="#,##0;\-#,##0;0">
                  <c:v>-14491.79</c:v>
                </c:pt>
                <c:pt idx="7" formatCode="#,##0;\-#,##0;0">
                  <c:v>-30760.07</c:v>
                </c:pt>
                <c:pt idx="8" formatCode="#,##0;\-#,##0;0">
                  <c:v>-26427.83</c:v>
                </c:pt>
                <c:pt idx="9" formatCode="#,##0;\-#,##0;0">
                  <c:v>-13031.78</c:v>
                </c:pt>
                <c:pt idx="10" formatCode="#,##0;\-#,##0;0">
                  <c:v>-16306</c:v>
                </c:pt>
                <c:pt idx="11" formatCode="#,##0;\-#,##0;0">
                  <c:v>4772.83</c:v>
                </c:pt>
              </c:numCache>
            </c:numRef>
          </c:val>
          <c:extLst>
            <c:ext xmlns:c16="http://schemas.microsoft.com/office/drawing/2014/chart" uri="{C3380CC4-5D6E-409C-BE32-E72D297353CC}">
              <c16:uniqueId val="{00000000-DCED-4693-89D1-4B3404E02BC5}"/>
            </c:ext>
          </c:extLst>
        </c:ser>
        <c:ser>
          <c:idx val="1"/>
          <c:order val="1"/>
          <c:tx>
            <c:strRef>
              <c:f>'F12'!$C$2</c:f>
              <c:strCache>
                <c:ptCount val="1"/>
                <c:pt idx="0">
                  <c:v>Debt</c:v>
                </c:pt>
              </c:strCache>
            </c:strRef>
          </c:tx>
          <c:spPr>
            <a:solidFill>
              <a:schemeClr val="accent2"/>
            </a:solidFill>
            <a:ln>
              <a:noFill/>
            </a:ln>
            <a:effectLst/>
          </c:spPr>
          <c:invertIfNegative val="0"/>
          <c:cat>
            <c:numRef>
              <c:f>'F12'!$A$3:$A$14</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'F12'!$C$3:$C$14</c:f>
              <c:numCache>
                <c:formatCode>[&gt;9999999]##\,##\,##\,##0;[&gt;99999]##\,##\,##0;##,##0</c:formatCode>
                <c:ptCount val="12"/>
                <c:pt idx="0">
                  <c:v>-9794.5400000000009</c:v>
                </c:pt>
                <c:pt idx="1">
                  <c:v>10699.37</c:v>
                </c:pt>
                <c:pt idx="2">
                  <c:v>41364.71</c:v>
                </c:pt>
                <c:pt idx="3" formatCode="#,##0;\-#,##0;0">
                  <c:v>31897.85</c:v>
                </c:pt>
                <c:pt idx="4" formatCode="#,##0;\-#,##0;0">
                  <c:v>25780.28</c:v>
                </c:pt>
                <c:pt idx="5" formatCode="#,##0;\-#,##0;0">
                  <c:v>17004.97</c:v>
                </c:pt>
                <c:pt idx="6" formatCode="#,##0;\-#,##0;0">
                  <c:v>31975.11</c:v>
                </c:pt>
                <c:pt idx="7" formatCode="#,##0;\-#,##0;0">
                  <c:v>20349.349999999999</c:v>
                </c:pt>
                <c:pt idx="8" formatCode="#,##0;\-#,##0;0">
                  <c:v>23368.42</c:v>
                </c:pt>
                <c:pt idx="9" formatCode="#,##0;\-#,##0;0">
                  <c:v>11831.74</c:v>
                </c:pt>
                <c:pt idx="10" formatCode="#,##0;\-#,##0;0">
                  <c:v>8161.78</c:v>
                </c:pt>
                <c:pt idx="11" formatCode="#,##0;\-#,##0;0">
                  <c:v>15661.48</c:v>
                </c:pt>
              </c:numCache>
            </c:numRef>
          </c:val>
          <c:extLst>
            <c:ext xmlns:c16="http://schemas.microsoft.com/office/drawing/2014/chart" uri="{C3380CC4-5D6E-409C-BE32-E72D297353CC}">
              <c16:uniqueId val="{00000001-DCED-4693-89D1-4B3404E02BC5}"/>
            </c:ext>
          </c:extLst>
        </c:ser>
        <c:dLbls>
          <c:showLegendKey val="0"/>
          <c:showVal val="0"/>
          <c:showCatName val="0"/>
          <c:showSerName val="0"/>
          <c:showPercent val="0"/>
          <c:showBubbleSize val="0"/>
        </c:dLbls>
        <c:gapWidth val="219"/>
        <c:overlap val="-27"/>
        <c:axId val="1066097183"/>
        <c:axId val="1066098015"/>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'F12'!$A$3:$A$14</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'F12'!$D$3:$D$14</c:f>
              <c:numCache>
                <c:formatCode>[&gt;9999999]##\,##\,##\,##0;[&gt;99999]##\,##\,##0;##,##0</c:formatCode>
                <c:ptCount val="12"/>
                <c:pt idx="0">
                  <c:v>-17760.04</c:v>
                </c:pt>
                <c:pt idx="1">
                  <c:v>17221.82</c:v>
                </c:pt>
                <c:pt idx="2">
                  <c:v>40863.21</c:v>
                </c:pt>
                <c:pt idx="3">
                  <c:v>22702.809999999998</c:v>
                </c:pt>
                <c:pt idx="4">
                  <c:v>16566.839999999997</c:v>
                </c:pt>
                <c:pt idx="5">
                  <c:v>12870.600000000002</c:v>
                </c:pt>
                <c:pt idx="6">
                  <c:v>17483.32</c:v>
                </c:pt>
                <c:pt idx="7">
                  <c:v>-10410.720000000001</c:v>
                </c:pt>
                <c:pt idx="8">
                  <c:v>-3059.4100000000035</c:v>
                </c:pt>
                <c:pt idx="9">
                  <c:v>-1200.0400000000009</c:v>
                </c:pt>
                <c:pt idx="10">
                  <c:v>-8144.22</c:v>
                </c:pt>
                <c:pt idx="11">
                  <c:v>20434.309999999998</c:v>
                </c:pt>
              </c:numCache>
            </c:numRef>
          </c:val>
          <c:smooth val="0"/>
          <c:extLst>
            <c:ext xmlns:c16="http://schemas.microsoft.com/office/drawing/2014/chart" uri="{C3380CC4-5D6E-409C-BE32-E72D297353CC}">
              <c16:uniqueId val="{00000002-DCED-4693-89D1-4B3404E02BC5}"/>
            </c:ext>
          </c:extLst>
        </c:ser>
        <c:dLbls>
          <c:showLegendKey val="0"/>
          <c:showVal val="0"/>
          <c:showCatName val="0"/>
          <c:showSerName val="0"/>
          <c:showPercent val="0"/>
          <c:showBubbleSize val="0"/>
        </c:dLbls>
        <c:marker val="1"/>
        <c:smooth val="0"/>
        <c:axId val="1066097183"/>
        <c:axId val="1066098015"/>
      </c:lineChart>
      <c:dateAx>
        <c:axId val="1066097183"/>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066098015"/>
        <c:crosses val="autoZero"/>
        <c:auto val="1"/>
        <c:lblOffset val="100"/>
        <c:baseTimeUnit val="months"/>
      </c:dateAx>
      <c:valAx>
        <c:axId val="1066098015"/>
        <c:scaling>
          <c:orientation val="minMax"/>
        </c:scaling>
        <c:delete val="0"/>
        <c:axPos val="l"/>
        <c:numFmt formatCode="[&gt;9999999]##\,##\,##\,##0;[&gt;99999]##\,##\,##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066097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 13'!$B$4:$B$15</c:f>
              <c:numCache>
                <c:formatCode>#,##0</c:formatCode>
                <c:ptCount val="12"/>
                <c:pt idx="0">
                  <c:v>-6884</c:v>
                </c:pt>
                <c:pt idx="1">
                  <c:v>14569</c:v>
                </c:pt>
                <c:pt idx="2">
                  <c:v>21832</c:v>
                </c:pt>
                <c:pt idx="3">
                  <c:v>7563</c:v>
                </c:pt>
                <c:pt idx="4">
                  <c:v>47080</c:v>
                </c:pt>
                <c:pt idx="5">
                  <c:v>-7783</c:v>
                </c:pt>
                <c:pt idx="6">
                  <c:v>19541</c:v>
                </c:pt>
                <c:pt idx="7">
                  <c:v>60358</c:v>
                </c:pt>
                <c:pt idx="8">
                  <c:v>62016</c:v>
                </c:pt>
                <c:pt idx="9">
                  <c:v>19473</c:v>
                </c:pt>
                <c:pt idx="10">
                  <c:v>25787</c:v>
                </c:pt>
                <c:pt idx="11">
                  <c:v>10482</c:v>
                </c:pt>
              </c:numCache>
            </c:numRef>
          </c:val>
          <c:extLst>
            <c:ext xmlns:c16="http://schemas.microsoft.com/office/drawing/2014/chart" uri="{C3380CC4-5D6E-409C-BE32-E72D297353CC}">
              <c16:uniqueId val="{00000000-9F3A-4DD4-AF39-DE357F3764D2}"/>
            </c:ext>
          </c:extLst>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 13'!$C$4:$C$15</c:f>
              <c:numCache>
                <c:formatCode>#,##0</c:formatCode>
                <c:ptCount val="12"/>
                <c:pt idx="0">
                  <c:v>-12552</c:v>
                </c:pt>
                <c:pt idx="1">
                  <c:v>-22935</c:v>
                </c:pt>
                <c:pt idx="2">
                  <c:v>-1545</c:v>
                </c:pt>
                <c:pt idx="3">
                  <c:v>-2476</c:v>
                </c:pt>
                <c:pt idx="4">
                  <c:v>-3310</c:v>
                </c:pt>
                <c:pt idx="5">
                  <c:v>3958</c:v>
                </c:pt>
                <c:pt idx="6">
                  <c:v>1641</c:v>
                </c:pt>
                <c:pt idx="7">
                  <c:v>-1806</c:v>
                </c:pt>
                <c:pt idx="8">
                  <c:v>4079</c:v>
                </c:pt>
                <c:pt idx="9">
                  <c:v>-2518</c:v>
                </c:pt>
                <c:pt idx="10">
                  <c:v>-6488</c:v>
                </c:pt>
                <c:pt idx="11">
                  <c:v>-6492</c:v>
                </c:pt>
              </c:numCache>
            </c:numRef>
          </c:val>
          <c:extLst>
            <c:ext xmlns:c16="http://schemas.microsoft.com/office/drawing/2014/chart" uri="{C3380CC4-5D6E-409C-BE32-E72D297353CC}">
              <c16:uniqueId val="{00000001-9F3A-4DD4-AF39-DE357F3764D2}"/>
            </c:ext>
          </c:extLst>
        </c:ser>
        <c:dLbls>
          <c:showLegendKey val="0"/>
          <c:showVal val="0"/>
          <c:showCatName val="0"/>
          <c:showSerName val="0"/>
          <c:showPercent val="0"/>
          <c:showBubbleSize val="0"/>
        </c:dLbls>
        <c:gapWidth val="219"/>
        <c:overlap val="-27"/>
        <c:axId val="898351007"/>
        <c:axId val="898352255"/>
      </c:barChart>
      <c:barChart>
        <c:barDir val="col"/>
        <c:grouping val="clustered"/>
        <c:varyColors val="0"/>
        <c:ser>
          <c:idx val="2"/>
          <c:order val="2"/>
          <c:tx>
            <c:strRef>
              <c:f>'F 13'!$D$3</c:f>
              <c:strCache>
                <c:ptCount val="1"/>
                <c:pt idx="0">
                  <c:v>Debt-VRR (RHS)</c:v>
                </c:pt>
              </c:strCache>
            </c:strRef>
          </c:tx>
          <c:spPr>
            <a:solidFill>
              <a:schemeClr val="accent3"/>
            </a:solidFill>
            <a:ln>
              <a:noFill/>
            </a:ln>
            <a:effectLst/>
          </c:spPr>
          <c:invertIfNegative val="0"/>
          <c:cat>
            <c:numRef>
              <c:f>'F 13'!$A$4:$A$15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 13'!$D$4:$D$15</c:f>
              <c:numCache>
                <c:formatCode>#,##0</c:formatCode>
                <c:ptCount val="12"/>
                <c:pt idx="0">
                  <c:v>4033</c:v>
                </c:pt>
                <c:pt idx="1">
                  <c:v>1000</c:v>
                </c:pt>
                <c:pt idx="2">
                  <c:v>3766</c:v>
                </c:pt>
                <c:pt idx="3">
                  <c:v>-1786</c:v>
                </c:pt>
                <c:pt idx="4">
                  <c:v>2762</c:v>
                </c:pt>
                <c:pt idx="5">
                  <c:v>406</c:v>
                </c:pt>
                <c:pt idx="6">
                  <c:v>851</c:v>
                </c:pt>
                <c:pt idx="7">
                  <c:v>4399</c:v>
                </c:pt>
                <c:pt idx="8">
                  <c:v>2463</c:v>
                </c:pt>
                <c:pt idx="9">
                  <c:v>-2306</c:v>
                </c:pt>
                <c:pt idx="10">
                  <c:v>4364</c:v>
                </c:pt>
                <c:pt idx="11">
                  <c:v>13314</c:v>
                </c:pt>
              </c:numCache>
            </c:numRef>
          </c:val>
          <c:extLst>
            <c:ext xmlns:c16="http://schemas.microsoft.com/office/drawing/2014/chart" uri="{C3380CC4-5D6E-409C-BE32-E72D297353CC}">
              <c16:uniqueId val="{00000002-9F3A-4DD4-AF39-DE357F3764D2}"/>
            </c:ext>
          </c:extLst>
        </c:ser>
        <c:ser>
          <c:idx val="3"/>
          <c:order val="3"/>
          <c:tx>
            <c:strRef>
              <c:f>'F 13'!$E$3</c:f>
              <c:strCache>
                <c:ptCount val="1"/>
                <c:pt idx="0">
                  <c:v>Hybrid  (RHS)</c:v>
                </c:pt>
              </c:strCache>
            </c:strRef>
          </c:tx>
          <c:spPr>
            <a:solidFill>
              <a:schemeClr val="accent4"/>
            </a:solidFill>
            <a:ln>
              <a:noFill/>
            </a:ln>
            <a:effectLst/>
          </c:spPr>
          <c:invertIfNegative val="0"/>
          <c:cat>
            <c:numRef>
              <c:f>'F 13'!$A$4:$A$15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 13'!$E$4:$E$15</c:f>
              <c:numCache>
                <c:formatCode>#,##0</c:formatCode>
                <c:ptCount val="12"/>
                <c:pt idx="0">
                  <c:v>544</c:v>
                </c:pt>
                <c:pt idx="1">
                  <c:v>11</c:v>
                </c:pt>
                <c:pt idx="2">
                  <c:v>1957</c:v>
                </c:pt>
                <c:pt idx="3">
                  <c:v>1</c:v>
                </c:pt>
                <c:pt idx="4">
                  <c:v>3347</c:v>
                </c:pt>
                <c:pt idx="5">
                  <c:v>2222</c:v>
                </c:pt>
                <c:pt idx="6">
                  <c:v>-207</c:v>
                </c:pt>
                <c:pt idx="7">
                  <c:v>-169</c:v>
                </c:pt>
                <c:pt idx="8">
                  <c:v>2489</c:v>
                </c:pt>
                <c:pt idx="9">
                  <c:v>-17</c:v>
                </c:pt>
                <c:pt idx="10">
                  <c:v>350</c:v>
                </c:pt>
                <c:pt idx="11">
                  <c:v>-281</c:v>
                </c:pt>
              </c:numCache>
            </c:numRef>
          </c:val>
          <c:extLst>
            <c:ext xmlns:c16="http://schemas.microsoft.com/office/drawing/2014/chart" uri="{C3380CC4-5D6E-409C-BE32-E72D297353CC}">
              <c16:uniqueId val="{00000003-9F3A-4DD4-AF39-DE357F3764D2}"/>
            </c:ext>
          </c:extLst>
        </c:ser>
        <c:dLbls>
          <c:showLegendKey val="0"/>
          <c:showVal val="0"/>
          <c:showCatName val="0"/>
          <c:showSerName val="0"/>
          <c:showPercent val="0"/>
          <c:showBubbleSize val="0"/>
        </c:dLbls>
        <c:gapWidth val="219"/>
        <c:overlap val="-27"/>
        <c:axId val="1301685743"/>
        <c:axId val="1192661679"/>
      </c:barChart>
      <c:lineChart>
        <c:grouping val="standard"/>
        <c:varyColors val="0"/>
        <c:ser>
          <c:idx val="4"/>
          <c:order val="4"/>
          <c:tx>
            <c:strRef>
              <c:f>'F 13'!$F$3</c:f>
              <c:strCache>
                <c:ptCount val="1"/>
                <c:pt idx="0">
                  <c:v>Total (LHS)</c:v>
                </c:pt>
              </c:strCache>
            </c:strRef>
          </c:tx>
          <c:spPr>
            <a:ln w="28575" cap="rnd">
              <a:solidFill>
                <a:schemeClr val="accent5"/>
              </a:solidFill>
              <a:round/>
            </a:ln>
            <a:effectLst/>
          </c:spPr>
          <c:marker>
            <c:symbol val="none"/>
          </c:marker>
          <c:cat>
            <c:numRef>
              <c:f>'F 13'!$A$4:$A$15</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 13'!$F$4:$F$15</c:f>
              <c:numCache>
                <c:formatCode>#,##0</c:formatCode>
                <c:ptCount val="12"/>
                <c:pt idx="0">
                  <c:v>-14859</c:v>
                </c:pt>
                <c:pt idx="1">
                  <c:v>-7356</c:v>
                </c:pt>
                <c:pt idx="2">
                  <c:v>26009</c:v>
                </c:pt>
                <c:pt idx="3">
                  <c:v>3301</c:v>
                </c:pt>
                <c:pt idx="4">
                  <c:v>49879</c:v>
                </c:pt>
                <c:pt idx="5">
                  <c:v>-1196</c:v>
                </c:pt>
                <c:pt idx="6">
                  <c:v>21826</c:v>
                </c:pt>
                <c:pt idx="7">
                  <c:v>62782</c:v>
                </c:pt>
                <c:pt idx="8">
                  <c:v>71046</c:v>
                </c:pt>
                <c:pt idx="9">
                  <c:v>14631</c:v>
                </c:pt>
                <c:pt idx="10">
                  <c:v>24013</c:v>
                </c:pt>
                <c:pt idx="11">
                  <c:v>17023</c:v>
                </c:pt>
              </c:numCache>
            </c:numRef>
          </c:val>
          <c:smooth val="0"/>
          <c:extLst>
            <c:ext xmlns:c16="http://schemas.microsoft.com/office/drawing/2014/chart" uri="{C3380CC4-5D6E-409C-BE32-E72D297353CC}">
              <c16:uniqueId val="{00000004-9F3A-4DD4-AF39-DE357F3764D2}"/>
            </c:ext>
          </c:extLst>
        </c:ser>
        <c:dLbls>
          <c:showLegendKey val="0"/>
          <c:showVal val="0"/>
          <c:showCatName val="0"/>
          <c:showSerName val="0"/>
          <c:showPercent val="0"/>
          <c:showBubbleSize val="0"/>
        </c:dLbls>
        <c:marker val="1"/>
        <c:smooth val="0"/>
        <c:axId val="898351007"/>
        <c:axId val="898352255"/>
      </c:lineChart>
      <c:dateAx>
        <c:axId val="898351007"/>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98352255"/>
        <c:crosses val="autoZero"/>
        <c:auto val="1"/>
        <c:lblOffset val="100"/>
        <c:baseTimeUnit val="months"/>
      </c:dateAx>
      <c:valAx>
        <c:axId val="898352255"/>
        <c:scaling>
          <c:orientation val="minMax"/>
          <c:max val="8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98351007"/>
        <c:crosses val="autoZero"/>
        <c:crossBetween val="between"/>
      </c:valAx>
      <c:valAx>
        <c:axId val="1192661679"/>
        <c:scaling>
          <c:orientation val="minMax"/>
          <c:max val="8000"/>
          <c:min val="-4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301685743"/>
        <c:crosses val="max"/>
        <c:crossBetween val="between"/>
      </c:valAx>
      <c:dateAx>
        <c:axId val="1301685743"/>
        <c:scaling>
          <c:orientation val="minMax"/>
        </c:scaling>
        <c:delete val="1"/>
        <c:axPos val="b"/>
        <c:numFmt formatCode="[$-409]mmm\-yy" sourceLinked="1"/>
        <c:majorTickMark val="out"/>
        <c:minorTickMark val="none"/>
        <c:tickLblPos val="nextTo"/>
        <c:crossAx val="1192661679"/>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'F14'!$A$6:$A$17</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'F14'!$I$6:$I$17</c:f>
              <c:numCache>
                <c:formatCode>General</c:formatCode>
                <c:ptCount val="12"/>
                <c:pt idx="0" formatCode="#,##0;\-#,##0;0.0">
                  <c:v>3.72</c:v>
                </c:pt>
                <c:pt idx="1">
                  <c:v>0</c:v>
                </c:pt>
                <c:pt idx="2" formatCode="#,##0;\-#,##0;0.0">
                  <c:v>1088.1099999999999</c:v>
                </c:pt>
                <c:pt idx="3" formatCode="#,##0;\-#,##0;0.0">
                  <c:v>528.16</c:v>
                </c:pt>
                <c:pt idx="4" formatCode="#,##0;\-#,##0;0.0">
                  <c:v>3861.67</c:v>
                </c:pt>
                <c:pt idx="5" formatCode="#,##0;\-#,##0;0.0">
                  <c:v>3010.3900000000003</c:v>
                </c:pt>
                <c:pt idx="6" formatCode="#,##0;\-#,##0;0.0">
                  <c:v>480.5</c:v>
                </c:pt>
                <c:pt idx="7" formatCode="#,##0;\-#,##0;0.0">
                  <c:v>0</c:v>
                </c:pt>
                <c:pt idx="8" formatCode="#,##0;\-#,##0;0.0">
                  <c:v>47.49</c:v>
                </c:pt>
                <c:pt idx="9" formatCode="#,##0;\-#,##0;0.0">
                  <c:v>140.80000000000001</c:v>
                </c:pt>
                <c:pt idx="10" formatCode="#,##0;\-#,##0;0.0">
                  <c:v>211.18</c:v>
                </c:pt>
                <c:pt idx="11" formatCode="#,##0;\-#,##0;0.0">
                  <c:v>440.03000000000003</c:v>
                </c:pt>
              </c:numCache>
            </c:numRef>
          </c:val>
          <c:extLst>
            <c:ext xmlns:c16="http://schemas.microsoft.com/office/drawing/2014/chart" uri="{C3380CC4-5D6E-409C-BE32-E72D297353CC}">
              <c16:uniqueId val="{00000000-8E2A-418C-9136-509ACF0972BA}"/>
            </c:ext>
          </c:extLst>
        </c:ser>
        <c:dLbls>
          <c:showLegendKey val="0"/>
          <c:showVal val="0"/>
          <c:showCatName val="0"/>
          <c:showSerName val="0"/>
          <c:showPercent val="0"/>
          <c:showBubbleSize val="0"/>
        </c:dLbls>
        <c:gapWidth val="219"/>
        <c:axId val="1342813983"/>
        <c:axId val="1342813567"/>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'F14'!$A$6:$A$17</c:f>
              <c:numCache>
                <c:formatCode>[$-409]mmm\-yy</c:formatCode>
                <c:ptCount val="12"/>
                <c:pt idx="0">
                  <c:v>43931</c:v>
                </c:pt>
                <c:pt idx="1">
                  <c:v>43961</c:v>
                </c:pt>
                <c:pt idx="2">
                  <c:v>43992</c:v>
                </c:pt>
                <c:pt idx="3">
                  <c:v>44022</c:v>
                </c:pt>
                <c:pt idx="4">
                  <c:v>44053</c:v>
                </c:pt>
                <c:pt idx="5">
                  <c:v>44084</c:v>
                </c:pt>
                <c:pt idx="6">
                  <c:v>44114</c:v>
                </c:pt>
                <c:pt idx="7">
                  <c:v>44145</c:v>
                </c:pt>
                <c:pt idx="8">
                  <c:v>44175</c:v>
                </c:pt>
                <c:pt idx="9">
                  <c:v>44206</c:v>
                </c:pt>
                <c:pt idx="10">
                  <c:v>44237</c:v>
                </c:pt>
                <c:pt idx="11">
                  <c:v>44265</c:v>
                </c:pt>
              </c:numCache>
            </c:numRef>
          </c:cat>
          <c:val>
            <c:numRef>
              <c:f>'F14'!$H$6:$H$17</c:f>
              <c:numCache>
                <c:formatCode>General</c:formatCode>
                <c:ptCount val="12"/>
                <c:pt idx="0">
                  <c:v>3</c:v>
                </c:pt>
                <c:pt idx="1">
                  <c:v>0</c:v>
                </c:pt>
                <c:pt idx="2">
                  <c:v>4</c:v>
                </c:pt>
                <c:pt idx="3">
                  <c:v>2</c:v>
                </c:pt>
                <c:pt idx="4">
                  <c:v>9</c:v>
                </c:pt>
                <c:pt idx="5">
                  <c:v>6</c:v>
                </c:pt>
                <c:pt idx="6">
                  <c:v>6</c:v>
                </c:pt>
                <c:pt idx="7">
                  <c:v>0</c:v>
                </c:pt>
                <c:pt idx="8">
                  <c:v>4</c:v>
                </c:pt>
                <c:pt idx="9">
                  <c:v>3</c:v>
                </c:pt>
                <c:pt idx="10">
                  <c:v>5</c:v>
                </c:pt>
                <c:pt idx="11">
                  <c:v>3</c:v>
                </c:pt>
              </c:numCache>
            </c:numRef>
          </c:val>
          <c:smooth val="0"/>
          <c:extLst>
            <c:ext xmlns:c16="http://schemas.microsoft.com/office/drawing/2014/chart" uri="{C3380CC4-5D6E-409C-BE32-E72D297353CC}">
              <c16:uniqueId val="{00000001-8E2A-418C-9136-509ACF0972BA}"/>
            </c:ext>
          </c:extLst>
        </c:ser>
        <c:dLbls>
          <c:showLegendKey val="0"/>
          <c:showVal val="0"/>
          <c:showCatName val="0"/>
          <c:showSerName val="0"/>
          <c:showPercent val="0"/>
          <c:showBubbleSize val="0"/>
        </c:dLbls>
        <c:marker val="1"/>
        <c:smooth val="0"/>
        <c:axId val="1192658767"/>
        <c:axId val="1192659599"/>
      </c:lineChart>
      <c:dateAx>
        <c:axId val="1192658767"/>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192659599"/>
        <c:crosses val="autoZero"/>
        <c:auto val="1"/>
        <c:lblOffset val="100"/>
        <c:baseTimeUnit val="months"/>
      </c:dateAx>
      <c:valAx>
        <c:axId val="1192659599"/>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Number</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192658767"/>
        <c:crosses val="autoZero"/>
        <c:crossBetween val="between"/>
        <c:majorUnit val="2"/>
      </c:valAx>
      <c:valAx>
        <c:axId val="1342813567"/>
        <c:scaling>
          <c:orientation val="minMax"/>
          <c:max val="4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IN">
                    <a:latin typeface="Rupee Foradian" panose="020B0603030804020204" pitchFamily="34" charset="0"/>
                  </a:rPr>
                  <a:t>`</a:t>
                </a:r>
                <a:r>
                  <a:rPr lang="en-IN"/>
                  <a:t> Crore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342813983"/>
        <c:crosses val="max"/>
        <c:crossBetween val="between"/>
      </c:valAx>
      <c:dateAx>
        <c:axId val="1342813983"/>
        <c:scaling>
          <c:orientation val="minMax"/>
        </c:scaling>
        <c:delete val="1"/>
        <c:axPos val="b"/>
        <c:numFmt formatCode="[$-409]mmm\-yy" sourceLinked="1"/>
        <c:majorTickMark val="out"/>
        <c:minorTickMark val="none"/>
        <c:tickLblPos val="nextTo"/>
        <c:crossAx val="1342813567"/>
        <c:crosses val="autoZero"/>
        <c:auto val="1"/>
        <c:lblOffset val="100"/>
        <c:baseTimeUnit val="months"/>
        <c:majorUnit val="1"/>
        <c:minorUnit val="1"/>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1" i="0" u="none" strike="noStrike" kern="1200" spc="0" baseline="0">
                <a:solidFill>
                  <a:schemeClr val="accent1"/>
                </a:solidFill>
                <a:latin typeface="+mn-lt"/>
                <a:ea typeface="+mn-ea"/>
                <a:cs typeface="+mn-cs"/>
              </a:defRPr>
            </a:pPr>
            <a:r>
              <a:rPr lang="en-IN" sz="1000" b="1">
                <a:solidFill>
                  <a:schemeClr val="accent1"/>
                </a:solidFill>
              </a:rPr>
              <a:t>Movement of Domestic Indices</a:t>
            </a:r>
          </a:p>
        </c:rich>
      </c:tx>
      <c:layout>
        <c:manualLayout>
          <c:xMode val="edge"/>
          <c:yMode val="edge"/>
          <c:x val="0.31095560376719084"/>
          <c:y val="2.8993334468280511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mn-lt"/>
              <a:ea typeface="+mn-ea"/>
              <a:cs typeface="+mn-cs"/>
            </a:defRPr>
          </a:pPr>
          <a:endParaRPr lang="en-US"/>
        </a:p>
      </c:txPr>
    </c:title>
    <c:autoTitleDeleted val="0"/>
    <c:plotArea>
      <c:layout>
        <c:manualLayout>
          <c:layoutTarget val="inner"/>
          <c:xMode val="edge"/>
          <c:yMode val="edge"/>
          <c:x val="3.0445248133130945E-2"/>
          <c:y val="9.5263813252921672E-2"/>
          <c:w val="0.93910950373373814"/>
          <c:h val="0.61406543896862764"/>
        </c:manualLayout>
      </c:layout>
      <c:lineChart>
        <c:grouping val="standard"/>
        <c:varyColors val="0"/>
        <c:ser>
          <c:idx val="0"/>
          <c:order val="0"/>
          <c:tx>
            <c:v>MCX iCOMDEX Composite Index</c:v>
          </c:tx>
          <c:spPr>
            <a:ln w="28575" cap="rnd">
              <a:solidFill>
                <a:schemeClr val="accent1"/>
              </a:solidFill>
              <a:round/>
            </a:ln>
            <a:effectLst/>
          </c:spPr>
          <c:marker>
            <c:symbol val="none"/>
          </c:marker>
          <c:cat>
            <c:numRef>
              <c:f>Graph!$D$235:$D$258</c:f>
              <c:numCache>
                <c:formatCode>d\-mmm\-yy</c:formatCode>
                <c:ptCount val="24"/>
                <c:pt idx="0">
                  <c:v>44253</c:v>
                </c:pt>
                <c:pt idx="1">
                  <c:v>44256</c:v>
                </c:pt>
                <c:pt idx="2">
                  <c:v>44257</c:v>
                </c:pt>
                <c:pt idx="3">
                  <c:v>44258</c:v>
                </c:pt>
                <c:pt idx="4">
                  <c:v>44259</c:v>
                </c:pt>
                <c:pt idx="5">
                  <c:v>44260</c:v>
                </c:pt>
                <c:pt idx="6">
                  <c:v>44263</c:v>
                </c:pt>
                <c:pt idx="7">
                  <c:v>44264</c:v>
                </c:pt>
                <c:pt idx="8">
                  <c:v>44265</c:v>
                </c:pt>
                <c:pt idx="9">
                  <c:v>44266</c:v>
                </c:pt>
                <c:pt idx="10">
                  <c:v>44267</c:v>
                </c:pt>
                <c:pt idx="11">
                  <c:v>44270</c:v>
                </c:pt>
                <c:pt idx="12">
                  <c:v>44271</c:v>
                </c:pt>
                <c:pt idx="13">
                  <c:v>44272</c:v>
                </c:pt>
                <c:pt idx="14">
                  <c:v>44273</c:v>
                </c:pt>
                <c:pt idx="15">
                  <c:v>44274</c:v>
                </c:pt>
                <c:pt idx="16">
                  <c:v>44277</c:v>
                </c:pt>
                <c:pt idx="17">
                  <c:v>44278</c:v>
                </c:pt>
                <c:pt idx="18">
                  <c:v>44279</c:v>
                </c:pt>
                <c:pt idx="19">
                  <c:v>44280</c:v>
                </c:pt>
                <c:pt idx="20">
                  <c:v>44281</c:v>
                </c:pt>
                <c:pt idx="21">
                  <c:v>44284</c:v>
                </c:pt>
                <c:pt idx="22">
                  <c:v>44285</c:v>
                </c:pt>
                <c:pt idx="23">
                  <c:v>44286</c:v>
                </c:pt>
              </c:numCache>
            </c:numRef>
          </c:cat>
          <c:val>
            <c:numRef>
              <c:f>Graph!$E$235:$E$257</c:f>
              <c:numCache>
                <c:formatCode>_(* #,##0.00_);_(* \(#,##0.00\);_(* "-"??_);_(@_)</c:formatCode>
                <c:ptCount val="23"/>
                <c:pt idx="0">
                  <c:v>100</c:v>
                </c:pt>
                <c:pt idx="1">
                  <c:v>99.007506430878479</c:v>
                </c:pt>
                <c:pt idx="2">
                  <c:v>99.818680820551705</c:v>
                </c:pt>
                <c:pt idx="3">
                  <c:v>98.1275589584953</c:v>
                </c:pt>
                <c:pt idx="4">
                  <c:v>96.775265866115021</c:v>
                </c:pt>
                <c:pt idx="5">
                  <c:v>97.882686490896972</c:v>
                </c:pt>
                <c:pt idx="6">
                  <c:v>97.576092242011669</c:v>
                </c:pt>
                <c:pt idx="7">
                  <c:v>97.690286694926826</c:v>
                </c:pt>
                <c:pt idx="8">
                  <c:v>97.274534636999931</c:v>
                </c:pt>
                <c:pt idx="9">
                  <c:v>98.382779439870276</c:v>
                </c:pt>
                <c:pt idx="10">
                  <c:v>97.733143955523701</c:v>
                </c:pt>
                <c:pt idx="11">
                  <c:v>98.046881081175144</c:v>
                </c:pt>
                <c:pt idx="12">
                  <c:v>97.467117583656375</c:v>
                </c:pt>
                <c:pt idx="13">
                  <c:v>97.474901487824624</c:v>
                </c:pt>
                <c:pt idx="14">
                  <c:v>96.671602577662796</c:v>
                </c:pt>
                <c:pt idx="15">
                  <c:v>96.89120025055017</c:v>
                </c:pt>
                <c:pt idx="16">
                  <c:v>96.856401620151019</c:v>
                </c:pt>
                <c:pt idx="17">
                  <c:v>95.087807017784883</c:v>
                </c:pt>
                <c:pt idx="18">
                  <c:v>95.996783873948416</c:v>
                </c:pt>
                <c:pt idx="19">
                  <c:v>95.006121811689994</c:v>
                </c:pt>
                <c:pt idx="20">
                  <c:v>95.998065928752595</c:v>
                </c:pt>
                <c:pt idx="21">
                  <c:v>95.580299213276291</c:v>
                </c:pt>
                <c:pt idx="22">
                  <c:v>94.803465577286445</c:v>
                </c:pt>
              </c:numCache>
            </c:numRef>
          </c:val>
          <c:smooth val="0"/>
          <c:extLst>
            <c:ext xmlns:c16="http://schemas.microsoft.com/office/drawing/2014/chart" uri="{C3380CC4-5D6E-409C-BE32-E72D297353CC}">
              <c16:uniqueId val="{00000000-1248-438D-ADBD-EA7C9E347FAE}"/>
            </c:ext>
          </c:extLst>
        </c:ser>
        <c:ser>
          <c:idx val="1"/>
          <c:order val="1"/>
          <c:tx>
            <c:v>Nkrishi NCDEX Index</c:v>
          </c:tx>
          <c:spPr>
            <a:ln w="28575" cap="rnd">
              <a:solidFill>
                <a:schemeClr val="accent2"/>
              </a:solidFill>
              <a:round/>
            </a:ln>
            <a:effectLst/>
          </c:spPr>
          <c:marker>
            <c:symbol val="none"/>
          </c:marker>
          <c:cat>
            <c:numRef>
              <c:f>Graph!$D$235:$D$258</c:f>
              <c:numCache>
                <c:formatCode>d\-mmm\-yy</c:formatCode>
                <c:ptCount val="24"/>
                <c:pt idx="0">
                  <c:v>44253</c:v>
                </c:pt>
                <c:pt idx="1">
                  <c:v>44256</c:v>
                </c:pt>
                <c:pt idx="2">
                  <c:v>44257</c:v>
                </c:pt>
                <c:pt idx="3">
                  <c:v>44258</c:v>
                </c:pt>
                <c:pt idx="4">
                  <c:v>44259</c:v>
                </c:pt>
                <c:pt idx="5">
                  <c:v>44260</c:v>
                </c:pt>
                <c:pt idx="6">
                  <c:v>44263</c:v>
                </c:pt>
                <c:pt idx="7">
                  <c:v>44264</c:v>
                </c:pt>
                <c:pt idx="8">
                  <c:v>44265</c:v>
                </c:pt>
                <c:pt idx="9">
                  <c:v>44266</c:v>
                </c:pt>
                <c:pt idx="10">
                  <c:v>44267</c:v>
                </c:pt>
                <c:pt idx="11">
                  <c:v>44270</c:v>
                </c:pt>
                <c:pt idx="12">
                  <c:v>44271</c:v>
                </c:pt>
                <c:pt idx="13">
                  <c:v>44272</c:v>
                </c:pt>
                <c:pt idx="14">
                  <c:v>44273</c:v>
                </c:pt>
                <c:pt idx="15">
                  <c:v>44274</c:v>
                </c:pt>
                <c:pt idx="16">
                  <c:v>44277</c:v>
                </c:pt>
                <c:pt idx="17">
                  <c:v>44278</c:v>
                </c:pt>
                <c:pt idx="18">
                  <c:v>44279</c:v>
                </c:pt>
                <c:pt idx="19">
                  <c:v>44280</c:v>
                </c:pt>
                <c:pt idx="20">
                  <c:v>44281</c:v>
                </c:pt>
                <c:pt idx="21">
                  <c:v>44284</c:v>
                </c:pt>
                <c:pt idx="22">
                  <c:v>44285</c:v>
                </c:pt>
                <c:pt idx="23">
                  <c:v>44286</c:v>
                </c:pt>
              </c:numCache>
            </c:numRef>
          </c:cat>
          <c:val>
            <c:numRef>
              <c:f>Graph!$F$235:$F$258</c:f>
              <c:numCache>
                <c:formatCode>_(* #,##0.00_);_(* \(#,##0.00\);_(* "-"??_);_(@_)</c:formatCode>
                <c:ptCount val="24"/>
                <c:pt idx="0">
                  <c:v>100</c:v>
                </c:pt>
                <c:pt idx="1">
                  <c:v>101.6640901597947</c:v>
                </c:pt>
                <c:pt idx="2">
                  <c:v>101.63255679210793</c:v>
                </c:pt>
                <c:pt idx="3">
                  <c:v>102.24681653989227</c:v>
                </c:pt>
                <c:pt idx="4">
                  <c:v>100.81063828150836</c:v>
                </c:pt>
                <c:pt idx="5">
                  <c:v>101.87251802913887</c:v>
                </c:pt>
                <c:pt idx="6">
                  <c:v>102.46293547452589</c:v>
                </c:pt>
                <c:pt idx="7">
                  <c:v>103.41714030810407</c:v>
                </c:pt>
                <c:pt idx="8">
                  <c:v>104.08600661944351</c:v>
                </c:pt>
                <c:pt idx="9">
                  <c:v>104.08600661944351</c:v>
                </c:pt>
                <c:pt idx="10">
                  <c:v>104.94535498111841</c:v>
                </c:pt>
                <c:pt idx="11">
                  <c:v>106.75454990604081</c:v>
                </c:pt>
                <c:pt idx="12">
                  <c:v>106.48818267818274</c:v>
                </c:pt>
                <c:pt idx="13">
                  <c:v>106.48818267818274</c:v>
                </c:pt>
                <c:pt idx="14">
                  <c:v>104.26674665374566</c:v>
                </c:pt>
                <c:pt idx="15">
                  <c:v>103.78426049125395</c:v>
                </c:pt>
                <c:pt idx="16">
                  <c:v>106.25257971148248</c:v>
                </c:pt>
                <c:pt idx="17">
                  <c:v>106.04415184213831</c:v>
                </c:pt>
                <c:pt idx="18">
                  <c:v>105.81572720304153</c:v>
                </c:pt>
                <c:pt idx="19">
                  <c:v>106.65712974570773</c:v>
                </c:pt>
                <c:pt idx="20">
                  <c:v>107.15653625183623</c:v>
                </c:pt>
                <c:pt idx="21">
                  <c:v>107.15653625183623</c:v>
                </c:pt>
                <c:pt idx="22">
                  <c:v>108.21251951607816</c:v>
                </c:pt>
                <c:pt idx="23">
                  <c:v>108.01921740846991</c:v>
                </c:pt>
              </c:numCache>
            </c:numRef>
          </c:val>
          <c:smooth val="0"/>
          <c:extLst>
            <c:ext xmlns:c16="http://schemas.microsoft.com/office/drawing/2014/chart" uri="{C3380CC4-5D6E-409C-BE32-E72D297353CC}">
              <c16:uniqueId val="{00000001-1248-438D-ADBD-EA7C9E347FAE}"/>
            </c:ext>
          </c:extLst>
        </c:ser>
        <c:dLbls>
          <c:showLegendKey val="0"/>
          <c:showVal val="0"/>
          <c:showCatName val="0"/>
          <c:showSerName val="0"/>
          <c:showPercent val="0"/>
          <c:showBubbleSize val="0"/>
        </c:dLbls>
        <c:smooth val="0"/>
        <c:axId val="841313608"/>
        <c:axId val="841310080"/>
      </c:lineChart>
      <c:dateAx>
        <c:axId val="841313608"/>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41310080"/>
        <c:crosses val="autoZero"/>
        <c:auto val="1"/>
        <c:lblOffset val="100"/>
        <c:baseTimeUnit val="days"/>
        <c:majorUnit val="2"/>
        <c:majorTimeUnit val="days"/>
      </c:dateAx>
      <c:valAx>
        <c:axId val="841310080"/>
        <c:scaling>
          <c:orientation val="minMax"/>
          <c:max val="110"/>
          <c:min val="90"/>
        </c:scaling>
        <c:delete val="0"/>
        <c:axPos val="l"/>
        <c:majorGridlines>
          <c:spPr>
            <a:ln w="9525" cap="flat" cmpd="sng" algn="ctr">
              <a:solidFill>
                <a:srgbClr val="0070C0"/>
              </a:solidFill>
              <a:round/>
            </a:ln>
            <a:effectLst/>
          </c:spPr>
        </c:majorGridlines>
        <c:numFmt formatCode="_(* #,##0.00_);_(* \(#,##0.00\);_(* &quot;-&quot;??_);_(@_)"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41313608"/>
        <c:crosses val="autoZero"/>
        <c:crossBetween val="between"/>
        <c:majorUnit val="2"/>
      </c:valAx>
      <c:spPr>
        <a:noFill/>
        <a:ln>
          <a:noFill/>
        </a:ln>
        <a:effectLst/>
      </c:spPr>
    </c:plotArea>
    <c:legend>
      <c:legendPos val="b"/>
      <c:layout>
        <c:manualLayout>
          <c:xMode val="edge"/>
          <c:yMode val="edge"/>
          <c:x val="4.9999945516735624E-2"/>
          <c:y val="0.91340808018773056"/>
          <c:w val="0.89999989103347122"/>
          <c:h val="6.3122520428695372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accent1"/>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027752615371433"/>
          <c:y val="2.3414388003439247E-2"/>
          <c:w val="0.78749864010268145"/>
          <c:h val="0.64042712487673603"/>
        </c:manualLayout>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charts'!$A$44:$A$55</c:f>
              <c:numCache>
                <c:formatCode>mmm\-yy</c:formatCode>
                <c:ptCount val="12"/>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numCache>
              <c:extLst/>
            </c:numRef>
          </c:cat>
          <c:val>
            <c:numRef>
              <c:f>'Turnover charts'!$B$44:$B$55</c:f>
              <c:numCache>
                <c:formatCode>#,##0</c:formatCode>
                <c:ptCount val="12"/>
                <c:pt idx="0">
                  <c:v>3671.8557304000001</c:v>
                </c:pt>
                <c:pt idx="1">
                  <c:v>4106.3184176000004</c:v>
                </c:pt>
                <c:pt idx="2">
                  <c:v>6367.6581902000007</c:v>
                </c:pt>
                <c:pt idx="3">
                  <c:v>7277.3962512000026</c:v>
                </c:pt>
                <c:pt idx="4">
                  <c:v>5824.4504842000024</c:v>
                </c:pt>
                <c:pt idx="5">
                  <c:v>6838.5318600000001</c:v>
                </c:pt>
                <c:pt idx="6">
                  <c:v>7096.0901250000006</c:v>
                </c:pt>
                <c:pt idx="7">
                  <c:v>10138.218927400003</c:v>
                </c:pt>
                <c:pt idx="8">
                  <c:v>10747.937155000003</c:v>
                </c:pt>
                <c:pt idx="9">
                  <c:v>12653.105590599998</c:v>
                </c:pt>
                <c:pt idx="10">
                  <c:v>12289.256776399998</c:v>
                </c:pt>
                <c:pt idx="11">
                  <c:v>13909.001715000002</c:v>
                </c:pt>
              </c:numCache>
              <c:extLst/>
            </c:numRef>
          </c:val>
          <c:extLst>
            <c:ext xmlns:c16="http://schemas.microsoft.com/office/drawing/2014/chart" uri="{C3380CC4-5D6E-409C-BE32-E72D297353CC}">
              <c16:uniqueId val="{00000000-1317-4767-8341-C2BE5BC9A3A7}"/>
            </c:ext>
          </c:extLst>
        </c:ser>
        <c:ser>
          <c:idx val="1"/>
          <c:order val="1"/>
          <c:tx>
            <c:strRef>
              <c:f>'Turnover charts'!$C$3</c:f>
              <c:strCache>
                <c:ptCount val="1"/>
                <c:pt idx="0">
                  <c:v>NCDEX Agri Futures &amp; Options (LHS)</c:v>
                </c:pt>
              </c:strCache>
            </c:strRef>
          </c:tx>
          <c:spPr>
            <a:solidFill>
              <a:srgbClr val="00B050"/>
            </a:solidFill>
            <a:ln>
              <a:solidFill>
                <a:schemeClr val="accent3">
                  <a:lumMod val="75000"/>
                </a:schemeClr>
              </a:solidFill>
            </a:ln>
            <a:effectLst/>
          </c:spPr>
          <c:invertIfNegative val="0"/>
          <c:cat>
            <c:numRef>
              <c:f>'Turnover charts'!$A$44:$A$55</c:f>
              <c:numCache>
                <c:formatCode>mmm\-yy</c:formatCode>
                <c:ptCount val="12"/>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numCache>
              <c:extLst/>
            </c:numRef>
          </c:cat>
          <c:val>
            <c:numRef>
              <c:f>'Turnover charts'!$C$44:$C$55</c:f>
              <c:numCache>
                <c:formatCode>#,##0</c:formatCode>
                <c:ptCount val="12"/>
                <c:pt idx="0">
                  <c:v>12561.501194999999</c:v>
                </c:pt>
                <c:pt idx="1">
                  <c:v>11168.988342500001</c:v>
                </c:pt>
                <c:pt idx="2">
                  <c:v>18922.815102500001</c:v>
                </c:pt>
                <c:pt idx="3">
                  <c:v>18054.253055000005</c:v>
                </c:pt>
                <c:pt idx="4">
                  <c:v>23929.732684999995</c:v>
                </c:pt>
                <c:pt idx="5">
                  <c:v>28599.374342499999</c:v>
                </c:pt>
                <c:pt idx="6">
                  <c:v>32560.999704999991</c:v>
                </c:pt>
                <c:pt idx="7">
                  <c:v>31297.897227500001</c:v>
                </c:pt>
                <c:pt idx="8">
                  <c:v>34267.000512499995</c:v>
                </c:pt>
                <c:pt idx="9">
                  <c:v>32707.133774999988</c:v>
                </c:pt>
                <c:pt idx="10">
                  <c:v>30761.034117499996</c:v>
                </c:pt>
                <c:pt idx="11">
                  <c:v>43894.883412500007</c:v>
                </c:pt>
              </c:numCache>
              <c:extLst/>
            </c:numRef>
          </c:val>
          <c:extLst>
            <c:ext xmlns:c16="http://schemas.microsoft.com/office/drawing/2014/chart" uri="{C3380CC4-5D6E-409C-BE32-E72D297353CC}">
              <c16:uniqueId val="{00000001-1317-4767-8341-C2BE5BC9A3A7}"/>
            </c:ext>
          </c:extLst>
        </c:ser>
        <c:dLbls>
          <c:showLegendKey val="0"/>
          <c:showVal val="0"/>
          <c:showCatName val="0"/>
          <c:showSerName val="0"/>
          <c:showPercent val="0"/>
          <c:showBubbleSize val="0"/>
        </c:dLbls>
        <c:gapWidth val="219"/>
        <c:axId val="841312040"/>
        <c:axId val="841311256"/>
      </c:barChart>
      <c:lineChart>
        <c:grouping val="standard"/>
        <c:varyColors val="0"/>
        <c:ser>
          <c:idx val="2"/>
          <c:order val="2"/>
          <c:tx>
            <c:strRef>
              <c:f>'Turnover charts'!$D$3</c:f>
              <c:strCache>
                <c:ptCount val="1"/>
                <c:pt idx="0">
                  <c:v>ICEX Agri Futures (RHS)</c:v>
                </c:pt>
              </c:strCache>
            </c:strRef>
          </c:tx>
          <c:spPr>
            <a:ln w="28575" cap="rnd">
              <a:solidFill>
                <a:schemeClr val="accent6"/>
              </a:solidFill>
              <a:round/>
            </a:ln>
            <a:effectLst/>
          </c:spPr>
          <c:marker>
            <c:symbol val="none"/>
          </c:marker>
          <c:cat>
            <c:numRef>
              <c:f>'Turnover charts'!$A$44:$A$55</c:f>
              <c:numCache>
                <c:formatCode>mmm\-yy</c:formatCode>
                <c:ptCount val="12"/>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numCache>
              <c:extLst/>
            </c:numRef>
          </c:cat>
          <c:val>
            <c:numRef>
              <c:f>'Turnover charts'!$D$44:$D$55</c:f>
              <c:numCache>
                <c:formatCode>#,##0</c:formatCode>
                <c:ptCount val="12"/>
                <c:pt idx="0">
                  <c:v>213.02189999999999</c:v>
                </c:pt>
                <c:pt idx="1">
                  <c:v>53.65</c:v>
                </c:pt>
                <c:pt idx="2">
                  <c:v>16.16</c:v>
                </c:pt>
                <c:pt idx="3">
                  <c:v>22.481598000000002</c:v>
                </c:pt>
                <c:pt idx="4">
                  <c:v>2.2767149999999998</c:v>
                </c:pt>
                <c:pt idx="5" formatCode="#,##0.0">
                  <c:v>4.0599999999999997E-2</c:v>
                </c:pt>
                <c:pt idx="6" formatCode="#,##0.0">
                  <c:v>0</c:v>
                </c:pt>
                <c:pt idx="7" formatCode="#,##0.0">
                  <c:v>0</c:v>
                </c:pt>
                <c:pt idx="8" formatCode="#,##0.0">
                  <c:v>0.89</c:v>
                </c:pt>
                <c:pt idx="9" formatCode="#,##0.0">
                  <c:v>2.819</c:v>
                </c:pt>
                <c:pt idx="10" formatCode="#,##0.0">
                  <c:v>2.5779999999999998</c:v>
                </c:pt>
                <c:pt idx="11" formatCode="#,##0.0">
                  <c:v>3.4738000000000002</c:v>
                </c:pt>
              </c:numCache>
              <c:extLst/>
            </c:numRef>
          </c:val>
          <c:smooth val="0"/>
          <c:extLst>
            <c:ext xmlns:c16="http://schemas.microsoft.com/office/drawing/2014/chart" uri="{C3380CC4-5D6E-409C-BE32-E72D297353CC}">
              <c16:uniqueId val="{00000002-1317-4767-8341-C2BE5BC9A3A7}"/>
            </c:ext>
          </c:extLst>
        </c:ser>
        <c:ser>
          <c:idx val="3"/>
          <c:order val="3"/>
          <c:tx>
            <c:strRef>
              <c:f>'Turnover charts'!$E$3</c:f>
              <c:strCache>
                <c:ptCount val="1"/>
                <c:pt idx="0">
                  <c:v>BSE Agri Futures (RHS)</c:v>
                </c:pt>
              </c:strCache>
            </c:strRef>
          </c:tx>
          <c:spPr>
            <a:ln w="28575" cap="rnd">
              <a:solidFill>
                <a:schemeClr val="tx1"/>
              </a:solidFill>
              <a:round/>
            </a:ln>
            <a:effectLst/>
          </c:spPr>
          <c:marker>
            <c:symbol val="none"/>
          </c:marker>
          <c:cat>
            <c:numRef>
              <c:f>'Turnover charts'!$A$44:$A$55</c:f>
              <c:numCache>
                <c:formatCode>mmm\-yy</c:formatCode>
                <c:ptCount val="12"/>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numCache>
              <c:extLst/>
            </c:numRef>
          </c:cat>
          <c:val>
            <c:numRef>
              <c:f>'Turnover charts'!$E$44:$E$55</c:f>
              <c:numCache>
                <c:formatCode>#,##0</c:formatCode>
                <c:ptCount val="12"/>
                <c:pt idx="0">
                  <c:v>1001.73313</c:v>
                </c:pt>
                <c:pt idx="1">
                  <c:v>847.49</c:v>
                </c:pt>
                <c:pt idx="2">
                  <c:v>1565.29</c:v>
                </c:pt>
                <c:pt idx="3">
                  <c:v>323.74</c:v>
                </c:pt>
                <c:pt idx="4">
                  <c:v>153.78</c:v>
                </c:pt>
                <c:pt idx="5">
                  <c:v>181.2</c:v>
                </c:pt>
                <c:pt idx="6">
                  <c:v>236.58</c:v>
                </c:pt>
                <c:pt idx="7">
                  <c:v>165.86</c:v>
                </c:pt>
                <c:pt idx="8">
                  <c:v>110.01</c:v>
                </c:pt>
                <c:pt idx="9">
                  <c:v>86.66</c:v>
                </c:pt>
                <c:pt idx="10">
                  <c:v>83.13</c:v>
                </c:pt>
                <c:pt idx="11">
                  <c:v>115.46</c:v>
                </c:pt>
              </c:numCache>
              <c:extLst/>
            </c:numRef>
          </c:val>
          <c:smooth val="0"/>
          <c:extLst>
            <c:ext xmlns:c16="http://schemas.microsoft.com/office/drawing/2014/chart" uri="{C3380CC4-5D6E-409C-BE32-E72D297353CC}">
              <c16:uniqueId val="{00000003-1317-4767-8341-C2BE5BC9A3A7}"/>
            </c:ext>
          </c:extLst>
        </c:ser>
        <c:ser>
          <c:idx val="4"/>
          <c:order val="4"/>
          <c:tx>
            <c:strRef>
              <c:f>'Turnover charts'!$F$3</c:f>
              <c:strCache>
                <c:ptCount val="1"/>
                <c:pt idx="0">
                  <c:v>NSE Agri. Futures(RHS)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'Turnover charts'!$A$44:$A$55</c:f>
              <c:numCache>
                <c:formatCode>mmm\-yy</c:formatCode>
                <c:ptCount val="12"/>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numCache>
              <c:extLst/>
            </c:numRef>
          </c:cat>
          <c:val>
            <c:numRef>
              <c:f>'Turnover charts'!$F$44:$F$55</c:f>
              <c:numCache>
                <c:formatCode>#,##0</c:formatCode>
                <c:ptCount val="12"/>
                <c:pt idx="0">
                  <c:v>0</c:v>
                </c:pt>
                <c:pt idx="1">
                  <c:v>0</c:v>
                </c:pt>
                <c:pt idx="2">
                  <c:v>0</c:v>
                </c:pt>
                <c:pt idx="3">
                  <c:v>0</c:v>
                </c:pt>
                <c:pt idx="4">
                  <c:v>0</c:v>
                </c:pt>
                <c:pt idx="5">
                  <c:v>0</c:v>
                </c:pt>
                <c:pt idx="6">
                  <c:v>0</c:v>
                </c:pt>
                <c:pt idx="7">
                  <c:v>0</c:v>
                </c:pt>
                <c:pt idx="8">
                  <c:v>1433.9238400000006</c:v>
                </c:pt>
                <c:pt idx="9">
                  <c:v>826.19159999999999</c:v>
                </c:pt>
                <c:pt idx="10">
                  <c:v>920.27394000000004</c:v>
                </c:pt>
                <c:pt idx="11">
                  <c:v>1672.8383199999998</c:v>
                </c:pt>
              </c:numCache>
              <c:extLst/>
            </c:numRef>
          </c:val>
          <c:smooth val="0"/>
          <c:extLst>
            <c:ext xmlns:c16="http://schemas.microsoft.com/office/drawing/2014/chart" uri="{C3380CC4-5D6E-409C-BE32-E72D297353CC}">
              <c16:uniqueId val="{00000004-1317-4767-8341-C2BE5BC9A3A7}"/>
            </c:ext>
          </c:extLst>
        </c:ser>
        <c:dLbls>
          <c:showLegendKey val="0"/>
          <c:showVal val="0"/>
          <c:showCatName val="0"/>
          <c:showSerName val="0"/>
          <c:showPercent val="0"/>
          <c:showBubbleSize val="0"/>
        </c:dLbls>
        <c:marker val="1"/>
        <c:smooth val="0"/>
        <c:axId val="841312432"/>
        <c:axId val="841310472"/>
      </c:lineChart>
      <c:dateAx>
        <c:axId val="841312040"/>
        <c:scaling>
          <c:orientation val="minMax"/>
          <c:max val="44256"/>
          <c:min val="43922"/>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41311256"/>
        <c:crosses val="autoZero"/>
        <c:auto val="0"/>
        <c:lblOffset val="100"/>
        <c:baseTimeUnit val="months"/>
        <c:majorUnit val="1"/>
        <c:majorTimeUnit val="months"/>
      </c:dateAx>
      <c:valAx>
        <c:axId val="841311256"/>
        <c:scaling>
          <c:orientation val="minMax"/>
          <c:max val="45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41312040"/>
        <c:crosses val="autoZero"/>
        <c:crossBetween val="between"/>
      </c:valAx>
      <c:valAx>
        <c:axId val="841310472"/>
        <c:scaling>
          <c:orientation val="minMax"/>
          <c:max val="3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41312432"/>
        <c:crosses val="max"/>
        <c:crossBetween val="between"/>
        <c:majorUnit val="1000"/>
      </c:valAx>
      <c:dateAx>
        <c:axId val="841312432"/>
        <c:scaling>
          <c:orientation val="minMax"/>
        </c:scaling>
        <c:delete val="1"/>
        <c:axPos val="b"/>
        <c:numFmt formatCode="mmm\-yy" sourceLinked="1"/>
        <c:majorTickMark val="out"/>
        <c:minorTickMark val="none"/>
        <c:tickLblPos val="nextTo"/>
        <c:crossAx val="841310472"/>
        <c:crosses val="autoZero"/>
        <c:auto val="0"/>
        <c:lblOffset val="100"/>
        <c:baseTimeUnit val="months"/>
      </c:dateAx>
      <c:spPr>
        <a:noFill/>
        <a:ln>
          <a:noFill/>
        </a:ln>
        <a:effectLst/>
      </c:spPr>
    </c:plotArea>
    <c:legend>
      <c:legendPos val="b"/>
      <c:layout>
        <c:manualLayout>
          <c:xMode val="edge"/>
          <c:yMode val="edge"/>
          <c:x val="0.10164675814571447"/>
          <c:y val="0.81955235752576772"/>
          <c:w val="0.82665128174197633"/>
          <c:h val="0.1804476424742323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72457814568050793"/>
        </c:manualLayout>
      </c:layout>
      <c:barChart>
        <c:barDir val="col"/>
        <c:grouping val="stacked"/>
        <c:varyColors val="0"/>
        <c:ser>
          <c:idx val="0"/>
          <c:order val="0"/>
          <c:tx>
            <c:strRef>
              <c:f>'Turnover charts'!$K$3</c:f>
              <c:strCache>
                <c:ptCount val="1"/>
                <c:pt idx="0">
                  <c:v>MCX Futures (RHS)</c:v>
                </c:pt>
              </c:strCache>
            </c:strRef>
          </c:tx>
          <c:spPr>
            <a:solidFill>
              <a:srgbClr val="92D050"/>
            </a:solidFill>
            <a:ln>
              <a:solidFill>
                <a:sysClr val="windowText" lastClr="000000"/>
              </a:solidFill>
            </a:ln>
            <a:effectLst/>
          </c:spPr>
          <c:invertIfNegative val="0"/>
          <c:cat>
            <c:numRef>
              <c:f>'Turnover charts'!$J$4:$J$55</c:f>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f>'Turnover charts'!$K$4:$K$55</c:f>
              <c:numCache>
                <c:formatCode>_(* #,##0_);_(* \(#,##0\);_(* "-"??_);_(@_)</c:formatCode>
                <c:ptCount val="37"/>
                <c:pt idx="0">
                  <c:v>502333.84615715011</c:v>
                </c:pt>
                <c:pt idx="1">
                  <c:v>554481.07702095003</c:v>
                </c:pt>
                <c:pt idx="2">
                  <c:v>514263.34081070009</c:v>
                </c:pt>
                <c:pt idx="3">
                  <c:v>488935.25250099995</c:v>
                </c:pt>
                <c:pt idx="4">
                  <c:v>510099.26815124979</c:v>
                </c:pt>
                <c:pt idx="5">
                  <c:v>503460.0791320501</c:v>
                </c:pt>
                <c:pt idx="6">
                  <c:v>540136.1876240999</c:v>
                </c:pt>
                <c:pt idx="7">
                  <c:v>602393.52301564987</c:v>
                </c:pt>
                <c:pt idx="8">
                  <c:v>560373.39216535003</c:v>
                </c:pt>
                <c:pt idx="9">
                  <c:v>515431.74569595006</c:v>
                </c:pt>
                <c:pt idx="10">
                  <c:v>600469.55308069987</c:v>
                </c:pt>
                <c:pt idx="11">
                  <c:v>532389.84253700008</c:v>
                </c:pt>
                <c:pt idx="12">
                  <c:v>567761.35483295005</c:v>
                </c:pt>
                <c:pt idx="13">
                  <c:v>516307.34400520008</c:v>
                </c:pt>
                <c:pt idx="14">
                  <c:v>615537.92995134997</c:v>
                </c:pt>
                <c:pt idx="15">
                  <c:v>569240.9336420499</c:v>
                </c:pt>
                <c:pt idx="16">
                  <c:v>716525.07049199997</c:v>
                </c:pt>
                <c:pt idx="17">
                  <c:v>728211.15374000021</c:v>
                </c:pt>
                <c:pt idx="18">
                  <c:v>781695.78193319985</c:v>
                </c:pt>
                <c:pt idx="19">
                  <c:v>668208.51480580005</c:v>
                </c:pt>
                <c:pt idx="20">
                  <c:v>672255.75945409993</c:v>
                </c:pt>
                <c:pt idx="21">
                  <c:v>644422.79156839987</c:v>
                </c:pt>
                <c:pt idx="22">
                  <c:v>827755.84935100004</c:v>
                </c:pt>
                <c:pt idx="23">
                  <c:v>781969.06022450014</c:v>
                </c:pt>
                <c:pt idx="24">
                  <c:v>774725.27535569982</c:v>
                </c:pt>
                <c:pt idx="25">
                  <c:v>278174.58910059999</c:v>
                </c:pt>
                <c:pt idx="26">
                  <c:v>494950.96162219997</c:v>
                </c:pt>
                <c:pt idx="27">
                  <c:v>623568.06468549999</c:v>
                </c:pt>
                <c:pt idx="28">
                  <c:v>846844.32924410037</c:v>
                </c:pt>
                <c:pt idx="29">
                  <c:v>904796.19616849977</c:v>
                </c:pt>
                <c:pt idx="30">
                  <c:v>745965.04735440004</c:v>
                </c:pt>
                <c:pt idx="31">
                  <c:v>691669.15749930032</c:v>
                </c:pt>
                <c:pt idx="32">
                  <c:v>722827.83065649983</c:v>
                </c:pt>
                <c:pt idx="33">
                  <c:v>649285.71545270004</c:v>
                </c:pt>
                <c:pt idx="34">
                  <c:v>631081.49217339978</c:v>
                </c:pt>
                <c:pt idx="35">
                  <c:v>732338.52416479995</c:v>
                </c:pt>
                <c:pt idx="36">
                  <c:v>602584.41504829994</c:v>
                </c:pt>
              </c:numCache>
            </c:numRef>
          </c:val>
          <c:extLst xmlns:c15="http://schemas.microsoft.com/office/drawing/2012/chart">
            <c:ext xmlns:c16="http://schemas.microsoft.com/office/drawing/2014/chart" uri="{C3380CC4-5D6E-409C-BE32-E72D297353CC}">
              <c16:uniqueId val="{00000000-BEC2-46AA-B163-E6F40268D047}"/>
            </c:ext>
          </c:extLst>
        </c:ser>
        <c:dLbls>
          <c:showLegendKey val="0"/>
          <c:showVal val="0"/>
          <c:showCatName val="0"/>
          <c:showSerName val="0"/>
          <c:showPercent val="0"/>
          <c:showBubbleSize val="0"/>
        </c:dLbls>
        <c:gapWidth val="219"/>
        <c:overlap val="100"/>
        <c:axId val="726424808"/>
        <c:axId val="651463480"/>
        <c:extLst>
          <c:ext xmlns:c15="http://schemas.microsoft.com/office/drawing/2012/chart" uri="{02D57815-91ED-43cb-92C2-25804820EDAC}">
            <c15:filteredBarSeries>
              <c15:ser>
                <c:idx val="1"/>
                <c:order val="1"/>
                <c:tx>
                  <c:strRef>
                    <c:extLst>
                      <c:ext uri="{02D57815-91ED-43cb-92C2-25804820EDAC}">
                        <c15:formulaRef>
                          <c15:sqref>'Turnover charts'!$L$3</c15:sqref>
                        </c15:formulaRef>
                      </c:ext>
                    </c:extLst>
                    <c:strCache>
                      <c:ptCount val="1"/>
                      <c:pt idx="0">
                        <c:v>MCX Options (LHS)</c:v>
                      </c:pt>
                    </c:strCache>
                  </c:strRef>
                </c:tx>
                <c:spPr>
                  <a:solidFill>
                    <a:srgbClr val="92D050"/>
                  </a:solidFill>
                  <a:ln w="12700">
                    <a:solidFill>
                      <a:schemeClr val="tx1">
                        <a:lumMod val="75000"/>
                        <a:lumOff val="25000"/>
                      </a:schemeClr>
                    </a:solidFill>
                  </a:ln>
                  <a:effectLst/>
                </c:spPr>
                <c:invertIfNegative val="0"/>
                <c:cat>
                  <c:numRef>
                    <c:extLst>
                      <c:ext uri="{02D57815-91ED-43cb-92C2-25804820EDAC}">
                        <c15:formulaRef>
                          <c15:sqref>'Turnover charts'!$J$4:$J$55</c15:sqref>
                        </c15:formulaRef>
                      </c:ext>
                    </c:extLst>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extLst>
                      <c:ext uri="{02D57815-91ED-43cb-92C2-25804820EDAC}">
                        <c15:formulaRef>
                          <c15:sqref>'Turnover charts'!$L$4:$L$55</c15:sqref>
                        </c15:formulaRef>
                      </c:ext>
                    </c:extLst>
                    <c:numCache>
                      <c:formatCode>_(* #,##0_);_(* \(#,##0\);_(* "-"??_);_(@_)</c:formatCode>
                      <c:ptCount val="37"/>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pt idx="34">
                        <c:v>25959.086283000004</c:v>
                      </c:pt>
                      <c:pt idx="35">
                        <c:v>17156.310860000001</c:v>
                      </c:pt>
                      <c:pt idx="36">
                        <c:v>28949.873640999998</c:v>
                      </c:pt>
                    </c:numCache>
                  </c:numRef>
                </c:val>
                <c:extLst>
                  <c:ext xmlns:c16="http://schemas.microsoft.com/office/drawing/2014/chart" uri="{C3380CC4-5D6E-409C-BE32-E72D297353CC}">
                    <c16:uniqueId val="{00000005-BEC2-46AA-B163-E6F40268D047}"/>
                  </c:ext>
                </c:extLst>
              </c15:ser>
            </c15:filteredBarSeries>
          </c:ext>
        </c:extLst>
      </c:barChart>
      <c:lineChart>
        <c:grouping val="standard"/>
        <c:varyColors val="0"/>
        <c:ser>
          <c:idx val="2"/>
          <c:order val="2"/>
          <c:tx>
            <c:strRef>
              <c:f>'Turnover charts'!$M$3</c:f>
              <c:strCache>
                <c:ptCount val="1"/>
                <c:pt idx="0">
                  <c:v>BSE Futures (LHS)</c:v>
                </c:pt>
              </c:strCache>
            </c:strRef>
          </c:tx>
          <c:spPr>
            <a:ln w="19050" cap="rnd">
              <a:solidFill>
                <a:srgbClr val="0070C0"/>
              </a:solidFill>
              <a:prstDash val="dash"/>
              <a:round/>
            </a:ln>
            <a:effectLst/>
          </c:spPr>
          <c:marker>
            <c:symbol val="diamond"/>
            <c:size val="5"/>
            <c:spPr>
              <a:solidFill>
                <a:srgbClr val="7030A0"/>
              </a:solidFill>
              <a:ln w="19050">
                <a:solidFill>
                  <a:srgbClr val="0070C0"/>
                </a:solidFill>
                <a:prstDash val="dash"/>
              </a:ln>
              <a:effectLst/>
            </c:spPr>
          </c:marker>
          <c:cat>
            <c:numRef>
              <c:f>'Turnover charts'!$J$4:$J$55</c:f>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f>'Turnover charts'!$M$4:$M$55</c:f>
              <c:numCache>
                <c:formatCode>General</c:formatCode>
                <c:ptCount val="37"/>
                <c:pt idx="7" formatCode="_(* #,##0_);_(* \(#,##0\);_(* &quot;-&quot;??_);_(@_)">
                  <c:v>7049.36</c:v>
                </c:pt>
                <c:pt idx="8" formatCode="_(* #,##0_);_(* \(#,##0\);_(* &quot;-&quot;??_);_(@_)">
                  <c:v>7228.18</c:v>
                </c:pt>
                <c:pt idx="9" formatCode="_(* #,##0_);_(* \(#,##0\);_(* &quot;-&quot;??_);_(@_)">
                  <c:v>3754.7995000000001</c:v>
                </c:pt>
                <c:pt idx="10" formatCode="_(* #,##0_);_(* \(#,##0\);_(* &quot;-&quot;??_);_(@_)">
                  <c:v>6538.5090380000001</c:v>
                </c:pt>
                <c:pt idx="11" formatCode="_(* #,##0_);_(* \(#,##0\);_(* &quot;-&quot;??_);_(@_)">
                  <c:v>1990.250556</c:v>
                </c:pt>
                <c:pt idx="12" formatCode="_(* #,##0_);_(* \(#,##0\);_(* &quot;-&quot;??_);_(@_)">
                  <c:v>1523.74</c:v>
                </c:pt>
                <c:pt idx="13" formatCode="_(* #,##0_);_(* \(#,##0\);_(* &quot;-&quot;??_);_(@_)">
                  <c:v>2218.23</c:v>
                </c:pt>
                <c:pt idx="14" formatCode="_(* #,##0_);_(* \(#,##0\);_(* &quot;-&quot;??_);_(@_)">
                  <c:v>2157.7899499999999</c:v>
                </c:pt>
                <c:pt idx="15" formatCode="_(* #,##0_);_(* \(#,##0\);_(* &quot;-&quot;??_);_(@_)">
                  <c:v>1756.83</c:v>
                </c:pt>
                <c:pt idx="16" formatCode="_(* #,##0_);_(* \(#,##0\);_(* &quot;-&quot;??_);_(@_)">
                  <c:v>713.38525000000004</c:v>
                </c:pt>
                <c:pt idx="17" formatCode="_(* #,##0_);_(* \(#,##0\);_(* &quot;-&quot;??_);_(@_)">
                  <c:v>521.28</c:v>
                </c:pt>
                <c:pt idx="18" formatCode="_(* #,##0_);_(* \(#,##0\);_(* &quot;-&quot;??_);_(@_)">
                  <c:v>523.60118499999999</c:v>
                </c:pt>
                <c:pt idx="19" formatCode="_(* #,##0_);_(* \(#,##0\);_(* &quot;-&quot;??_);_(@_)">
                  <c:v>317.45999999999998</c:v>
                </c:pt>
                <c:pt idx="20" formatCode="_(* #,##0_);_(* \(#,##0\);_(* &quot;-&quot;??_);_(@_)">
                  <c:v>102.15</c:v>
                </c:pt>
                <c:pt idx="21" formatCode="_(* #,##0_);_(* \(#,##0\);_(* &quot;-&quot;??_);_(@_)">
                  <c:v>49.92</c:v>
                </c:pt>
                <c:pt idx="22" formatCode="_(* #,##0_);_(* \(#,##0\);_(* &quot;-&quot;??_);_(@_)">
                  <c:v>506.52000000000004</c:v>
                </c:pt>
                <c:pt idx="23" formatCode="_(* #,##0_);_(* \(#,##0\);_(* &quot;-&quot;??_);_(@_)">
                  <c:v>995.73</c:v>
                </c:pt>
                <c:pt idx="24" formatCode="_(* #,##0_);_(* \(#,##0\);_(* &quot;-&quot;??_);_(@_)">
                  <c:v>259.89</c:v>
                </c:pt>
                <c:pt idx="25" formatCode="0.00">
                  <c:v>0</c:v>
                </c:pt>
                <c:pt idx="26" formatCode="_(* #,##0_);_(* \(#,##0\);_(* &quot;-&quot;??_);_(@_)">
                  <c:v>0</c:v>
                </c:pt>
                <c:pt idx="27" formatCode="_(* #,##0_);_(* \(#,##0\);_(* &quot;-&quot;??_);_(@_)">
                  <c:v>18.64</c:v>
                </c:pt>
                <c:pt idx="28" formatCode="0.00">
                  <c:v>0</c:v>
                </c:pt>
                <c:pt idx="29" formatCode="0.00">
                  <c:v>0</c:v>
                </c:pt>
                <c:pt idx="30" formatCode="_(* #,##0_);_(* \(#,##0\);_(* &quot;-&quot;??_);_(@_)">
                  <c:v>4.01</c:v>
                </c:pt>
                <c:pt idx="31" formatCode="_(* #,##0_);_(* \(#,##0\);_(* &quot;-&quot;??_);_(@_)">
                  <c:v>11.15</c:v>
                </c:pt>
                <c:pt idx="32" formatCode="_(* #,##0_);_(* \(#,##0\);_(* &quot;-&quot;??_);_(@_)">
                  <c:v>10.53</c:v>
                </c:pt>
                <c:pt idx="33" formatCode="_(* #,##0_);_(* \(#,##0\);_(* &quot;-&quot;??_);_(@_)">
                  <c:v>11.42</c:v>
                </c:pt>
                <c:pt idx="34" formatCode="_(* #,##0_);_(* \(#,##0\);_(* &quot;-&quot;??_);_(@_)">
                  <c:v>10.02</c:v>
                </c:pt>
                <c:pt idx="35" formatCode="_(* #,##0_);_(* \(#,##0\);_(* &quot;-&quot;??_);_(@_)">
                  <c:v>9.8699999999999992</c:v>
                </c:pt>
                <c:pt idx="36" formatCode="_(* #,##0_);_(* \(#,##0\);_(* &quot;-&quot;??_);_(@_)">
                  <c:v>11.647484</c:v>
                </c:pt>
              </c:numCache>
            </c:numRef>
          </c:val>
          <c:smooth val="0"/>
          <c:extLst>
            <c:ext xmlns:c16="http://schemas.microsoft.com/office/drawing/2014/chart" uri="{C3380CC4-5D6E-409C-BE32-E72D297353CC}">
              <c16:uniqueId val="{00000001-BEC2-46AA-B163-E6F40268D047}"/>
            </c:ext>
          </c:extLst>
        </c:ser>
        <c:ser>
          <c:idx val="4"/>
          <c:order val="4"/>
          <c:tx>
            <c:strRef>
              <c:f>'Turnover charts'!$O$3</c:f>
              <c:strCache>
                <c:ptCount val="1"/>
                <c:pt idx="0">
                  <c:v>NSE Futures (LHS)</c:v>
                </c:pt>
              </c:strCache>
            </c:strRef>
          </c:tx>
          <c:spPr>
            <a:ln w="19050" cap="rnd">
              <a:solidFill>
                <a:sysClr val="windowText" lastClr="000000"/>
              </a:solidFill>
              <a:prstDash val="sysDash"/>
              <a:round/>
            </a:ln>
            <a:effectLst/>
          </c:spPr>
          <c:marker>
            <c:symbol val="none"/>
          </c:marker>
          <c:cat>
            <c:numRef>
              <c:f>'Turnover charts'!$J$4:$J$55</c:f>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f>'Turnover charts'!$O$4:$O$55</c:f>
              <c:numCache>
                <c:formatCode>General</c:formatCode>
                <c:ptCount val="37"/>
                <c:pt idx="7" formatCode="_(* #,##0_);_(* \(#,##0\);_(* &quot;-&quot;??_);_(@_)">
                  <c:v>696</c:v>
                </c:pt>
                <c:pt idx="8" formatCode="_(* #,##0_);_(* \(#,##0\);_(* &quot;-&quot;??_);_(@_)">
                  <c:v>838</c:v>
                </c:pt>
                <c:pt idx="9" formatCode="_(* #,##0_);_(* \(#,##0\);_(* &quot;-&quot;??_);_(@_)">
                  <c:v>532.61176099999989</c:v>
                </c:pt>
                <c:pt idx="10" formatCode="_(* #,##0_);_(* \(#,##0\);_(* &quot;-&quot;??_);_(@_)">
                  <c:v>448.81896000000006</c:v>
                </c:pt>
                <c:pt idx="11" formatCode="_(* #,##0_);_(* \(#,##0\);_(* &quot;-&quot;??_);_(@_)">
                  <c:v>498.68747400000018</c:v>
                </c:pt>
                <c:pt idx="12" formatCode="_(* #,##0_);_(* \(#,##0\);_(* &quot;-&quot;??_);_(@_)">
                  <c:v>429.59991599999989</c:v>
                </c:pt>
                <c:pt idx="13" formatCode="_ * #,##0_ ;_ * \-#,##0_ ;_ * &quot;-&quot;??_ ;_ @_ ">
                  <c:v>489.78634199999982</c:v>
                </c:pt>
                <c:pt idx="14" formatCode="_ * #,##0_ ;_ * \-#,##0_ ;_ * &quot;-&quot;??_ ;_ @_ ">
                  <c:v>442.31177699999989</c:v>
                </c:pt>
                <c:pt idx="15" formatCode="_ * #,##0_ ;_ * \-#,##0_ ;_ * &quot;-&quot;??_ ;_ @_ ">
                  <c:v>433.71475299999997</c:v>
                </c:pt>
                <c:pt idx="16" formatCode="_ * #,##0_ ;_ * \-#,##0_ ;_ * &quot;-&quot;??_ ;_ @_ ">
                  <c:v>503.29481899999996</c:v>
                </c:pt>
                <c:pt idx="17" formatCode="_ * #,##0_ ;_ * \-#,##0_ ;_ * &quot;-&quot;??_ ;_ @_ ">
                  <c:v>1488.9719589999997</c:v>
                </c:pt>
                <c:pt idx="18" formatCode="_ * #,##0_ ;_ * \-#,##0_ ;_ * &quot;-&quot;??_ ;_ @_ ">
                  <c:v>935.04276299999981</c:v>
                </c:pt>
                <c:pt idx="19" formatCode="_ * #,##0_ ;_ * \-#,##0_ ;_ * &quot;-&quot;??_ ;_ @_ ">
                  <c:v>866.89360199999999</c:v>
                </c:pt>
                <c:pt idx="20" formatCode="_ * #,##0_ ;_ * \-#,##0_ ;_ * &quot;-&quot;??_ ;_ @_ ">
                  <c:v>721.01195100000018</c:v>
                </c:pt>
                <c:pt idx="21" formatCode="_ * #,##0_ ;_ * \-#,##0_ ;_ * &quot;-&quot;??_ ;_ @_ ">
                  <c:v>118.52533</c:v>
                </c:pt>
                <c:pt idx="22" formatCode="_ * #,##0_ ;_ * \-#,##0_ ;_ * &quot;-&quot;??_ ;_ @_ ">
                  <c:v>112.63363</c:v>
                </c:pt>
                <c:pt idx="23" formatCode="_ * #,##0_ ;_ * \-#,##0_ ;_ * &quot;-&quot;??_ ;_ @_ ">
                  <c:v>157.351113</c:v>
                </c:pt>
                <c:pt idx="24" formatCode="_(* #,##0_);_(* \(#,##0\);_(* &quot;-&quot;??_);_(@_)">
                  <c:v>92.761235999999997</c:v>
                </c:pt>
                <c:pt idx="25" formatCode="_(* #,##0_);_(* \(#,##0\);_(* &quot;-&quot;??_);_(@_)">
                  <c:v>57.360366999999997</c:v>
                </c:pt>
                <c:pt idx="26" formatCode="_(* #,##0_);_(* \(#,##0\);_(* &quot;-&quot;??_);_(@_)">
                  <c:v>76.517431000000016</c:v>
                </c:pt>
                <c:pt idx="27" formatCode="_(* #,##0_);_(* \(#,##0\);_(* &quot;-&quot;??_);_(@_)">
                  <c:v>209.17937999999998</c:v>
                </c:pt>
                <c:pt idx="28" formatCode="_(* #,##0_);_(* \(#,##0\);_(* &quot;-&quot;??_);_(@_)">
                  <c:v>45.493170000000013</c:v>
                </c:pt>
                <c:pt idx="29" formatCode="_(* #,##0_);_(* \(#,##0\);_(* &quot;-&quot;??_);_(@_)">
                  <c:v>92.012484999999998</c:v>
                </c:pt>
                <c:pt idx="30" formatCode="_(* #,##0_);_(* \(#,##0\);_(* &quot;-&quot;??_);_(@_)">
                  <c:v>65.526607000000013</c:v>
                </c:pt>
                <c:pt idx="31" formatCode="_(* #,##0_);_(* \(#,##0\);_(* &quot;-&quot;??_);_(@_)">
                  <c:v>14.122890999999999</c:v>
                </c:pt>
                <c:pt idx="32" formatCode="_(* #,##0_);_(* \(#,##0\);_(* &quot;-&quot;??_);_(@_)">
                  <c:v>18.669679000000002</c:v>
                </c:pt>
                <c:pt idx="33" formatCode="_(* #,##0_);_(* \(#,##0\);_(* &quot;-&quot;??_);_(@_)">
                  <c:v>15.143264000000002</c:v>
                </c:pt>
                <c:pt idx="34" formatCode="_(* #,##0_);_(* \(#,##0\);_(* &quot;-&quot;??_);_(@_)">
                  <c:v>11.035423000000002</c:v>
                </c:pt>
                <c:pt idx="35" formatCode="_(* #,##0_);_(* \(#,##0\);_(* &quot;-&quot;??_);_(@_)">
                  <c:v>14.295155499999996</c:v>
                </c:pt>
                <c:pt idx="36" formatCode="_(* #,##0_);_(* \(#,##0\);_(* &quot;-&quot;??_);_(@_)">
                  <c:v>11.136143500000001</c:v>
                </c:pt>
              </c:numCache>
            </c:numRef>
          </c:val>
          <c:smooth val="0"/>
          <c:extLst>
            <c:ext xmlns:c16="http://schemas.microsoft.com/office/drawing/2014/chart" uri="{C3380CC4-5D6E-409C-BE32-E72D297353CC}">
              <c16:uniqueId val="{00000002-BEC2-46AA-B163-E6F40268D047}"/>
            </c:ext>
          </c:extLst>
        </c:ser>
        <c:ser>
          <c:idx val="7"/>
          <c:order val="7"/>
          <c:tx>
            <c:strRef>
              <c:f>'Turnover charts'!$R$3</c:f>
              <c:strCache>
                <c:ptCount val="1"/>
                <c:pt idx="0">
                  <c:v>ICEX Futures (LHS)</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'Turnover charts'!$J$4:$J$55</c:f>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f>'Turnover charts'!$R$4:$R$55</c:f>
              <c:numCache>
                <c:formatCode>_(* #,##0_);_(* \(#,##0\);_(* "-"??_);_(@_)</c:formatCode>
                <c:ptCount val="37"/>
                <c:pt idx="0">
                  <c:v>416.07</c:v>
                </c:pt>
                <c:pt idx="1">
                  <c:v>479.26</c:v>
                </c:pt>
                <c:pt idx="2">
                  <c:v>362.4169</c:v>
                </c:pt>
                <c:pt idx="3">
                  <c:v>294.87927165000002</c:v>
                </c:pt>
                <c:pt idx="4">
                  <c:v>465.09</c:v>
                </c:pt>
                <c:pt idx="5">
                  <c:v>432.48</c:v>
                </c:pt>
                <c:pt idx="6">
                  <c:v>931.1400000000001</c:v>
                </c:pt>
                <c:pt idx="7">
                  <c:v>1605.41</c:v>
                </c:pt>
                <c:pt idx="8">
                  <c:v>2282</c:v>
                </c:pt>
                <c:pt idx="9">
                  <c:v>2864.81</c:v>
                </c:pt>
                <c:pt idx="10">
                  <c:v>3465.17</c:v>
                </c:pt>
                <c:pt idx="11" formatCode="_ * #,##0_ ;_ * \-#,##0_ ;_ * &quot;-&quot;??_ ;_ @_ ">
                  <c:v>5142.6001000000006</c:v>
                </c:pt>
                <c:pt idx="12" formatCode="_ * #,##0_ ;_ * \-#,##0_ ;_ * &quot;-&quot;??_ ;_ @_ ">
                  <c:v>4639</c:v>
                </c:pt>
                <c:pt idx="13" formatCode="_ * #,##0_ ;_ * \-#,##0_ ;_ * &quot;-&quot;??_ ;_ @_ ">
                  <c:v>4213.75</c:v>
                </c:pt>
                <c:pt idx="14" formatCode="_ * #,##0_ ;_ * \-#,##0_ ;_ * &quot;-&quot;??_ ;_ @_ ">
                  <c:v>4377.28</c:v>
                </c:pt>
                <c:pt idx="15" formatCode="_ * #,##0_ ;_ * \-#,##0_ ;_ * &quot;-&quot;??_ ;_ @_ ">
                  <c:v>2098.69</c:v>
                </c:pt>
                <c:pt idx="16" formatCode="_ * #,##0_ ;_ * \-#,##0_ ;_ * &quot;-&quot;??_ ;_ @_ ">
                  <c:v>1620.43</c:v>
                </c:pt>
                <c:pt idx="17" formatCode="_ * #,##0_ ;_ * \-#,##0_ ;_ * &quot;-&quot;??_ ;_ @_ ">
                  <c:v>1905.46</c:v>
                </c:pt>
                <c:pt idx="18" formatCode="_ * #,##0_ ;_ * \-#,##0_ ;_ * &quot;-&quot;??_ ;_ @_ ">
                  <c:v>1203.5981999999999</c:v>
                </c:pt>
                <c:pt idx="19" formatCode="_ * #,##0_ ;_ * \-#,##0_ ;_ * &quot;-&quot;??_ ;_ @_ ">
                  <c:v>3028.555050220004</c:v>
                </c:pt>
                <c:pt idx="20" formatCode="_ * #,##0_ ;_ * \-#,##0_ ;_ * &quot;-&quot;??_ ;_ @_ ">
                  <c:v>2871.1499999999996</c:v>
                </c:pt>
                <c:pt idx="21" formatCode="_ * #,##0_ ;_ * \-#,##0_ ;_ * &quot;-&quot;??_ ;_ @_ ">
                  <c:v>3042.59</c:v>
                </c:pt>
                <c:pt idx="22" formatCode="_ * #,##0_ ;_ * \-#,##0_ ;_ * &quot;-&quot;??_ ;_ @_ ">
                  <c:v>4160.09</c:v>
                </c:pt>
                <c:pt idx="23" formatCode="_ * #,##0_ ;_ * \-#,##0_ ;_ * &quot;-&quot;??_ ;_ @_ ">
                  <c:v>3755.1499999999996</c:v>
                </c:pt>
                <c:pt idx="24" formatCode="_ * #,##0_ ;_ * \-#,##0_ ;_ * &quot;-&quot;??_ ;_ @_ ">
                  <c:v>2881.026557055</c:v>
                </c:pt>
                <c:pt idx="25" formatCode="_ * #,##0_ ;_ * \-#,##0_ ;_ * &quot;-&quot;??_ ;_ @_ ">
                  <c:v>723.36930000000007</c:v>
                </c:pt>
                <c:pt idx="26" formatCode="_ * #,##0_ ;_ * \-#,##0_ ;_ * &quot;-&quot;??_ ;_ @_ ">
                  <c:v>489.81831228499891</c:v>
                </c:pt>
                <c:pt idx="27" formatCode="_ * #,##0_ ;_ * \-#,##0_ ;_ * &quot;-&quot;??_ ;_ @_ ">
                  <c:v>83.703000000000003</c:v>
                </c:pt>
                <c:pt idx="28" formatCode="_ * #,##0_ ;_ * \-#,##0_ ;_ * &quot;-&quot;??_ ;_ @_ ">
                  <c:v>4.3270248599999999</c:v>
                </c:pt>
                <c:pt idx="29" formatCode="_ * #,##0.000_ ;_ * \-#,##0.000_ ;_ * &quot;-&quot;??_ ;_ @_ ">
                  <c:v>1.6379999999999999E-3</c:v>
                </c:pt>
                <c:pt idx="30" formatCode="_ * #,##0.0_ ;_ * \-#,##0.0_ ;_ * &quot;-&quot;??_ ;_ @_ ">
                  <c:v>0.1153</c:v>
                </c:pt>
                <c:pt idx="31" formatCode="_ * #,##0.0_ ;_ * \-#,##0.0_ ;_ * &quot;-&quot;??_ ;_ @_ ">
                  <c:v>0.1066</c:v>
                </c:pt>
                <c:pt idx="32" formatCode="_(* #,##0.00_);_(* \(#,##0.00\);_(* &quot;-&quot;??_);_(@_)">
                  <c:v>2.7824999999999999E-2</c:v>
                </c:pt>
                <c:pt idx="33">
                  <c:v>1.8845000000000001</c:v>
                </c:pt>
                <c:pt idx="34">
                  <c:v>10.392370000000001</c:v>
                </c:pt>
                <c:pt idx="35">
                  <c:v>16.025917</c:v>
                </c:pt>
                <c:pt idx="36">
                  <c:v>19.011840000000003</c:v>
                </c:pt>
              </c:numCache>
            </c:numRef>
          </c:val>
          <c:smooth val="0"/>
          <c:extLst>
            <c:ext xmlns:c16="http://schemas.microsoft.com/office/drawing/2014/chart" uri="{C3380CC4-5D6E-409C-BE32-E72D297353CC}">
              <c16:uniqueId val="{00000003-BEC2-46AA-B163-E6F40268D047}"/>
            </c:ext>
          </c:extLst>
        </c:ser>
        <c:dLbls>
          <c:showLegendKey val="0"/>
          <c:showVal val="0"/>
          <c:showCatName val="0"/>
          <c:showSerName val="0"/>
          <c:showPercent val="0"/>
          <c:showBubbleSize val="0"/>
        </c:dLbls>
        <c:marker val="1"/>
        <c:smooth val="0"/>
        <c:axId val="841312824"/>
        <c:axId val="841313216"/>
        <c:extLst>
          <c:ext xmlns:c15="http://schemas.microsoft.com/office/drawing/2012/chart" uri="{02D57815-91ED-43cb-92C2-25804820EDAC}">
            <c15:filteredLineSeries>
              <c15:ser>
                <c:idx val="3"/>
                <c:order val="3"/>
                <c:tx>
                  <c:strRef>
                    <c:extLst>
                      <c:ext uri="{02D57815-91ED-43cb-92C2-25804820EDAC}">
                        <c15:formulaRef>
                          <c15:sqref>'Turnover charts'!$N$3</c15:sqref>
                        </c15:formulaRef>
                      </c:ext>
                    </c:extLst>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charts'!$J$4:$J$55</c15:sqref>
                        </c15:formulaRef>
                      </c:ext>
                    </c:extLst>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extLst>
                      <c:ext uri="{02D57815-91ED-43cb-92C2-25804820EDAC}">
                        <c15:formulaRef>
                          <c15:sqref>'Turnover charts'!$N$4:$N$55</c15:sqref>
                        </c15:formulaRef>
                      </c:ext>
                    </c:extLst>
                    <c:numCache>
                      <c:formatCode>General</c:formatCode>
                      <c:ptCount val="37"/>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pt idx="34" formatCode="_ * #,##0_ ;_ * \-#,##0_ ;_ * &quot;-&quot;??_ ;_ @_ ">
                        <c:v>62440.93</c:v>
                      </c:pt>
                      <c:pt idx="35" formatCode="_ * #,##0_ ;_ * \-#,##0_ ;_ * &quot;-&quot;??_ ;_ @_ ">
                        <c:v>65087.26</c:v>
                      </c:pt>
                      <c:pt idx="36" formatCode="_ * #,##0_ ;_ * \-#,##0_ ;_ * &quot;-&quot;??_ ;_ @_ ">
                        <c:v>71581.36</c:v>
                      </c:pt>
                    </c:numCache>
                  </c:numRef>
                </c:val>
                <c:smooth val="0"/>
                <c:extLst>
                  <c:ext xmlns:c16="http://schemas.microsoft.com/office/drawing/2014/chart" uri="{C3380CC4-5D6E-409C-BE32-E72D297353CC}">
                    <c16:uniqueId val="{00000006-BEC2-46AA-B163-E6F40268D0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'Turnover charts'!$P$3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charts'!$J$4:$J$55</c15:sqref>
                        </c15:formulaRef>
                      </c:ext>
                    </c:extLst>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extLst xmlns:c15="http://schemas.microsoft.com/office/drawing/2012/chart">
                      <c:ext xmlns:c15="http://schemas.microsoft.com/office/drawing/2012/chart" uri="{02D57815-91ED-43cb-92C2-25804820EDAC}">
                        <c15:formulaRef>
                          <c15:sqref>'Turnover charts'!$P$4:$P$55</c15:sqref>
                        </c15:formulaRef>
                      </c:ext>
                    </c:extLst>
                    <c:numCache>
                      <c:formatCode>General</c:formatCode>
                      <c:ptCount val="37"/>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pt idx="34" formatCode="_ * #,##0_ ;_ * \-#,##0_ ;_ * &quot;-&quot;??_ ;_ @_ ">
                        <c:v>1913.7781235000002</c:v>
                      </c:pt>
                      <c:pt idx="35" formatCode="_ * #,##0_ ;_ * \-#,##0_ ;_ * &quot;-&quot;??_ ;_ @_ ">
                        <c:v>1103.8054694999996</c:v>
                      </c:pt>
                      <c:pt idx="36" formatCode="_ * #,##0_ ;_ * \-#,##0_ ;_ * &quot;-&quot;??_ ;_ @_ ">
                        <c:v>1206.0163299999995</c:v>
                      </c:pt>
                    </c:numCache>
                  </c:numRef>
                </c:val>
                <c:smooth val="0"/>
                <c:extLst xmlns:c15="http://schemas.microsoft.com/office/drawing/2012/chart">
                  <c:ext xmlns:c16="http://schemas.microsoft.com/office/drawing/2014/chart" uri="{C3380CC4-5D6E-409C-BE32-E72D297353CC}">
                    <c16:uniqueId val="{00000007-BEC2-46AA-B163-E6F40268D047}"/>
                  </c:ext>
                </c:extLst>
              </c15:ser>
            </c15:filteredLineSeries>
          </c:ext>
        </c:extLst>
      </c:lineChart>
      <c:lineChart>
        <c:grouping val="standard"/>
        <c:varyColors val="0"/>
        <c:ser>
          <c:idx val="6"/>
          <c:order val="6"/>
          <c:tx>
            <c:strRef>
              <c:f>'Turnover charts'!$Q$3</c:f>
              <c:strCache>
                <c:ptCount val="1"/>
                <c:pt idx="0">
                  <c:v>NCDEX futures (LHS)</c:v>
                </c:pt>
              </c:strCache>
            </c:strRef>
          </c:tx>
          <c:spPr>
            <a:ln w="19050" cap="rnd">
              <a:solidFill>
                <a:srgbClr val="FF0000"/>
              </a:solidFill>
              <a:round/>
            </a:ln>
            <a:effectLst/>
          </c:spPr>
          <c:marker>
            <c:symbol val="circle"/>
            <c:size val="5"/>
            <c:spPr>
              <a:solidFill>
                <a:schemeClr val="accent1">
                  <a:lumMod val="60000"/>
                </a:schemeClr>
              </a:solidFill>
              <a:ln w="9525">
                <a:solidFill>
                  <a:srgbClr val="FF0000"/>
                </a:solidFill>
              </a:ln>
              <a:effectLst/>
            </c:spPr>
          </c:marker>
          <c:cat>
            <c:numRef>
              <c:f>'Turnover charts'!$J$4:$J$55</c:f>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f>'Turnover charts'!$Q$4:$Q$55</c:f>
              <c:numCache>
                <c:formatCode>_(* #,##0_);_(* \(#,##0\);_(* "-"??_);_(@_)</c:formatCode>
                <c:ptCount val="37"/>
                <c:pt idx="0">
                  <c:v>0</c:v>
                </c:pt>
                <c:pt idx="1">
                  <c:v>0</c:v>
                </c:pt>
                <c:pt idx="2">
                  <c:v>0</c:v>
                </c:pt>
                <c:pt idx="3">
                  <c:v>0</c:v>
                </c:pt>
                <c:pt idx="4">
                  <c:v>0</c:v>
                </c:pt>
                <c:pt idx="5">
                  <c:v>0</c:v>
                </c:pt>
                <c:pt idx="6" formatCode="_ * #,##0_ ;_ * \-#,##0_ ;_ * &quot;-&quot;??_ ;_ @_ ">
                  <c:v>0</c:v>
                </c:pt>
                <c:pt idx="7" formatCode="_ * #,##0_ ;_ * \-#,##0_ ;_ * &quot;-&quot;??_ ;_ @_ ">
                  <c:v>0</c:v>
                </c:pt>
                <c:pt idx="8" formatCode="_ * #,##0_ ;_ * \-#,##0_ ;_ * &quot;-&quot;??_ ;_ @_ ">
                  <c:v>0</c:v>
                </c:pt>
                <c:pt idx="9" formatCode="_ * #,##0_ ;_ * \-#,##0_ ;_ * &quot;-&quot;??_ ;_ @_ ">
                  <c:v>0</c:v>
                </c:pt>
                <c:pt idx="10" formatCode="_ * #,##0_ ;_ * \-#,##0_ ;_ * &quot;-&quot;??_ ;_ @_ ">
                  <c:v>0</c:v>
                </c:pt>
                <c:pt idx="11" formatCode="_ * #,##0_ ;_ * \-#,##0_ ;_ * &quot;-&quot;??_ ;_ @_ ">
                  <c:v>0</c:v>
                </c:pt>
                <c:pt idx="12" formatCode="_ * #,##0_ ;_ * \-#,##0_ ;_ * &quot;-&quot;??_ ;_ @_ ">
                  <c:v>0</c:v>
                </c:pt>
                <c:pt idx="13" formatCode="_ * #,##0_ ;_ * \-#,##0_ ;_ * &quot;-&quot;??_ ;_ @_ ">
                  <c:v>0</c:v>
                </c:pt>
                <c:pt idx="14" formatCode="_ * #,##0_ ;_ * \-#,##0_ ;_ * &quot;-&quot;??_ ;_ @_ ">
                  <c:v>0</c:v>
                </c:pt>
                <c:pt idx="15" formatCode="_ * #,##0_ ;_ * \-#,##0_ ;_ * &quot;-&quot;??_ ;_ @_ ">
                  <c:v>0</c:v>
                </c:pt>
                <c:pt idx="16" formatCode="_ * #,##0_ ;_ * \-#,##0_ ;_ * &quot;-&quot;??_ ;_ @_ ">
                  <c:v>0</c:v>
                </c:pt>
                <c:pt idx="17">
                  <c:v>0</c:v>
                </c:pt>
                <c:pt idx="18">
                  <c:v>0</c:v>
                </c:pt>
                <c:pt idx="19">
                  <c:v>0</c:v>
                </c:pt>
                <c:pt idx="20">
                  <c:v>0</c:v>
                </c:pt>
                <c:pt idx="21">
                  <c:v>0</c:v>
                </c:pt>
                <c:pt idx="22">
                  <c:v>0</c:v>
                </c:pt>
                <c:pt idx="23">
                  <c:v>0</c:v>
                </c:pt>
                <c:pt idx="24">
                  <c:v>0</c:v>
                </c:pt>
                <c:pt idx="25">
                  <c:v>0</c:v>
                </c:pt>
                <c:pt idx="26" formatCode="_ * #,##0_ ;_ * \-#,##0_ ;_ * &quot;-&quot;??_ ;_ @_ ">
                  <c:v>0</c:v>
                </c:pt>
                <c:pt idx="27" formatCode="_ * #,##0_ ;_ * \-#,##0_ ;_ * &quot;-&quot;??_ ;_ @_ ">
                  <c:v>0</c:v>
                </c:pt>
                <c:pt idx="28" formatCode="_ * #,##0_ ;_ * \-#,##0_ ;_ * &quot;-&quot;??_ ;_ @_ ">
                  <c:v>0</c:v>
                </c:pt>
                <c:pt idx="29" formatCode="_ * #,##0_ ;_ * \-#,##0_ ;_ * &quot;-&quot;??_ ;_ @_ ">
                  <c:v>0</c:v>
                </c:pt>
                <c:pt idx="30" formatCode="_ * #,##0_ ;_ * \-#,##0_ ;_ * &quot;-&quot;??_ ;_ @_ ">
                  <c:v>0</c:v>
                </c:pt>
                <c:pt idx="31" formatCode="_ * #,##0_ ;_ * \-#,##0_ ;_ * &quot;-&quot;??_ ;_ @_ ">
                  <c:v>0</c:v>
                </c:pt>
                <c:pt idx="32" formatCode="_ * #,##0_ ;_ * \-#,##0_ ;_ * &quot;-&quot;??_ ;_ @_ ">
                  <c:v>0</c:v>
                </c:pt>
                <c:pt idx="33" formatCode="_ * #,##0_ ;_ * \-#,##0_ ;_ * &quot;-&quot;??_ ;_ @_ ">
                  <c:v>0</c:v>
                </c:pt>
                <c:pt idx="34" formatCode="_ * #,##0_ ;_ * \-#,##0_ ;_ * &quot;-&quot;??_ ;_ @_ ">
                  <c:v>24.235309999999998</c:v>
                </c:pt>
                <c:pt idx="35" formatCode="_ * #,##0_ ;_ * \-#,##0_ ;_ * &quot;-&quot;??_ ;_ @_ ">
                  <c:v>38.773069999999997</c:v>
                </c:pt>
                <c:pt idx="36" formatCode="_ * #,##0_ ;_ * \-#,##0_ ;_ * &quot;-&quot;??_ ;_ @_ ">
                  <c:v>25.14254</c:v>
                </c:pt>
              </c:numCache>
            </c:numRef>
          </c:val>
          <c:smooth val="0"/>
          <c:extLst>
            <c:ext xmlns:c16="http://schemas.microsoft.com/office/drawing/2014/chart" uri="{C3380CC4-5D6E-409C-BE32-E72D297353CC}">
              <c16:uniqueId val="{00000004-BEC2-46AA-B163-E6F40268D047}"/>
            </c:ext>
          </c:extLst>
        </c:ser>
        <c:dLbls>
          <c:showLegendKey val="0"/>
          <c:showVal val="0"/>
          <c:showCatName val="0"/>
          <c:showSerName val="0"/>
          <c:showPercent val="0"/>
          <c:showBubbleSize val="0"/>
        </c:dLbls>
        <c:marker val="1"/>
        <c:smooth val="0"/>
        <c:axId val="726424808"/>
        <c:axId val="651463480"/>
      </c:lineChart>
      <c:dateAx>
        <c:axId val="841312824"/>
        <c:scaling>
          <c:orientation val="minMax"/>
          <c:min val="43922"/>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41313216"/>
        <c:crosses val="autoZero"/>
        <c:auto val="1"/>
        <c:lblOffset val="100"/>
        <c:baseTimeUnit val="months"/>
      </c:dateAx>
      <c:valAx>
        <c:axId val="841313216"/>
        <c:scaling>
          <c:orientation val="minMax"/>
          <c:max val="5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41312824"/>
        <c:crosses val="autoZero"/>
        <c:crossBetween val="between"/>
        <c:majorUnit val="1000"/>
      </c:valAx>
      <c:valAx>
        <c:axId val="651463480"/>
        <c:scaling>
          <c:orientation val="minMax"/>
          <c:max val="100000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726424808"/>
        <c:crosses val="max"/>
        <c:crossBetween val="between"/>
      </c:valAx>
      <c:dateAx>
        <c:axId val="726424808"/>
        <c:scaling>
          <c:orientation val="minMax"/>
        </c:scaling>
        <c:delete val="1"/>
        <c:axPos val="b"/>
        <c:numFmt formatCode="mmm\-yy" sourceLinked="1"/>
        <c:majorTickMark val="out"/>
        <c:minorTickMark val="none"/>
        <c:tickLblPos val="nextTo"/>
        <c:crossAx val="651463480"/>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73554005798164013"/>
          <c:h val="0.1044547531214697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6899943817894811"/>
          <c:h val="0.72457814568050793"/>
        </c:manualLayout>
      </c:layout>
      <c:barChart>
        <c:barDir val="col"/>
        <c:grouping val="stacked"/>
        <c:varyColors val="0"/>
        <c:ser>
          <c:idx val="1"/>
          <c:order val="0"/>
          <c:tx>
            <c:v>MCX Options (LHS)</c:v>
          </c:tx>
          <c:spPr>
            <a:solidFill>
              <a:schemeClr val="accent2"/>
            </a:solidFill>
            <a:ln w="12700">
              <a:solidFill>
                <a:schemeClr val="tx1">
                  <a:lumMod val="75000"/>
                  <a:lumOff val="25000"/>
                </a:schemeClr>
              </a:solidFill>
            </a:ln>
            <a:effectLst/>
          </c:spPr>
          <c:invertIfNegative val="0"/>
          <c:cat>
            <c:numRef>
              <c:f>'Turnover charts'!$J$4:$J$55</c:f>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f>'Turnover charts'!$L$4:$L$55</c:f>
              <c:numCache>
                <c:formatCode>_(* #,##0_);_(* \(#,##0\);_(* "-"??_);_(@_)</c:formatCode>
                <c:ptCount val="37"/>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pt idx="34">
                  <c:v>25959.086283000004</c:v>
                </c:pt>
                <c:pt idx="35">
                  <c:v>17156.310860000001</c:v>
                </c:pt>
                <c:pt idx="36">
                  <c:v>28949.873640999998</c:v>
                </c:pt>
              </c:numCache>
            </c:numRef>
          </c:val>
          <c:extLst>
            <c:ext xmlns:c16="http://schemas.microsoft.com/office/drawing/2014/chart" uri="{C3380CC4-5D6E-409C-BE32-E72D297353CC}">
              <c16:uniqueId val="{00000000-080A-47D5-BE18-273672632130}"/>
            </c:ext>
          </c:extLst>
        </c:ser>
        <c:dLbls>
          <c:showLegendKey val="0"/>
          <c:showVal val="0"/>
          <c:showCatName val="0"/>
          <c:showSerName val="0"/>
          <c:showPercent val="0"/>
          <c:showBubbleSize val="0"/>
        </c:dLbls>
        <c:gapWidth val="219"/>
        <c:overlap val="100"/>
        <c:axId val="734034760"/>
        <c:axId val="734037112"/>
      </c:barChart>
      <c:lineChart>
        <c:grouping val="standard"/>
        <c:varyColors val="0"/>
        <c:ser>
          <c:idx val="5"/>
          <c:order val="2"/>
          <c:tx>
            <c:v>NSE Options (LHS)</c:v>
          </c:tx>
          <c:spPr>
            <a:ln w="28575" cap="rnd">
              <a:solidFill>
                <a:schemeClr val="accent6"/>
              </a:solidFill>
              <a:round/>
            </a:ln>
            <a:effectLst/>
          </c:spPr>
          <c:marker>
            <c:symbol val="none"/>
          </c:marker>
          <c:cat>
            <c:numRef>
              <c:f>'Turnover charts'!$J$4:$J$55</c:f>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f>'Turnover charts'!$P$4:$P$55</c:f>
              <c:numCache>
                <c:formatCode>General</c:formatCode>
                <c:ptCount val="37"/>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pt idx="34" formatCode="_ * #,##0_ ;_ * \-#,##0_ ;_ * &quot;-&quot;??_ ;_ @_ ">
                  <c:v>1913.7781235000002</c:v>
                </c:pt>
                <c:pt idx="35" formatCode="_ * #,##0_ ;_ * \-#,##0_ ;_ * &quot;-&quot;??_ ;_ @_ ">
                  <c:v>1103.8054694999996</c:v>
                </c:pt>
                <c:pt idx="36" formatCode="_ * #,##0_ ;_ * \-#,##0_ ;_ * &quot;-&quot;??_ ;_ @_ ">
                  <c:v>1206.0163299999995</c:v>
                </c:pt>
              </c:numCache>
            </c:numRef>
          </c:val>
          <c:smooth val="0"/>
          <c:extLst>
            <c:ext xmlns:c16="http://schemas.microsoft.com/office/drawing/2014/chart" uri="{C3380CC4-5D6E-409C-BE32-E72D297353CC}">
              <c16:uniqueId val="{00000001-080A-47D5-BE18-273672632130}"/>
            </c:ext>
          </c:extLst>
        </c:ser>
        <c:dLbls>
          <c:showLegendKey val="0"/>
          <c:showVal val="0"/>
          <c:showCatName val="0"/>
          <c:showSerName val="0"/>
          <c:showPercent val="0"/>
          <c:showBubbleSize val="0"/>
        </c:dLbls>
        <c:marker val="1"/>
        <c:smooth val="0"/>
        <c:axId val="734034760"/>
        <c:axId val="734037112"/>
      </c:lineChart>
      <c:lineChart>
        <c:grouping val="standard"/>
        <c:varyColors val="0"/>
        <c:ser>
          <c:idx val="3"/>
          <c:order val="1"/>
          <c:tx>
            <c:strRef>
              <c:f>'Turnover charts'!$N$3</c:f>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f>'Turnover charts'!$J$4:$J$55</c:f>
              <c:numCache>
                <c:formatCode>mmm\-yy</c:formatCode>
                <c:ptCount val="37"/>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numCache>
            </c:numRef>
          </c:cat>
          <c:val>
            <c:numRef>
              <c:f>'Turnover charts'!$N$4:$N$55</c:f>
              <c:numCache>
                <c:formatCode>General</c:formatCode>
                <c:ptCount val="37"/>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pt idx="34" formatCode="_ * #,##0_ ;_ * \-#,##0_ ;_ * &quot;-&quot;??_ ;_ @_ ">
                  <c:v>62440.93</c:v>
                </c:pt>
                <c:pt idx="35" formatCode="_ * #,##0_ ;_ * \-#,##0_ ;_ * &quot;-&quot;??_ ;_ @_ ">
                  <c:v>65087.26</c:v>
                </c:pt>
                <c:pt idx="36" formatCode="_ * #,##0_ ;_ * \-#,##0_ ;_ * &quot;-&quot;??_ ;_ @_ ">
                  <c:v>71581.36</c:v>
                </c:pt>
              </c:numCache>
            </c:numRef>
          </c:val>
          <c:smooth val="0"/>
          <c:extLst>
            <c:ext xmlns:c16="http://schemas.microsoft.com/office/drawing/2014/chart" uri="{C3380CC4-5D6E-409C-BE32-E72D297353CC}">
              <c16:uniqueId val="{00000002-080A-47D5-BE18-273672632130}"/>
            </c:ext>
          </c:extLst>
        </c:ser>
        <c:dLbls>
          <c:showLegendKey val="0"/>
          <c:showVal val="0"/>
          <c:showCatName val="0"/>
          <c:showSerName val="0"/>
          <c:showPercent val="0"/>
          <c:showBubbleSize val="0"/>
        </c:dLbls>
        <c:marker val="1"/>
        <c:smooth val="0"/>
        <c:axId val="734034368"/>
        <c:axId val="734037504"/>
      </c:lineChart>
      <c:dateAx>
        <c:axId val="734034760"/>
        <c:scaling>
          <c:orientation val="minMax"/>
          <c:min val="43922"/>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734037112"/>
        <c:crosses val="autoZero"/>
        <c:auto val="1"/>
        <c:lblOffset val="100"/>
        <c:baseTimeUnit val="months"/>
      </c:dateAx>
      <c:valAx>
        <c:axId val="734037112"/>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734034760"/>
        <c:crosses val="autoZero"/>
        <c:crossBetween val="between"/>
        <c:majorUnit val="5000"/>
        <c:minorUnit val="5000"/>
      </c:valAx>
      <c:valAx>
        <c:axId val="734037504"/>
        <c:scaling>
          <c:orientation val="minMax"/>
          <c:max val="75000"/>
          <c:min val="0"/>
        </c:scaling>
        <c:delete val="0"/>
        <c:axPos val="r"/>
        <c:title>
          <c:tx>
            <c:rich>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802305074641692"/>
              <c:y val="0.31903100347750651"/>
            </c:manualLayout>
          </c:layout>
          <c:overlay val="0"/>
          <c:spPr>
            <a:noFill/>
            <a:ln>
              <a:noFill/>
            </a:ln>
            <a:effectLst/>
          </c:spPr>
          <c:txPr>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734034368"/>
        <c:crosses val="max"/>
        <c:crossBetween val="between"/>
        <c:majorUnit val="10000"/>
      </c:valAx>
      <c:dateAx>
        <c:axId val="734034368"/>
        <c:scaling>
          <c:orientation val="minMax"/>
        </c:scaling>
        <c:delete val="1"/>
        <c:axPos val="b"/>
        <c:numFmt formatCode="mmm\-yy" sourceLinked="1"/>
        <c:majorTickMark val="out"/>
        <c:minorTickMark val="none"/>
        <c:tickLblPos val="nextTo"/>
        <c:crossAx val="734037504"/>
        <c:crossesAt val="0"/>
        <c:auto val="1"/>
        <c:lblOffset val="100"/>
        <c:baseTimeUnit val="months"/>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Klassify>
  <SNO>4</SNO>
  <KDate>2021-03-04 12:07:01</KDate>
  <Classification>SEBI-INTERNAL</Classification>
  <HostName>MUM0111649</HostName>
  <Domain_User>SEBINT/1649</Domain_User>
  <IPAdd>10.88.99.116</IPAdd>
  <FilePath>C:\Users\1649\AppData\Roaming\Klassify\83779\Bulletin-February 2021.docx</FilePath>
  <KID>7427EA48EFCA637066619672483538</KID>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4.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5.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6.xml>
</file>

<file path=customXml/item7.xml>
</file>

<file path=customXml/item8.xml>
</file>

<file path=customXml/item9.xml><?xml version="1.0" encoding="utf-8"?>
<Klassify>
  <SNO>5</SNO>
  <KDate>2021-03-04 12:15:09</KDate>
  <Classification>SEBI-INTERNAL</Classification>
  <HostName>MUM0111832</HostName>
  <Domain_User>SEBINT/1832</Domain_User>
  <IPAdd>10.88.99.209</IPAdd>
  <FilePath>C:\Users\1832\AppData\Roaming\Klassify\57909\Bulletin-February 2021.docx</FilePath>
  <KID>7427EA48EFCA637066619672483538</KID>
</Klassify>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43C77-5EBC-46F2-AC21-5D702358D3EF}">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AC874CF5-52D4-4685-80EC-6F1B86646A89}">
  <ds:schemaRefs/>
</ds:datastoreItem>
</file>

<file path=customXml/itemProps4.xml><?xml version="1.0" encoding="utf-8"?>
<ds:datastoreItem xmlns:ds="http://schemas.openxmlformats.org/officeDocument/2006/customXml" ds:itemID="{D7543C77-5EBC-46F2-AC21-5D702358D3EF}">
  <ds:schemaRefs/>
</ds:datastoreItem>
</file>

<file path=customXml/itemProps5.xml><?xml version="1.0" encoding="utf-8"?>
<ds:datastoreItem xmlns:ds="http://schemas.openxmlformats.org/officeDocument/2006/customXml" ds:itemID="{2C38164C-8094-471D-AC2C-77D018C8E0F2}">
  <ds:schemaRefs/>
</ds:datastoreItem>
</file>

<file path=customXml/itemProps6.xml><?xml version="1.0" encoding="utf-8"?>
<ds:datastoreItem xmlns:ds="http://schemas.openxmlformats.org/officeDocument/2006/customXml" ds:itemID="{FFFCDC47-2152-406C-A3E3-98A02192763B}"/>
</file>

<file path=customXml/itemProps7.xml><?xml version="1.0" encoding="utf-8"?>
<ds:datastoreItem xmlns:ds="http://schemas.openxmlformats.org/officeDocument/2006/customXml" ds:itemID="{F1A90E88-F8CE-47CC-B1F2-2802B9D4F2FE}"/>
</file>

<file path=customXml/itemProps8.xml><?xml version="1.0" encoding="utf-8"?>
<ds:datastoreItem xmlns:ds="http://schemas.openxmlformats.org/officeDocument/2006/customXml" ds:itemID="{8A5DE7B4-0207-485C-AD2D-76752FDBC33F}"/>
</file>

<file path=customXml/itemProps9.xml><?xml version="1.0" encoding="utf-8"?>
<ds:datastoreItem xmlns:ds="http://schemas.openxmlformats.org/officeDocument/2006/customXml" ds:itemID="{D7543C77-5EBC-46F2-AC21-5D702358D3EF}">
  <ds:schemaRefs/>
</ds:datastoreItem>
</file>

<file path=customXml/itemProps10.xml><?xml version="1.0" encoding="utf-8"?>
<ds:datastoreItem xmlns:ds="http://schemas.openxmlformats.org/officeDocument/2006/customXml" ds:itemID="{626B80BE-AA5D-4D29-AEC2-ACDE5F024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13633</Words>
  <Characters>77712</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 V SUBBA RAO</cp:lastModifiedBy>
  <cp:revision>2</cp:revision>
  <cp:lastPrinted>2021-01-25T05:51:00Z</cp:lastPrinted>
  <dcterms:created xsi:type="dcterms:W3CDTF">2021-05-19T10:28:00Z</dcterms:created>
  <dcterms:modified xsi:type="dcterms:W3CDTF">2021-05-19T10:28:00Z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